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rPr>
          <w:rFonts w:hint="eastAsia" w:ascii="宋体" w:hAnsi="宋体" w:eastAsia="宋体" w:cs="宋体"/>
          <w:b/>
          <w:bCs/>
          <w:color w:val="auto"/>
          <w:sz w:val="36"/>
          <w:szCs w:val="36"/>
          <w:highlight w:val="none"/>
          <w:lang w:val="zh-CN"/>
        </w:rPr>
      </w:pPr>
      <w:bookmarkStart w:id="211" w:name="_GoBack"/>
    </w:p>
    <w:p>
      <w:pPr>
        <w:spacing w:line="0" w:lineRule="atLeas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zh-CN" w:eastAsia="zh-CN"/>
        </w:rPr>
        <w:t>和田县一万亩补充耕地项目施工监理和审计服务采购招标（包</w:t>
      </w: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lang w:val="zh-CN" w:eastAsia="zh-CN"/>
        </w:rPr>
        <w:t>）</w:t>
      </w:r>
    </w:p>
    <w:p>
      <w:pPr>
        <w:ind w:firstLine="1084" w:firstLineChars="300"/>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招标文件</w:t>
      </w: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kern w:val="0"/>
          <w:sz w:val="36"/>
          <w:szCs w:val="36"/>
          <w:highlight w:val="none"/>
        </w:rPr>
        <w:t>项目编号：</w:t>
      </w:r>
      <w:r>
        <w:rPr>
          <w:rFonts w:hint="eastAsia" w:ascii="宋体" w:hAnsi="宋体" w:cs="宋体"/>
          <w:b/>
          <w:bCs/>
          <w:color w:val="auto"/>
          <w:kern w:val="0"/>
          <w:sz w:val="36"/>
          <w:szCs w:val="36"/>
          <w:highlight w:val="none"/>
          <w:lang w:eastAsia="zh-CN"/>
        </w:rPr>
        <w:t>HTXZFCG(2021FS)092-2号</w:t>
      </w:r>
    </w:p>
    <w:p>
      <w:pPr>
        <w:jc w:val="center"/>
        <w:rPr>
          <w:rFonts w:hint="eastAsia" w:ascii="宋体" w:hAnsi="宋体" w:eastAsia="宋体" w:cs="宋体"/>
          <w:b/>
          <w:bCs/>
          <w:color w:val="auto"/>
          <w:sz w:val="36"/>
          <w:szCs w:val="36"/>
          <w:highlight w:val="none"/>
        </w:rPr>
      </w:pPr>
    </w:p>
    <w:p>
      <w:pPr>
        <w:pStyle w:val="3"/>
        <w:tabs>
          <w:tab w:val="left" w:pos="9214"/>
        </w:tabs>
        <w:rPr>
          <w:rFonts w:hint="eastAsia" w:ascii="宋体" w:hAnsi="宋体" w:eastAsia="宋体" w:cs="宋体"/>
          <w:color w:val="auto"/>
          <w:sz w:val="36"/>
          <w:szCs w:val="36"/>
          <w:highlight w:val="none"/>
        </w:rPr>
      </w:pPr>
    </w:p>
    <w:p>
      <w:pP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464" w:beforeLines="100" w:after="464" w:afterLines="100"/>
        <w:jc w:val="both"/>
        <w:textAlignment w:val="auto"/>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before="464" w:beforeLines="100" w:after="464" w:afterLines="100"/>
        <w:jc w:val="both"/>
        <w:textAlignment w:val="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招标代理：</w:t>
      </w:r>
      <w:r>
        <w:rPr>
          <w:rFonts w:hint="eastAsia" w:ascii="宋体" w:hAnsi="宋体" w:eastAsia="宋体" w:cs="宋体"/>
          <w:b/>
          <w:color w:val="auto"/>
          <w:sz w:val="36"/>
          <w:szCs w:val="36"/>
          <w:highlight w:val="none"/>
          <w:lang w:eastAsia="zh-CN"/>
        </w:rPr>
        <w:t>新疆新建联项目管理咨询有限公司</w:t>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地址：</w:t>
      </w:r>
      <w:r>
        <w:rPr>
          <w:rFonts w:hint="eastAsia" w:ascii="宋体" w:hAnsi="宋体" w:eastAsia="宋体" w:cs="宋体"/>
          <w:b/>
          <w:color w:val="auto"/>
          <w:sz w:val="36"/>
          <w:szCs w:val="36"/>
          <w:highlight w:val="none"/>
          <w:lang w:eastAsia="zh-CN"/>
        </w:rPr>
        <w:t>和田市纳瓦格路157号</w:t>
      </w:r>
    </w:p>
    <w:p>
      <w:pPr>
        <w:keepNext w:val="0"/>
        <w:keepLines w:val="0"/>
        <w:pageBreakBefore w:val="0"/>
        <w:widowControl w:val="0"/>
        <w:kinsoku/>
        <w:wordWrap/>
        <w:overflowPunct/>
        <w:topLinePunct w:val="0"/>
        <w:autoSpaceDE/>
        <w:autoSpaceDN/>
        <w:bidi w:val="0"/>
        <w:adjustRightInd/>
        <w:snapToGrid/>
        <w:spacing w:before="464" w:beforeLines="100" w:after="464" w:afterLines="100"/>
        <w:ind w:firstLine="3253" w:firstLineChars="900"/>
        <w:jc w:val="both"/>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w:t>
      </w:r>
      <w:r>
        <w:rPr>
          <w:rFonts w:hint="eastAsia" w:ascii="宋体" w:hAnsi="宋体" w:eastAsia="宋体" w:cs="宋体"/>
          <w:b/>
          <w:color w:val="auto"/>
          <w:sz w:val="36"/>
          <w:szCs w:val="36"/>
          <w:highlight w:val="none"/>
          <w:lang w:val="en-US" w:eastAsia="zh-CN"/>
        </w:rPr>
        <w:t>1</w:t>
      </w:r>
      <w:r>
        <w:rPr>
          <w:rFonts w:hint="eastAsia" w:ascii="宋体" w:hAnsi="宋体" w:eastAsia="宋体" w:cs="宋体"/>
          <w:b/>
          <w:color w:val="auto"/>
          <w:sz w:val="36"/>
          <w:szCs w:val="36"/>
          <w:highlight w:val="none"/>
        </w:rPr>
        <w:t>年</w:t>
      </w:r>
      <w:r>
        <w:rPr>
          <w:rFonts w:hint="eastAsia" w:ascii="宋体" w:hAnsi="宋体" w:eastAsia="宋体" w:cs="宋体"/>
          <w:b/>
          <w:color w:val="auto"/>
          <w:sz w:val="36"/>
          <w:szCs w:val="36"/>
          <w:highlight w:val="none"/>
          <w:lang w:val="en-US" w:eastAsia="zh-CN"/>
        </w:rPr>
        <w:t>9</w:t>
      </w:r>
      <w:r>
        <w:rPr>
          <w:rFonts w:hint="eastAsia" w:ascii="宋体" w:hAnsi="宋体" w:eastAsia="宋体" w:cs="宋体"/>
          <w:b/>
          <w:color w:val="auto"/>
          <w:sz w:val="36"/>
          <w:szCs w:val="36"/>
          <w:highlight w:val="none"/>
        </w:rPr>
        <w:t>月</w:t>
      </w:r>
    </w:p>
    <w:p>
      <w:pPr>
        <w:pStyle w:val="2"/>
        <w:rPr>
          <w:rFonts w:hint="eastAsia" w:ascii="宋体" w:hAnsi="宋体" w:eastAsia="宋体" w:cs="宋体"/>
          <w:b/>
          <w:color w:val="auto"/>
          <w:sz w:val="24"/>
          <w:szCs w:val="24"/>
          <w:highlight w:val="none"/>
        </w:rPr>
      </w:pPr>
    </w:p>
    <w:p>
      <w:pPr>
        <w:pStyle w:val="2"/>
        <w:ind w:left="0" w:leftChars="0" w:firstLine="0" w:firstLineChars="0"/>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autoSpaceDE w:val="0"/>
        <w:autoSpaceDN w:val="0"/>
        <w:adjustRightInd w:val="0"/>
        <w:jc w:val="center"/>
        <w:rPr>
          <w:rFonts w:hint="eastAsia" w:ascii="宋体" w:hAnsi="宋体" w:eastAsia="宋体" w:cs="宋体"/>
          <w:b/>
          <w:color w:val="auto"/>
          <w:kern w:val="0"/>
          <w:sz w:val="24"/>
          <w:szCs w:val="24"/>
          <w:highlight w:val="none"/>
        </w:rPr>
      </w:pPr>
    </w:p>
    <w:p>
      <w:pPr>
        <w:autoSpaceDE w:val="0"/>
        <w:autoSpaceDN w:val="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lang w:val="zh-CN"/>
        </w:rPr>
        <w:t>招标文件</w:t>
      </w:r>
    </w:p>
    <w:p>
      <w:pPr>
        <w:autoSpaceDE w:val="0"/>
        <w:autoSpaceDN w:val="0"/>
        <w:adjustRightInd w:val="0"/>
        <w:ind w:left="3795" w:leftChars="150" w:hanging="3480" w:hangingChars="1450"/>
        <w:rPr>
          <w:rFonts w:hint="eastAsia" w:ascii="宋体" w:hAnsi="宋体" w:eastAsia="宋体" w:cs="宋体"/>
          <w:bCs/>
          <w:color w:val="auto"/>
          <w:kern w:val="0"/>
          <w:sz w:val="24"/>
          <w:szCs w:val="24"/>
          <w:highlight w:val="none"/>
          <w:lang w:val="zh-CN"/>
        </w:rPr>
      </w:pPr>
    </w:p>
    <w:p>
      <w:pPr>
        <w:autoSpaceDE w:val="0"/>
        <w:autoSpaceDN w:val="0"/>
        <w:adjustRightInd w:val="0"/>
        <w:ind w:left="3795" w:leftChars="150" w:hanging="3480" w:hangingChars="1450"/>
        <w:rPr>
          <w:rFonts w:hint="eastAsia" w:ascii="宋体" w:hAnsi="宋体" w:eastAsia="宋体" w:cs="宋体"/>
          <w:bCs/>
          <w:color w:val="auto"/>
          <w:kern w:val="0"/>
          <w:sz w:val="24"/>
          <w:szCs w:val="24"/>
          <w:highlight w:val="none"/>
          <w:lang w:val="zh-CN"/>
        </w:rPr>
      </w:pPr>
    </w:p>
    <w:p>
      <w:pPr>
        <w:autoSpaceDE w:val="0"/>
        <w:autoSpaceDN w:val="0"/>
        <w:adjustRightInd w:val="0"/>
        <w:spacing w:line="480" w:lineRule="auto"/>
        <w:ind w:left="2199" w:leftChars="133" w:hanging="1920" w:hangingChars="800"/>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项</w:t>
      </w:r>
      <w:r>
        <w:rPr>
          <w:rFonts w:hint="eastAsia" w:ascii="宋体" w:hAnsi="宋体" w:eastAsia="宋体" w:cs="宋体"/>
          <w:bCs/>
          <w:color w:val="auto"/>
          <w:sz w:val="24"/>
          <w:szCs w:val="24"/>
          <w:highlight w:val="none"/>
          <w:lang w:val="zh-CN"/>
        </w:rPr>
        <w:t xml:space="preserve"> </w:t>
      </w:r>
      <w:r>
        <w:rPr>
          <w:rFonts w:hint="eastAsia" w:ascii="宋体" w:hAnsi="宋体" w:eastAsia="宋体" w:cs="宋体"/>
          <w:bCs/>
          <w:color w:val="auto"/>
          <w:sz w:val="24"/>
          <w:szCs w:val="24"/>
          <w:highlight w:val="none"/>
        </w:rPr>
        <w:t>目</w:t>
      </w:r>
      <w:r>
        <w:rPr>
          <w:rFonts w:hint="eastAsia" w:ascii="宋体" w:hAnsi="宋体" w:eastAsia="宋体" w:cs="宋体"/>
          <w:bCs/>
          <w:color w:val="auto"/>
          <w:sz w:val="24"/>
          <w:szCs w:val="24"/>
          <w:highlight w:val="none"/>
          <w:lang w:val="zh-CN"/>
        </w:rPr>
        <w:t xml:space="preserve"> 名 称：</w:t>
      </w:r>
      <w:r>
        <w:rPr>
          <w:rFonts w:hint="eastAsia" w:ascii="宋体" w:hAnsi="宋体" w:eastAsia="宋体" w:cs="宋体"/>
          <w:color w:val="auto"/>
          <w:sz w:val="24"/>
          <w:szCs w:val="24"/>
          <w:highlight w:val="none"/>
          <w:lang w:eastAsia="zh-CN"/>
        </w:rPr>
        <w:t>和田县一万亩补充耕地项目施工监理和审计服务采购招标</w:t>
      </w:r>
    </w:p>
    <w:p>
      <w:pPr>
        <w:autoSpaceDE w:val="0"/>
        <w:autoSpaceDN w:val="0"/>
        <w:adjustRightInd w:val="0"/>
        <w:spacing w:line="480" w:lineRule="auto"/>
        <w:ind w:left="2194" w:leftChars="1045" w:firstLine="0" w:firstLineChars="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p>
    <w:p>
      <w:pPr>
        <w:autoSpaceDE w:val="0"/>
        <w:autoSpaceDN w:val="0"/>
        <w:adjustRightInd w:val="0"/>
        <w:spacing w:line="480" w:lineRule="auto"/>
        <w:ind w:left="279" w:leftChars="133"/>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招 标 人（盖章）：</w:t>
      </w:r>
      <w:r>
        <w:rPr>
          <w:rFonts w:hint="eastAsia" w:ascii="宋体" w:hAnsi="宋体" w:eastAsia="宋体" w:cs="宋体"/>
          <w:b w:val="0"/>
          <w:bCs/>
          <w:color w:val="auto"/>
          <w:sz w:val="24"/>
          <w:szCs w:val="24"/>
          <w:highlight w:val="none"/>
          <w:lang w:eastAsia="zh-CN"/>
        </w:rPr>
        <w:t>和田县自然资源局</w:t>
      </w:r>
    </w:p>
    <w:p>
      <w:pPr>
        <w:autoSpaceDE w:val="0"/>
        <w:autoSpaceDN w:val="0"/>
        <w:adjustRightInd w:val="0"/>
        <w:spacing w:line="480" w:lineRule="auto"/>
        <w:ind w:left="279" w:leftChars="133"/>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 系 人：</w:t>
      </w:r>
      <w:r>
        <w:rPr>
          <w:rFonts w:hint="eastAsia" w:ascii="宋体" w:hAnsi="宋体" w:eastAsia="宋体" w:cs="宋体"/>
          <w:bCs/>
          <w:color w:val="auto"/>
          <w:sz w:val="24"/>
          <w:szCs w:val="24"/>
          <w:highlight w:val="none"/>
          <w:lang w:val="en-US" w:eastAsia="zh-CN"/>
        </w:rPr>
        <w:t>克尤木</w:t>
      </w:r>
      <w:r>
        <w:rPr>
          <w:rFonts w:hint="eastAsia" w:ascii="宋体" w:hAnsi="宋体" w:eastAsia="宋体" w:cs="宋体"/>
          <w:bCs/>
          <w:color w:val="auto"/>
          <w:sz w:val="24"/>
          <w:szCs w:val="24"/>
          <w:highlight w:val="none"/>
          <w:lang w:val="zh-CN"/>
        </w:rPr>
        <w:t xml:space="preserve">  </w:t>
      </w:r>
    </w:p>
    <w:p>
      <w:pPr>
        <w:autoSpaceDE w:val="0"/>
        <w:autoSpaceDN w:val="0"/>
        <w:adjustRightInd w:val="0"/>
        <w:spacing w:line="480" w:lineRule="auto"/>
        <w:ind w:left="279" w:leftChars="13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电    话：</w:t>
      </w:r>
      <w:bookmarkStart w:id="0" w:name="_Toc4007"/>
      <w:r>
        <w:rPr>
          <w:rFonts w:hint="eastAsia" w:ascii="宋体" w:hAnsi="宋体" w:eastAsia="宋体" w:cs="宋体"/>
          <w:bCs/>
          <w:color w:val="auto"/>
          <w:sz w:val="24"/>
          <w:szCs w:val="24"/>
          <w:highlight w:val="none"/>
          <w:lang w:val="en-US" w:eastAsia="zh-CN"/>
        </w:rPr>
        <w:t>13999654284</w:t>
      </w:r>
    </w:p>
    <w:p>
      <w:pPr>
        <w:autoSpaceDE w:val="0"/>
        <w:autoSpaceDN w:val="0"/>
        <w:adjustRightInd w:val="0"/>
        <w:spacing w:line="480" w:lineRule="auto"/>
        <w:ind w:left="279" w:leftChars="13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详细地址：</w:t>
      </w:r>
      <w:bookmarkEnd w:id="0"/>
      <w:r>
        <w:rPr>
          <w:rFonts w:hint="eastAsia" w:ascii="宋体" w:hAnsi="宋体" w:eastAsia="宋体" w:cs="宋体"/>
          <w:bCs/>
          <w:color w:val="auto"/>
          <w:kern w:val="2"/>
          <w:sz w:val="24"/>
          <w:szCs w:val="24"/>
          <w:highlight w:val="none"/>
          <w:lang w:val="en-US" w:eastAsia="zh-CN" w:bidi="ar-SA"/>
        </w:rPr>
        <w:t>和田县</w:t>
      </w:r>
    </w:p>
    <w:p>
      <w:pPr>
        <w:rPr>
          <w:rFonts w:hint="eastAsia" w:ascii="宋体" w:hAnsi="宋体" w:eastAsia="宋体" w:cs="宋体"/>
          <w:bCs/>
          <w:color w:val="auto"/>
          <w:sz w:val="24"/>
          <w:szCs w:val="24"/>
          <w:highlight w:val="none"/>
          <w:lang w:val="zh-CN"/>
        </w:rPr>
      </w:pPr>
    </w:p>
    <w:p>
      <w:pPr>
        <w:pStyle w:val="2"/>
        <w:tabs>
          <w:tab w:val="left" w:pos="9214"/>
        </w:tabs>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rPr>
        <w:t>-------------------------------------------------------</w:t>
      </w:r>
    </w:p>
    <w:p>
      <w:pPr>
        <w:pStyle w:val="2"/>
        <w:tabs>
          <w:tab w:val="left" w:pos="9214"/>
        </w:tabs>
        <w:rPr>
          <w:rFonts w:hint="eastAsia" w:ascii="宋体" w:hAnsi="宋体" w:eastAsia="宋体" w:cs="宋体"/>
          <w:bCs/>
          <w:color w:val="auto"/>
          <w:sz w:val="24"/>
          <w:szCs w:val="24"/>
          <w:highlight w:val="none"/>
          <w:lang w:val="zh-CN"/>
        </w:rPr>
      </w:pPr>
    </w:p>
    <w:p>
      <w:pPr>
        <w:pStyle w:val="2"/>
        <w:tabs>
          <w:tab w:val="left" w:pos="9214"/>
        </w:tabs>
        <w:rPr>
          <w:rFonts w:hint="eastAsia" w:ascii="宋体" w:hAnsi="宋体" w:eastAsia="宋体" w:cs="宋体"/>
          <w:bCs/>
          <w:color w:val="auto"/>
          <w:sz w:val="24"/>
          <w:szCs w:val="24"/>
          <w:highlight w:val="none"/>
          <w:lang w:val="zh-CN"/>
        </w:rPr>
      </w:pPr>
    </w:p>
    <w:p>
      <w:pPr>
        <w:pStyle w:val="2"/>
        <w:tabs>
          <w:tab w:val="left" w:pos="9214"/>
        </w:tabs>
        <w:rPr>
          <w:rFonts w:hint="eastAsia" w:ascii="宋体" w:hAnsi="宋体" w:eastAsia="宋体" w:cs="宋体"/>
          <w:bCs/>
          <w:color w:val="auto"/>
          <w:sz w:val="24"/>
          <w:szCs w:val="24"/>
          <w:highlight w:val="none"/>
          <w:lang w:val="zh-CN"/>
        </w:rPr>
      </w:pPr>
    </w:p>
    <w:p>
      <w:pPr>
        <w:pStyle w:val="2"/>
        <w:tabs>
          <w:tab w:val="left" w:pos="9214"/>
        </w:tabs>
        <w:rPr>
          <w:rFonts w:hint="eastAsia" w:ascii="宋体" w:hAnsi="宋体" w:eastAsia="宋体" w:cs="宋体"/>
          <w:bCs/>
          <w:color w:val="auto"/>
          <w:sz w:val="24"/>
          <w:szCs w:val="24"/>
          <w:highlight w:val="none"/>
          <w:lang w:val="zh-CN"/>
        </w:rPr>
      </w:pPr>
    </w:p>
    <w:p>
      <w:pPr>
        <w:rPr>
          <w:rFonts w:hint="eastAsia" w:ascii="宋体" w:hAnsi="宋体" w:eastAsia="宋体" w:cs="宋体"/>
          <w:color w:val="auto"/>
          <w:sz w:val="24"/>
          <w:szCs w:val="24"/>
          <w:highlight w:val="none"/>
        </w:rPr>
      </w:pPr>
    </w:p>
    <w:p>
      <w:pPr>
        <w:autoSpaceDE w:val="0"/>
        <w:autoSpaceDN w:val="0"/>
        <w:adjustRightInd w:val="0"/>
        <w:spacing w:line="480" w:lineRule="auto"/>
        <w:ind w:firstLine="240" w:firstLineChars="100"/>
        <w:rPr>
          <w:rFonts w:hint="eastAsia" w:ascii="宋体" w:hAnsi="宋体" w:eastAsia="宋体" w:cs="宋体"/>
          <w:bCs/>
          <w:color w:val="auto"/>
          <w:spacing w:val="-20"/>
          <w:sz w:val="24"/>
          <w:szCs w:val="24"/>
          <w:highlight w:val="none"/>
          <w:lang w:eastAsia="zh-CN"/>
        </w:rPr>
      </w:pPr>
      <w:r>
        <w:rPr>
          <w:rFonts w:hint="eastAsia" w:ascii="宋体" w:hAnsi="宋体" w:eastAsia="宋体" w:cs="宋体"/>
          <w:bCs/>
          <w:color w:val="auto"/>
          <w:sz w:val="24"/>
          <w:szCs w:val="24"/>
          <w:highlight w:val="none"/>
          <w:lang w:val="zh-CN"/>
        </w:rPr>
        <w:t>招标代理机构</w:t>
      </w:r>
      <w:r>
        <w:rPr>
          <w:rFonts w:hint="eastAsia" w:ascii="宋体" w:hAnsi="宋体" w:eastAsia="宋体" w:cs="宋体"/>
          <w:color w:val="auto"/>
          <w:sz w:val="24"/>
          <w:szCs w:val="24"/>
          <w:highlight w:val="none"/>
          <w:lang w:val="zh-CN"/>
        </w:rPr>
        <w:t>（盖章）</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pacing w:val="-20"/>
          <w:sz w:val="24"/>
          <w:szCs w:val="24"/>
          <w:highlight w:val="none"/>
          <w:lang w:eastAsia="zh-CN"/>
        </w:rPr>
        <w:t>新疆新建联项目管理咨询有限公司</w:t>
      </w:r>
    </w:p>
    <w:p>
      <w:pPr>
        <w:autoSpaceDE w:val="0"/>
        <w:autoSpaceDN w:val="0"/>
        <w:adjustRightInd w:val="0"/>
        <w:spacing w:line="48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kern w:val="0"/>
          <w:sz w:val="24"/>
          <w:szCs w:val="24"/>
          <w:highlight w:val="none"/>
          <w:lang w:val="zh-CN"/>
        </w:rPr>
        <w:t>项目负责人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eastAsia="zh-CN"/>
        </w:rPr>
        <w:t>王磊</w:t>
      </w:r>
    </w:p>
    <w:p>
      <w:pPr>
        <w:autoSpaceDE w:val="0"/>
        <w:autoSpaceDN w:val="0"/>
        <w:adjustRightInd w:val="0"/>
        <w:spacing w:line="48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lang w:val="zh-CN"/>
        </w:rPr>
        <w:t>电    话</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eastAsia="zh-CN"/>
        </w:rPr>
        <w:t>18139180085</w:t>
      </w:r>
    </w:p>
    <w:p>
      <w:pPr>
        <w:autoSpaceDE w:val="0"/>
        <w:autoSpaceDN w:val="0"/>
        <w:adjustRightInd w:val="0"/>
        <w:spacing w:line="480" w:lineRule="auto"/>
        <w:ind w:firstLine="240" w:firstLineChars="100"/>
        <w:rPr>
          <w:rFonts w:hint="eastAsia" w:ascii="宋体" w:hAnsi="宋体" w:eastAsia="宋体" w:cs="宋体"/>
          <w:bCs/>
          <w:color w:val="auto"/>
          <w:spacing w:val="-20"/>
          <w:sz w:val="24"/>
          <w:szCs w:val="24"/>
          <w:highlight w:val="none"/>
          <w:lang w:val="zh-CN" w:eastAsia="zh-CN"/>
        </w:rPr>
      </w:pPr>
      <w:r>
        <w:rPr>
          <w:rFonts w:hint="eastAsia" w:ascii="宋体" w:hAnsi="宋体" w:eastAsia="宋体" w:cs="宋体"/>
          <w:bCs/>
          <w:color w:val="auto"/>
          <w:kern w:val="0"/>
          <w:sz w:val="24"/>
          <w:szCs w:val="24"/>
          <w:highlight w:val="none"/>
          <w:lang w:val="zh-CN"/>
        </w:rPr>
        <w:t>详细地址</w:t>
      </w:r>
      <w:r>
        <w:rPr>
          <w:rFonts w:hint="eastAsia" w:ascii="宋体" w:hAnsi="宋体" w:eastAsia="宋体" w:cs="宋体"/>
          <w:bCs/>
          <w:color w:val="auto"/>
          <w:spacing w:val="-20"/>
          <w:sz w:val="24"/>
          <w:szCs w:val="24"/>
          <w:highlight w:val="none"/>
          <w:lang w:val="zh-CN"/>
        </w:rPr>
        <w:t>：</w:t>
      </w:r>
      <w:r>
        <w:rPr>
          <w:rFonts w:hint="eastAsia" w:ascii="宋体" w:hAnsi="宋体" w:eastAsia="宋体" w:cs="宋体"/>
          <w:bCs/>
          <w:color w:val="auto"/>
          <w:spacing w:val="-20"/>
          <w:sz w:val="24"/>
          <w:szCs w:val="24"/>
          <w:highlight w:val="none"/>
          <w:lang w:eastAsia="zh-CN"/>
        </w:rPr>
        <w:t>和田市纳瓦格路157号</w:t>
      </w: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spacing w:after="120" w:line="360" w:lineRule="auto"/>
        <w:rPr>
          <w:rFonts w:hint="eastAsia" w:ascii="宋体" w:hAnsi="宋体" w:eastAsia="宋体" w:cs="宋体"/>
          <w:color w:val="auto"/>
          <w:spacing w:val="15"/>
          <w:kern w:val="10"/>
          <w:sz w:val="24"/>
          <w:szCs w:val="24"/>
          <w:highlight w:val="none"/>
        </w:rPr>
      </w:pPr>
    </w:p>
    <w:p>
      <w:pPr>
        <w:jc w:val="left"/>
        <w:rPr>
          <w:rFonts w:hint="eastAsia" w:ascii="宋体" w:hAnsi="宋体" w:eastAsia="宋体" w:cs="宋体"/>
          <w:b/>
          <w:bCs/>
          <w:color w:val="auto"/>
          <w:sz w:val="24"/>
          <w:szCs w:val="24"/>
          <w:highlight w:val="none"/>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p>
      <w:pPr>
        <w:ind w:right="-45"/>
        <w:jc w:val="center"/>
        <w:rPr>
          <w:rFonts w:hint="eastAsia" w:ascii="宋体" w:hAnsi="宋体" w:eastAsia="宋体" w:cs="宋体"/>
          <w:b/>
          <w:bCs/>
          <w:color w:val="auto"/>
          <w:sz w:val="24"/>
          <w:szCs w:val="24"/>
          <w:highlight w:val="none"/>
        </w:rPr>
      </w:pPr>
    </w:p>
    <w:p>
      <w:pPr>
        <w:jc w:val="center"/>
        <w:rPr>
          <w:rFonts w:hint="eastAsia" w:ascii="宋体" w:hAnsi="宋体" w:eastAsia="宋体" w:cs="宋体"/>
          <w:color w:val="auto"/>
          <w:sz w:val="24"/>
          <w:szCs w:val="24"/>
          <w:highlight w:val="none"/>
        </w:rPr>
      </w:pPr>
      <w:bookmarkStart w:id="1" w:name="_Toc7360_WPSOffice_Type1"/>
      <w:r>
        <w:rPr>
          <w:rFonts w:hint="eastAsia" w:ascii="宋体" w:hAnsi="宋体" w:eastAsia="宋体" w:cs="宋体"/>
          <w:b/>
          <w:bCs/>
          <w:color w:val="auto"/>
          <w:sz w:val="24"/>
          <w:szCs w:val="24"/>
          <w:highlight w:val="none"/>
        </w:rPr>
        <w:t>目录</w:t>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"_Toc7467_WPSOffice_Level1"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"_Toc10829_WPSOffice_Level1"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"_Toc24423_WPSOffice_Level1"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招标书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"_Toc16906_WPSOffice_Level1"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投标须知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"_Toc3578_WPSOffice_Level1"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"_Toc8595_WPSOffice_Level1"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50"/>
        <w:tabs>
          <w:tab w:val="right" w:leader="dot" w:pos="929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"_Toc18368_WPSOffice_Level1"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bookmarkEnd w:id="1"/>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4"/>
          <w:szCs w:val="24"/>
          <w:highlight w:val="none"/>
        </w:rPr>
      </w:pPr>
      <w:bookmarkStart w:id="2" w:name="_Toc7467_WPSOffice_Level1"/>
      <w:r>
        <w:rPr>
          <w:rFonts w:hint="eastAsia" w:ascii="宋体" w:hAnsi="宋体" w:eastAsia="宋体" w:cs="宋体"/>
          <w:color w:val="auto"/>
          <w:sz w:val="24"/>
          <w:szCs w:val="24"/>
          <w:highlight w:val="none"/>
        </w:rPr>
        <w:t>第一章 招标公告</w:t>
      </w:r>
      <w:bookmarkEnd w:id="2"/>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b w:val="0"/>
          <w:bCs w:val="0"/>
          <w:color w:val="auto"/>
          <w:sz w:val="24"/>
          <w:szCs w:val="24"/>
          <w:highlight w:val="none"/>
          <w:u w:val="single"/>
          <w:lang w:eastAsia="zh-CN"/>
        </w:rPr>
        <w:t>和田县一万亩补充耕地项目施工监理和审计服务采购招标（</w:t>
      </w:r>
      <w:r>
        <w:rPr>
          <w:rFonts w:hint="eastAsia" w:ascii="宋体" w:hAnsi="宋体" w:eastAsia="宋体" w:cs="宋体"/>
          <w:b w:val="0"/>
          <w:bCs w:val="0"/>
          <w:color w:val="auto"/>
          <w:sz w:val="24"/>
          <w:szCs w:val="24"/>
          <w:highlight w:val="none"/>
          <w:u w:val="single"/>
          <w:lang w:val="en-US" w:eastAsia="zh-CN"/>
        </w:rPr>
        <w:t>包二</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rPr>
        <w:t>招标</w:t>
      </w:r>
      <w:r>
        <w:rPr>
          <w:rFonts w:hint="eastAsia" w:ascii="宋体" w:hAnsi="宋体" w:eastAsia="宋体" w:cs="宋体"/>
          <w:color w:val="auto"/>
          <w:sz w:val="24"/>
          <w:szCs w:val="24"/>
          <w:highlight w:val="none"/>
        </w:rPr>
        <w:t>项目的潜在投标人应在</w:t>
      </w:r>
      <w:r>
        <w:rPr>
          <w:rFonts w:hint="eastAsia" w:ascii="宋体" w:hAnsi="宋体" w:eastAsia="宋体" w:cs="宋体"/>
          <w:color w:val="auto"/>
          <w:sz w:val="24"/>
          <w:szCs w:val="24"/>
          <w:highlight w:val="none"/>
          <w:u w:val="single"/>
        </w:rPr>
        <w:t>新疆政府采购网http://www.ccgp-xinjiang.gov.cn/）</w:t>
      </w:r>
      <w:r>
        <w:rPr>
          <w:rFonts w:hint="eastAsia" w:ascii="宋体" w:hAnsi="宋体" w:eastAsia="宋体" w:cs="宋体"/>
          <w:color w:val="auto"/>
          <w:sz w:val="24"/>
          <w:szCs w:val="24"/>
          <w:highlight w:val="none"/>
        </w:rPr>
        <w:t>获取下载招标文件，并</w:t>
      </w:r>
      <w:r>
        <w:rPr>
          <w:rFonts w:hint="eastAsia" w:ascii="宋体" w:hAnsi="宋体" w:eastAsia="宋体" w:cs="宋体"/>
          <w:color w:val="auto"/>
          <w:sz w:val="24"/>
          <w:szCs w:val="24"/>
          <w:highlight w:val="none"/>
        </w:rPr>
        <w:t>于</w:t>
      </w:r>
      <w:r>
        <w:rPr>
          <w:rFonts w:hint="eastAsia" w:ascii="宋体" w:hAnsi="宋体" w:eastAsia="宋体" w:cs="宋体"/>
          <w:b/>
          <w:bCs/>
          <w:color w:val="auto"/>
          <w:sz w:val="24"/>
          <w:szCs w:val="24"/>
          <w:highlight w:val="none"/>
          <w:u w:val="single"/>
        </w:rPr>
        <w:t>2021年</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21</w:t>
      </w:r>
      <w:r>
        <w:rPr>
          <w:rFonts w:hint="eastAsia" w:ascii="宋体" w:hAnsi="宋体" w:eastAsia="宋体" w:cs="宋体"/>
          <w:b/>
          <w:bCs/>
          <w:color w:val="auto"/>
          <w:sz w:val="24"/>
          <w:szCs w:val="24"/>
          <w:highlight w:val="none"/>
          <w:u w:val="single"/>
        </w:rPr>
        <w:t>日11点00分</w:t>
      </w:r>
      <w:r>
        <w:rPr>
          <w:rFonts w:hint="eastAsia" w:ascii="宋体" w:hAnsi="宋体" w:eastAsia="宋体" w:cs="宋体"/>
          <w:bCs/>
          <w:color w:val="auto"/>
          <w:sz w:val="24"/>
          <w:szCs w:val="24"/>
          <w:highlight w:val="none"/>
        </w:rPr>
        <w:t>（北</w:t>
      </w:r>
      <w:r>
        <w:rPr>
          <w:rFonts w:hint="eastAsia" w:ascii="宋体" w:hAnsi="宋体" w:eastAsia="宋体" w:cs="宋体"/>
          <w:bCs/>
          <w:color w:val="auto"/>
          <w:sz w:val="24"/>
          <w:szCs w:val="24"/>
          <w:highlight w:val="none"/>
        </w:rPr>
        <w:t>京时间）前递交投标文件</w:t>
      </w:r>
      <w:r>
        <w:rPr>
          <w:rFonts w:hint="eastAsia" w:ascii="宋体" w:hAnsi="宋体" w:eastAsia="宋体" w:cs="宋体"/>
          <w:color w:val="auto"/>
          <w:sz w:val="24"/>
          <w:szCs w:val="24"/>
          <w:highlight w:val="none"/>
        </w:rPr>
        <w:t>。</w:t>
      </w:r>
    </w:p>
    <w:p>
      <w:pPr>
        <w:spacing w:line="370" w:lineRule="exact"/>
        <w:rPr>
          <w:rFonts w:hint="eastAsia" w:ascii="宋体" w:hAnsi="宋体" w:eastAsia="宋体" w:cs="宋体"/>
          <w:b/>
          <w:bCs/>
          <w:color w:val="auto"/>
          <w:sz w:val="24"/>
          <w:szCs w:val="24"/>
          <w:highlight w:val="none"/>
        </w:rPr>
      </w:pPr>
      <w:bookmarkStart w:id="3" w:name="_Toc35393621"/>
      <w:bookmarkStart w:id="4" w:name="_Toc28359079"/>
      <w:bookmarkStart w:id="5" w:name="_Toc28359002"/>
      <w:bookmarkStart w:id="6" w:name="_Toc35393790"/>
      <w:bookmarkStart w:id="7" w:name="_Hlk24379207"/>
      <w:r>
        <w:rPr>
          <w:rFonts w:hint="eastAsia" w:ascii="宋体" w:hAnsi="宋体" w:eastAsia="宋体" w:cs="宋体"/>
          <w:b/>
          <w:bCs/>
          <w:color w:val="auto"/>
          <w:sz w:val="24"/>
          <w:szCs w:val="24"/>
          <w:highlight w:val="none"/>
        </w:rPr>
        <w:t>一、项目基本情况</w:t>
      </w:r>
      <w:bookmarkEnd w:id="3"/>
      <w:bookmarkEnd w:id="4"/>
      <w:bookmarkEnd w:id="5"/>
      <w:bookmarkEnd w:id="6"/>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项</w:t>
      </w:r>
      <w:r>
        <w:rPr>
          <w:rFonts w:hint="eastAsia" w:ascii="宋体" w:hAnsi="宋体" w:eastAsia="宋体" w:cs="宋体"/>
          <w:b w:val="0"/>
          <w:bCs w:val="0"/>
          <w:color w:val="auto"/>
          <w:sz w:val="24"/>
          <w:szCs w:val="24"/>
          <w:highlight w:val="none"/>
        </w:rPr>
        <w:t>目编号：</w:t>
      </w:r>
      <w:r>
        <w:rPr>
          <w:rFonts w:hint="eastAsia" w:ascii="宋体" w:hAnsi="宋体" w:eastAsia="宋体" w:cs="宋体"/>
          <w:b w:val="0"/>
          <w:bCs w:val="0"/>
          <w:color w:val="auto"/>
          <w:sz w:val="24"/>
          <w:szCs w:val="24"/>
          <w:highlight w:val="none"/>
          <w:lang w:eastAsia="zh-CN"/>
        </w:rPr>
        <w:t>HTXZFCG(2021FS)092-2号</w:t>
      </w:r>
      <w:r>
        <w:rPr>
          <w:rFonts w:hint="eastAsia" w:ascii="宋体" w:hAnsi="宋体" w:eastAsia="宋体" w:cs="宋体"/>
          <w:b w:val="0"/>
          <w:bCs w:val="0"/>
          <w:color w:val="auto"/>
          <w:sz w:val="24"/>
          <w:szCs w:val="24"/>
          <w:highlight w:val="none"/>
        </w:rPr>
        <w:t xml:space="preserve"> </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bookmarkEnd w:id="7"/>
      <w:r>
        <w:rPr>
          <w:rFonts w:hint="eastAsia" w:ascii="宋体" w:hAnsi="宋体" w:eastAsia="宋体" w:cs="宋体"/>
          <w:b w:val="0"/>
          <w:bCs w:val="0"/>
          <w:color w:val="auto"/>
          <w:sz w:val="24"/>
          <w:szCs w:val="24"/>
          <w:highlight w:val="none"/>
          <w:lang w:eastAsia="zh-CN"/>
        </w:rPr>
        <w:t>和田县一万亩补充耕地项目施工监理和审计服务采购招标（</w:t>
      </w:r>
      <w:r>
        <w:rPr>
          <w:rFonts w:hint="eastAsia" w:ascii="宋体" w:hAnsi="宋体" w:eastAsia="宋体" w:cs="宋体"/>
          <w:b w:val="0"/>
          <w:bCs w:val="0"/>
          <w:color w:val="auto"/>
          <w:sz w:val="24"/>
          <w:szCs w:val="24"/>
          <w:highlight w:val="none"/>
          <w:lang w:val="en-US" w:eastAsia="zh-CN"/>
        </w:rPr>
        <w:t>包二</w:t>
      </w:r>
      <w:r>
        <w:rPr>
          <w:rFonts w:hint="eastAsia" w:ascii="宋体" w:hAnsi="宋体" w:eastAsia="宋体" w:cs="宋体"/>
          <w:b w:val="0"/>
          <w:bCs w:val="0"/>
          <w:color w:val="auto"/>
          <w:sz w:val="24"/>
          <w:szCs w:val="24"/>
          <w:highlight w:val="none"/>
          <w:lang w:eastAsia="zh-CN"/>
        </w:rPr>
        <w:t>）</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预算金额：</w:t>
      </w:r>
      <w:r>
        <w:rPr>
          <w:rFonts w:hint="eastAsia" w:ascii="宋体" w:hAnsi="宋体" w:eastAsia="宋体" w:cs="宋体"/>
          <w:b w:val="0"/>
          <w:bCs w:val="0"/>
          <w:color w:val="auto"/>
          <w:sz w:val="24"/>
          <w:szCs w:val="24"/>
          <w:highlight w:val="none"/>
          <w:lang w:val="en-US" w:eastAsia="zh-CN"/>
        </w:rPr>
        <w:t>18.73</w:t>
      </w:r>
      <w:r>
        <w:rPr>
          <w:rFonts w:hint="eastAsia" w:ascii="宋体" w:hAnsi="宋体" w:eastAsia="宋体" w:cs="宋体"/>
          <w:b w:val="0"/>
          <w:bCs w:val="0"/>
          <w:color w:val="auto"/>
          <w:sz w:val="24"/>
          <w:szCs w:val="24"/>
          <w:highlight w:val="none"/>
        </w:rPr>
        <w:t>万元</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18.73</w:t>
      </w:r>
      <w:r>
        <w:rPr>
          <w:rFonts w:hint="eastAsia" w:ascii="宋体" w:hAnsi="宋体" w:eastAsia="宋体" w:cs="宋体"/>
          <w:color w:val="auto"/>
          <w:sz w:val="24"/>
          <w:szCs w:val="24"/>
          <w:highlight w:val="none"/>
        </w:rPr>
        <w:t>万元</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和田县一万亩补充耕地项目</w:t>
      </w:r>
      <w:r>
        <w:rPr>
          <w:rFonts w:hint="eastAsia" w:ascii="宋体" w:hAnsi="宋体" w:eastAsia="宋体" w:cs="宋体"/>
          <w:color w:val="auto"/>
          <w:sz w:val="24"/>
          <w:szCs w:val="24"/>
          <w:highlight w:val="none"/>
          <w:lang w:val="en-US" w:eastAsia="zh-CN"/>
        </w:rPr>
        <w:t>工程结算</w:t>
      </w:r>
      <w:r>
        <w:rPr>
          <w:rFonts w:hint="eastAsia" w:ascii="宋体" w:hAnsi="宋体" w:eastAsia="宋体" w:cs="宋体"/>
          <w:color w:val="auto"/>
          <w:sz w:val="24"/>
          <w:szCs w:val="24"/>
          <w:highlight w:val="none"/>
          <w:lang w:eastAsia="zh-CN"/>
        </w:rPr>
        <w:t>审计服务</w:t>
      </w:r>
      <w:r>
        <w:rPr>
          <w:rFonts w:hint="eastAsia" w:ascii="宋体" w:hAnsi="宋体" w:eastAsia="宋体" w:cs="宋体"/>
          <w:color w:val="auto"/>
          <w:sz w:val="24"/>
          <w:szCs w:val="24"/>
          <w:highlight w:val="none"/>
          <w:u w:val="single"/>
        </w:rPr>
        <w:t>（详见招标文件）。</w:t>
      </w:r>
    </w:p>
    <w:p>
      <w:pPr>
        <w:spacing w:line="370" w:lineRule="exact"/>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签订咨询合同之日起至出具竣工结算报告</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）接受联合体投标。</w:t>
      </w:r>
    </w:p>
    <w:p>
      <w:pPr>
        <w:spacing w:line="370" w:lineRule="exact"/>
        <w:rPr>
          <w:rFonts w:hint="eastAsia" w:ascii="宋体" w:hAnsi="宋体" w:eastAsia="宋体" w:cs="宋体"/>
          <w:b/>
          <w:bCs/>
          <w:color w:val="auto"/>
          <w:sz w:val="24"/>
          <w:szCs w:val="24"/>
          <w:highlight w:val="none"/>
        </w:rPr>
      </w:pPr>
      <w:bookmarkStart w:id="8" w:name="_Toc35393622"/>
      <w:bookmarkStart w:id="9" w:name="_Toc28359003"/>
      <w:bookmarkStart w:id="10" w:name="_Toc35393791"/>
      <w:bookmarkStart w:id="11" w:name="_Toc28359080"/>
      <w:r>
        <w:rPr>
          <w:rFonts w:hint="eastAsia" w:ascii="宋体" w:hAnsi="宋体" w:eastAsia="宋体" w:cs="宋体"/>
          <w:b/>
          <w:bCs/>
          <w:color w:val="auto"/>
          <w:sz w:val="24"/>
          <w:szCs w:val="24"/>
          <w:highlight w:val="none"/>
        </w:rPr>
        <w:t>二、申请人的资格要求：</w:t>
      </w:r>
      <w:bookmarkEnd w:id="8"/>
      <w:bookmarkEnd w:id="9"/>
      <w:bookmarkEnd w:id="10"/>
      <w:bookmarkEnd w:id="11"/>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）具有经年审合格的企业法人三证合一营业执照；</w:t>
      </w:r>
    </w:p>
    <w:p>
      <w:pPr>
        <w:spacing w:line="3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）法定代表人身份证原件及复印件或法人委托人须携带法人代表授权书原件及委托人身份证原件（授权书需附法人身份证及委托人身份证复印件）</w:t>
      </w:r>
      <w:r>
        <w:rPr>
          <w:rFonts w:hint="eastAsia" w:ascii="宋体" w:hAnsi="宋体" w:eastAsia="宋体" w:cs="宋体"/>
          <w:color w:val="auto"/>
          <w:sz w:val="24"/>
          <w:szCs w:val="24"/>
          <w:highlight w:val="none"/>
          <w:lang w:eastAsia="zh-CN"/>
        </w:rPr>
        <w:t>；</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（3）具备建设部颁发的有效的工程造价咨询资质；</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（4）拟派本项目</w:t>
      </w:r>
      <w:r>
        <w:rPr>
          <w:rFonts w:hint="eastAsia" w:ascii="宋体" w:hAnsi="宋体" w:eastAsia="宋体" w:cs="宋体"/>
          <w:color w:val="auto"/>
          <w:sz w:val="24"/>
          <w:szCs w:val="24"/>
          <w:highlight w:val="none"/>
          <w:lang w:val="en-US" w:eastAsia="zh-CN"/>
        </w:rPr>
        <w:t>的造价</w:t>
      </w:r>
      <w:r>
        <w:rPr>
          <w:rFonts w:hint="eastAsia" w:ascii="宋体" w:hAnsi="宋体" w:eastAsia="宋体" w:cs="宋体"/>
          <w:color w:val="auto"/>
          <w:sz w:val="24"/>
          <w:szCs w:val="24"/>
          <w:highlight w:val="none"/>
        </w:rPr>
        <w:t>负责人需在本单位注册或具有建设部颁发的注册造价工程师资格证；</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凡拟参加本次招标项目的投标人，近三年内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无需提供资料，开标现场查询）；              </w:t>
      </w:r>
      <w:r>
        <w:rPr>
          <w:rFonts w:hint="eastAsia" w:ascii="宋体" w:hAnsi="宋体" w:eastAsia="宋体" w:cs="宋体"/>
          <w:color w:val="auto"/>
          <w:sz w:val="24"/>
          <w:szCs w:val="24"/>
          <w:highlight w:val="none"/>
        </w:rPr>
        <w:t xml:space="preserve">                                                                                                                                                                            </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（7）企业负责人为同一人或者存在直接控股、管理关系的不同投标人，不得参加同一合同项下的政府采购活动。否则，皆取消投标资格；</w:t>
      </w:r>
    </w:p>
    <w:p>
      <w:pPr>
        <w:pStyle w:val="2"/>
        <w:spacing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8）本项目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w:t>
      </w:r>
    </w:p>
    <w:p>
      <w:pPr>
        <w:pStyle w:val="2"/>
        <w:rPr>
          <w:rFonts w:hint="eastAsia" w:ascii="宋体" w:hAnsi="宋体" w:eastAsia="宋体" w:cs="宋体"/>
          <w:color w:val="auto"/>
          <w:sz w:val="24"/>
          <w:szCs w:val="24"/>
          <w:highlight w:val="none"/>
        </w:rPr>
      </w:pPr>
      <w:bookmarkStart w:id="12" w:name="_Toc35393792"/>
      <w:bookmarkStart w:id="13" w:name="_Toc35393623"/>
      <w:r>
        <w:rPr>
          <w:rFonts w:hint="eastAsia" w:ascii="宋体" w:hAnsi="宋体" w:eastAsia="宋体" w:cs="宋体"/>
          <w:color w:val="auto"/>
          <w:sz w:val="24"/>
          <w:szCs w:val="24"/>
          <w:highlight w:val="none"/>
        </w:rPr>
        <w:t>（9）本项目不接受有不良行为记录且在限制市场准入有效期内的企业投标。</w:t>
      </w:r>
    </w:p>
    <w:p>
      <w:pPr>
        <w:pStyle w:val="2"/>
        <w:ind w:firstLine="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四、获取招标文件</w:t>
      </w:r>
      <w:bookmarkEnd w:id="12"/>
      <w:bookmarkEnd w:id="13"/>
    </w:p>
    <w:p>
      <w:pPr>
        <w:spacing w:line="37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时间：2021年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日至2021 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日，每天上午</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rPr>
        <w:t>:00至</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:00，下午</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:00至</w:t>
      </w:r>
      <w:r>
        <w:rPr>
          <w:rFonts w:hint="eastAsia" w:ascii="宋体" w:hAnsi="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59</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地点：新疆政府采购（https://www.zcygov.cn/）线上获取</w:t>
      </w:r>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方式：投标人登陆新疆政府采购https://www.zcygov.cn/在线申请获取采购文件（进入“项目采购”应用，在获取采购文件菜单中选择项目，申请获取采购文件）</w:t>
      </w:r>
    </w:p>
    <w:p>
      <w:pPr>
        <w:spacing w:line="370" w:lineRule="exact"/>
        <w:rPr>
          <w:rFonts w:hint="eastAsia" w:ascii="宋体" w:hAnsi="宋体" w:eastAsia="宋体" w:cs="宋体"/>
          <w:b/>
          <w:bCs/>
          <w:color w:val="auto"/>
          <w:sz w:val="24"/>
          <w:szCs w:val="24"/>
          <w:highlight w:val="none"/>
        </w:rPr>
      </w:pPr>
      <w:bookmarkStart w:id="14" w:name="_Toc28359005"/>
      <w:bookmarkStart w:id="15" w:name="_Toc28359082"/>
      <w:bookmarkStart w:id="16" w:name="_Toc35393793"/>
      <w:bookmarkStart w:id="17" w:name="_Toc35393624"/>
      <w:r>
        <w:rPr>
          <w:rFonts w:hint="eastAsia" w:ascii="宋体" w:hAnsi="宋体" w:eastAsia="宋体" w:cs="宋体"/>
          <w:b/>
          <w:bCs/>
          <w:color w:val="auto"/>
          <w:sz w:val="24"/>
          <w:szCs w:val="24"/>
          <w:highlight w:val="none"/>
        </w:rPr>
        <w:t>五、提交投标文件</w:t>
      </w:r>
      <w:bookmarkEnd w:id="14"/>
      <w:bookmarkEnd w:id="15"/>
      <w:r>
        <w:rPr>
          <w:rFonts w:hint="eastAsia" w:ascii="宋体" w:hAnsi="宋体" w:eastAsia="宋体" w:cs="宋体"/>
          <w:b/>
          <w:bCs/>
          <w:color w:val="auto"/>
          <w:sz w:val="24"/>
          <w:szCs w:val="24"/>
          <w:highlight w:val="none"/>
        </w:rPr>
        <w:t>截止时间、开标时间和地点</w:t>
      </w:r>
      <w:bookmarkEnd w:id="16"/>
      <w:bookmarkEnd w:id="17"/>
    </w:p>
    <w:p>
      <w:pPr>
        <w:spacing w:line="370" w:lineRule="exact"/>
        <w:ind w:firstLine="480" w:firstLineChars="200"/>
        <w:rPr>
          <w:rFonts w:hint="eastAsia" w:ascii="宋体" w:hAnsi="宋体" w:eastAsia="宋体" w:cs="宋体"/>
          <w:b w:val="0"/>
          <w:bCs w:val="0"/>
          <w:color w:val="auto"/>
          <w:sz w:val="24"/>
          <w:szCs w:val="24"/>
          <w:highlight w:val="none"/>
        </w:rPr>
      </w:pPr>
      <w:bookmarkStart w:id="18" w:name="_Toc35393794"/>
      <w:bookmarkStart w:id="19" w:name="_Toc35393625"/>
      <w:bookmarkStart w:id="20" w:name="_Toc28359007"/>
      <w:bookmarkStart w:id="21" w:name="_Toc28359084"/>
      <w:r>
        <w:rPr>
          <w:rFonts w:hint="eastAsia" w:ascii="宋体" w:hAnsi="宋体" w:eastAsia="宋体" w:cs="宋体"/>
          <w:b w:val="0"/>
          <w:bCs w:val="0"/>
          <w:color w:val="auto"/>
          <w:sz w:val="24"/>
          <w:szCs w:val="24"/>
          <w:highlight w:val="none"/>
        </w:rPr>
        <w:t>提交投标文件截止时间：2021年</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 xml:space="preserve">日 </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（北京时间）</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投标地点：和田县公共资源交易中心（和田县经济新区昌盛路）</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开标时间：2021年</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 xml:space="preserve">日 </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（北京时间）</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开标地点：和田县公共资源交易中心（和田县经济新区昌盛路）</w:t>
      </w:r>
    </w:p>
    <w:p>
      <w:pPr>
        <w:spacing w:line="37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18"/>
      <w:bookmarkEnd w:id="19"/>
      <w:bookmarkEnd w:id="20"/>
      <w:bookmarkEnd w:id="21"/>
    </w:p>
    <w:p>
      <w:pPr>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spacing w:line="370" w:lineRule="exact"/>
        <w:rPr>
          <w:rFonts w:hint="eastAsia" w:ascii="宋体" w:hAnsi="宋体" w:eastAsia="宋体" w:cs="宋体"/>
          <w:b/>
          <w:bCs/>
          <w:color w:val="auto"/>
          <w:sz w:val="24"/>
          <w:szCs w:val="24"/>
          <w:highlight w:val="none"/>
        </w:rPr>
      </w:pPr>
      <w:bookmarkStart w:id="22" w:name="_Toc35393627"/>
      <w:bookmarkStart w:id="23" w:name="_Toc35393796"/>
      <w:bookmarkStart w:id="24" w:name="_Toc28359008"/>
      <w:bookmarkStart w:id="25" w:name="_Toc28359085"/>
      <w:r>
        <w:rPr>
          <w:rFonts w:hint="eastAsia" w:ascii="宋体" w:hAnsi="宋体" w:eastAsia="宋体" w:cs="宋体"/>
          <w:b/>
          <w:bCs/>
          <w:color w:val="auto"/>
          <w:sz w:val="24"/>
          <w:szCs w:val="24"/>
          <w:highlight w:val="none"/>
        </w:rPr>
        <w:t>七、对本次招标提出询问，请按以下方式联系。</w:t>
      </w:r>
      <w:bookmarkEnd w:id="22"/>
      <w:bookmarkEnd w:id="23"/>
      <w:bookmarkEnd w:id="24"/>
      <w:bookmarkEnd w:id="25"/>
    </w:p>
    <w:p>
      <w:pPr>
        <w:spacing w:line="37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 称：</w:t>
      </w:r>
      <w:r>
        <w:rPr>
          <w:rFonts w:hint="eastAsia" w:ascii="宋体" w:hAnsi="宋体" w:eastAsia="宋体" w:cs="宋体"/>
          <w:b w:val="0"/>
          <w:bCs w:val="0"/>
          <w:color w:val="auto"/>
          <w:sz w:val="24"/>
          <w:szCs w:val="24"/>
          <w:highlight w:val="none"/>
          <w:lang w:eastAsia="zh-CN"/>
        </w:rPr>
        <w:t>和田县自然资源局</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址：和田县</w:t>
      </w:r>
    </w:p>
    <w:p>
      <w:pPr>
        <w:spacing w:line="37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联系方式：</w:t>
      </w:r>
      <w:r>
        <w:rPr>
          <w:rFonts w:hint="eastAsia" w:ascii="宋体" w:hAnsi="宋体" w:eastAsia="宋体" w:cs="宋体"/>
          <w:b w:val="0"/>
          <w:bCs w:val="0"/>
          <w:color w:val="auto"/>
          <w:sz w:val="24"/>
          <w:szCs w:val="24"/>
          <w:highlight w:val="none"/>
          <w:lang w:val="en-US" w:eastAsia="zh-CN"/>
        </w:rPr>
        <w:t>13999654284</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2.采购代理机构信息</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 称：</w:t>
      </w:r>
      <w:r>
        <w:rPr>
          <w:rFonts w:hint="eastAsia" w:ascii="宋体" w:hAnsi="宋体" w:eastAsia="宋体" w:cs="宋体"/>
          <w:b w:val="0"/>
          <w:bCs w:val="0"/>
          <w:color w:val="auto"/>
          <w:sz w:val="24"/>
          <w:szCs w:val="24"/>
          <w:highlight w:val="none"/>
          <w:lang w:eastAsia="zh-CN"/>
        </w:rPr>
        <w:t>新疆新建联项目管理咨询有限公司</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址：和田市纳瓦格路157号</w:t>
      </w:r>
    </w:p>
    <w:p>
      <w:pPr>
        <w:spacing w:line="37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联系方式：</w:t>
      </w:r>
      <w:r>
        <w:rPr>
          <w:rFonts w:hint="eastAsia" w:ascii="宋体" w:hAnsi="宋体" w:eastAsia="宋体" w:cs="宋体"/>
          <w:b w:val="0"/>
          <w:bCs w:val="0"/>
          <w:color w:val="auto"/>
          <w:sz w:val="24"/>
          <w:szCs w:val="24"/>
          <w:highlight w:val="none"/>
          <w:lang w:eastAsia="zh-CN"/>
        </w:rPr>
        <w:t>18139180085</w:t>
      </w:r>
    </w:p>
    <w:p>
      <w:pPr>
        <w:spacing w:line="37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3.项目联系方式</w:t>
      </w:r>
    </w:p>
    <w:p>
      <w:pPr>
        <w:spacing w:line="37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项目联系人：</w:t>
      </w:r>
      <w:r>
        <w:rPr>
          <w:rFonts w:hint="eastAsia" w:ascii="宋体" w:hAnsi="宋体" w:eastAsia="宋体" w:cs="宋体"/>
          <w:b w:val="0"/>
          <w:bCs w:val="0"/>
          <w:color w:val="auto"/>
          <w:sz w:val="24"/>
          <w:szCs w:val="24"/>
          <w:highlight w:val="none"/>
          <w:lang w:val="en-US" w:eastAsia="zh-CN"/>
        </w:rPr>
        <w:t>王磊</w:t>
      </w:r>
    </w:p>
    <w:p>
      <w:pPr>
        <w:spacing w:line="37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lang w:eastAsia="zh-CN"/>
        </w:rPr>
        <w:t>18139180085</w:t>
      </w: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widowControl/>
        <w:spacing w:line="320" w:lineRule="exact"/>
        <w:jc w:val="both"/>
        <w:rPr>
          <w:rFonts w:hint="eastAsia" w:ascii="宋体" w:hAnsi="宋体" w:eastAsia="宋体" w:cs="宋体"/>
          <w:b/>
          <w:color w:val="auto"/>
          <w:sz w:val="24"/>
          <w:szCs w:val="24"/>
          <w:highlight w:val="none"/>
        </w:rPr>
      </w:pPr>
      <w:bookmarkStart w:id="26" w:name="_Toc10829_WPSOffice_Level1"/>
    </w:p>
    <w:p>
      <w:pPr>
        <w:pStyle w:val="2"/>
        <w:rPr>
          <w:rFonts w:hint="eastAsia"/>
          <w:color w:val="auto"/>
          <w:highlight w:val="none"/>
        </w:rPr>
      </w:pPr>
    </w:p>
    <w:p>
      <w:pPr>
        <w:widowControl/>
        <w:spacing w:line="320" w:lineRule="exact"/>
        <w:ind w:firstLine="1446" w:firstLineChars="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投标人须知前附表</w:t>
      </w:r>
      <w:bookmarkEnd w:id="26"/>
    </w:p>
    <w:tbl>
      <w:tblPr>
        <w:tblStyle w:val="22"/>
        <w:tblW w:w="99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530"/>
        <w:gridCol w:w="7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32" w:type="dxa"/>
            <w:tcBorders>
              <w:top w:val="single" w:color="auto" w:sz="12" w:space="0"/>
            </w:tcBorders>
            <w:vAlign w:val="center"/>
          </w:tcPr>
          <w:p>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30" w:type="dxa"/>
            <w:tcBorders>
              <w:top w:val="single" w:color="auto" w:sz="12" w:space="0"/>
              <w:right w:val="single" w:color="auto" w:sz="4" w:space="0"/>
            </w:tcBorders>
            <w:vAlign w:val="center"/>
          </w:tcPr>
          <w:p>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611" w:type="dxa"/>
            <w:tcBorders>
              <w:top w:val="single" w:color="auto" w:sz="12" w:space="0"/>
              <w:left w:val="single" w:color="auto" w:sz="4" w:space="0"/>
            </w:tcBorders>
            <w:vAlign w:val="center"/>
          </w:tcPr>
          <w:p>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30" w:type="dxa"/>
            <w:tcBorders>
              <w:right w:val="single" w:color="auto" w:sz="4" w:space="0"/>
            </w:tcBorders>
            <w:vAlign w:val="center"/>
          </w:tcPr>
          <w:p>
            <w:pPr>
              <w:spacing w:beforeLines="10" w:afterLines="1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611" w:type="dxa"/>
            <w:tcBorders>
              <w:left w:val="single" w:color="auto" w:sz="4" w:space="0"/>
            </w:tcBorders>
            <w:vAlign w:val="center"/>
          </w:tcPr>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val="zh-CN"/>
              </w:rPr>
              <w:t>和田县自然资源局</w:t>
            </w:r>
          </w:p>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联系人: </w:t>
            </w:r>
            <w:r>
              <w:rPr>
                <w:rFonts w:hint="eastAsia" w:ascii="宋体" w:hAnsi="宋体" w:eastAsia="宋体" w:cs="宋体"/>
                <w:color w:val="auto"/>
                <w:kern w:val="0"/>
                <w:sz w:val="24"/>
                <w:szCs w:val="24"/>
                <w:highlight w:val="none"/>
                <w:lang w:val="en-US" w:eastAsia="zh-CN"/>
              </w:rPr>
              <w:t>克尤木</w:t>
            </w:r>
          </w:p>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val="en-US" w:eastAsia="zh-CN"/>
              </w:rPr>
              <w:t>13999654284</w:t>
            </w:r>
            <w:r>
              <w:rPr>
                <w:rFonts w:hint="eastAsia" w:ascii="宋体" w:hAnsi="宋体" w:eastAsia="宋体" w:cs="宋体"/>
                <w:color w:val="auto"/>
                <w:kern w:val="0"/>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30" w:type="dxa"/>
            <w:tcBorders>
              <w:right w:val="single" w:color="auto" w:sz="4" w:space="0"/>
            </w:tcBorders>
            <w:vAlign w:val="center"/>
          </w:tcPr>
          <w:p>
            <w:pPr>
              <w:spacing w:beforeLines="10" w:afterLines="1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611" w:type="dxa"/>
            <w:tcBorders>
              <w:left w:val="single" w:color="auto" w:sz="4" w:space="0"/>
            </w:tcBorders>
            <w:vAlign w:val="center"/>
          </w:tcPr>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新疆新建联项目管理咨询有限公司</w:t>
            </w:r>
          </w:p>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和田市纳瓦格路157号</w:t>
            </w:r>
          </w:p>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王磊</w:t>
            </w:r>
          </w:p>
          <w:p>
            <w:pPr>
              <w:pageBreakBefore w:val="0"/>
              <w:kinsoku/>
              <w:wordWrap/>
              <w:overflowPunct/>
              <w:topLinePunct w:val="0"/>
              <w:autoSpaceDE/>
              <w:autoSpaceDN/>
              <w:bidi w:val="0"/>
              <w:adjustRightInd/>
              <w:snapToGrid/>
              <w:spacing w:before="24" w:beforeLines="10" w:after="24" w:afterLines="1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18139180085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30" w:type="dxa"/>
            <w:tcBorders>
              <w:right w:val="single" w:color="auto" w:sz="4" w:space="0"/>
            </w:tcBorders>
            <w:vAlign w:val="center"/>
          </w:tcPr>
          <w:p>
            <w:pPr>
              <w:spacing w:line="37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7611" w:type="dxa"/>
            <w:tcBorders>
              <w:left w:val="single" w:color="auto" w:sz="4" w:space="0"/>
            </w:tcBorders>
            <w:vAlign w:val="center"/>
          </w:tcPr>
          <w:p>
            <w:pPr>
              <w:spacing w:line="370" w:lineRule="exac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和田县一万亩补充耕地项目施工监理和审计服务采购招标（</w:t>
            </w:r>
            <w:r>
              <w:rPr>
                <w:rFonts w:hint="eastAsia" w:ascii="宋体" w:hAnsi="宋体" w:eastAsia="宋体" w:cs="宋体"/>
                <w:b w:val="0"/>
                <w:bCs w:val="0"/>
                <w:color w:val="auto"/>
                <w:sz w:val="24"/>
                <w:szCs w:val="24"/>
                <w:highlight w:val="none"/>
                <w:lang w:val="en-US" w:eastAsia="zh-CN"/>
              </w:rPr>
              <w:t>包二</w:t>
            </w:r>
            <w:r>
              <w:rPr>
                <w:rFonts w:hint="eastAsia" w:ascii="宋体" w:hAnsi="宋体" w:eastAsia="宋体" w:cs="宋体"/>
                <w:b w:val="0"/>
                <w:bCs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30" w:type="dxa"/>
            <w:tcBorders>
              <w:right w:val="single" w:color="auto" w:sz="4" w:space="0"/>
            </w:tcBorders>
            <w:vAlign w:val="center"/>
          </w:tcPr>
          <w:p>
            <w:pPr>
              <w:spacing w:line="37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611" w:type="dxa"/>
            <w:tcBorders>
              <w:left w:val="single" w:color="auto" w:sz="4" w:space="0"/>
            </w:tcBorders>
            <w:vAlign w:val="center"/>
          </w:tcPr>
          <w:p>
            <w:pPr>
              <w:spacing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和田县一万亩补充耕地项目</w:t>
            </w:r>
            <w:r>
              <w:rPr>
                <w:rFonts w:hint="eastAsia" w:ascii="宋体" w:hAnsi="宋体" w:eastAsia="宋体" w:cs="宋体"/>
                <w:color w:val="auto"/>
                <w:sz w:val="24"/>
                <w:szCs w:val="24"/>
                <w:highlight w:val="none"/>
                <w:lang w:val="en-US" w:eastAsia="zh-CN"/>
              </w:rPr>
              <w:t>工程结算</w:t>
            </w:r>
            <w:r>
              <w:rPr>
                <w:rFonts w:hint="eastAsia" w:ascii="宋体" w:hAnsi="宋体" w:eastAsia="宋体" w:cs="宋体"/>
                <w:color w:val="auto"/>
                <w:sz w:val="24"/>
                <w:szCs w:val="24"/>
                <w:highlight w:val="none"/>
                <w:lang w:eastAsia="zh-CN"/>
              </w:rPr>
              <w:t>审计服务</w:t>
            </w:r>
            <w:r>
              <w:rPr>
                <w:rFonts w:hint="eastAsia" w:ascii="宋体" w:hAnsi="宋体" w:eastAsia="宋体" w:cs="宋体"/>
                <w:color w:val="auto"/>
                <w:sz w:val="24"/>
                <w:szCs w:val="24"/>
                <w:highlight w:val="none"/>
              </w:rPr>
              <w:t>（详见第五章技术要求）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30" w:type="dxa"/>
            <w:tcBorders>
              <w:right w:val="single" w:color="auto" w:sz="4" w:space="0"/>
            </w:tcBorders>
            <w:vAlign w:val="center"/>
          </w:tcPr>
          <w:p>
            <w:pPr>
              <w:spacing w:line="37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611" w:type="dxa"/>
            <w:tcBorders>
              <w:left w:val="single" w:color="auto" w:sz="4" w:space="0"/>
            </w:tcBorders>
            <w:vAlign w:val="center"/>
          </w:tcPr>
          <w:p>
            <w:pPr>
              <w:spacing w:line="37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30" w:type="dxa"/>
            <w:tcBorders>
              <w:right w:val="single" w:color="auto" w:sz="4" w:space="0"/>
            </w:tcBorders>
            <w:vAlign w:val="center"/>
          </w:tcPr>
          <w:p>
            <w:pPr>
              <w:tabs>
                <w:tab w:val="left" w:pos="900"/>
              </w:tabs>
              <w:spacing w:beforeLines="10" w:afterLines="1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采购预算价</w:t>
            </w:r>
          </w:p>
        </w:tc>
        <w:tc>
          <w:tcPr>
            <w:tcW w:w="7611" w:type="dxa"/>
            <w:tcBorders>
              <w:left w:val="single" w:color="auto" w:sz="4" w:space="0"/>
            </w:tcBorders>
            <w:vAlign w:val="center"/>
          </w:tcPr>
          <w:p>
            <w:pPr>
              <w:tabs>
                <w:tab w:val="left" w:pos="900"/>
              </w:tabs>
              <w:spacing w:beforeLines="10" w:afterLines="1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18.73万元</w:t>
            </w:r>
            <w:r>
              <w:rPr>
                <w:rFonts w:hint="eastAsia" w:ascii="宋体" w:hAnsi="宋体" w:eastAsia="宋体" w:cs="宋体"/>
                <w:bCs/>
                <w:color w:val="auto"/>
                <w:kern w:val="0"/>
                <w:sz w:val="24"/>
                <w:szCs w:val="24"/>
                <w:highlight w:val="none"/>
              </w:rPr>
              <w:t>（此采购金额为最高限价，如超过预算价的报价为无效报价）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采购方式</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服务周期</w:t>
            </w:r>
          </w:p>
        </w:tc>
        <w:tc>
          <w:tcPr>
            <w:tcW w:w="7611" w:type="dxa"/>
            <w:tcBorders>
              <w:left w:val="single" w:color="auto" w:sz="4" w:space="0"/>
            </w:tcBorders>
            <w:vAlign w:val="center"/>
          </w:tcPr>
          <w:p>
            <w:pPr>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签订咨询合同之日起至出具竣工结算报告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招标文件发放</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投标人登陆</w:t>
            </w:r>
            <w:r>
              <w:rPr>
                <w:rFonts w:hint="eastAsia" w:ascii="宋体" w:hAnsi="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在线申请获取招标文件（进入“项目采购”应用，在获取招标文件菜单中选择项目，申请获取招标文件）。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开标地点及</w:t>
            </w:r>
          </w:p>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开标地点：和田县公共资源交易中心（经济新区昌盛路）</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递交响应文件截止时间</w:t>
            </w:r>
            <w:r>
              <w:rPr>
                <w:rFonts w:hint="eastAsia" w:ascii="宋体" w:hAnsi="宋体" w:eastAsia="宋体" w:cs="宋体"/>
                <w:b/>
                <w:bCs/>
                <w:color w:val="auto"/>
                <w:sz w:val="24"/>
                <w:szCs w:val="24"/>
                <w:highlight w:val="none"/>
                <w:lang w:val="zh-CN"/>
              </w:rPr>
              <w:t>：2021年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zh-CN"/>
              </w:rPr>
              <w:t>月</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zh-CN"/>
              </w:rPr>
              <w:t>日1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530" w:type="dxa"/>
            <w:tcBorders>
              <w:right w:val="single" w:color="auto" w:sz="4" w:space="0"/>
            </w:tcBorders>
            <w:vAlign w:val="center"/>
          </w:tcPr>
          <w:p>
            <w:pPr>
              <w:pStyle w:val="6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pStyle w:val="6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7611" w:type="dxa"/>
            <w:tcBorders>
              <w:left w:val="single" w:color="auto" w:sz="4" w:space="0"/>
            </w:tcBorders>
            <w:vAlign w:val="center"/>
          </w:tcPr>
          <w:p>
            <w:pPr>
              <w:pStyle w:val="63"/>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本项目资格要求：</w:t>
            </w:r>
          </w:p>
          <w:p>
            <w:pPr>
              <w:spacing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）具有经年审合格的企业法人三证合一营业执照；</w:t>
            </w:r>
          </w:p>
          <w:p>
            <w:pPr>
              <w:spacing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）法定代表人身份证原件及复印件或法人委托人须携带法人代表授权书原件及委托人身份证原件（授权书需附法人身份证及委托人身份证复印件）</w:t>
            </w:r>
            <w:r>
              <w:rPr>
                <w:rFonts w:hint="eastAsia" w:ascii="宋体" w:hAnsi="宋体" w:eastAsia="宋体" w:cs="宋体"/>
                <w:color w:val="auto"/>
                <w:sz w:val="24"/>
                <w:szCs w:val="24"/>
                <w:highlight w:val="none"/>
                <w:lang w:eastAsia="zh-CN"/>
              </w:rPr>
              <w:t>；</w:t>
            </w:r>
          </w:p>
          <w:p>
            <w:pPr>
              <w:spacing w:line="37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）具备建设部颁发的有效的工程造价咨询资质；</w:t>
            </w:r>
          </w:p>
          <w:p>
            <w:pPr>
              <w:spacing w:line="37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）拟派本项目的项目负责人需具备注册造价工程师资格证书；</w:t>
            </w:r>
          </w:p>
          <w:p>
            <w:pPr>
              <w:spacing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凡拟参加本次招标项目的投标人，近三年内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无需提供资料，开标现场查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pPr>
              <w:spacing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）企业负责人为同一人或者存在直接控股、管理关系的不同投标人，不得参加同一合同项下的政府采购活动。否则，皆取消投标资格；</w:t>
            </w:r>
          </w:p>
          <w:p>
            <w:pPr>
              <w:pStyle w:val="2"/>
              <w:spacing w:line="37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w:t>
            </w:r>
          </w:p>
          <w:p>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）本项目不接受有不良行为记录且在限制市场准入有效期内的企业投标。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投标人对招标文件提出质疑的时间</w:t>
            </w:r>
          </w:p>
        </w:tc>
        <w:tc>
          <w:tcPr>
            <w:tcW w:w="7611" w:type="dxa"/>
            <w:tcBorders>
              <w:left w:val="single" w:color="auto" w:sz="4" w:space="0"/>
            </w:tcBorders>
            <w:vAlign w:val="center"/>
          </w:tcPr>
          <w:p>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自招标文件发售时间起的七个工作日内</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611" w:type="dxa"/>
            <w:tcBorders>
              <w:lef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招标文件的澄清、修改书及有关补充通知为招标文件的有效组成部分</w:t>
            </w:r>
            <w:r>
              <w:rPr>
                <w:rFonts w:hint="eastAsia" w:ascii="宋体" w:hAnsi="宋体" w:eastAsia="宋体" w:cs="宋体"/>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611" w:type="dxa"/>
            <w:tcBorders>
              <w:left w:val="single" w:color="auto" w:sz="4" w:space="0"/>
            </w:tcBorders>
            <w:vAlign w:val="center"/>
          </w:tcPr>
          <w:p>
            <w:pPr>
              <w:spacing w:line="360" w:lineRule="auto"/>
              <w:ind w:left="714" w:leftChars="1" w:hanging="712" w:hangingChars="297"/>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60</w:t>
            </w:r>
            <w:r>
              <w:rPr>
                <w:rFonts w:hint="eastAsia" w:ascii="宋体" w:hAnsi="宋体" w:eastAsia="宋体" w:cs="宋体"/>
                <w:bCs/>
                <w:color w:val="auto"/>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611" w:type="dxa"/>
            <w:tcBorders>
              <w:left w:val="single" w:color="auto" w:sz="4" w:space="0"/>
            </w:tcBorders>
            <w:vAlign w:val="center"/>
          </w:tcPr>
          <w:p>
            <w:pPr>
              <w:spacing w:line="400" w:lineRule="exact"/>
              <w:ind w:right="210" w:rightChars="1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投标保证金的缴纳形式：转账、汇款</w:t>
            </w:r>
          </w:p>
          <w:p>
            <w:pPr>
              <w:spacing w:line="400" w:lineRule="exact"/>
              <w:ind w:right="210" w:rightChars="1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投标保证金的金额：</w:t>
            </w:r>
            <w:r>
              <w:rPr>
                <w:rFonts w:hint="eastAsia" w:ascii="宋体" w:hAnsi="宋体" w:eastAsia="宋体" w:cs="宋体"/>
                <w:b w:val="0"/>
                <w:bCs/>
                <w:color w:val="auto"/>
                <w:sz w:val="24"/>
                <w:szCs w:val="24"/>
                <w:highlight w:val="none"/>
                <w:lang w:val="en-US" w:eastAsia="zh-CN"/>
              </w:rPr>
              <w:t>3500元（大写：叁仟伍佰元整）</w:t>
            </w:r>
          </w:p>
          <w:p>
            <w:pPr>
              <w:spacing w:line="400" w:lineRule="exact"/>
              <w:ind w:right="210" w:right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账号：8770</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1001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2010</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1219</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8457</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8</w:t>
            </w:r>
          </w:p>
          <w:p>
            <w:pPr>
              <w:spacing w:line="400" w:lineRule="exact"/>
              <w:ind w:right="210" w:right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户名：和田县政务服务中心</w:t>
            </w:r>
          </w:p>
          <w:p>
            <w:pPr>
              <w:spacing w:line="400" w:lineRule="exact"/>
              <w:ind w:right="210" w:right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开户行名：和田县农村信用合作联社营业部</w:t>
            </w:r>
          </w:p>
          <w:p>
            <w:pPr>
              <w:spacing w:line="400" w:lineRule="exact"/>
              <w:ind w:right="210" w:right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地址：新疆和田市迎宾路346号</w:t>
            </w:r>
          </w:p>
          <w:p>
            <w:pPr>
              <w:spacing w:line="400" w:lineRule="exact"/>
              <w:ind w:right="210" w:right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开户行号：402896000110</w:t>
            </w:r>
          </w:p>
          <w:p>
            <w:pPr>
              <w:spacing w:line="400" w:lineRule="exact"/>
              <w:ind w:right="210" w:rightChars="1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联系电话：0903-2025123</w:t>
            </w:r>
          </w:p>
          <w:p>
            <w:pPr>
              <w:spacing w:line="400" w:lineRule="exact"/>
              <w:ind w:right="210" w:rightChars="10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注：【投标保证金缴纳的截止时间为</w:t>
            </w:r>
            <w:r>
              <w:rPr>
                <w:rFonts w:hint="eastAsia" w:ascii="宋体" w:hAnsi="宋体" w:eastAsia="宋体" w:cs="宋体"/>
                <w:b/>
                <w:bCs w:val="0"/>
                <w:color w:val="auto"/>
                <w:sz w:val="24"/>
                <w:szCs w:val="24"/>
                <w:highlight w:val="none"/>
              </w:rPr>
              <w:t xml:space="preserve">2021年 </w:t>
            </w:r>
            <w:r>
              <w:rPr>
                <w:rFonts w:hint="eastAsia" w:ascii="宋体" w:hAnsi="宋体" w:eastAsia="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月</w:t>
            </w: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日</w:t>
            </w:r>
            <w:r>
              <w:rPr>
                <w:rFonts w:hint="eastAsia" w:ascii="宋体" w:hAnsi="宋体" w:eastAsia="宋体" w:cs="宋体"/>
                <w:b/>
                <w:bCs w:val="0"/>
                <w:color w:val="auto"/>
                <w:sz w:val="24"/>
                <w:szCs w:val="24"/>
                <w:highlight w:val="none"/>
                <w:lang w:val="en-US" w:eastAsia="zh-CN"/>
              </w:rPr>
              <w:t>11</w:t>
            </w:r>
            <w:r>
              <w:rPr>
                <w:rFonts w:hint="eastAsia" w:ascii="宋体" w:hAnsi="宋体" w:eastAsia="宋体" w:cs="宋体"/>
                <w:b/>
                <w:bCs w:val="0"/>
                <w:color w:val="auto"/>
                <w:sz w:val="24"/>
                <w:szCs w:val="24"/>
                <w:highlight w:val="none"/>
              </w:rPr>
              <w:t>：00</w:t>
            </w:r>
            <w:r>
              <w:rPr>
                <w:rFonts w:hint="eastAsia" w:ascii="宋体" w:hAnsi="宋体" w:eastAsia="宋体" w:cs="宋体"/>
                <w:bCs/>
                <w:color w:val="auto"/>
                <w:sz w:val="24"/>
                <w:szCs w:val="24"/>
                <w:highlight w:val="none"/>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w:t>
            </w:r>
            <w:r>
              <w:rPr>
                <w:rFonts w:hint="eastAsia" w:ascii="宋体" w:hAnsi="宋体" w:eastAsia="宋体" w:cs="宋体"/>
                <w:b/>
                <w:bCs w:val="0"/>
                <w:color w:val="auto"/>
                <w:sz w:val="24"/>
                <w:szCs w:val="24"/>
                <w:highlight w:val="none"/>
              </w:rPr>
              <w:t>开标前投标单位需至和田</w:t>
            </w:r>
            <w:r>
              <w:rPr>
                <w:rFonts w:hint="eastAsia" w:ascii="宋体" w:hAnsi="宋体" w:eastAsia="宋体" w:cs="宋体"/>
                <w:b/>
                <w:bCs w:val="0"/>
                <w:color w:val="auto"/>
                <w:sz w:val="24"/>
                <w:szCs w:val="24"/>
                <w:highlight w:val="none"/>
                <w:lang w:val="en-US" w:eastAsia="zh-CN"/>
              </w:rPr>
              <w:t>县</w:t>
            </w:r>
            <w:r>
              <w:rPr>
                <w:rFonts w:hint="eastAsia" w:ascii="宋体" w:hAnsi="宋体" w:eastAsia="宋体" w:cs="宋体"/>
                <w:b/>
                <w:bCs w:val="0"/>
                <w:color w:val="auto"/>
                <w:sz w:val="24"/>
                <w:szCs w:val="24"/>
                <w:highlight w:val="none"/>
              </w:rPr>
              <w:t>行政服务和公共资源交易中心换取保证金收据原件</w:t>
            </w:r>
            <w:r>
              <w:rPr>
                <w:rFonts w:hint="eastAsia" w:ascii="宋体" w:hAnsi="宋体" w:eastAsia="宋体" w:cs="宋体"/>
                <w:bCs/>
                <w:color w:val="auto"/>
                <w:sz w:val="24"/>
                <w:szCs w:val="24"/>
                <w:highlight w:val="none"/>
              </w:rPr>
              <w:t>,开标时需携带投标保证金缴纳凭证;开标结束后未中标企业现场将授权委托书或法人身份证复印件、开户许可证、收据（必须加盖公司公章/财务章）、银行回单递交至和田</w:t>
            </w:r>
            <w:r>
              <w:rPr>
                <w:rFonts w:hint="eastAsia" w:ascii="宋体" w:hAnsi="宋体" w:eastAsia="宋体" w:cs="宋体"/>
                <w:bCs/>
                <w:color w:val="auto"/>
                <w:sz w:val="24"/>
                <w:szCs w:val="24"/>
                <w:highlight w:val="none"/>
                <w:lang w:val="en-US" w:eastAsia="zh-CN"/>
              </w:rPr>
              <w:t>县</w:t>
            </w:r>
            <w:r>
              <w:rPr>
                <w:rFonts w:hint="eastAsia" w:ascii="宋体" w:hAnsi="宋体" w:eastAsia="宋体" w:cs="宋体"/>
                <w:bCs/>
                <w:color w:val="auto"/>
                <w:sz w:val="24"/>
                <w:szCs w:val="24"/>
                <w:highlight w:val="none"/>
              </w:rPr>
              <w:t>行政服务和公共资源交易中心财务室。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611" w:type="dxa"/>
            <w:tcBorders>
              <w:left w:val="single" w:color="auto" w:sz="4" w:space="0"/>
            </w:tcBorders>
            <w:vAlign w:val="center"/>
          </w:tcPr>
          <w:p>
            <w:pPr>
              <w:spacing w:line="360" w:lineRule="auto"/>
              <w:ind w:left="714" w:leftChars="1" w:hanging="712" w:hangingChars="2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评标委员会构成：5人或5人以上单数组成，业主专家1人；评标专</w:t>
            </w:r>
          </w:p>
          <w:p>
            <w:pPr>
              <w:spacing w:line="360" w:lineRule="auto"/>
              <w:ind w:left="714" w:leftChars="1" w:hanging="712" w:hangingChars="2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家确定方式：由招标代理在开标前</w:t>
            </w:r>
            <w:r>
              <w:rPr>
                <w:rFonts w:hint="eastAsia" w:ascii="宋体" w:hAnsi="宋体" w:eastAsia="宋体" w:cs="宋体"/>
                <w:bCs/>
                <w:color w:val="auto"/>
                <w:sz w:val="24"/>
                <w:szCs w:val="24"/>
                <w:highlight w:val="none"/>
                <w:lang w:val="en-US" w:eastAsia="zh-CN"/>
              </w:rPr>
              <w:t>24</w:t>
            </w:r>
            <w:r>
              <w:rPr>
                <w:rFonts w:hint="eastAsia" w:ascii="宋体" w:hAnsi="宋体" w:eastAsia="宋体" w:cs="宋体"/>
                <w:bCs/>
                <w:color w:val="auto"/>
                <w:sz w:val="24"/>
                <w:szCs w:val="24"/>
                <w:highlight w:val="none"/>
              </w:rPr>
              <w:t>小时在新疆维吾尔自治区政府</w:t>
            </w:r>
          </w:p>
          <w:p>
            <w:pPr>
              <w:spacing w:line="360" w:lineRule="auto"/>
              <w:ind w:left="714" w:leftChars="1" w:hanging="712" w:hangingChars="2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32" w:type="dxa"/>
            <w:tcBorders>
              <w:top w:val="single" w:color="auto" w:sz="4" w:space="0"/>
            </w:tcBorders>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p>
        </w:tc>
        <w:tc>
          <w:tcPr>
            <w:tcW w:w="1530" w:type="dxa"/>
            <w:tcBorders>
              <w:top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611" w:type="dxa"/>
            <w:tcBorders>
              <w:top w:val="single" w:color="auto" w:sz="4" w:space="0"/>
              <w:lef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华人民共和国政府采购法实施条例》第四十八条规定：履约保证金的数额不得超过政府采购合同金额的10%。中标人与采购人签订合同前提交履约保证金，如中标人未按招标文件规定的工期及要求供货，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35" w:hRule="atLeast"/>
          <w:jc w:val="center"/>
        </w:trPr>
        <w:tc>
          <w:tcPr>
            <w:tcW w:w="832" w:type="dxa"/>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30" w:type="dxa"/>
            <w:tcBorders>
              <w:right w:val="single" w:color="auto" w:sz="4" w:space="0"/>
            </w:tcBorders>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7611" w:type="dxa"/>
            <w:tcBorders>
              <w:left w:val="single" w:color="auto" w:sz="4" w:space="0"/>
            </w:tcBorders>
            <w:vAlign w:val="center"/>
          </w:tcPr>
          <w:p>
            <w:pPr>
              <w:ind w:left="718" w:leftChars="1" w:hanging="716" w:hangingChars="297"/>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特别提醒：</w:t>
            </w:r>
          </w:p>
          <w:p>
            <w:pPr>
              <w:ind w:left="714" w:leftChars="1" w:hanging="712" w:hangingChars="297"/>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1、所有投标人的报价高于采购预算额度视为无效报价（即作否决投</w:t>
            </w:r>
          </w:p>
          <w:p>
            <w:pPr>
              <w:ind w:left="714" w:leftChars="1" w:hanging="712" w:hangingChars="297"/>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标处理）。</w:t>
            </w:r>
          </w:p>
          <w:p>
            <w:pPr>
              <w:ind w:left="714" w:leftChars="1" w:hanging="712" w:hangingChars="297"/>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2、所有投标人的报价明显低于其他投标报价或者在设有标底时明显</w:t>
            </w:r>
          </w:p>
          <w:p>
            <w:pPr>
              <w:ind w:left="714" w:leftChars="1" w:hanging="712" w:hangingChars="297"/>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低于标底，使得其投标报价可能低于其个别成本的，应当要求该投标</w:t>
            </w:r>
          </w:p>
          <w:p>
            <w:pPr>
              <w:ind w:left="714" w:leftChars="1" w:hanging="712" w:hangingChars="297"/>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人作出书面说明并提供相应证明材料。投标人不能合理或者不能提供</w:t>
            </w:r>
          </w:p>
          <w:p>
            <w:pPr>
              <w:ind w:left="714" w:leftChars="1" w:hanging="712" w:hangingChars="297"/>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相应证明材料的，由评标委员会认定该投标人以低于成本报价竞标，</w:t>
            </w:r>
          </w:p>
          <w:p>
            <w:pPr>
              <w:ind w:left="714" w:leftChars="1" w:hanging="712" w:hangingChars="297"/>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其投标视为无效标处理。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2" w:hRule="atLeast"/>
          <w:jc w:val="center"/>
        </w:trPr>
        <w:tc>
          <w:tcPr>
            <w:tcW w:w="832" w:type="dxa"/>
            <w:tcBorders>
              <w:right w:val="single" w:color="auto" w:sz="4" w:space="0"/>
            </w:tcBorders>
            <w:vAlign w:val="center"/>
          </w:tcPr>
          <w:p>
            <w:pPr>
              <w:spacing w:line="360" w:lineRule="auto"/>
              <w:ind w:left="714" w:leftChars="1" w:hanging="712" w:hangingChars="297"/>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w:t>
            </w:r>
          </w:p>
        </w:tc>
        <w:tc>
          <w:tcPr>
            <w:tcW w:w="1530" w:type="dxa"/>
            <w:tcBorders>
              <w:left w:val="single" w:color="auto" w:sz="4" w:space="0"/>
              <w:right w:val="single" w:color="auto" w:sz="4" w:space="0"/>
            </w:tcBorders>
            <w:vAlign w:val="center"/>
          </w:tcPr>
          <w:p>
            <w:pPr>
              <w:spacing w:line="360" w:lineRule="auto"/>
              <w:ind w:left="714" w:leftChars="1" w:hanging="712" w:hangingChars="29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补充说明</w:t>
            </w:r>
          </w:p>
        </w:tc>
        <w:tc>
          <w:tcPr>
            <w:tcW w:w="7611" w:type="dxa"/>
            <w:tcBorders>
              <w:left w:val="single" w:color="auto" w:sz="4" w:space="0"/>
            </w:tcBorders>
          </w:tcPr>
          <w:p>
            <w:pPr>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投标文件份数：</w:t>
            </w:r>
          </w:p>
          <w:p>
            <w:pPr>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响应文件正本1份（单独密封）</w:t>
            </w:r>
          </w:p>
          <w:p>
            <w:pPr>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）响应文件副本</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份（单独密封）</w:t>
            </w:r>
          </w:p>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）电子版（U盘）1份及开标一览表1份。（电子版包含响应文件商务及技术全部内容）</w:t>
            </w:r>
          </w:p>
          <w:p>
            <w:pPr>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投标文件的密封：</w:t>
            </w:r>
          </w:p>
          <w:p>
            <w:pPr>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rPr>
              <w:t>）供应商须按招标文件的规定制作响应文件，正、副本单独密封提交。密封袋封口处加盖公章，并注明“开标时启封”字样</w:t>
            </w:r>
            <w:r>
              <w:rPr>
                <w:rFonts w:hint="eastAsia" w:ascii="宋体" w:hAnsi="宋体" w:eastAsia="宋体" w:cs="宋体"/>
                <w:b w:val="0"/>
                <w:bCs/>
                <w:color w:val="auto"/>
                <w:sz w:val="24"/>
                <w:szCs w:val="24"/>
                <w:highlight w:val="none"/>
              </w:rPr>
              <w:t>及</w:t>
            </w:r>
            <w:r>
              <w:rPr>
                <w:rFonts w:hint="eastAsia" w:ascii="宋体" w:hAnsi="宋体" w:eastAsia="宋体" w:cs="宋体"/>
                <w:b w:val="0"/>
                <w:bCs/>
                <w:color w:val="auto"/>
                <w:sz w:val="24"/>
                <w:szCs w:val="24"/>
                <w:highlight w:val="none"/>
                <w:lang w:val="zh-CN"/>
              </w:rPr>
              <w:t>“正本”或“副本”</w:t>
            </w:r>
            <w:r>
              <w:rPr>
                <w:rFonts w:hint="eastAsia" w:ascii="宋体" w:hAnsi="宋体" w:eastAsia="宋体" w:cs="宋体"/>
                <w:b w:val="0"/>
                <w:bCs/>
                <w:color w:val="auto"/>
                <w:sz w:val="24"/>
                <w:szCs w:val="24"/>
                <w:highlight w:val="none"/>
              </w:rPr>
              <w:t>字样。（副本可以为正本的复印件）</w:t>
            </w:r>
          </w:p>
          <w:p>
            <w:pPr>
              <w:jc w:val="lef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zh-CN"/>
              </w:rPr>
              <w:t>）供应商应将“开标一览表”，与电子版（U盘）一起密封提交，密封袋封口处加盖公章，并注明“开标时启封”字样。</w:t>
            </w:r>
            <w:r>
              <w:rPr>
                <w:rFonts w:hint="eastAsia" w:ascii="宋体" w:hAnsi="宋体" w:eastAsia="宋体" w:cs="宋体"/>
                <w:b w:val="0"/>
                <w:bCs/>
                <w:color w:val="auto"/>
                <w:sz w:val="24"/>
                <w:szCs w:val="24"/>
                <w:highlight w:val="none"/>
              </w:rPr>
              <w:t>U盘</w:t>
            </w:r>
            <w:r>
              <w:rPr>
                <w:rFonts w:hint="eastAsia" w:ascii="宋体" w:hAnsi="宋体" w:eastAsia="宋体" w:cs="宋体"/>
                <w:b w:val="0"/>
                <w:bCs/>
                <w:color w:val="auto"/>
                <w:sz w:val="24"/>
                <w:szCs w:val="24"/>
                <w:highlight w:val="none"/>
                <w:lang w:val="zh-CN"/>
              </w:rPr>
              <w:t>内存储响应文件正副本</w:t>
            </w:r>
            <w:r>
              <w:rPr>
                <w:rFonts w:hint="eastAsia" w:ascii="宋体" w:hAnsi="宋体" w:eastAsia="宋体" w:cs="宋体"/>
                <w:b w:val="0"/>
                <w:bCs/>
                <w:color w:val="auto"/>
                <w:sz w:val="24"/>
                <w:szCs w:val="24"/>
                <w:highlight w:val="none"/>
              </w:rPr>
              <w:t>PDF一份。</w:t>
            </w:r>
          </w:p>
          <w:p>
            <w:pPr>
              <w:jc w:val="left"/>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lang w:val="zh-CN" w:eastAsia="zh-CN"/>
              </w:rPr>
              <w:t>文件袋和《开标一览表》（含电子版U盘）袋上写明：</w:t>
            </w:r>
          </w:p>
          <w:p>
            <w:pPr>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eastAsia="zh-CN"/>
              </w:rPr>
              <w:t xml:space="preserve">）采购人：                        </w:t>
            </w:r>
          </w:p>
          <w:p>
            <w:pPr>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zh-CN" w:eastAsia="zh-CN"/>
              </w:rPr>
              <w:t xml:space="preserve">）项目名称：                      </w:t>
            </w:r>
          </w:p>
          <w:p>
            <w:pPr>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 xml:space="preserve">）项目编号：                      </w:t>
            </w:r>
          </w:p>
          <w:p>
            <w:pPr>
              <w:jc w:val="left"/>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zh-CN" w:eastAsia="zh-CN"/>
              </w:rPr>
              <w:t>）供应商名称：</w:t>
            </w:r>
            <w:r>
              <w:rPr>
                <w:rFonts w:hint="eastAsia" w:ascii="宋体" w:hAnsi="宋体" w:eastAsia="宋体" w:cs="宋体"/>
                <w:b/>
                <w:bCs w:val="0"/>
                <w:color w:val="auto"/>
                <w:sz w:val="24"/>
                <w:szCs w:val="24"/>
                <w:highlight w:val="none"/>
                <w:u w:val="single"/>
                <w:lang w:val="zh-CN" w:eastAsia="zh-CN"/>
              </w:rPr>
              <w:t>（全称且加盖公章）</w:t>
            </w:r>
            <w:r>
              <w:rPr>
                <w:rFonts w:hint="eastAsia" w:ascii="宋体" w:hAnsi="宋体" w:eastAsia="宋体" w:cs="宋体"/>
                <w:b w:val="0"/>
                <w:bCs/>
                <w:color w:val="auto"/>
                <w:sz w:val="24"/>
                <w:szCs w:val="24"/>
                <w:highlight w:val="none"/>
                <w:lang w:val="zh-CN"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832" w:type="dxa"/>
            <w:tcBorders>
              <w:right w:val="single" w:color="auto" w:sz="4" w:space="0"/>
            </w:tcBorders>
            <w:vAlign w:val="center"/>
          </w:tcPr>
          <w:p>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w:t>
            </w:r>
          </w:p>
        </w:tc>
        <w:tc>
          <w:tcPr>
            <w:tcW w:w="1530" w:type="dxa"/>
            <w:tcBorders>
              <w:left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开标现场需携带验证材料</w:t>
            </w:r>
          </w:p>
        </w:tc>
        <w:tc>
          <w:tcPr>
            <w:tcW w:w="7611" w:type="dxa"/>
            <w:tcBorders>
              <w:left w:val="single" w:color="auto" w:sz="4" w:space="0"/>
            </w:tcBorders>
          </w:tcPr>
          <w:p>
            <w:pPr>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开标时，请各投标人随身携带以下有效证件的原件</w:t>
            </w:r>
            <w:r>
              <w:rPr>
                <w:rFonts w:hint="eastAsia" w:ascii="宋体" w:hAnsi="宋体" w:eastAsia="宋体" w:cs="宋体"/>
                <w:b/>
                <w:bCs w:val="0"/>
                <w:color w:val="auto"/>
                <w:sz w:val="24"/>
                <w:szCs w:val="24"/>
                <w:highlight w:val="none"/>
                <w:lang w:val="en-US" w:eastAsia="zh-CN"/>
              </w:rPr>
              <w:t>及加盖公章的复印件（授权委托书必须为原件）</w:t>
            </w:r>
            <w:r>
              <w:rPr>
                <w:rFonts w:hint="eastAsia" w:ascii="宋体" w:hAnsi="宋体" w:eastAsia="宋体" w:cs="宋体"/>
                <w:b/>
                <w:bCs w:val="0"/>
                <w:color w:val="auto"/>
                <w:sz w:val="24"/>
                <w:szCs w:val="24"/>
                <w:highlight w:val="none"/>
              </w:rPr>
              <w:t>以备查验：</w:t>
            </w:r>
          </w:p>
          <w:p>
            <w:pPr>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法定代表人身份证原件及复印件或法人委托人须携带法人代表授权书原件及委托人身份证原件（授权书需附法人身份证及委托人身份证复印件）</w:t>
            </w:r>
          </w:p>
          <w:p>
            <w:pPr>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注：法定代表人授权委托书应当单独提供（须附法人及委托代理人身份证复印件并加盖鲜公章），并与投标文件中所提供的相一致；</w:t>
            </w:r>
          </w:p>
          <w:p>
            <w:pPr>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eastAsia="zh-CN"/>
              </w:rPr>
              <w:t>）具有经年审合格的企业法人三证合一营业执照</w:t>
            </w:r>
            <w:r>
              <w:rPr>
                <w:rFonts w:hint="eastAsia" w:ascii="宋体" w:hAnsi="宋体" w:eastAsia="宋体" w:cs="宋体"/>
                <w:b/>
                <w:bCs w:val="0"/>
                <w:color w:val="auto"/>
                <w:sz w:val="24"/>
                <w:szCs w:val="24"/>
                <w:highlight w:val="none"/>
              </w:rPr>
              <w:t>；</w:t>
            </w:r>
          </w:p>
          <w:p>
            <w:pPr>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eastAsia="zh-CN"/>
              </w:rPr>
              <w:t>）具备建设部颁发的有效的工程造价咨询资质</w:t>
            </w:r>
            <w:r>
              <w:rPr>
                <w:rFonts w:hint="eastAsia" w:ascii="宋体" w:hAnsi="宋体" w:eastAsia="宋体" w:cs="宋体"/>
                <w:b/>
                <w:bCs w:val="0"/>
                <w:color w:val="auto"/>
                <w:sz w:val="24"/>
                <w:szCs w:val="24"/>
                <w:highlight w:val="none"/>
              </w:rPr>
              <w:t>；</w:t>
            </w:r>
          </w:p>
          <w:p>
            <w:pPr>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 xml:space="preserve">）拟派本项目的项目负责人需具备注册造价工程师资格证书；  </w:t>
            </w:r>
          </w:p>
          <w:p>
            <w:pPr>
              <w:jc w:val="left"/>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）投标保证金缴纳凭证。</w:t>
            </w:r>
          </w:p>
        </w:tc>
      </w:tr>
    </w:tbl>
    <w:p>
      <w:pPr>
        <w:spacing w:line="500" w:lineRule="exact"/>
        <w:rPr>
          <w:rFonts w:hint="eastAsia" w:ascii="宋体" w:hAnsi="宋体" w:eastAsia="宋体" w:cs="宋体"/>
          <w:b/>
          <w:color w:val="auto"/>
          <w:sz w:val="24"/>
          <w:szCs w:val="24"/>
          <w:highlight w:val="none"/>
        </w:rPr>
      </w:pPr>
      <w:bookmarkStart w:id="27" w:name="_Toc24423_WPSOffice_Level1"/>
    </w:p>
    <w:p>
      <w:pPr>
        <w:spacing w:line="500" w:lineRule="exact"/>
        <w:ind w:firstLine="2409" w:firstLineChars="1000"/>
        <w:rPr>
          <w:rFonts w:hint="eastAsia" w:ascii="宋体" w:hAnsi="宋体" w:eastAsia="宋体" w:cs="宋体"/>
          <w:b/>
          <w:color w:val="auto"/>
          <w:sz w:val="24"/>
          <w:szCs w:val="24"/>
          <w:highlight w:val="none"/>
        </w:rPr>
      </w:pPr>
    </w:p>
    <w:p>
      <w:pPr>
        <w:spacing w:line="500" w:lineRule="exact"/>
        <w:ind w:firstLine="2409" w:firstLineChars="10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招标书</w:t>
      </w:r>
      <w:bookmarkEnd w:id="27"/>
    </w:p>
    <w:p>
      <w:pPr>
        <w:spacing w:line="500" w:lineRule="exact"/>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新疆新建联项目管理咨询有限公司</w:t>
      </w:r>
      <w:r>
        <w:rPr>
          <w:rFonts w:hint="eastAsia" w:ascii="宋体" w:hAnsi="宋体" w:eastAsia="宋体" w:cs="宋体"/>
          <w:b/>
          <w:bCs/>
          <w:color w:val="auto"/>
          <w:sz w:val="24"/>
          <w:szCs w:val="24"/>
          <w:highlight w:val="none"/>
        </w:rPr>
        <w:t>受</w:t>
      </w:r>
      <w:r>
        <w:rPr>
          <w:rFonts w:hint="eastAsia" w:ascii="宋体" w:hAnsi="宋体" w:eastAsia="宋体" w:cs="宋体"/>
          <w:b/>
          <w:bCs/>
          <w:color w:val="auto"/>
          <w:sz w:val="24"/>
          <w:szCs w:val="24"/>
          <w:highlight w:val="none"/>
          <w:u w:val="single"/>
          <w:lang w:eastAsia="zh-CN"/>
        </w:rPr>
        <w:t>和田县自然资源局</w:t>
      </w:r>
      <w:r>
        <w:rPr>
          <w:rFonts w:hint="eastAsia" w:ascii="宋体" w:hAnsi="宋体" w:eastAsia="宋体" w:cs="宋体"/>
          <w:b/>
          <w:bCs/>
          <w:color w:val="auto"/>
          <w:sz w:val="24"/>
          <w:szCs w:val="24"/>
          <w:highlight w:val="none"/>
        </w:rPr>
        <w:t>委托</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zh-CN"/>
        </w:rPr>
        <w:t>本次采购项目</w:t>
      </w:r>
      <w:r>
        <w:rPr>
          <w:rFonts w:hint="eastAsia" w:ascii="宋体" w:hAnsi="宋体" w:eastAsia="宋体" w:cs="宋体"/>
          <w:color w:val="auto"/>
          <w:sz w:val="24"/>
          <w:szCs w:val="24"/>
          <w:highlight w:val="none"/>
        </w:rPr>
        <w:t>进行公开招标采购。</w:t>
      </w:r>
    </w:p>
    <w:p>
      <w:pPr>
        <w:widowControl/>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一、招标文件编号：</w:t>
      </w:r>
    </w:p>
    <w:p>
      <w:pPr>
        <w:widowControl/>
        <w:spacing w:line="360" w:lineRule="auto"/>
        <w:ind w:left="961" w:leftChars="228" w:hanging="482" w:hanging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二、项目名称</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u w:val="single"/>
          <w:lang w:eastAsia="zh-CN"/>
        </w:rPr>
        <w:t>和田县一万亩补充耕地项目施工监理和审计服务采购招标（包二）</w:t>
      </w:r>
      <w:r>
        <w:rPr>
          <w:rFonts w:hint="eastAsia" w:ascii="宋体" w:hAnsi="宋体" w:eastAsia="宋体" w:cs="宋体"/>
          <w:b/>
          <w:bCs/>
          <w:color w:val="auto"/>
          <w:sz w:val="24"/>
          <w:szCs w:val="24"/>
          <w:highlight w:val="none"/>
        </w:rPr>
        <w:t>采购内容：</w:t>
      </w:r>
      <w:r>
        <w:rPr>
          <w:rFonts w:hint="eastAsia" w:ascii="宋体" w:hAnsi="宋体" w:eastAsia="宋体" w:cs="宋体"/>
          <w:b/>
          <w:bCs/>
          <w:color w:val="auto"/>
          <w:sz w:val="24"/>
          <w:szCs w:val="24"/>
          <w:highlight w:val="none"/>
          <w:lang w:eastAsia="zh-CN"/>
        </w:rPr>
        <w:t>和田县一万亩补充耕地项目</w:t>
      </w:r>
      <w:r>
        <w:rPr>
          <w:rFonts w:hint="eastAsia" w:ascii="宋体" w:hAnsi="宋体" w:eastAsia="宋体" w:cs="宋体"/>
          <w:b/>
          <w:bCs/>
          <w:color w:val="auto"/>
          <w:sz w:val="24"/>
          <w:szCs w:val="24"/>
          <w:highlight w:val="none"/>
          <w:lang w:val="en-US" w:eastAsia="zh-CN"/>
        </w:rPr>
        <w:t>工程结算</w:t>
      </w:r>
      <w:r>
        <w:rPr>
          <w:rFonts w:hint="eastAsia" w:ascii="宋体" w:hAnsi="宋体" w:eastAsia="宋体" w:cs="宋体"/>
          <w:b/>
          <w:bCs/>
          <w:color w:val="auto"/>
          <w:sz w:val="24"/>
          <w:szCs w:val="24"/>
          <w:highlight w:val="none"/>
          <w:lang w:eastAsia="zh-CN"/>
        </w:rPr>
        <w:t>审计服务</w:t>
      </w:r>
      <w:r>
        <w:rPr>
          <w:rFonts w:hint="eastAsia" w:ascii="宋体" w:hAnsi="宋体" w:eastAsia="宋体" w:cs="宋体"/>
          <w:color w:val="auto"/>
          <w:sz w:val="24"/>
          <w:szCs w:val="24"/>
          <w:highlight w:val="none"/>
        </w:rPr>
        <w:t>（详见第五章技术要求）</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三、简要说明：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1、项目实施地点：业主指定地点。</w:t>
      </w:r>
    </w:p>
    <w:p>
      <w:pPr>
        <w:spacing w:line="360" w:lineRule="auto"/>
        <w:ind w:left="479" w:leftChars="228"/>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2、项目周期：</w:t>
      </w:r>
      <w:r>
        <w:rPr>
          <w:rFonts w:hint="eastAsia" w:ascii="宋体" w:hAnsi="宋体" w:eastAsia="宋体" w:cs="宋体"/>
          <w:color w:val="auto"/>
          <w:sz w:val="24"/>
          <w:szCs w:val="24"/>
          <w:highlight w:val="none"/>
          <w:lang w:val="en-US" w:eastAsia="zh-CN"/>
        </w:rPr>
        <w:t>签订咨询合同之日起至出具竣工决算报告。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四、招标内容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详见第五章    技术要求</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五、投标保证金数额：</w:t>
      </w:r>
      <w:r>
        <w:rPr>
          <w:rFonts w:hint="eastAsia" w:ascii="宋体" w:hAnsi="宋体" w:eastAsia="宋体" w:cs="宋体"/>
          <w:b w:val="0"/>
          <w:bCs/>
          <w:color w:val="auto"/>
          <w:sz w:val="24"/>
          <w:szCs w:val="24"/>
          <w:highlight w:val="none"/>
          <w:lang w:val="en-US" w:eastAsia="zh-CN"/>
        </w:rPr>
        <w:t>详见投标人须知前附表</w:t>
      </w:r>
      <w:r>
        <w:rPr>
          <w:rFonts w:hint="eastAsia" w:ascii="宋体" w:hAnsi="宋体" w:eastAsia="宋体" w:cs="宋体"/>
          <w:b/>
          <w:color w:val="auto"/>
          <w:sz w:val="24"/>
          <w:szCs w:val="24"/>
          <w:highlight w:val="none"/>
        </w:rPr>
        <w:t>。</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六、特别提示</w:t>
      </w:r>
    </w:p>
    <w:p>
      <w:pPr>
        <w:spacing w:line="360" w:lineRule="auto"/>
        <w:ind w:left="24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1、获取文件地址：新疆政府采购网自行下载。</w:t>
      </w:r>
    </w:p>
    <w:p>
      <w:pPr>
        <w:spacing w:line="500" w:lineRule="exact"/>
        <w:jc w:val="center"/>
        <w:rPr>
          <w:rFonts w:hint="eastAsia" w:ascii="宋体" w:hAnsi="宋体" w:eastAsia="宋体" w:cs="宋体"/>
          <w:b/>
          <w:color w:val="auto"/>
          <w:sz w:val="24"/>
          <w:szCs w:val="24"/>
          <w:highlight w:val="none"/>
        </w:rPr>
      </w:pPr>
    </w:p>
    <w:p>
      <w:pPr>
        <w:pStyle w:val="28"/>
        <w:rPr>
          <w:rFonts w:hint="eastAsia" w:ascii="宋体" w:hAnsi="宋体" w:eastAsia="宋体" w:cs="宋体"/>
          <w:b/>
          <w:color w:val="auto"/>
          <w:sz w:val="24"/>
          <w:szCs w:val="24"/>
          <w:highlight w:val="none"/>
        </w:rPr>
      </w:pPr>
    </w:p>
    <w:p>
      <w:pPr>
        <w:pStyle w:val="28"/>
        <w:rPr>
          <w:rFonts w:hint="eastAsia" w:ascii="宋体" w:hAnsi="宋体" w:eastAsia="宋体" w:cs="宋体"/>
          <w:b/>
          <w:color w:val="auto"/>
          <w:sz w:val="24"/>
          <w:szCs w:val="24"/>
          <w:highlight w:val="none"/>
        </w:rPr>
      </w:pPr>
    </w:p>
    <w:p>
      <w:pPr>
        <w:pStyle w:val="28"/>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bookmarkStart w:id="28" w:name="_Toc16906_WPSOffice_Level1"/>
    </w:p>
    <w:p>
      <w:pPr>
        <w:pStyle w:val="6"/>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6"/>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6"/>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p>
    <w:p>
      <w:pPr>
        <w:spacing w:line="500" w:lineRule="exact"/>
        <w:jc w:val="both"/>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投标须知</w:t>
      </w:r>
      <w:bookmarkEnd w:id="28"/>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  则</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本招标文件仅适于本次投标中所述的</w:t>
      </w:r>
      <w:r>
        <w:rPr>
          <w:rFonts w:hint="eastAsia" w:ascii="宋体" w:hAnsi="宋体" w:eastAsia="宋体" w:cs="宋体"/>
          <w:b/>
          <w:bCs/>
          <w:color w:val="auto"/>
          <w:sz w:val="24"/>
          <w:szCs w:val="24"/>
          <w:highlight w:val="none"/>
          <w:u w:val="single"/>
          <w:lang w:eastAsia="zh-CN"/>
        </w:rPr>
        <w:t>和田县一万亩补充耕地项目施工监理和审计服务采购招标（包二）</w:t>
      </w:r>
      <w:r>
        <w:rPr>
          <w:rFonts w:hint="eastAsia" w:ascii="宋体" w:hAnsi="宋体" w:eastAsia="宋体" w:cs="宋体"/>
          <w:color w:val="auto"/>
          <w:sz w:val="24"/>
          <w:szCs w:val="24"/>
          <w:highlight w:val="none"/>
        </w:rPr>
        <w:t>进行招标。</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2、合格的投标人</w:t>
      </w:r>
    </w:p>
    <w:p>
      <w:pPr>
        <w:spacing w:line="500" w:lineRule="exact"/>
        <w:ind w:firstLine="460" w:firstLineChars="19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2.1投标人资格要求：</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详见投标人须知前附表</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3、定义</w:t>
      </w:r>
    </w:p>
    <w:p>
      <w:pPr>
        <w:pStyle w:val="7"/>
        <w:overflowPunct w:val="0"/>
        <w:spacing w:line="500" w:lineRule="exact"/>
        <w:ind w:firstLine="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3.1 “采购人”系指合同中明确规定的实际购买货物和服务的法人、行政事业单位、团体组织。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“投标人”系指响应招标，并按照招标文件的要求参与工程任务竞争的法人，中标后即为中标人，签定合同后即为卖方。</w:t>
      </w:r>
    </w:p>
    <w:p>
      <w:pPr>
        <w:pStyle w:val="7"/>
        <w:overflowPunct w:val="0"/>
        <w:spacing w:line="5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3.3 “招标机构”系指在委托人授权范围内具体组织实施招标活动的法人。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“货物”系指卖方按合同要求，须向买方提供的一切产品及其它技术资料和材料。</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“卖方”系指提供合同货物和服务的法人。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“买方”系指购买货物的单位。</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4、投标费用</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无论投标结果如何，投标人须自行承担所有与参加投标有关的全部费用,采购人和招标代理机构在任何情况下均无义务和责任承担这些费用。</w:t>
      </w:r>
    </w:p>
    <w:p>
      <w:pPr>
        <w:spacing w:line="500" w:lineRule="exact"/>
        <w:ind w:firstLine="480" w:firstLineChars="200"/>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招标文件用以阐明所招标的内容，招标投标程序及合同条款，包括：</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招标公告</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5.1.2投标人须知前附表；</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5.1.3招标书；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 投标人须知；</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 技术要求；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5.1.6合同；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 投标文件格式。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5.2投标人应仔细阅读招标文件中的所有内容。招标机构将拒绝未按招标文件的要求提供全部资料或提交的投标文件未对招标文件作出实质性响应的投标。</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任何要求澄清招标文件的投标人，均应在投标截止日期五天前以书面形式或传真、电报通知招标机构。招标机构将以书面形式予以答复，同时将书面通知每个购买招标文件的投标人。投标人不得与采购人私下就工程招投标的有关实质性的问题进行磋商。</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7、招标文件的修改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在投标截止时间3天以前，采购人都可能以《招标文件补充》的方式修改招标文件。并将以书面形式通知所有购买招标文件的投标人，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招标文件补充》作为招标文件的组成部分，对投标人具有同等约束力。如果招标文件补充内容与在此招标文件补充发出之前的招标文件等书面材料中相关内容相冲突，请投标人执行招标文件补充的相关内容，先前发出的招标文件等书面材料中相关内容自动废止。</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为使投标人在编制投标文件时把《招标文件补充》内容考虑进去，采购人可以相应延长投标截止日期，具体时间将在《招标文件补充》中写明。</w:t>
      </w:r>
    </w:p>
    <w:p>
      <w:pPr>
        <w:spacing w:line="500" w:lineRule="exact"/>
        <w:jc w:val="center"/>
        <w:rPr>
          <w:rFonts w:hint="eastAsia" w:ascii="宋体" w:hAnsi="宋体" w:eastAsia="宋体" w:cs="宋体"/>
          <w:b/>
          <w:color w:val="auto"/>
          <w:sz w:val="24"/>
          <w:szCs w:val="24"/>
          <w:highlight w:val="none"/>
        </w:rPr>
      </w:pPr>
    </w:p>
    <w:p>
      <w:pPr>
        <w:numPr>
          <w:ilvl w:val="0"/>
          <w:numId w:val="0"/>
        </w:numPr>
        <w:spacing w:line="500" w:lineRule="exact"/>
        <w:jc w:val="both"/>
        <w:rPr>
          <w:rFonts w:hint="eastAsia" w:ascii="宋体" w:hAnsi="宋体" w:eastAsia="宋体" w:cs="宋体"/>
          <w:b/>
          <w:color w:val="auto"/>
          <w:sz w:val="24"/>
          <w:szCs w:val="24"/>
          <w:highlight w:val="none"/>
        </w:rPr>
      </w:pPr>
    </w:p>
    <w:p>
      <w:pPr>
        <w:numPr>
          <w:ilvl w:val="0"/>
          <w:numId w:val="0"/>
        </w:num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投标文件的编制</w:t>
      </w:r>
    </w:p>
    <w:p>
      <w:pPr>
        <w:spacing w:line="500" w:lineRule="exact"/>
        <w:rPr>
          <w:rFonts w:hint="eastAsia" w:ascii="宋体" w:hAnsi="宋体" w:eastAsia="宋体" w:cs="宋体"/>
          <w:b/>
          <w:color w:val="auto"/>
          <w:sz w:val="24"/>
          <w:szCs w:val="24"/>
          <w:highlight w:val="none"/>
        </w:rPr>
      </w:pP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投标文件的编写</w:t>
      </w:r>
    </w:p>
    <w:p>
      <w:pPr>
        <w:widowControl/>
        <w:spacing w:line="500" w:lineRule="exact"/>
        <w:rPr>
          <w:rFonts w:hint="eastAsia" w:ascii="宋体" w:hAnsi="宋体" w:eastAsia="宋体" w:cs="宋体"/>
          <w:b/>
          <w:color w:val="auto"/>
          <w:sz w:val="24"/>
          <w:szCs w:val="24"/>
          <w:highlight w:val="none"/>
          <w:shd w:val="pct10" w:color="auto" w:fill="FFFFFF"/>
        </w:rPr>
      </w:pPr>
      <w:r>
        <w:rPr>
          <w:rFonts w:hint="eastAsia" w:ascii="宋体" w:hAnsi="宋体" w:eastAsia="宋体" w:cs="宋体"/>
          <w:color w:val="auto"/>
          <w:sz w:val="24"/>
          <w:szCs w:val="24"/>
          <w:highlight w:val="none"/>
        </w:rPr>
        <w:t xml:space="preserve">    8.1 投标人应仔细阅读招标文件，了解招标文件的要求。在充分理解招标文件提出的技术要求、服务和商务条件后，编制投标文件。</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投标的语言</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9.2投标文件中使用的计量单位除招标文件中有特殊规定外，一律使用法定计量单位。</w:t>
      </w:r>
    </w:p>
    <w:p>
      <w:pPr>
        <w:spacing w:line="500" w:lineRule="exact"/>
        <w:ind w:firstLine="56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10、投标文件的格式</w:t>
      </w:r>
    </w:p>
    <w:p>
      <w:pPr>
        <w:spacing w:line="50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10.1投标人应按招标文件提供的格式及投标报价说明完整地填写所提供的产品、服务、数量及价格。</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11、投标文件的组成和顺序:投标文件由经济报价部分、商务部分</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工程结算审核造价咨询实施方案</w:t>
      </w:r>
      <w:r>
        <w:rPr>
          <w:rFonts w:hint="eastAsia" w:ascii="宋体" w:hAnsi="宋体" w:eastAsia="宋体" w:cs="宋体"/>
          <w:b/>
          <w:color w:val="auto"/>
          <w:sz w:val="24"/>
          <w:szCs w:val="24"/>
          <w:highlight w:val="none"/>
        </w:rPr>
        <w:t>三部分组成，合装成一本标书（胶装）。</w:t>
      </w:r>
      <w:r>
        <w:rPr>
          <w:rFonts w:hint="eastAsia" w:ascii="宋体" w:hAnsi="宋体" w:eastAsia="宋体" w:cs="宋体"/>
          <w:b/>
          <w:color w:val="auto"/>
          <w:sz w:val="24"/>
          <w:szCs w:val="24"/>
          <w:highlight w:val="none"/>
        </w:rPr>
        <w:t>报价一览表需按招标文件提供的格式填写，统一规范，不得自行增减内容，并单独提供且与投标文件中提供的一致，并按招标文件要求密封。</w:t>
      </w:r>
    </w:p>
    <w:p>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b/>
          <w:color w:val="auto"/>
          <w:sz w:val="24"/>
          <w:szCs w:val="24"/>
          <w:highlight w:val="none"/>
        </w:rPr>
        <w:t>经济报价部分：</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11.1.1投标承诺书（一）、（二）、（三）；</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11.1.2报价一览表；</w:t>
      </w:r>
    </w:p>
    <w:p>
      <w:pPr>
        <w:spacing w:line="500" w:lineRule="exact"/>
        <w:ind w:firstLine="236" w:firstLineChars="9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11.2商务部分：</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11.2.1投标人的资格声明（格式见附件）；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投标单位基本情况表（格式见附件）及近三年内没有被建设工程造价管理协会等相关部门因</w:t>
      </w:r>
      <w:r>
        <w:rPr>
          <w:rFonts w:hint="eastAsia" w:ascii="宋体" w:hAnsi="宋体" w:eastAsia="宋体" w:cs="宋体"/>
          <w:color w:val="auto"/>
          <w:sz w:val="24"/>
          <w:szCs w:val="24"/>
          <w:highlight w:val="none"/>
          <w:lang w:val="en-US" w:eastAsia="zh-CN"/>
        </w:rPr>
        <w:t>执业</w:t>
      </w:r>
      <w:r>
        <w:rPr>
          <w:rFonts w:hint="eastAsia" w:ascii="宋体" w:hAnsi="宋体" w:eastAsia="宋体" w:cs="宋体"/>
          <w:color w:val="auto"/>
          <w:sz w:val="24"/>
          <w:szCs w:val="24"/>
          <w:highlight w:val="none"/>
        </w:rPr>
        <w:t>质量问题予以行政处罚或禁入的记录（提供证明文件）；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11.2.3出具法人营业执照函（格式见附件）；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11.2.4法定代表人证明书（格式见附件）；</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11.2.5法定代表人授权委托书及投标人被授权人身份证复印件（如有授权，法人参加提供身份证原件及复印件）</w:t>
      </w:r>
      <w:r>
        <w:rPr>
          <w:rFonts w:hint="eastAsia" w:ascii="宋体" w:hAnsi="宋体" w:eastAsia="宋体" w:cs="宋体"/>
          <w:color w:val="auto"/>
          <w:sz w:val="24"/>
          <w:szCs w:val="24"/>
          <w:highlight w:val="none"/>
          <w:lang w:val="en-US" w:eastAsia="zh-CN"/>
        </w:rPr>
        <w:t>附近三个月社保证明材料</w:t>
      </w:r>
      <w:r>
        <w:rPr>
          <w:rFonts w:hint="eastAsia" w:ascii="宋体" w:hAnsi="宋体" w:eastAsia="宋体" w:cs="宋体"/>
          <w:color w:val="auto"/>
          <w:sz w:val="24"/>
          <w:szCs w:val="24"/>
          <w:highlight w:val="none"/>
        </w:rPr>
        <w:t>（格式见附件）；</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11.2.6近三年投标单位类似业绩表及证明（提供咨询合同或成果文件复印件）（格式见附件）；</w:t>
      </w:r>
    </w:p>
    <w:p>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11.2.7项目负责人简历及业绩表（格式见附件）；</w:t>
      </w:r>
    </w:p>
    <w:p>
      <w:pP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11.2.8拟参加项目人员情况（含参审人员详细表）及业绩表（格式见附件）；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11.2.9商务偏离表（格式见附件）；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11.2.10投标人反商业贿赂承诺书（格式见附件）；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11.2.11服务承诺书；</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11.2.12投标人企业信誉证明文件；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11.2.13通过国家或国际认证资格证书（如有，提供复印件）；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11.2.14投标保证金缴纳凭证；</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11.2.15</w:t>
      </w:r>
      <w:r>
        <w:rPr>
          <w:rFonts w:hint="eastAsia" w:ascii="宋体" w:hAnsi="宋体" w:eastAsia="宋体" w:cs="宋体"/>
          <w:color w:val="auto"/>
          <w:sz w:val="24"/>
          <w:szCs w:val="24"/>
          <w:highlight w:val="none"/>
          <w:lang w:val="en-US" w:eastAsia="zh-CN"/>
        </w:rPr>
        <w:t>提供会计事务所出具2020年度财务审计报告</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投标人认为有必要提供的声明及文件资料。</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第三部分：</w:t>
      </w:r>
      <w:r>
        <w:rPr>
          <w:rFonts w:hint="eastAsia" w:ascii="宋体" w:hAnsi="宋体" w:eastAsia="宋体" w:cs="宋体"/>
          <w:b/>
          <w:color w:val="auto"/>
          <w:sz w:val="24"/>
          <w:szCs w:val="24"/>
          <w:highlight w:val="none"/>
          <w:lang w:eastAsia="zh-CN"/>
        </w:rPr>
        <w:t>工程结算审核造价咨询实施方案</w:t>
      </w:r>
      <w:r>
        <w:rPr>
          <w:rFonts w:hint="eastAsia" w:ascii="宋体" w:hAnsi="宋体" w:eastAsia="宋体" w:cs="宋体"/>
          <w:b/>
          <w:bCs/>
          <w:color w:val="auto"/>
          <w:sz w:val="24"/>
          <w:szCs w:val="24"/>
          <w:highlight w:val="none"/>
        </w:rPr>
        <w:t>（具体详见投标文件格式要求）</w:t>
      </w:r>
    </w:p>
    <w:p>
      <w:pPr>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注：投标文件按统一格式、顺序编写。</w:t>
      </w:r>
    </w:p>
    <w:p>
      <w:pPr>
        <w:numPr>
          <w:ilvl w:val="0"/>
          <w:numId w:val="1"/>
        </w:num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w:t>
      </w:r>
      <w:bookmarkStart w:id="29" w:name="OLE_LINK1"/>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12.1投标人应在投标的投价表上标明单价和总价如单价和总价不符，以总价累计为准。小写与大写不符的，以大写为准。投标人应在投标报价表中标明其提供</w:t>
      </w:r>
      <w:r>
        <w:rPr>
          <w:rFonts w:hint="eastAsia" w:ascii="宋体" w:hAnsi="宋体" w:eastAsia="宋体" w:cs="宋体"/>
          <w:color w:val="auto"/>
          <w:sz w:val="24"/>
          <w:szCs w:val="24"/>
          <w:highlight w:val="none"/>
        </w:rPr>
        <w:t>的所有货物及其相关工作范围内所在费用的总价。</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12.2 除非合同中另有规定，投标人对《投标报价表》 中的全部服务的报价应包括所投本项目审计工作所发生的全部费用以及投标人企业利润、税金和政策性文件规定及合同包含的所有风险、责任等各项应有费用。投标报价为最终报价，除非因特殊原因并经买卖双方及相</w:t>
      </w:r>
      <w:r>
        <w:rPr>
          <w:rFonts w:hint="eastAsia" w:ascii="宋体" w:hAnsi="宋体" w:eastAsia="宋体" w:cs="宋体"/>
          <w:color w:val="auto"/>
          <w:sz w:val="24"/>
          <w:szCs w:val="24"/>
          <w:highlight w:val="none"/>
        </w:rPr>
        <w:t>关监督部门协商同意，投标人不得再要求追加任何费用。同时，除非合同条款中另有规定，否则，投标单位所报价格在合同实施期间不因市场变化因素而变动。</w:t>
      </w:r>
    </w:p>
    <w:p>
      <w:pPr>
        <w:pStyle w:val="7"/>
        <w:overflowPunct w:val="0"/>
        <w:spacing w:line="5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12.3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7"/>
        <w:overflowPunct w:val="0"/>
        <w:spacing w:line="5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12.4 一项投标内容只允许一个报价，采购人不接受任何有选择性的投标报价。</w:t>
      </w:r>
    </w:p>
    <w:p>
      <w:pPr>
        <w:pStyle w:val="7"/>
        <w:overflowPunct w:val="0"/>
        <w:spacing w:line="5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12.5投标文件报价中的单价和总价全部采用人民币表示，除非合同的主要条款另有规定。</w:t>
      </w:r>
    </w:p>
    <w:p>
      <w:pPr>
        <w:pStyle w:val="7"/>
        <w:overflowPunct w:val="0"/>
        <w:spacing w:line="5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w:t>
      </w:r>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投标报价作为此次评标的评定因素之一，同时也是中标后在本次项目中的收费标准，不得进行更改收费标准。</w:t>
      </w:r>
    </w:p>
    <w:bookmarkEnd w:id="29"/>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13、投标人应逐条详细阅读招标文件有关要求，表明所提供的服务是否对招标文件做出实质性响应。</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14、投标文件的有效期</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投标文件从实际开标之日起</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天内有效。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如遇特殊情况，在原投标有效期届满之前，采购人可与投标人协商延长投标文件的有效期，并经投标人确认。</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15、投标文件的份数、签署、字体、装订</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投标人必须按“投标人须知前附表”中规定的“正本”和“副本”份数，投标文件正本和副本如有不一致之处，以正本为准。参考资料数量不限。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15.2投标文件正本和副本须使用不能擦掉的墨水打印或书写，</w:t>
      </w:r>
      <w:r>
        <w:rPr>
          <w:rFonts w:hint="eastAsia" w:ascii="宋体" w:hAnsi="宋体" w:eastAsia="宋体" w:cs="宋体"/>
          <w:b/>
          <w:bCs/>
          <w:color w:val="auto"/>
          <w:sz w:val="24"/>
          <w:szCs w:val="24"/>
          <w:highlight w:val="none"/>
        </w:rPr>
        <w:t>并由投标人法人代表或正式授权的投标人代表逐页签字并加盖公章</w:t>
      </w:r>
      <w:r>
        <w:rPr>
          <w:rFonts w:hint="eastAsia" w:ascii="宋体" w:hAnsi="宋体" w:eastAsia="宋体" w:cs="宋体"/>
          <w:color w:val="auto"/>
          <w:sz w:val="24"/>
          <w:szCs w:val="24"/>
          <w:highlight w:val="none"/>
        </w:rPr>
        <w:t>。</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投标文件应由企业法人或法人授权代表在凡规定签章处逐一签署及加盖单位公章。</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投标文件一律采用胶装方式进行装订。</w:t>
      </w:r>
    </w:p>
    <w:p>
      <w:pPr>
        <w:pStyle w:val="1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w:t>
      </w:r>
      <w:bookmarkStart w:id="30" w:name="_Toc243906332"/>
      <w:bookmarkStart w:id="31" w:name="_Toc243907593"/>
      <w:bookmarkStart w:id="32" w:name="_Toc245897293"/>
      <w:bookmarkStart w:id="33" w:name="_Toc233274833"/>
      <w:r>
        <w:rPr>
          <w:rFonts w:hint="eastAsia" w:ascii="宋体" w:hAnsi="宋体" w:eastAsia="宋体" w:cs="宋体"/>
          <w:b/>
          <w:color w:val="auto"/>
          <w:sz w:val="24"/>
          <w:szCs w:val="24"/>
          <w:highlight w:val="none"/>
        </w:rPr>
        <w:t>投标保证金及退还</w:t>
      </w:r>
      <w:bookmarkEnd w:id="30"/>
      <w:bookmarkEnd w:id="31"/>
      <w:bookmarkEnd w:id="32"/>
      <w:bookmarkEnd w:id="33"/>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投标保证金为投标文件的组成部分之一。投标保证金是为了保护采购人免遭因投标人的行为而蒙受的损失，采购人在因投标人的行为而蒙受损失时，采购人可根据本须知第16.3条的规定对其投标保证金不予退还。</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16.2投标保证金的退还</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16.2.1未中标单位的投标保证金自中标通知书发出之日起5个工作日内一次性无息退还，</w:t>
      </w:r>
      <w:r>
        <w:rPr>
          <w:rFonts w:hint="eastAsia" w:ascii="宋体" w:hAnsi="宋体" w:eastAsia="宋体" w:cs="宋体"/>
          <w:b/>
          <w:bCs/>
          <w:color w:val="auto"/>
          <w:sz w:val="24"/>
          <w:szCs w:val="24"/>
          <w:highlight w:val="none"/>
        </w:rPr>
        <w:t>投标人凭投标保证金收据原件到</w:t>
      </w:r>
      <w:r>
        <w:rPr>
          <w:rFonts w:hint="eastAsia" w:ascii="宋体" w:hAnsi="宋体" w:eastAsia="宋体" w:cs="宋体"/>
          <w:b/>
          <w:bCs/>
          <w:color w:val="auto"/>
          <w:sz w:val="24"/>
          <w:szCs w:val="24"/>
          <w:highlight w:val="none"/>
        </w:rPr>
        <w:t>和田</w:t>
      </w:r>
      <w:r>
        <w:rPr>
          <w:rFonts w:hint="eastAsia" w:ascii="宋体" w:hAnsi="宋体" w:eastAsia="宋体" w:cs="宋体"/>
          <w:b/>
          <w:bCs/>
          <w:color w:val="auto"/>
          <w:sz w:val="24"/>
          <w:szCs w:val="24"/>
          <w:highlight w:val="none"/>
          <w:lang w:val="en-US" w:eastAsia="zh-CN"/>
        </w:rPr>
        <w:t>县</w:t>
      </w:r>
      <w:r>
        <w:rPr>
          <w:rFonts w:hint="eastAsia" w:ascii="宋体" w:hAnsi="宋体" w:eastAsia="宋体" w:cs="宋体"/>
          <w:b/>
          <w:bCs/>
          <w:color w:val="auto"/>
          <w:sz w:val="24"/>
          <w:szCs w:val="24"/>
          <w:highlight w:val="none"/>
        </w:rPr>
        <w:t>行政服务和公共资源交易中心</w:t>
      </w:r>
      <w:r>
        <w:rPr>
          <w:rFonts w:hint="eastAsia" w:ascii="宋体" w:hAnsi="宋体" w:eastAsia="宋体" w:cs="宋体"/>
          <w:b/>
          <w:bCs/>
          <w:color w:val="auto"/>
          <w:sz w:val="24"/>
          <w:szCs w:val="24"/>
          <w:highlight w:val="none"/>
        </w:rPr>
        <w:t>办理退还手续。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16.2.2中标单位的投标保证金应自签订采购合同后5个工作日内一次性无息予以退还。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16.2.3符合退还投标保证金条件的中标单位和未中标的投标人应及时到和田</w:t>
      </w:r>
      <w:r>
        <w:rPr>
          <w:rFonts w:hint="eastAsia" w:ascii="宋体" w:hAnsi="宋体" w:eastAsia="宋体" w:cs="宋体"/>
          <w:color w:val="auto"/>
          <w:sz w:val="24"/>
          <w:szCs w:val="24"/>
          <w:highlight w:val="none"/>
          <w:lang w:val="en-US" w:eastAsia="zh-CN"/>
        </w:rPr>
        <w:t>县</w:t>
      </w:r>
      <w:r>
        <w:rPr>
          <w:rFonts w:hint="eastAsia" w:ascii="宋体" w:hAnsi="宋体" w:eastAsia="宋体" w:cs="宋体"/>
          <w:color w:val="auto"/>
          <w:sz w:val="24"/>
          <w:szCs w:val="24"/>
          <w:highlight w:val="none"/>
        </w:rPr>
        <w:t>行政服务和公共资源交易中心办理退还手续，如中标单位和未中标的投标人因自身原因逾期办理投标保证金退还的，招标代理机构不承担逾期退还的责任。</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有下列情形之一者，其投标保证金将不予退还：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16.3.1投标人在提交投标文件截止时间后撤回投标文件；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16.3.2投标人在投标文件中提供虚假材料的；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16.3.3投标人与采购人、其他投标人或者招标代理机构恶意串通的；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16.3.4除因不可抗力或招标文件认可的情形外，中标单位在投标文件有效期内收到中标通知书后，由于中标单位原因未能按照招标文件要求与采购人签订并履行合同；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16.3.5《中华人民共和国政府采购法》及相关法律、法规及本招标文件规定不予退还投标保证金的其它情形。</w:t>
      </w:r>
      <w:bookmarkStart w:id="34" w:name="_Toc154996583"/>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bookmarkEnd w:id="34"/>
    <w:p>
      <w:pPr>
        <w:numPr>
          <w:ilvl w:val="0"/>
          <w:numId w:val="0"/>
        </w:num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投标文件的递交</w:t>
      </w:r>
    </w:p>
    <w:p>
      <w:pPr>
        <w:pStyle w:val="28"/>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17. 投标文件的标记</w:t>
      </w:r>
    </w:p>
    <w:p>
      <w:pPr>
        <w:pStyle w:val="2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17.1　任何不完整或不满足招标文件要求的投标文件将被拒绝。</w:t>
      </w:r>
    </w:p>
    <w:p>
      <w:pPr>
        <w:pStyle w:val="28"/>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18. 投标截止时间</w:t>
      </w:r>
    </w:p>
    <w:p>
      <w:pPr>
        <w:pStyle w:val="2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18.1  投标文件的递交不得迟于招标文件规定的截止时间。</w:t>
      </w:r>
    </w:p>
    <w:p>
      <w:pPr>
        <w:pStyle w:val="2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18.2　所有投标文件，都必须在招标方规定的投标截止时间之前上传并解密投标文件，在此之后送达的投标文件，为无效投标，投标文件将一律被拒绝。</w:t>
      </w:r>
    </w:p>
    <w:p>
      <w:pPr>
        <w:pStyle w:val="28"/>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19. 投标文件的修改和撤销</w:t>
      </w:r>
    </w:p>
    <w:p>
      <w:pPr>
        <w:pStyle w:val="2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19.1　投标人在递交投标文件后，可在规定的投标截止时间之前，对其投标文件以书面通知的形式进行修改或撤消。该通知须有投标人的法人代表或其委托代理人的签字，并得到招标方的确认。</w:t>
      </w:r>
    </w:p>
    <w:p>
      <w:pPr>
        <w:pStyle w:val="2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19.2  投标人对投标文件修改的书面材料或撤消通知应按招标文件要求进行密封、标注和递交，并注明“修改投标文件”或“撤消投标”字样，修改或撤销的内容须按招标文件的要求签署、盖章，并作为投标文件的组成部分。</w:t>
      </w:r>
    </w:p>
    <w:p>
      <w:pPr>
        <w:pStyle w:val="28"/>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19.3　对投标文件修改的书面材料应于投标截止日前送达招标方，投标截止时间以后不得修改投标文件。</w:t>
      </w:r>
    </w:p>
    <w:p>
      <w:pPr>
        <w:pStyle w:val="28"/>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rPr>
        <w:t>19.4  投标人不得在开标后至投标有效期期满前撤销投标文件，否则招标方将不予退还其投标保证金。</w:t>
      </w:r>
    </w:p>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五、开    标</w:t>
      </w:r>
    </w:p>
    <w:p>
      <w:pPr>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20、开标</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本次招标按招标文件的投标须知中规定的时间和地点进行公开开标。</w:t>
      </w:r>
    </w:p>
    <w:p>
      <w:pPr>
        <w:pStyle w:val="2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开标程序：</w:t>
      </w:r>
    </w:p>
    <w:p>
      <w:pPr>
        <w:pStyle w:val="2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（一）投标文件初审。初审分为资格性检查和响应性检查。</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1.开标后采购人将审查投标文件的完整性、准确性以及保证金提交、文件签署情况。在审查时，投标文件中开标一览表（报价表）内容与投标文件中相应内容不一致的，以开标一览表（报价表）为准；</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2.大写金额与小写金额不一致的，以大写金额为准；单价金额小数点或者百分比有明显错位的，以开标一览表（报价表）的总价为准，并修改单价；总价金额与按单价汇总金额不一致的，以单价金额计算为准。</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若投标人拒绝接受上述修正，其投标将可能被拒绝。</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4.采购人判断投标文件的响应性是基于投标文件本身而不靠外部证据。</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采购人将拒绝被定为非响应性的投标，投标人不能通过修正或撤消不符之处而使其投标成为响应性投标。</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（三）比较与评价。按规定的评标方法和标准，对资格性检查和符合性检查合格的投标文件进行商务和技术评估，综合比较与评价。</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（四）推荐中标候选投标人名单，并按顺序排列。</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(五)编写评标报告。评标报告是评标委员会根据全体评标成员签字的原始评标记录和评标结果编写的报告，其主要内容包括：</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1、招标公告刊登的媒体名称、开标日期和地点；</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2、购买招标文件的投标人名单和评标委员会成员名单；</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3、评标方法和标准；</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5、评标结果和中标候选投标人排序表；</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6、评标委员会的授标建议。</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在评标中，不得改变已规定的评标标准、方法和中标条件。</w:t>
      </w:r>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六、评标、定标</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21、评标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  </w:t>
      </w:r>
      <w:r>
        <w:rPr>
          <w:rFonts w:hint="eastAsia" w:ascii="宋体" w:hAnsi="宋体" w:eastAsia="宋体" w:cs="宋体"/>
          <w:b/>
          <w:color w:val="auto"/>
          <w:sz w:val="24"/>
          <w:szCs w:val="24"/>
          <w:highlight w:val="none"/>
        </w:rPr>
        <w:t xml:space="preserve">评标委员会或评标小组 </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21.1.1评标委员会或评标小组（以下简称评标委员会）的评标工作由招标单位负责组织，具体评标事务由评标委员会负责，并独立履行其法规规定的职责。</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21.1.2评标委员会由采购人和专家库中熟悉相关技术的专家组成，成员人数为五人以上的单数，其中熟悉相关技术方面的专家不得少于成员总数的三之二。评标委员会设负责人的，评标委员会负责人由评标委员会推举产生或者由采购人确定。评标委员会负责人与评标委员会的其他成员有同等的表决权。</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21.1.3  评标委员会或评标小组负责具体的评标事务，并独立履行以下职责：</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21.1.3.1 审查投标文件是否符合招标文件的要求，并作出评价；</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21.1.3.2 可以要求投标投标人对投标文件有关事项作出解释或澄清；</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21.1.3.3 推荐中标候选投标人名单，或者受采购人委托按照事先确定的办法直接确定中标人；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21.1.3.4 向招标单位或者有关部门报告非法干预评标工作的行为。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 评标委员会成员应当履行下列义务：</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21.1.4.1 遵纪守法，客观、公正、廉洁地履行职责；</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 .2 按照招标文件规定的评标办法和评标标准进行评标，对评审意见承担个人责任；</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 .3 对评标过程和结果，以及投标人的商业秘密保密；</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 .4 参与评标报告的起草；</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 .5 配合财政部门的投诉处理工作；</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21.1.4 .6 配合招标单位答复投标投标人提出的质疑。</w:t>
      </w:r>
    </w:p>
    <w:p>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21.2按国家计委等七部委颁发的《评标委员会和评标方法暂行规定》，结合本工程特点，</w:t>
      </w:r>
      <w:r>
        <w:rPr>
          <w:rFonts w:hint="eastAsia" w:ascii="宋体" w:hAnsi="宋体" w:eastAsia="宋体" w:cs="宋体"/>
          <w:b/>
          <w:color w:val="auto"/>
          <w:sz w:val="24"/>
          <w:szCs w:val="24"/>
          <w:highlight w:val="none"/>
        </w:rPr>
        <w:t>本项目采用综合评分法，最低报价不是中标的唯一条件</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综合评分因素的主要因素为项目实施方案、价格、人员、财务状况、信誉、业绩、服务以及对招标文件的响应程度等。每一投标人的最终得分为所有评委评分的算数平均值。（总分100分：其中商务部分和方案部分占</w:t>
      </w:r>
      <w:r>
        <w:rPr>
          <w:rFonts w:hint="eastAsia" w:ascii="宋体" w:hAnsi="宋体" w:eastAsia="宋体" w:cs="宋体"/>
          <w:b/>
          <w:color w:val="auto"/>
          <w:sz w:val="24"/>
          <w:szCs w:val="24"/>
          <w:highlight w:val="none"/>
          <w:lang w:val="en-US" w:eastAsia="zh-CN"/>
        </w:rPr>
        <w:t>90</w:t>
      </w:r>
      <w:r>
        <w:rPr>
          <w:rFonts w:hint="eastAsia" w:ascii="宋体" w:hAnsi="宋体" w:eastAsia="宋体" w:cs="宋体"/>
          <w:b/>
          <w:color w:val="auto"/>
          <w:sz w:val="24"/>
          <w:szCs w:val="24"/>
          <w:highlight w:val="none"/>
        </w:rPr>
        <w:t>分，投标报价占</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分），按得分高低排序。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评标的依据为招标文件和投标文件。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21.4评标过程的保密性。开标后，直到授予投标人合同止，凡是属于审查、澄清、评价和比较的有关资料以及授标建议等均不得向投标人或其他无关的人员透露。</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 投标人在评标过程中所进行的力图影响评标结果、有悖于招标规则的活动，可能导致取消其中标资格。</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与招标文件有重大偏离的投标文件将被拒绝。且此重大偏离在开标后不许修改。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 根据国家计委等七部委颁发的《评标委员会和评标方法暂行规定》以下为</w:t>
      </w:r>
      <w:r>
        <w:rPr>
          <w:rFonts w:hint="eastAsia" w:ascii="宋体" w:hAnsi="宋体" w:eastAsia="宋体" w:cs="宋体"/>
          <w:b/>
          <w:bCs/>
          <w:color w:val="auto"/>
          <w:sz w:val="24"/>
          <w:szCs w:val="24"/>
          <w:highlight w:val="none"/>
        </w:rPr>
        <w:t>重大偏离：</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（一）投标保证金的缴纳主体与投标人不一致的，没有按照招标文件要求提供投标担保，或者所提供的投标担保有瑕疵的；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（二）投标文件没有投标人法定代表人或其授权代表签字（章）和加盖投标单位公章的；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（三）投标文件记载的招标项目完成期限超过招标文件规定的完成期限；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（四）商务条款有偏离情况的；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（五）投标附有采购人不能接受的条件；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（六）不符合招标文件中规定的其他实质性要求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（七)投标报价不符合招标文件规定的要求。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投标文件有上述情形之一的，视为非实质性响应招标，并按规定作废标处理。招标文件对重大偏差另有规定的，从其规定。</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评标委员会应当审查每一投标文件是否对招标文件提出的所有实质性要求和条件作出响应。未能在实质上响应招标的投标，将作废标处理。</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22、对投标文件的初步审查和响应性确定</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开标后采购人将审查投标文件的完整性、准确性以及保证金提交、文件签署情况。在审查时，投标报价大写与数字有出入，以大写金额为准。若投标人拒绝接受上述修正，其投标将可能被拒绝。</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22.3采购人判断投标文件的响应性是基于投标文件本身而不靠外部证据。</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采购人将拒绝被定为非响应性的投标，投标人不能通过修正或撤消不符之处而使其投标成为响应性投标。</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pStyle w:val="28"/>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评标标准</w:t>
      </w:r>
    </w:p>
    <w:tbl>
      <w:tblPr>
        <w:tblStyle w:val="2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52"/>
        <w:gridCol w:w="6775"/>
        <w:gridCol w:w="837"/>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restart"/>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52" w:type="dxa"/>
            <w:vMerge w:val="restart"/>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75" w:type="dxa"/>
            <w:vMerge w:val="restart"/>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1640" w:type="dxa"/>
            <w:gridSpan w:val="2"/>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68" w:type="dxa"/>
            <w:vMerge w:val="continue"/>
            <w:vAlign w:val="center"/>
          </w:tcPr>
          <w:p>
            <w:pPr>
              <w:autoSpaceDE w:val="0"/>
              <w:autoSpaceDN w:val="0"/>
              <w:spacing w:line="0" w:lineRule="atLeast"/>
              <w:jc w:val="center"/>
              <w:rPr>
                <w:rFonts w:hint="eastAsia" w:ascii="宋体" w:hAnsi="宋体" w:eastAsia="宋体" w:cs="宋体"/>
                <w:color w:val="auto"/>
                <w:sz w:val="24"/>
                <w:szCs w:val="24"/>
                <w:highlight w:val="none"/>
              </w:rPr>
            </w:pPr>
          </w:p>
        </w:tc>
        <w:tc>
          <w:tcPr>
            <w:tcW w:w="652" w:type="dxa"/>
            <w:vMerge w:val="continue"/>
            <w:vAlign w:val="center"/>
          </w:tcPr>
          <w:p>
            <w:pPr>
              <w:autoSpaceDE w:val="0"/>
              <w:autoSpaceDN w:val="0"/>
              <w:spacing w:line="0" w:lineRule="atLeast"/>
              <w:jc w:val="center"/>
              <w:rPr>
                <w:rFonts w:hint="eastAsia" w:ascii="宋体" w:hAnsi="宋体" w:eastAsia="宋体" w:cs="宋体"/>
                <w:color w:val="auto"/>
                <w:sz w:val="24"/>
                <w:szCs w:val="24"/>
                <w:highlight w:val="none"/>
              </w:rPr>
            </w:pPr>
          </w:p>
        </w:tc>
        <w:tc>
          <w:tcPr>
            <w:tcW w:w="6775" w:type="dxa"/>
            <w:vMerge w:val="continue"/>
            <w:vAlign w:val="center"/>
          </w:tcPr>
          <w:p>
            <w:pPr>
              <w:autoSpaceDE w:val="0"/>
              <w:autoSpaceDN w:val="0"/>
              <w:spacing w:line="0" w:lineRule="atLeast"/>
              <w:rPr>
                <w:rFonts w:hint="eastAsia" w:ascii="宋体" w:hAnsi="宋体" w:eastAsia="宋体" w:cs="宋体"/>
                <w:color w:val="auto"/>
                <w:sz w:val="24"/>
                <w:szCs w:val="24"/>
                <w:highlight w:val="none"/>
              </w:rPr>
            </w:pPr>
          </w:p>
        </w:tc>
        <w:tc>
          <w:tcPr>
            <w:tcW w:w="837"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803"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668" w:type="dxa"/>
            <w:vMerge w:val="restart"/>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75" w:type="dxa"/>
            <w:vAlign w:val="center"/>
          </w:tcPr>
          <w:p>
            <w:pPr>
              <w:widowControl/>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具有经年审合格的企业法人三证合一营业执照</w:t>
            </w:r>
            <w:r>
              <w:rPr>
                <w:rFonts w:hint="eastAsia" w:ascii="宋体" w:hAnsi="宋体" w:cs="宋体"/>
                <w:color w:val="auto"/>
                <w:kern w:val="0"/>
                <w:sz w:val="24"/>
                <w:szCs w:val="24"/>
                <w:highlight w:val="none"/>
                <w:lang w:val="en-US" w:eastAsia="zh-CN"/>
              </w:rPr>
              <w:t>(原件)</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75" w:type="dxa"/>
            <w:vAlign w:val="center"/>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法定代表人身份证原件及复印件或法人委托人须携带法人代表授权书原件及委托人身份证原件（授权书需附法人身份证及委托人身份证复印件）</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75" w:type="dxa"/>
            <w:vAlign w:val="center"/>
          </w:tcPr>
          <w:p>
            <w:pPr>
              <w:widowControl/>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拟派本项目的项目负责人需具备造价员执业资格证书或注册造价工程师资格证书</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775" w:type="dxa"/>
            <w:vAlign w:val="center"/>
          </w:tcPr>
          <w:p>
            <w:pPr>
              <w:autoSpaceDE w:val="0"/>
              <w:autoSpaceDN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775" w:type="dxa"/>
            <w:vAlign w:val="center"/>
          </w:tcPr>
          <w:p>
            <w:pPr>
              <w:autoSpaceDE w:val="0"/>
              <w:autoSpaceDN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拟参加本次招标项目的投标人，近三年内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668" w:type="dxa"/>
            <w:vMerge w:val="restart"/>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投标响应文件签字盖章是否满足招标文件要求</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投标文件是否不齐全或者内容虚假的</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是否按</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文件要求编制，内容是否全面或字迹是否模糊、辨认不清的</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投标人是否对同一招标项目做出两个以上报价而未明确效力</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服务周期是否满足招标文件基本要求</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投标文件中报价是否内容齐全，报价合理，无缺漏项，计算正确</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8" w:type="dxa"/>
            <w:vMerge w:val="continue"/>
            <w:vAlign w:val="center"/>
          </w:tcPr>
          <w:p>
            <w:pPr>
              <w:widowControl/>
              <w:spacing w:line="0" w:lineRule="atLeast"/>
              <w:jc w:val="left"/>
              <w:rPr>
                <w:rFonts w:hint="eastAsia" w:ascii="宋体" w:hAnsi="宋体" w:eastAsia="宋体" w:cs="宋体"/>
                <w:color w:val="auto"/>
                <w:sz w:val="24"/>
                <w:szCs w:val="24"/>
                <w:highlight w:val="none"/>
              </w:rPr>
            </w:pPr>
          </w:p>
        </w:tc>
        <w:tc>
          <w:tcPr>
            <w:tcW w:w="652" w:type="dxa"/>
            <w:vAlign w:val="center"/>
          </w:tcPr>
          <w:p>
            <w:pPr>
              <w:autoSpaceDE w:val="0"/>
              <w:autoSpaceDN w:val="0"/>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775" w:type="dxa"/>
            <w:vAlign w:val="center"/>
          </w:tcPr>
          <w:p>
            <w:pPr>
              <w:autoSpaceDE w:val="0"/>
              <w:autoSpaceDN w:val="0"/>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投标文件是否附有采购人不能接受的条件</w:t>
            </w:r>
          </w:p>
        </w:tc>
        <w:tc>
          <w:tcPr>
            <w:tcW w:w="837" w:type="dxa"/>
          </w:tcPr>
          <w:p>
            <w:pPr>
              <w:autoSpaceDE w:val="0"/>
              <w:autoSpaceDN w:val="0"/>
              <w:spacing w:line="0" w:lineRule="atLeast"/>
              <w:jc w:val="left"/>
              <w:rPr>
                <w:rFonts w:hint="eastAsia" w:ascii="宋体" w:hAnsi="宋体" w:eastAsia="宋体" w:cs="宋体"/>
                <w:color w:val="auto"/>
                <w:sz w:val="24"/>
                <w:szCs w:val="24"/>
                <w:highlight w:val="none"/>
              </w:rPr>
            </w:pPr>
          </w:p>
        </w:tc>
        <w:tc>
          <w:tcPr>
            <w:tcW w:w="803" w:type="dxa"/>
          </w:tcPr>
          <w:p>
            <w:pPr>
              <w:autoSpaceDE w:val="0"/>
              <w:autoSpaceDN w:val="0"/>
              <w:spacing w:line="0" w:lineRule="atLeast"/>
              <w:jc w:val="left"/>
              <w:rPr>
                <w:rFonts w:hint="eastAsia" w:ascii="宋体" w:hAnsi="宋体" w:eastAsia="宋体" w:cs="宋体"/>
                <w:color w:val="auto"/>
                <w:sz w:val="24"/>
                <w:szCs w:val="24"/>
                <w:highlight w:val="none"/>
              </w:rPr>
            </w:pPr>
          </w:p>
        </w:tc>
      </w:tr>
    </w:tbl>
    <w:p>
      <w:pPr>
        <w:spacing w:line="500" w:lineRule="exact"/>
        <w:ind w:firstLine="482" w:firstLineChars="200"/>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50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22.5投标评审标准：</w:t>
      </w:r>
    </w:p>
    <w:tbl>
      <w:tblPr>
        <w:tblStyle w:val="2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1"/>
        <w:gridCol w:w="1070"/>
        <w:gridCol w:w="6889"/>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561" w:type="dxa"/>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070" w:type="dxa"/>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评分项目</w:t>
            </w:r>
          </w:p>
        </w:tc>
        <w:tc>
          <w:tcPr>
            <w:tcW w:w="6889" w:type="dxa"/>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评分</w:t>
            </w:r>
          </w:p>
        </w:tc>
        <w:tc>
          <w:tcPr>
            <w:tcW w:w="802" w:type="dxa"/>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rPr>
        <w:tc>
          <w:tcPr>
            <w:tcW w:w="561" w:type="dxa"/>
            <w:vMerge w:val="restart"/>
            <w:noWrap w:val="0"/>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070" w:type="dxa"/>
            <w:vMerge w:val="restart"/>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投标单位情况</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（15分）</w:t>
            </w:r>
          </w:p>
        </w:tc>
        <w:tc>
          <w:tcPr>
            <w:tcW w:w="6889" w:type="dxa"/>
            <w:noWrap w:val="0"/>
            <w:vAlign w:val="center"/>
          </w:tcPr>
          <w:p>
            <w:pPr>
              <w:widowControl/>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工程造价单位人员情况：注册造价工程师并具备中、高级职称总人数6人的得6分、每少1人扣1分；</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rPr>
        <w:tc>
          <w:tcPr>
            <w:tcW w:w="561" w:type="dxa"/>
            <w:vMerge w:val="continue"/>
            <w:noWrap w:val="0"/>
            <w:vAlign w:val="center"/>
          </w:tcPr>
          <w:p>
            <w:pPr>
              <w:widowControl/>
              <w:jc w:val="center"/>
              <w:textAlignment w:val="center"/>
              <w:rPr>
                <w:rFonts w:hint="eastAsia" w:ascii="宋体" w:hAnsi="宋体" w:eastAsia="宋体" w:cs="宋体"/>
                <w:color w:val="auto"/>
                <w:kern w:val="0"/>
                <w:sz w:val="24"/>
                <w:szCs w:val="24"/>
                <w:highlight w:val="none"/>
                <w:lang w:bidi="ar"/>
              </w:rPr>
            </w:pPr>
          </w:p>
        </w:tc>
        <w:tc>
          <w:tcPr>
            <w:tcW w:w="1070" w:type="dxa"/>
            <w:vMerge w:val="continue"/>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c>
          <w:tcPr>
            <w:tcW w:w="6889" w:type="dxa"/>
            <w:noWrap w:val="0"/>
            <w:vAlign w:val="center"/>
          </w:tcPr>
          <w:p>
            <w:pPr>
              <w:widowControl/>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拥有本地区造价站本年度造价资质备案表</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1" w:hRule="atLeast"/>
        </w:trPr>
        <w:tc>
          <w:tcPr>
            <w:tcW w:w="561" w:type="dxa"/>
            <w:vMerge w:val="continue"/>
            <w:noWrap w:val="0"/>
            <w:vAlign w:val="center"/>
          </w:tcPr>
          <w:p>
            <w:pPr>
              <w:widowControl/>
              <w:jc w:val="center"/>
              <w:textAlignment w:val="center"/>
              <w:rPr>
                <w:rFonts w:hint="eastAsia" w:ascii="宋体" w:hAnsi="宋体" w:eastAsia="宋体" w:cs="宋体"/>
                <w:color w:val="auto"/>
                <w:kern w:val="0"/>
                <w:sz w:val="24"/>
                <w:szCs w:val="24"/>
                <w:highlight w:val="none"/>
                <w:lang w:bidi="ar"/>
              </w:rPr>
            </w:pPr>
          </w:p>
        </w:tc>
        <w:tc>
          <w:tcPr>
            <w:tcW w:w="1070" w:type="dxa"/>
            <w:vMerge w:val="continue"/>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c>
          <w:tcPr>
            <w:tcW w:w="6889" w:type="dxa"/>
            <w:noWrap w:val="0"/>
            <w:vAlign w:val="center"/>
          </w:tcPr>
          <w:p>
            <w:pPr>
              <w:pStyle w:val="20"/>
              <w:keepNext w:val="0"/>
              <w:keepLines w:val="0"/>
              <w:widowControl/>
              <w:suppressLineNumbers w:val="0"/>
              <w:spacing w:line="405" w:lineRule="atLeast"/>
              <w:ind w:right="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具有良好的商业信誉和健全的财务会计制度（需提供会计事务所出具2020年度财务审计报</w:t>
            </w:r>
            <w:r>
              <w:rPr>
                <w:rFonts w:hint="eastAsia" w:ascii="宋体" w:hAnsi="宋体" w:cs="宋体"/>
                <w:color w:val="auto"/>
                <w:kern w:val="0"/>
                <w:sz w:val="24"/>
                <w:szCs w:val="24"/>
                <w:highlight w:val="none"/>
                <w:lang w:val="en-US" w:eastAsia="zh-CN" w:bidi="ar"/>
              </w:rPr>
              <w:t>告</w:t>
            </w:r>
            <w:r>
              <w:rPr>
                <w:rFonts w:hint="eastAsia" w:ascii="宋体" w:hAnsi="宋体" w:eastAsia="宋体" w:cs="宋体"/>
                <w:color w:val="auto"/>
                <w:kern w:val="0"/>
                <w:sz w:val="24"/>
                <w:szCs w:val="24"/>
                <w:highlight w:val="none"/>
                <w:lang w:val="en-US" w:eastAsia="zh-CN" w:bidi="ar"/>
              </w:rPr>
              <w:t>。</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5" w:hRule="atLeast"/>
        </w:trPr>
        <w:tc>
          <w:tcPr>
            <w:tcW w:w="561" w:type="dxa"/>
            <w:vMerge w:val="restart"/>
            <w:noWrap w:val="0"/>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1070" w:type="dxa"/>
            <w:vMerge w:val="restart"/>
            <w:noWrap w:val="0"/>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近三年受委托的审计项目工作经验</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c>
          <w:tcPr>
            <w:tcW w:w="6889" w:type="dxa"/>
            <w:noWrap w:val="0"/>
            <w:vAlign w:val="center"/>
          </w:tcPr>
          <w:p>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造价咨询：</w:t>
            </w:r>
            <w:r>
              <w:rPr>
                <w:rFonts w:hint="eastAsia" w:ascii="宋体" w:hAnsi="宋体" w:eastAsia="宋体" w:cs="宋体"/>
                <w:color w:val="auto"/>
                <w:kern w:val="0"/>
                <w:sz w:val="24"/>
                <w:szCs w:val="24"/>
                <w:highlight w:val="none"/>
                <w:lang w:bidi="ar"/>
              </w:rPr>
              <w:t>根据投标人提供的近三年业绩情况统计，审核项目达到7个以上的得</w:t>
            </w: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分，审核项目达到5个得</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分，审核项目达到3个得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分，审核项目达到</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个得</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低于2个项目不得分。（以合同</w:t>
            </w:r>
            <w:r>
              <w:rPr>
                <w:rFonts w:hint="eastAsia" w:ascii="宋体" w:hAnsi="宋体" w:eastAsia="宋体" w:cs="宋体"/>
                <w:color w:val="auto"/>
                <w:kern w:val="0"/>
                <w:sz w:val="24"/>
                <w:szCs w:val="24"/>
                <w:highlight w:val="none"/>
                <w:lang w:val="en-US" w:eastAsia="zh-CN" w:bidi="ar"/>
              </w:rPr>
              <w:t>或中标通知书或</w:t>
            </w:r>
            <w:r>
              <w:rPr>
                <w:rFonts w:hint="eastAsia" w:ascii="宋体" w:hAnsi="宋体" w:eastAsia="宋体" w:cs="宋体"/>
                <w:color w:val="auto"/>
                <w:kern w:val="0"/>
                <w:sz w:val="24"/>
                <w:szCs w:val="24"/>
                <w:highlight w:val="none"/>
                <w:lang w:bidi="ar"/>
              </w:rPr>
              <w:t>审计报告为依据）</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561" w:type="dxa"/>
            <w:vMerge w:val="continue"/>
            <w:noWrap w:val="0"/>
            <w:vAlign w:val="center"/>
          </w:tcPr>
          <w:p>
            <w:pPr>
              <w:widowControl/>
              <w:jc w:val="center"/>
              <w:textAlignment w:val="center"/>
              <w:rPr>
                <w:rFonts w:hint="eastAsia" w:ascii="宋体" w:hAnsi="宋体" w:eastAsia="宋体" w:cs="宋体"/>
                <w:color w:val="auto"/>
                <w:kern w:val="0"/>
                <w:sz w:val="24"/>
                <w:szCs w:val="24"/>
                <w:highlight w:val="none"/>
                <w:lang w:bidi="ar"/>
              </w:rPr>
            </w:pPr>
          </w:p>
        </w:tc>
        <w:tc>
          <w:tcPr>
            <w:tcW w:w="1070" w:type="dxa"/>
            <w:vMerge w:val="continue"/>
            <w:noWrap w:val="0"/>
            <w:vAlign w:val="center"/>
          </w:tcPr>
          <w:p>
            <w:pPr>
              <w:widowControl/>
              <w:jc w:val="center"/>
              <w:textAlignment w:val="center"/>
              <w:rPr>
                <w:rFonts w:hint="eastAsia" w:ascii="宋体" w:hAnsi="宋体" w:eastAsia="宋体" w:cs="宋体"/>
                <w:color w:val="auto"/>
                <w:kern w:val="0"/>
                <w:sz w:val="24"/>
                <w:szCs w:val="24"/>
                <w:highlight w:val="none"/>
                <w:lang w:bidi="ar"/>
              </w:rPr>
            </w:pPr>
          </w:p>
        </w:tc>
        <w:tc>
          <w:tcPr>
            <w:tcW w:w="6889" w:type="dxa"/>
            <w:noWrap w:val="0"/>
            <w:vAlign w:val="center"/>
          </w:tcPr>
          <w:p>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近三年政府投资审计项目涉及工民建、园林、市政、水利项目，每个类别有1项得0.5分，每个类别最多得1分，最多</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分（以合同</w:t>
            </w:r>
            <w:r>
              <w:rPr>
                <w:rFonts w:hint="eastAsia" w:ascii="宋体" w:hAnsi="宋体" w:eastAsia="宋体" w:cs="宋体"/>
                <w:color w:val="auto"/>
                <w:kern w:val="0"/>
                <w:sz w:val="24"/>
                <w:szCs w:val="24"/>
                <w:highlight w:val="none"/>
                <w:lang w:val="en-US" w:eastAsia="zh-CN" w:bidi="ar"/>
              </w:rPr>
              <w:t>或中标通知书或</w:t>
            </w:r>
            <w:r>
              <w:rPr>
                <w:rFonts w:hint="eastAsia" w:ascii="宋体" w:hAnsi="宋体" w:eastAsia="宋体" w:cs="宋体"/>
                <w:color w:val="auto"/>
                <w:kern w:val="0"/>
                <w:sz w:val="24"/>
                <w:szCs w:val="24"/>
                <w:highlight w:val="none"/>
                <w:lang w:bidi="ar"/>
              </w:rPr>
              <w:t>审计报告为依据）</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2" w:hRule="atLeast"/>
        </w:trPr>
        <w:tc>
          <w:tcPr>
            <w:tcW w:w="561" w:type="dxa"/>
            <w:vMerge w:val="restart"/>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p>
            <w:pPr>
              <w:jc w:val="center"/>
              <w:textAlignment w:val="center"/>
              <w:rPr>
                <w:rFonts w:hint="eastAsia" w:ascii="宋体" w:hAnsi="宋体" w:eastAsia="宋体" w:cs="宋体"/>
                <w:color w:val="auto"/>
                <w:sz w:val="24"/>
                <w:szCs w:val="24"/>
                <w:highlight w:val="none"/>
              </w:rPr>
            </w:pPr>
          </w:p>
        </w:tc>
        <w:tc>
          <w:tcPr>
            <w:tcW w:w="1070" w:type="dxa"/>
            <w:vMerge w:val="restart"/>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           （</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889" w:type="dxa"/>
            <w:noWrap w:val="0"/>
            <w:vAlign w:val="center"/>
          </w:tcPr>
          <w:p>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eastAsia="zh-CN"/>
              </w:rPr>
              <w:t>和田县一万亩补充耕地项目施工监理和审计服务采购招标（包二）</w:t>
            </w:r>
            <w:r>
              <w:rPr>
                <w:rFonts w:hint="eastAsia" w:ascii="宋体" w:hAnsi="宋体" w:eastAsia="宋体" w:cs="宋体"/>
                <w:color w:val="auto"/>
                <w:sz w:val="24"/>
                <w:szCs w:val="24"/>
                <w:highlight w:val="none"/>
              </w:rPr>
              <w:t>审计负责人自取得注册造价师证书之日起从事造价咨询工作满5年（需提供本单位近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个月社保证明）得3分,高级职称得2分，否则不得分。</w:t>
            </w:r>
          </w:p>
        </w:tc>
        <w:tc>
          <w:tcPr>
            <w:tcW w:w="802" w:type="dxa"/>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trPr>
        <w:tc>
          <w:tcPr>
            <w:tcW w:w="561"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1070"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6889" w:type="dxa"/>
            <w:noWrap w:val="0"/>
            <w:vAlign w:val="center"/>
          </w:tcPr>
          <w:p>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注册造价师</w:t>
            </w:r>
            <w:r>
              <w:rPr>
                <w:rFonts w:hint="eastAsia" w:ascii="宋体" w:hAnsi="宋体" w:eastAsia="宋体" w:cs="宋体"/>
                <w:color w:val="auto"/>
                <w:sz w:val="24"/>
                <w:szCs w:val="24"/>
                <w:highlight w:val="none"/>
              </w:rPr>
              <w:t>近</w:t>
            </w:r>
            <w:r>
              <w:rPr>
                <w:rStyle w:val="34"/>
                <w:rFonts w:hint="eastAsia" w:ascii="宋体" w:hAnsi="宋体" w:eastAsia="宋体" w:cs="宋体"/>
                <w:color w:val="auto"/>
                <w:sz w:val="24"/>
                <w:szCs w:val="24"/>
                <w:highlight w:val="none"/>
              </w:rPr>
              <w:t>三年完成政府投资项目建设项目竣工审计业绩3项得基本分2分（不足不得分），每增加一项加0.5分，最多3分；（</w:t>
            </w:r>
            <w:r>
              <w:rPr>
                <w:rFonts w:hint="eastAsia" w:ascii="宋体" w:hAnsi="宋体" w:eastAsia="宋体" w:cs="宋体"/>
                <w:color w:val="auto"/>
                <w:kern w:val="0"/>
                <w:sz w:val="24"/>
                <w:szCs w:val="24"/>
                <w:highlight w:val="none"/>
                <w:lang w:bidi="ar"/>
              </w:rPr>
              <w:t>以合同</w:t>
            </w:r>
            <w:r>
              <w:rPr>
                <w:rFonts w:hint="eastAsia" w:ascii="宋体" w:hAnsi="宋体" w:eastAsia="宋体" w:cs="宋体"/>
                <w:color w:val="auto"/>
                <w:kern w:val="0"/>
                <w:sz w:val="24"/>
                <w:szCs w:val="24"/>
                <w:highlight w:val="none"/>
                <w:lang w:val="en-US" w:eastAsia="zh-CN" w:bidi="ar"/>
              </w:rPr>
              <w:t>或中标通知书或</w:t>
            </w:r>
            <w:r>
              <w:rPr>
                <w:rFonts w:hint="eastAsia" w:ascii="宋体" w:hAnsi="宋体" w:eastAsia="宋体" w:cs="宋体"/>
                <w:color w:val="auto"/>
                <w:kern w:val="0"/>
                <w:sz w:val="24"/>
                <w:szCs w:val="24"/>
                <w:highlight w:val="none"/>
                <w:lang w:bidi="ar"/>
              </w:rPr>
              <w:t>审计报告为依据</w:t>
            </w:r>
            <w:r>
              <w:rPr>
                <w:rStyle w:val="34"/>
                <w:rFonts w:hint="eastAsia" w:ascii="宋体" w:hAnsi="宋体" w:eastAsia="宋体" w:cs="宋体"/>
                <w:color w:val="auto"/>
                <w:sz w:val="24"/>
                <w:szCs w:val="24"/>
                <w:highlight w:val="none"/>
              </w:rPr>
              <w:t>）</w:t>
            </w:r>
          </w:p>
        </w:tc>
        <w:tc>
          <w:tcPr>
            <w:tcW w:w="802" w:type="dxa"/>
            <w:noWrap w:val="0"/>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561" w:type="dxa"/>
            <w:vMerge w:val="restart"/>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70" w:type="dxa"/>
            <w:vMerge w:val="restart"/>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拟选派参加审计</w:t>
            </w:r>
            <w:r>
              <w:rPr>
                <w:rFonts w:hint="eastAsia" w:ascii="宋体" w:hAnsi="宋体" w:eastAsia="宋体" w:cs="宋体"/>
                <w:color w:val="auto"/>
                <w:sz w:val="24"/>
                <w:szCs w:val="24"/>
                <w:highlight w:val="none"/>
                <w:lang w:val="en-US" w:eastAsia="zh-CN"/>
              </w:rPr>
              <w:t>及会计</w:t>
            </w:r>
            <w:r>
              <w:rPr>
                <w:rFonts w:hint="eastAsia" w:ascii="宋体" w:hAnsi="宋体" w:eastAsia="宋体" w:cs="宋体"/>
                <w:color w:val="auto"/>
                <w:sz w:val="24"/>
                <w:szCs w:val="24"/>
                <w:highlight w:val="none"/>
              </w:rPr>
              <w:t>人员情况（1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889" w:type="dxa"/>
            <w:noWrap w:val="0"/>
            <w:vAlign w:val="center"/>
          </w:tcPr>
          <w:p>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担任主审人员：拟投入</w:t>
            </w:r>
            <w:r>
              <w:rPr>
                <w:rFonts w:hint="eastAsia" w:ascii="宋体" w:hAnsi="宋体" w:eastAsia="宋体" w:cs="宋体"/>
                <w:color w:val="auto"/>
                <w:sz w:val="24"/>
                <w:szCs w:val="24"/>
                <w:highlight w:val="none"/>
                <w:lang w:val="en-US" w:eastAsia="zh-CN"/>
              </w:rPr>
              <w:t>本次项目</w:t>
            </w:r>
            <w:r>
              <w:rPr>
                <w:rStyle w:val="34"/>
                <w:rFonts w:hint="eastAsia" w:ascii="宋体" w:hAnsi="宋体" w:eastAsia="宋体" w:cs="宋体"/>
                <w:color w:val="auto"/>
                <w:sz w:val="24"/>
                <w:szCs w:val="24"/>
                <w:highlight w:val="none"/>
              </w:rPr>
              <w:t>主审人员中注册造价师</w:t>
            </w:r>
            <w:r>
              <w:rPr>
                <w:rStyle w:val="34"/>
                <w:rFonts w:hint="eastAsia" w:ascii="宋体" w:hAnsi="宋体" w:eastAsia="宋体" w:cs="宋体"/>
                <w:color w:val="auto"/>
                <w:sz w:val="24"/>
                <w:szCs w:val="24"/>
                <w:highlight w:val="none"/>
                <w:lang w:val="en-US" w:eastAsia="zh-CN"/>
              </w:rPr>
              <w:t>2</w:t>
            </w:r>
            <w:r>
              <w:rPr>
                <w:rStyle w:val="34"/>
                <w:rFonts w:hint="eastAsia" w:ascii="宋体" w:hAnsi="宋体" w:eastAsia="宋体" w:cs="宋体"/>
                <w:color w:val="auto"/>
                <w:sz w:val="24"/>
                <w:szCs w:val="24"/>
                <w:highlight w:val="none"/>
              </w:rPr>
              <w:t>人得基本分3分，</w:t>
            </w:r>
            <w:r>
              <w:rPr>
                <w:rStyle w:val="34"/>
                <w:rFonts w:hint="eastAsia" w:ascii="宋体" w:hAnsi="宋体" w:eastAsia="宋体" w:cs="宋体"/>
                <w:color w:val="auto"/>
                <w:sz w:val="24"/>
                <w:szCs w:val="24"/>
                <w:highlight w:val="none"/>
                <w:lang w:val="en-US" w:eastAsia="zh-CN"/>
              </w:rPr>
              <w:t>具有中级职称以上的</w:t>
            </w:r>
            <w:r>
              <w:rPr>
                <w:rStyle w:val="34"/>
                <w:rFonts w:hint="eastAsia" w:ascii="宋体" w:hAnsi="宋体" w:eastAsia="宋体" w:cs="宋体"/>
                <w:color w:val="auto"/>
                <w:sz w:val="24"/>
                <w:szCs w:val="24"/>
                <w:highlight w:val="none"/>
              </w:rPr>
              <w:t>每增加1人得1分加至总分5分</w:t>
            </w:r>
          </w:p>
        </w:tc>
        <w:tc>
          <w:tcPr>
            <w:tcW w:w="802"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561"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1070"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6889" w:type="dxa"/>
            <w:noWrap w:val="0"/>
            <w:vAlign w:val="center"/>
          </w:tcPr>
          <w:p>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参审人员：拟投入</w:t>
            </w:r>
            <w:r>
              <w:rPr>
                <w:rFonts w:hint="eastAsia" w:ascii="宋体" w:hAnsi="宋体" w:eastAsia="宋体" w:cs="宋体"/>
                <w:color w:val="auto"/>
                <w:sz w:val="24"/>
                <w:szCs w:val="24"/>
                <w:highlight w:val="none"/>
                <w:lang w:val="en-US" w:eastAsia="zh-CN"/>
              </w:rPr>
              <w:t>本次项目</w:t>
            </w:r>
            <w:r>
              <w:rPr>
                <w:rFonts w:hint="eastAsia" w:ascii="宋体" w:hAnsi="宋体" w:eastAsia="宋体" w:cs="宋体"/>
                <w:color w:val="auto"/>
                <w:sz w:val="24"/>
                <w:szCs w:val="24"/>
                <w:highlight w:val="none"/>
              </w:rPr>
              <w:t>参审人员中具有6名造价员及以上执业资格人员得基本分2分，造价员中每有一名中级及以上执业资格人员加0.5分，最多加1分，参审人员中具有注册造价师每人加1分，最多加2分</w:t>
            </w:r>
          </w:p>
        </w:tc>
        <w:tc>
          <w:tcPr>
            <w:tcW w:w="802"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5" w:hRule="atLeast"/>
        </w:trPr>
        <w:tc>
          <w:tcPr>
            <w:tcW w:w="561" w:type="dxa"/>
            <w:vMerge w:val="restart"/>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70" w:type="dxa"/>
            <w:vMerge w:val="restart"/>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审计实施方案       （3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889" w:type="dxa"/>
            <w:noWrap w:val="0"/>
            <w:vAlign w:val="center"/>
          </w:tcPr>
          <w:p>
            <w:pPr>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根据投标人是否提供切实可行的建设项目竣工结算审计，针对本次服务入围的项目方案明确、可行，咨询工作范围、任务及目标明确 酌情给分。</w:t>
            </w:r>
          </w:p>
        </w:tc>
        <w:tc>
          <w:tcPr>
            <w:tcW w:w="802"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5" w:hRule="atLeast"/>
        </w:trPr>
        <w:tc>
          <w:tcPr>
            <w:tcW w:w="561"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1070"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6889" w:type="dxa"/>
            <w:noWrap w:val="0"/>
            <w:vAlign w:val="center"/>
          </w:tcPr>
          <w:p>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根据建设项目竣工结算审计服务的关键控制点工作及相关合理化建议及保证措施是否全面可行酌情给分。</w:t>
            </w:r>
          </w:p>
        </w:tc>
        <w:tc>
          <w:tcPr>
            <w:tcW w:w="802"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561"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1070" w:type="dxa"/>
            <w:vMerge w:val="continue"/>
            <w:noWrap w:val="0"/>
            <w:vAlign w:val="center"/>
          </w:tcPr>
          <w:p>
            <w:pPr>
              <w:jc w:val="center"/>
              <w:rPr>
                <w:rFonts w:hint="eastAsia" w:ascii="宋体" w:hAnsi="宋体" w:eastAsia="宋体" w:cs="宋体"/>
                <w:color w:val="auto"/>
                <w:sz w:val="24"/>
                <w:szCs w:val="24"/>
                <w:highlight w:val="none"/>
              </w:rPr>
            </w:pPr>
          </w:p>
        </w:tc>
        <w:tc>
          <w:tcPr>
            <w:tcW w:w="6889" w:type="dxa"/>
            <w:noWrap w:val="0"/>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根据审计服务的关键控制点工作及相关合理化建议及保证措施是否全面可行酌情给分。</w:t>
            </w:r>
          </w:p>
        </w:tc>
        <w:tc>
          <w:tcPr>
            <w:tcW w:w="802"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trPr>
        <w:tc>
          <w:tcPr>
            <w:tcW w:w="561"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7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企业综合实力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tc>
        <w:tc>
          <w:tcPr>
            <w:tcW w:w="6889" w:type="dxa"/>
            <w:noWrap w:val="0"/>
            <w:vAlign w:val="center"/>
          </w:tcPr>
          <w:p>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评委根据企业综合情况、供应商投标文件的响应程度横向对比，综合赋分：优 6-8分；良 3-5分；差 0-2分；</w:t>
            </w:r>
          </w:p>
        </w:tc>
        <w:tc>
          <w:tcPr>
            <w:tcW w:w="802"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5" w:hRule="atLeast"/>
        </w:trPr>
        <w:tc>
          <w:tcPr>
            <w:tcW w:w="561"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070"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标函质量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tc>
        <w:tc>
          <w:tcPr>
            <w:tcW w:w="6889" w:type="dxa"/>
            <w:noWrap w:val="0"/>
            <w:vAlign w:val="center"/>
          </w:tcPr>
          <w:p>
            <w:pPr>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编制内容完整、齐全、叙述严谨，标书无涂改、错页、漏页现象，履约措施具体、合理、可行得 1.5-3 分；标函编制内容不完整、叙述简单，标书有涂改、错页或漏页现象，履约措施不具体得 0-1.5 分。</w:t>
            </w:r>
          </w:p>
        </w:tc>
        <w:tc>
          <w:tcPr>
            <w:tcW w:w="802" w:type="dxa"/>
            <w:noWrap w:val="0"/>
            <w:vAlign w:val="center"/>
          </w:tcPr>
          <w:p>
            <w:pPr>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0" w:hRule="atLeast"/>
        </w:trPr>
        <w:tc>
          <w:tcPr>
            <w:tcW w:w="561"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70" w:type="dxa"/>
            <w:noWrap w:val="0"/>
            <w:vAlign w:val="center"/>
          </w:tcPr>
          <w:p>
            <w:pP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p>
          <w:p>
            <w:pP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10分</w:t>
            </w:r>
            <w:r>
              <w:rPr>
                <w:rFonts w:hint="eastAsia" w:ascii="宋体" w:hAnsi="宋体" w:eastAsia="宋体" w:cs="宋体"/>
                <w:color w:val="auto"/>
                <w:kern w:val="0"/>
                <w:sz w:val="24"/>
                <w:szCs w:val="24"/>
                <w:highlight w:val="none"/>
              </w:rPr>
              <w:t>）</w:t>
            </w:r>
          </w:p>
        </w:tc>
        <w:tc>
          <w:tcPr>
            <w:tcW w:w="6889" w:type="dxa"/>
            <w:noWrap w:val="0"/>
            <w:vAlign w:val="center"/>
          </w:tcPr>
          <w:p>
            <w:pPr>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价格得分计算方法：基准价的确定：</w:t>
            </w:r>
          </w:p>
          <w:p>
            <w:pPr>
              <w:jc w:val="both"/>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kern w:val="0"/>
                <w:sz w:val="24"/>
                <w:szCs w:val="24"/>
                <w:highlight w:val="none"/>
                <w:lang w:val="en-US" w:eastAsia="zh-CN"/>
              </w:rPr>
              <w:t>10</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trPr>
        <w:tc>
          <w:tcPr>
            <w:tcW w:w="8520" w:type="dxa"/>
            <w:gridSpan w:val="3"/>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02" w:type="dxa"/>
            <w:noWrap w:val="0"/>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100分</w:t>
            </w:r>
          </w:p>
        </w:tc>
      </w:tr>
    </w:tbl>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23、投标文件的澄清</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评标委员会在评标过程中有权随时请投标人就投标文件中含混之处加以澄清或答疑。</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投标人对要求澄清的问题应以书面形式明确答复，并应有法人授权代表的签署。</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投标人的澄清文件是投标文件的组成部分，并取代投标文件中被澄清的部分。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投标文件的澄清不得改变投标的实质内容。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23.5如果投标人在投标文件中未对招标文件中的条款或参数要求提出偏离意见或澄清将视同投标人同意招标文件的全部或部分要求。</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24、定标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评标委员会有权选择和拒绝投标人中标，且无需向投标人进行任何有关评标的解释工作。</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评标委员会通过上述评标方法以最终合计得分按得分高低排序。</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24.3 采购人根据评标委员会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25、中标的标准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资格审查文件完整无缺；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已交纳投标保证金；</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报价合理，承诺条件优惠；</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 投标文件与招标文件无重大偏离；</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 有较强的技术力量，能提供完善的技术服务，有较好的行业业绩；</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其他；</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25.7 在合同签订之前，采购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26、中标通知</w:t>
      </w:r>
    </w:p>
    <w:p>
      <w:pPr>
        <w:spacing w:line="5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26.1中标公示期：</w:t>
      </w:r>
      <w:r>
        <w:rPr>
          <w:rFonts w:hint="eastAsia" w:ascii="宋体" w:hAnsi="宋体" w:eastAsia="宋体" w:cs="宋体"/>
          <w:b w:val="0"/>
          <w:bCs w:val="0"/>
          <w:color w:val="auto"/>
          <w:sz w:val="24"/>
          <w:szCs w:val="24"/>
          <w:highlight w:val="none"/>
          <w:u w:val="single"/>
        </w:rPr>
        <w:t>中标结果公示一个工作日。</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26.2招标代理机构根据定标结果，在投标有效期届满前，以书面形式向中标单位发出中标通知书。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26.3招标代理机构将定标结果及时通知未中标单位并退还投标保证金。无需解释落标原因。</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27、拒绝某些或所有投标的权力</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27.1采购人有权在定标之前拒绝任何有不正当行为或扰乱正常招标工作的投标人，由此对投标人造成的损失不负任何责任，同时对此无需做任何解释。</w:t>
      </w:r>
    </w:p>
    <w:p>
      <w:pPr>
        <w:widowControl/>
        <w:spacing w:line="500" w:lineRule="exact"/>
        <w:ind w:firstLine="236" w:firstLineChars="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28、</w:t>
      </w:r>
      <w:r>
        <w:rPr>
          <w:rFonts w:hint="eastAsia" w:ascii="宋体" w:hAnsi="宋体" w:eastAsia="宋体" w:cs="宋体"/>
          <w:b/>
          <w:color w:val="auto"/>
          <w:sz w:val="24"/>
          <w:szCs w:val="24"/>
          <w:highlight w:val="none"/>
        </w:rPr>
        <w:t>付款方式</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详见投标须知前附表及招标书特别提示。</w:t>
      </w:r>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七、签定合同</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29、签定合同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采购人和中标人在自中标通知书发出之日起30日内，依据《中华人民共和国经济合同法》和有关法规及招、投标文件签定合同。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中标合同不得转让。合同分包需在投标文件中予以说明，并需经采购人同意。否则，采购人有权取消中标人的中标资格。</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采购人如遇中标人违约，可从侯选中标人中重新选定中标人，并签定经济合同。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29.4 合同的制订由采购人、中标人双方参加，为确保合同双方的利益均等，由采购人在合同制订过程中进行协调。</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29.5 合同一式三份，需经采购人、中标人及政府采购办三方签字盖章后即生效。采购人、中标人及政府采购办亦可自愿申请公证。</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30、合同的组成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下列文件均为合同不可分割部分：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30.1.1 协议书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30.1.2 中标通知书；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30.1.3 专用条款及附录；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30.1.4  通用条款</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30.1.5 中标人的投标文件；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30.1.5 招标文件；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30.1.6 评标答疑记录。</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31、履约保证金</w:t>
      </w:r>
    </w:p>
    <w:p>
      <w:pPr>
        <w:pStyle w:val="7"/>
        <w:overflowPunct w:val="0"/>
        <w:spacing w:line="5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31.1 中标的投标人应按中标金额的10%提交履约保证金。</w:t>
      </w:r>
    </w:p>
    <w:p>
      <w:pPr>
        <w:pStyle w:val="7"/>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中标人与采购人签订合同的同时提交履约保证金，如中标人未按招标文件规定的工期供货及所供产品不合格，则扣除履约保证金。</w:t>
      </w:r>
    </w:p>
    <w:p>
      <w:pPr>
        <w:pStyle w:val="7"/>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31.3履约保证金（无息）将在乙方履行完成合同所有义务后凭乙方的收款收据在五天内退返乙方。</w:t>
      </w:r>
    </w:p>
    <w:p>
      <w:pPr>
        <w:numPr>
          <w:ilvl w:val="0"/>
          <w:numId w:val="2"/>
        </w:numPr>
        <w:spacing w:after="156"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特别提示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31、投标人应认真研读招标文件，充分考虑招标文件中的技术要求和合同条款后编制投标文件。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32、如招标文件中未提供的各类表格样式，投标人可另行设计表格样式，但力求内容完整，表达清晰、准确。</w:t>
      </w:r>
    </w:p>
    <w:p>
      <w:pPr>
        <w:pStyle w:val="28"/>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bookmarkStart w:id="35" w:name="_Toc3578_WPSOffice_Level1"/>
      <w:r>
        <w:rPr>
          <w:rFonts w:hint="eastAsia" w:ascii="宋体" w:hAnsi="宋体" w:eastAsia="宋体" w:cs="宋体"/>
          <w:b/>
          <w:color w:val="auto"/>
          <w:sz w:val="24"/>
          <w:szCs w:val="24"/>
          <w:highlight w:val="none"/>
        </w:rPr>
        <w:br w:type="page"/>
      </w:r>
    </w:p>
    <w:p>
      <w:pPr>
        <w:spacing w:line="360" w:lineRule="auto"/>
        <w:ind w:firstLine="2168"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技术要求</w:t>
      </w:r>
      <w:bookmarkEnd w:id="35"/>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1、采购内</w:t>
      </w:r>
      <w:r>
        <w:rPr>
          <w:rFonts w:hint="eastAsia" w:ascii="宋体" w:hAnsi="宋体" w:eastAsia="宋体" w:cs="宋体"/>
          <w:color w:val="auto"/>
          <w:sz w:val="24"/>
          <w:szCs w:val="24"/>
          <w:highlight w:val="none"/>
        </w:rPr>
        <w:t>容：</w:t>
      </w:r>
      <w:r>
        <w:rPr>
          <w:rFonts w:hint="eastAsia" w:ascii="宋体" w:hAnsi="宋体" w:eastAsia="宋体" w:cs="宋体"/>
          <w:color w:val="auto"/>
          <w:sz w:val="24"/>
          <w:szCs w:val="24"/>
          <w:highlight w:val="none"/>
          <w:lang w:eastAsia="zh-CN"/>
        </w:rPr>
        <w:t>和田县一万亩补充耕地项目</w:t>
      </w:r>
      <w:r>
        <w:rPr>
          <w:rFonts w:hint="eastAsia" w:ascii="宋体" w:hAnsi="宋体" w:eastAsia="宋体" w:cs="宋体"/>
          <w:color w:val="auto"/>
          <w:sz w:val="24"/>
          <w:szCs w:val="24"/>
          <w:highlight w:val="none"/>
          <w:lang w:val="en-US" w:eastAsia="zh-CN"/>
        </w:rPr>
        <w:t>工程结算</w:t>
      </w:r>
      <w:r>
        <w:rPr>
          <w:rFonts w:hint="eastAsia" w:ascii="宋体" w:hAnsi="宋体" w:eastAsia="宋体" w:cs="宋体"/>
          <w:color w:val="auto"/>
          <w:sz w:val="24"/>
          <w:szCs w:val="24"/>
          <w:highlight w:val="none"/>
          <w:lang w:eastAsia="zh-CN"/>
        </w:rPr>
        <w:t>审计服务</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2、成果文件应符合建设工程造价工程量清单计价规范。</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3、中标人在执行本协议期限内，必须按投标时所报的人员进行现场办公，业务人员咨询期间要按采购人要求提供业务服务等相关工作；如有</w:t>
      </w:r>
      <w:r>
        <w:rPr>
          <w:rFonts w:hint="eastAsia" w:ascii="宋体" w:hAnsi="宋体" w:eastAsia="宋体" w:cs="宋体"/>
          <w:color w:val="auto"/>
          <w:sz w:val="24"/>
          <w:szCs w:val="24"/>
          <w:highlight w:val="none"/>
        </w:rPr>
        <w:t>特殊情况需要更换业务人员（业务人员需具备相应的资质），必须经采购人及监管部门同意后方可更换。</w:t>
      </w:r>
    </w:p>
    <w:p>
      <w:pPr>
        <w:spacing w:line="460" w:lineRule="exact"/>
        <w:jc w:val="center"/>
        <w:rPr>
          <w:rFonts w:hint="eastAsia" w:ascii="宋体" w:hAnsi="宋体" w:eastAsia="宋体" w:cs="宋体"/>
          <w:b/>
          <w:color w:val="auto"/>
          <w:sz w:val="24"/>
          <w:szCs w:val="24"/>
          <w:highlight w:val="none"/>
        </w:rPr>
      </w:pPr>
      <w:bookmarkStart w:id="36" w:name="_Toc8595_WPSOffice_Level1"/>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第六章  合同</w:t>
      </w:r>
      <w:bookmarkEnd w:id="36"/>
    </w:p>
    <w:p>
      <w:pPr>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GF—2015—0212</w:t>
      </w:r>
    </w:p>
    <w:p>
      <w:pPr>
        <w:ind w:firstLine="4722" w:firstLineChars="196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合同编号：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u w:val="single"/>
        </w:rPr>
        <w:t xml:space="preserve"> </w:t>
      </w:r>
    </w:p>
    <w:p>
      <w:pPr>
        <w:rPr>
          <w:rFonts w:hint="eastAsia" w:ascii="宋体" w:hAnsi="宋体" w:eastAsia="宋体" w:cs="宋体"/>
          <w:color w:val="auto"/>
          <w:sz w:val="24"/>
          <w:szCs w:val="24"/>
          <w:highlight w:val="none"/>
          <w:lang w:eastAsia="zh-CN"/>
        </w:rPr>
      </w:pPr>
    </w:p>
    <w:p>
      <w:pPr>
        <w:pStyle w:val="28"/>
        <w:rPr>
          <w:rFonts w:hint="eastAsia" w:ascii="宋体" w:hAnsi="宋体" w:eastAsia="宋体" w:cs="宋体"/>
          <w:color w:val="auto"/>
          <w:sz w:val="24"/>
          <w:szCs w:val="24"/>
          <w:highlight w:val="none"/>
          <w:lang w:eastAsia="zh-CN"/>
        </w:rPr>
      </w:pPr>
    </w:p>
    <w:p>
      <w:pPr>
        <w:pStyle w:val="28"/>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建设工程造价咨询合同</w:t>
      </w: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（示范文本）</w:t>
      </w:r>
    </w:p>
    <w:p>
      <w:pPr>
        <w:pStyle w:val="28"/>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jc w:val="center"/>
        <w:rPr>
          <w:rFonts w:hint="eastAsia" w:ascii="宋体" w:hAnsi="宋体" w:eastAsia="宋体" w:cs="宋体"/>
          <w:color w:val="auto"/>
          <w:sz w:val="24"/>
          <w:szCs w:val="24"/>
          <w:highlight w:val="none"/>
        </w:rPr>
      </w:pPr>
    </w:p>
    <w:p>
      <w:pPr>
        <w:pStyle w:val="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3761105</wp:posOffset>
                </wp:positionH>
                <wp:positionV relativeFrom="paragraph">
                  <wp:posOffset>267970</wp:posOffset>
                </wp:positionV>
                <wp:extent cx="2239010" cy="487680"/>
                <wp:effectExtent l="5080" t="4445" r="22860" b="22225"/>
                <wp:wrapNone/>
                <wp:docPr id="5" name="Text Box 4"/>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z-index:251662336;mso-width-relative:page;mso-height-relative:page;" fillcolor="#FFFFFF" filled="t" stroked="t" coordsize="21600,21600" o:gfxdata="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WHD62AAAAAoBAAAPAAAAAAAAAAEAIAAAACIAAABkcnMvZG93&#10;bnJldi54bWxQSwECFAAUAAAACACHTuJAmgb9bgACAABMBAAADgAAAAAAAAABACAAAAAnAQAAZHJz&#10;L2Uyb0RvYy54bWxQSwUGAAAAAAYABgBZAQAAmQUAAAAA&#10;">
                <v:fill on="t" focussize="0,0"/>
                <v:stroke weight="0pt" color="#FFFFFF" joinstyle="miter"/>
                <v:imagedata o:title=""/>
                <o:lock v:ext="edit" aspectratio="f"/>
                <v:textbox style="mso-fit-shape-to-text:t;">
                  <w:txbxContent>
                    <w:p>
                      <w:pPr>
                        <w:rPr>
                          <w:b/>
                          <w:sz w:val="32"/>
                          <w:szCs w:val="32"/>
                        </w:rPr>
                      </w:pPr>
                      <w:r>
                        <w:rPr>
                          <w:rFonts w:hint="eastAsia"/>
                          <w:b/>
                          <w:sz w:val="32"/>
                          <w:szCs w:val="32"/>
                        </w:rPr>
                        <w:t>制定</w:t>
                      </w:r>
                    </w:p>
                  </w:txbxContent>
                </v:textbox>
              </v:shape>
            </w:pict>
          </mc:Fallback>
        </mc:AlternateContent>
      </w:r>
      <w:r>
        <w:rPr>
          <w:rFonts w:hint="eastAsia" w:ascii="宋体" w:hAnsi="宋体" w:eastAsia="宋体" w:cs="宋体"/>
          <w:color w:val="auto"/>
          <w:sz w:val="24"/>
          <w:szCs w:val="24"/>
          <w:highlight w:val="none"/>
        </w:rPr>
        <w:t xml:space="preserve">               住 房 和 城 乡 建 设 部</w:t>
      </w:r>
    </w:p>
    <w:p>
      <w:pPr>
        <w:pStyle w:val="58"/>
        <w:ind w:firstLine="1446"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国家工商行政管理总局</w:t>
      </w:r>
    </w:p>
    <w:p>
      <w:pPr>
        <w:pStyle w:val="62"/>
        <w:spacing w:before="0" w:after="0" w:line="500" w:lineRule="exact"/>
        <w:jc w:val="center"/>
        <w:rPr>
          <w:rFonts w:hint="eastAsia" w:ascii="宋体" w:hAnsi="宋体" w:eastAsia="宋体" w:cs="宋体"/>
          <w:color w:val="auto"/>
          <w:sz w:val="24"/>
          <w:szCs w:val="24"/>
          <w:highlight w:val="none"/>
          <w:lang w:val="zh-CN"/>
        </w:rPr>
        <w:sectPr>
          <w:headerReference r:id="rId6" w:type="first"/>
          <w:footerReference r:id="rId8" w:type="first"/>
          <w:headerReference r:id="rId5" w:type="default"/>
          <w:footerReference r:id="rId7" w:type="default"/>
          <w:pgSz w:w="11906" w:h="16838"/>
          <w:pgMar w:top="1418" w:right="1555" w:bottom="1418" w:left="1531" w:header="851" w:footer="992" w:gutter="0"/>
          <w:pgNumType w:start="0"/>
          <w:cols w:space="720" w:num="1"/>
          <w:titlePg/>
          <w:docGrid w:type="lines" w:linePitch="312" w:charSpace="0"/>
        </w:sectPr>
      </w:pPr>
    </w:p>
    <w:p>
      <w:pPr>
        <w:pStyle w:val="62"/>
        <w:spacing w:before="0" w:after="0" w:line="5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  明</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指导建设工程造价咨询合同当事人的签约行为，维护合同当事人的合法权益，依据《中华人民共和国合同法》、《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一、《示范文本》的组成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《示范文本》由协议书、通用条件和专用条件三部分组成。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（一）协议书</w:t>
      </w:r>
    </w:p>
    <w:p>
      <w:pPr>
        <w:spacing w:line="500" w:lineRule="exact"/>
        <w:ind w:left="147" w:leftChars="7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《示范文本》协议书集中约定了合同当事人基本的合同权利义务。</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（二）通用条件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通用条件是合同当事人根据《中华人民共和国合同法》、《中华人民共和国建筑法》等法律法规的规定，就工程造价咨询的实施及相关事项，对合同当事人的权利义务作出的原则性约定。</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通用条件既考虑了现行法律法规对工程发承包计价的有关要求，也考虑了工程造价咨询管理的特殊需要。</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（三）专用条件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500" w:lineRule="exact"/>
        <w:ind w:right="25" w:righ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1.专用条件的编号应与相应的通用条件的编号一致；</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2.合同当事人可以通过对专用条件的修改，满足具体工程的特殊要求，避免直接修改通用条件；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3.在专用条件中有横道线的地方，合同当事人可针对相应的通用条件进行细化、完善、补充、修改或另行约定；如无细化、完善、补充、修改或另行约定，则填写“无”或划“/”。</w:t>
      </w:r>
    </w:p>
    <w:p>
      <w:pPr>
        <w:spacing w:line="500" w:lineRule="exact"/>
        <w:ind w:firstLine="480" w:firstLineChars="200"/>
        <w:rPr>
          <w:rFonts w:hint="eastAsia" w:ascii="宋体" w:hAnsi="宋体" w:eastAsia="宋体" w:cs="宋体"/>
          <w:bCs/>
          <w:color w:val="auto"/>
          <w:sz w:val="24"/>
          <w:szCs w:val="24"/>
          <w:highlight w:val="none"/>
        </w:rPr>
        <w:sectPr>
          <w:footerReference r:id="rId9" w:type="default"/>
          <w:pgSz w:w="11906" w:h="16838"/>
          <w:pgMar w:top="1418" w:right="1555" w:bottom="1418" w:left="1531" w:header="851" w:footer="992" w:gutter="0"/>
          <w:pgNumType w:start="0"/>
          <w:cols w:space="720" w:num="1"/>
          <w:titlePg/>
          <w:docGrid w:type="lines" w:linePitch="312" w:charSpace="0"/>
        </w:sectPr>
      </w:pPr>
    </w:p>
    <w:p>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二、《示范文本》的性质和适用范围</w:t>
      </w:r>
    </w:p>
    <w:p>
      <w:pPr>
        <w:spacing w:line="500" w:lineRule="exact"/>
        <w:ind w:firstLine="480" w:firstLineChars="200"/>
        <w:rPr>
          <w:rFonts w:hint="eastAsia" w:ascii="宋体" w:hAnsi="宋体" w:eastAsia="宋体" w:cs="宋体"/>
          <w:color w:val="auto"/>
          <w:sz w:val="24"/>
          <w:szCs w:val="24"/>
          <w:highlight w:val="none"/>
        </w:rPr>
        <w:sectPr>
          <w:footerReference r:id="rId10" w:type="default"/>
          <w:pgSz w:w="11906" w:h="16838"/>
          <w:pgMar w:top="1418" w:right="1555" w:bottom="1418" w:left="1531" w:header="851" w:footer="992" w:gutter="0"/>
          <w:pgNumType w:start="0"/>
          <w:cols w:space="720" w:num="1"/>
          <w:docGrid w:type="lines" w:linePitch="312" w:charSpace="0"/>
        </w:sectPr>
      </w:pPr>
      <w:r>
        <w:rPr>
          <w:rFonts w:hint="eastAsia" w:ascii="宋体" w:hAnsi="宋体" w:eastAsia="宋体" w:cs="宋体"/>
          <w:color w:val="auto"/>
          <w:sz w:val="24"/>
          <w:szCs w:val="24"/>
          <w:highlight w:val="non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pPr>
        <w:pStyle w:val="62"/>
        <w:tabs>
          <w:tab w:val="left" w:pos="3360"/>
          <w:tab w:val="center" w:pos="4153"/>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目  录</w:t>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第一部分　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一、工程概况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二、服务范围及工作内容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三、服务期限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四、质量标准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五、酬金或计取方式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六、合同文件的构成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七、词语定义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八、合同订立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"_Toc422322479"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九、合同生效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十、合同份数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第二部分　通用条件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1.词语定义、语言、解释顺序与适用法律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1.1词语定义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368" w:leftChars="17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1.2语言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1.3合同文件的优先顺序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1.4适用法律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2.委托人的义务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2.1提供资料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"_Toc422322489"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2.2提供工作条件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2.3合理工作时限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2.4委托人代表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sectPr>
          <w:footerReference r:id="rId11" w:type="default"/>
          <w:pgSz w:w="11906" w:h="16838"/>
          <w:pgMar w:top="1440" w:right="1800" w:bottom="1440" w:left="1800" w:header="851" w:footer="992" w:gutter="0"/>
          <w:pgNumType w:start="1"/>
          <w:cols w:space="720" w:num="1"/>
          <w:docGrid w:linePitch="312" w:charSpace="0"/>
        </w:sectPr>
      </w:pP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2.5答复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2.6支付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3.咨询人的义务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3.1项目咨询团队及人员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3.2咨询人的工作要求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3.3咨询人的工作依据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3.4使用委托人房屋及设备的返还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"_Toc422322499"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4.违约责任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_Toc422322499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4.1委托人的违约责任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4.2咨询人的违约责任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5.1支付货币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5.2支付申请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5.3支付酬金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5.4有异议部分的支付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6.合同变更、解除与终止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6.1合同变更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"_Toc422322509"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6.2合同解除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6.3合同终止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7.争议解决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smallCaps/>
          <w:color w:val="auto"/>
          <w:sz w:val="24"/>
          <w:szCs w:val="24"/>
          <w:highlight w:val="none"/>
        </w:rPr>
        <w:t>7.1协商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smallCaps/>
          <w:color w:val="auto"/>
          <w:sz w:val="24"/>
          <w:szCs w:val="24"/>
          <w:highlight w:val="none"/>
        </w:rPr>
        <w:t>7.2调解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smallCaps/>
          <w:color w:val="auto"/>
          <w:sz w:val="24"/>
          <w:szCs w:val="24"/>
          <w:highlight w:val="none"/>
        </w:rPr>
        <w:t>7.3仲裁或诉讼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smallCaps/>
          <w:color w:val="auto"/>
          <w:sz w:val="24"/>
          <w:szCs w:val="24"/>
          <w:highlight w:val="none"/>
        </w:rPr>
        <w:t>8.1</w:t>
      </w:r>
      <w:r>
        <w:rPr>
          <w:rStyle w:val="26"/>
          <w:rFonts w:hint="eastAsia" w:ascii="宋体" w:hAnsi="宋体" w:eastAsia="宋体" w:cs="宋体"/>
          <w:color w:val="auto"/>
          <w:sz w:val="24"/>
          <w:szCs w:val="24"/>
          <w:highlight w:val="none"/>
        </w:rPr>
        <w:t>考察及相关费用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sectPr>
          <w:footerReference r:id="rId12" w:type="default"/>
          <w:pgSz w:w="11906" w:h="16838"/>
          <w:pgMar w:top="1440" w:right="1800" w:bottom="1440" w:left="1800" w:header="851" w:footer="992" w:gutter="0"/>
          <w:pgNumType w:start="1"/>
          <w:cols w:space="720" w:num="1"/>
          <w:docGrid w:linePitch="312" w:charSpace="0"/>
        </w:sectPr>
      </w:pP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8.2奖励</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8.3保密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"_Toc422322519"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8.4联络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8.5知识产权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第三部分　专用条件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1.词语定义、语言、解释顺序与适用法律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1.2语言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1.3合同文件的优先顺序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1.4适用法律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2.委托人的义务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2.1提供资料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"_Toc422322529"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2.2提供工作条件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2.4委托人代表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2.5答复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3.咨询人的义务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3.1项目咨询团队及人员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3.2咨询人的工作要求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3.3咨询人的工作依据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3.4使用委托人房屋及设备的返还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4.违约责任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4.1委托人的违约责任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"_Toc422322539"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4.2咨询人的违约责任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5.1支付货币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5.2支付申请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sectPr>
          <w:footerReference r:id="rId13" w:type="default"/>
          <w:pgSz w:w="11906" w:h="16838"/>
          <w:pgMar w:top="1440" w:right="1800" w:bottom="1440" w:left="1800" w:header="851" w:footer="992" w:gutter="0"/>
          <w:pgNumType w:start="1"/>
          <w:cols w:space="720" w:num="1"/>
          <w:docGrid w:linePitch="312" w:charSpace="0"/>
        </w:sectPr>
      </w:pP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5.3支付酬金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6.合同变更、解除与终止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6.1合同变更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6.2合同解除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7.争议解决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7.2调解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"_Toc422322549"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7.3仲裁或诉讼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"_Toc422322551"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8.1考察及相关费用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"_Toc422322552"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8.2奖励</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"_Toc422322553"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8.3保密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"_Toc422322554"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8.4联络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8"/>
        <w:tabs>
          <w:tab w:val="right" w:leader="dot" w:pos="82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"_Toc422322555"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8.5知识产权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"_Toc422322556"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9.补充条款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_Toc422322556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"_Toc422322557"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附录A 服务范围及工作内容、酬金一览表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"_Toc422322558"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附录B 咨询人提交成果文件一览表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"_Toc422322559"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附录C 委托人提供资料一览表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p>
    <w:p>
      <w:pPr>
        <w:pStyle w:val="14"/>
        <w:tabs>
          <w:tab w:val="right" w:leader="dot" w:pos="829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"_Toc422322560"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附录D 委托人提供房屋及设备一览表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tabs>
          <w:tab w:val="left" w:pos="6732"/>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14" w:type="default"/>
          <w:pgSz w:w="11906" w:h="16838"/>
          <w:pgMar w:top="1440" w:right="1800" w:bottom="1440" w:left="1800" w:header="851" w:footer="992" w:gutter="0"/>
          <w:pgNumType w:start="1"/>
          <w:cols w:space="720" w:num="1"/>
          <w:docGrid w:linePitch="312" w:charSpace="0"/>
        </w:sectPr>
      </w:pPr>
    </w:p>
    <w:p>
      <w:pPr>
        <w:rPr>
          <w:rFonts w:hint="eastAsia" w:ascii="宋体" w:hAnsi="宋体" w:eastAsia="宋体" w:cs="宋体"/>
          <w:color w:val="auto"/>
          <w:sz w:val="24"/>
          <w:szCs w:val="24"/>
          <w:highlight w:val="none"/>
        </w:rPr>
      </w:pPr>
    </w:p>
    <w:p>
      <w:pPr>
        <w:pStyle w:val="4"/>
        <w:widowControl/>
        <w:spacing w:before="0" w:after="0" w:line="520" w:lineRule="exact"/>
        <w:jc w:val="center"/>
        <w:rPr>
          <w:rFonts w:hint="eastAsia" w:ascii="宋体" w:hAnsi="宋体" w:eastAsia="宋体" w:cs="宋体"/>
          <w:color w:val="auto"/>
          <w:sz w:val="24"/>
          <w:szCs w:val="24"/>
          <w:highlight w:val="none"/>
        </w:rPr>
      </w:pPr>
      <w:bookmarkStart w:id="37" w:name="_Toc422322470"/>
      <w:bookmarkStart w:id="38" w:name="_Toc419045055"/>
      <w:r>
        <w:rPr>
          <w:rFonts w:hint="eastAsia" w:ascii="宋体" w:hAnsi="宋体" w:eastAsia="宋体" w:cs="宋体"/>
          <w:color w:val="auto"/>
          <w:sz w:val="24"/>
          <w:szCs w:val="24"/>
          <w:highlight w:val="none"/>
        </w:rPr>
        <w:t>第一部分　协议书</w:t>
      </w:r>
      <w:bookmarkEnd w:id="37"/>
      <w:bookmarkEnd w:id="38"/>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4"/>
          <w:sz w:val="24"/>
          <w:szCs w:val="24"/>
          <w:highlight w:val="none"/>
          <w:u w:val="single"/>
        </w:rPr>
      </w:pPr>
      <w:bookmarkStart w:id="39" w:name="7"/>
      <w:r>
        <w:rPr>
          <w:rFonts w:hint="eastAsia" w:ascii="宋体" w:hAnsi="宋体" w:eastAsia="宋体" w:cs="宋体"/>
          <w:color w:val="auto"/>
          <w:kern w:val="0"/>
          <w:sz w:val="24"/>
          <w:szCs w:val="24"/>
          <w:highlight w:val="none"/>
          <w:lang w:val="en-US" w:eastAsia="zh-CN" w:bidi="ar-SA"/>
        </w:rPr>
        <w:t>委托人（全称）：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u w:val="single"/>
        </w:rPr>
        <w:t xml:space="preserve">                            </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distribute"/>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"javascript:SLC(21651,0)" </w:instrText>
      </w:r>
      <w:r>
        <w:rPr>
          <w:rFonts w:hint="eastAsia" w:ascii="宋体" w:hAnsi="宋体" w:eastAsia="宋体" w:cs="宋体"/>
          <w:color w:val="auto"/>
          <w:sz w:val="24"/>
          <w:szCs w:val="24"/>
          <w:highlight w:val="none"/>
        </w:rPr>
        <w:fldChar w:fldCharType="separate"/>
      </w:r>
      <w:r>
        <w:rPr>
          <w:rStyle w:val="37"/>
          <w:rFonts w:hint="eastAsia" w:ascii="宋体" w:hAnsi="宋体" w:eastAsia="宋体" w:cs="宋体"/>
          <w:color w:val="auto"/>
          <w:sz w:val="24"/>
          <w:szCs w:val="24"/>
          <w:highlight w:val="none"/>
        </w:rPr>
        <w:t>中华人民共和国合同法</w:t>
      </w:r>
      <w:r>
        <w:rPr>
          <w:rStyle w:val="3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》及其他有关法律、法规，遵循平等、自</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愿、公平和诚实信用的原则，双方就下述建设工程委托造价咨询与其他服务事项协商一致，订立本合同。</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32"/>
          <w:rFonts w:hint="eastAsia" w:ascii="宋体" w:hAnsi="宋体" w:eastAsia="宋体" w:cs="宋体"/>
          <w:color w:val="auto"/>
          <w:sz w:val="24"/>
          <w:szCs w:val="24"/>
          <w:highlight w:val="none"/>
          <w:lang w:eastAsia="zh-CN"/>
        </w:rPr>
      </w:pPr>
      <w:bookmarkStart w:id="40" w:name="_Toc422322471"/>
      <w:bookmarkStart w:id="41" w:name="_Toc419045056"/>
      <w:r>
        <w:rPr>
          <w:rStyle w:val="32"/>
          <w:rFonts w:hint="eastAsia" w:ascii="宋体" w:hAnsi="宋体" w:eastAsia="宋体" w:cs="宋体"/>
          <w:color w:val="auto"/>
          <w:sz w:val="24"/>
          <w:szCs w:val="24"/>
          <w:highlight w:val="none"/>
        </w:rPr>
        <w:t>一、工程概况</w:t>
      </w:r>
      <w:bookmarkEnd w:id="40"/>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1.工程名称： </w:t>
      </w:r>
      <w:r>
        <w:rPr>
          <w:rFonts w:hint="eastAsia" w:ascii="宋体" w:hAnsi="宋体" w:eastAsia="宋体" w:cs="宋体"/>
          <w:color w:val="auto"/>
          <w:sz w:val="24"/>
          <w:szCs w:val="24"/>
          <w:highlight w:val="none"/>
          <w:u w:val="single"/>
        </w:rPr>
        <w:t xml:space="preserve"> </w:t>
      </w:r>
      <w:r>
        <w:rPr>
          <w:rStyle w:val="37"/>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2.工程地点：</w:t>
      </w:r>
      <w:bookmarkEnd w:id="41"/>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3.投资金额：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r>
        <w:rPr>
          <w:rFonts w:hint="eastAsia" w:ascii="宋体" w:hAnsi="宋体" w:eastAsia="宋体" w:cs="宋体"/>
          <w:color w:val="auto"/>
          <w:sz w:val="24"/>
          <w:szCs w:val="24"/>
          <w:highlight w:val="none"/>
          <w:u w:val="single"/>
        </w:rPr>
        <w:t xml:space="preserve">无                                                                                              </w:t>
      </w:r>
      <w:bookmarkEnd w:id="39"/>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42" w:name="_Toc419045059"/>
      <w:bookmarkStart w:id="43" w:name="_Toc422322472"/>
      <w:r>
        <w:rPr>
          <w:rFonts w:hint="eastAsia" w:ascii="宋体" w:hAnsi="宋体" w:eastAsia="宋体" w:cs="宋体"/>
          <w:color w:val="auto"/>
          <w:sz w:val="24"/>
          <w:szCs w:val="24"/>
          <w:highlight w:val="none"/>
        </w:rPr>
        <w:t>二、服务范围及工作内容</w:t>
      </w:r>
      <w:bookmarkEnd w:id="42"/>
      <w:bookmarkEnd w:id="43"/>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双方约定的服务范围及工作内容：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服务范围及工作内容详见附录A。</w:t>
      </w:r>
      <w:bookmarkStart w:id="44" w:name="_Toc419045060"/>
      <w:bookmarkStart w:id="45" w:name="9"/>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46" w:name="_Toc422322473"/>
      <w:r>
        <w:rPr>
          <w:rFonts w:hint="eastAsia" w:ascii="宋体" w:hAnsi="宋体" w:eastAsia="宋体" w:cs="宋体"/>
          <w:color w:val="auto"/>
          <w:sz w:val="24"/>
          <w:szCs w:val="24"/>
          <w:highlight w:val="none"/>
        </w:rPr>
        <w:t>三、服务期限</w:t>
      </w:r>
      <w:bookmarkEnd w:id="44"/>
      <w:bookmarkEnd w:id="46"/>
    </w:p>
    <w:p>
      <w:pPr>
        <w:pStyle w:val="52"/>
        <w:keepNext w:val="0"/>
        <w:keepLines w:val="0"/>
        <w:pageBreakBefore w:val="0"/>
        <w:widowControl/>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本合同约定的建设工程造价咨询服务自</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开始实施，至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终止</w:t>
      </w:r>
      <w:r>
        <w:rPr>
          <w:rFonts w:hint="eastAsia" w:ascii="宋体" w:hAnsi="宋体" w:eastAsia="宋体" w:cs="宋体"/>
          <w:color w:val="auto"/>
          <w:sz w:val="24"/>
          <w:szCs w:val="24"/>
          <w:highlight w:val="none"/>
        </w:rPr>
        <w:t>。</w:t>
      </w:r>
      <w:bookmarkEnd w:id="45"/>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47" w:name="_Toc422322474"/>
      <w:bookmarkStart w:id="48" w:name="_Toc419045061"/>
      <w:r>
        <w:rPr>
          <w:rFonts w:hint="eastAsia" w:ascii="宋体" w:hAnsi="宋体" w:eastAsia="宋体" w:cs="宋体"/>
          <w:color w:val="auto"/>
          <w:sz w:val="24"/>
          <w:szCs w:val="24"/>
          <w:highlight w:val="none"/>
        </w:rPr>
        <w:t>四、质量标准</w:t>
      </w:r>
      <w:bookmarkEnd w:id="47"/>
      <w:bookmarkEnd w:id="48"/>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工程造价咨询成果文件应符合：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现行国家或行业有关规定、标准、规范的要求。</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49" w:name="_Toc422322475"/>
      <w:bookmarkStart w:id="50" w:name="_Toc419045062"/>
      <w:bookmarkStart w:id="51" w:name="12"/>
      <w:r>
        <w:rPr>
          <w:rFonts w:hint="eastAsia" w:ascii="宋体" w:hAnsi="宋体" w:eastAsia="宋体" w:cs="宋体"/>
          <w:color w:val="auto"/>
          <w:sz w:val="24"/>
          <w:szCs w:val="24"/>
          <w:highlight w:val="none"/>
        </w:rPr>
        <w:t>五、酬金或计取方式</w:t>
      </w:r>
      <w:bookmarkEnd w:id="49"/>
      <w:bookmarkEnd w:id="50"/>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1.酬金：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2.计取方式：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mallCaps/>
          <w:color w:val="auto"/>
          <w:sz w:val="24"/>
          <w:szCs w:val="24"/>
          <w:highlight w:val="none"/>
        </w:rPr>
      </w:pPr>
      <w:r>
        <w:rPr>
          <w:rFonts w:hint="eastAsia" w:ascii="宋体" w:hAnsi="宋体" w:eastAsia="宋体" w:cs="宋体"/>
          <w:bCs/>
          <w:smallCaps/>
          <w:color w:val="auto"/>
          <w:sz w:val="24"/>
          <w:szCs w:val="24"/>
          <w:highlight w:val="none"/>
        </w:rPr>
        <w:t>酬金或计取方式详见附录A。</w:t>
      </w:r>
    </w:p>
    <w:p>
      <w:pPr>
        <w:pStyle w:val="52"/>
        <w:keepNext w:val="0"/>
        <w:keepLines w:val="0"/>
        <w:pageBreakBefore w:val="0"/>
        <w:widowControl/>
        <w:kinsoku/>
        <w:wordWrap/>
        <w:overflowPunct/>
        <w:topLinePunct w:val="0"/>
        <w:autoSpaceDE/>
        <w:autoSpaceDN/>
        <w:bidi w:val="0"/>
        <w:adjustRightInd w:val="0"/>
        <w:snapToGrid w:val="0"/>
        <w:spacing w:line="360" w:lineRule="auto"/>
        <w:ind w:left="482" w:hanging="482" w:hangingChars="200"/>
        <w:jc w:val="left"/>
        <w:textAlignment w:val="auto"/>
        <w:rPr>
          <w:rStyle w:val="32"/>
          <w:rFonts w:hint="eastAsia" w:ascii="宋体" w:hAnsi="宋体" w:eastAsia="宋体" w:cs="宋体"/>
          <w:color w:val="auto"/>
          <w:sz w:val="24"/>
          <w:szCs w:val="24"/>
          <w:highlight w:val="none"/>
          <w:lang w:eastAsia="zh-CN"/>
        </w:rPr>
      </w:pPr>
      <w:bookmarkStart w:id="52" w:name="_Toc422322476"/>
      <w:bookmarkStart w:id="53" w:name="_Toc419045058"/>
      <w:r>
        <w:rPr>
          <w:rStyle w:val="32"/>
          <w:rFonts w:hint="eastAsia" w:ascii="宋体" w:hAnsi="宋体" w:eastAsia="宋体" w:cs="宋体"/>
          <w:color w:val="auto"/>
          <w:sz w:val="24"/>
          <w:szCs w:val="24"/>
          <w:highlight w:val="none"/>
        </w:rPr>
        <w:t>六、合同文件的构成</w:t>
      </w:r>
      <w:bookmarkEnd w:id="52"/>
      <w:bookmarkEnd w:id="53"/>
    </w:p>
    <w:p>
      <w:pPr>
        <w:pStyle w:val="52"/>
        <w:keepNext w:val="0"/>
        <w:keepLines w:val="0"/>
        <w:pageBreakBefore w:val="0"/>
        <w:widowControl/>
        <w:kinsoku/>
        <w:wordWrap/>
        <w:overflowPunct/>
        <w:topLinePunct w:val="0"/>
        <w:autoSpaceDE/>
        <w:autoSpaceDN/>
        <w:bidi w:val="0"/>
        <w:adjustRightInd w:val="0"/>
        <w:snapToGrid w:val="0"/>
        <w:spacing w:line="360" w:lineRule="auto"/>
        <w:ind w:left="482" w:hanging="480" w:hanging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pPr>
        <w:pStyle w:val="52"/>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1.中标通知书或委托书（如果有）；</w:t>
      </w:r>
    </w:p>
    <w:p>
      <w:pPr>
        <w:pStyle w:val="52"/>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2.投标函及投标函附录或造价咨询服务建议书（如果有）；</w:t>
      </w:r>
    </w:p>
    <w:p>
      <w:pPr>
        <w:pStyle w:val="52"/>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3.专用条件及附录；</w:t>
      </w:r>
    </w:p>
    <w:p>
      <w:pPr>
        <w:pStyle w:val="52"/>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4.通用条件；</w:t>
      </w:r>
    </w:p>
    <w:p>
      <w:pPr>
        <w:pStyle w:val="52"/>
        <w:keepNext w:val="0"/>
        <w:keepLines w:val="0"/>
        <w:pageBreakBefore w:val="0"/>
        <w:widowControl/>
        <w:kinsoku/>
        <w:wordWrap/>
        <w:overflowPunct/>
        <w:topLinePunct w:val="0"/>
        <w:autoSpaceDE/>
        <w:autoSpaceDN/>
        <w:bidi w:val="0"/>
        <w:adjustRightInd w:val="0"/>
        <w:snapToGrid w:val="0"/>
        <w:spacing w:line="360" w:lineRule="auto"/>
        <w:ind w:left="481"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5.其他合同文件。</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在合同订立及履行过程中形成的与合同有关的文件（包括补充协议）均构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mallCaps/>
          <w:color w:val="auto"/>
          <w:sz w:val="24"/>
          <w:szCs w:val="24"/>
          <w:highlight w:val="none"/>
        </w:rPr>
      </w:pPr>
      <w:r>
        <w:rPr>
          <w:rFonts w:hint="eastAsia" w:ascii="宋体" w:hAnsi="宋体" w:eastAsia="宋体" w:cs="宋体"/>
          <w:color w:val="auto"/>
          <w:sz w:val="24"/>
          <w:szCs w:val="24"/>
          <w:highlight w:val="none"/>
        </w:rPr>
        <w:t>成合同文件的组成部分。</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Style w:val="32"/>
          <w:rFonts w:hint="eastAsia" w:ascii="宋体" w:hAnsi="宋体" w:eastAsia="宋体" w:cs="宋体"/>
          <w:b/>
          <w:bCs/>
          <w:color w:val="auto"/>
          <w:sz w:val="24"/>
          <w:szCs w:val="24"/>
          <w:highlight w:val="none"/>
        </w:rPr>
      </w:pPr>
      <w:bookmarkStart w:id="54" w:name="_Toc419045057"/>
      <w:bookmarkStart w:id="55" w:name="_Toc422322477"/>
      <w:r>
        <w:rPr>
          <w:rStyle w:val="32"/>
          <w:rFonts w:hint="eastAsia" w:ascii="宋体" w:hAnsi="宋体" w:eastAsia="宋体" w:cs="宋体"/>
          <w:b/>
          <w:bCs/>
          <w:color w:val="auto"/>
          <w:sz w:val="24"/>
          <w:szCs w:val="24"/>
          <w:highlight w:val="none"/>
        </w:rPr>
        <w:t>七、</w:t>
      </w:r>
      <w:bookmarkStart w:id="56" w:name="8"/>
      <w:r>
        <w:rPr>
          <w:rStyle w:val="32"/>
          <w:rFonts w:hint="eastAsia" w:ascii="宋体" w:hAnsi="宋体" w:eastAsia="宋体" w:cs="宋体"/>
          <w:b/>
          <w:bCs/>
          <w:color w:val="auto"/>
          <w:sz w:val="24"/>
          <w:szCs w:val="24"/>
          <w:highlight w:val="none"/>
        </w:rPr>
        <w:t>词语</w:t>
      </w:r>
      <w:bookmarkEnd w:id="54"/>
      <w:r>
        <w:rPr>
          <w:rStyle w:val="32"/>
          <w:rFonts w:hint="eastAsia" w:ascii="宋体" w:hAnsi="宋体" w:eastAsia="宋体" w:cs="宋体"/>
          <w:b/>
          <w:bCs/>
          <w:color w:val="auto"/>
          <w:sz w:val="24"/>
          <w:szCs w:val="24"/>
          <w:highlight w:val="none"/>
        </w:rPr>
        <w:t>定义</w:t>
      </w:r>
      <w:bookmarkEnd w:id="5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bookmarkEnd w:id="56"/>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57" w:name="_Toc422322478"/>
      <w:bookmarkStart w:id="58" w:name="_Toc419045063"/>
      <w:r>
        <w:rPr>
          <w:rFonts w:hint="eastAsia" w:ascii="宋体" w:hAnsi="宋体" w:eastAsia="宋体" w:cs="宋体"/>
          <w:color w:val="auto"/>
          <w:sz w:val="24"/>
          <w:szCs w:val="24"/>
          <w:highlight w:val="none"/>
        </w:rPr>
        <w:t>八、合同订立</w:t>
      </w:r>
      <w:bookmarkEnd w:id="57"/>
      <w:bookmarkEnd w:id="58"/>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1.订立时间：</w:t>
      </w:r>
      <w:r>
        <w:rPr>
          <w:rFonts w:hint="eastAsia" w:ascii="宋体" w:hAnsi="宋体" w:eastAsia="宋体" w:cs="宋体"/>
          <w:color w:val="auto"/>
          <w:sz w:val="24"/>
          <w:szCs w:val="24"/>
          <w:highlight w:val="none"/>
          <w:u w:val="single"/>
        </w:rPr>
        <w:t xml:space="preserve">    年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59" w:name="_Toc422322479"/>
      <w:bookmarkStart w:id="60" w:name="_Toc419045064"/>
      <w:r>
        <w:rPr>
          <w:rFonts w:hint="eastAsia" w:ascii="宋体" w:hAnsi="宋体" w:eastAsia="宋体" w:cs="宋体"/>
          <w:color w:val="auto"/>
          <w:sz w:val="24"/>
          <w:szCs w:val="24"/>
          <w:highlight w:val="none"/>
        </w:rPr>
        <w:t>九、合同生效</w:t>
      </w:r>
      <w:bookmarkEnd w:id="59"/>
      <w:bookmarkEnd w:id="60"/>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u w:val="single"/>
        </w:rPr>
        <w:t>自签订之日</w:t>
      </w:r>
      <w:r>
        <w:rPr>
          <w:rFonts w:hint="eastAsia" w:ascii="宋体" w:hAnsi="宋体" w:eastAsia="宋体" w:cs="宋体"/>
          <w:color w:val="auto"/>
          <w:sz w:val="24"/>
          <w:szCs w:val="24"/>
          <w:highlight w:val="none"/>
        </w:rPr>
        <w:t>起生效。</w:t>
      </w:r>
    </w:p>
    <w:p>
      <w:pPr>
        <w:pStyle w:val="21"/>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szCs w:val="24"/>
          <w:highlight w:val="none"/>
        </w:rPr>
      </w:pPr>
      <w:bookmarkStart w:id="61" w:name="_Toc419045065"/>
      <w:bookmarkStart w:id="62" w:name="_Toc422322480"/>
      <w:r>
        <w:rPr>
          <w:rFonts w:hint="eastAsia" w:ascii="宋体" w:hAnsi="宋体" w:eastAsia="宋体" w:cs="宋体"/>
          <w:color w:val="auto"/>
          <w:sz w:val="24"/>
          <w:szCs w:val="24"/>
          <w:highlight w:val="none"/>
        </w:rPr>
        <w:t>十、合同份数</w:t>
      </w:r>
      <w:bookmarkEnd w:id="61"/>
      <w:bookmarkEnd w:id="62"/>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份，具有同等法律效力，其中委托人执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份，咨询人执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 托 人：___________（盖章）      咨 询 人：___________（盖章） </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法定代表人或其授权的               法定代表人或其授权的</w:t>
      </w:r>
    </w:p>
    <w:p>
      <w:pPr>
        <w:pStyle w:val="52"/>
        <w:keepNext w:val="0"/>
        <w:keepLines w:val="0"/>
        <w:pageBreakBefore w:val="0"/>
        <w:widowControl/>
        <w:kinsoku/>
        <w:wordWrap/>
        <w:overflowPunct/>
        <w:topLinePunct w:val="0"/>
        <w:autoSpaceDE/>
        <w:autoSpaceDN/>
        <w:bidi w:val="0"/>
        <w:adjustRightInd w:val="0"/>
        <w:snapToGrid w:val="0"/>
        <w:spacing w:line="360" w:lineRule="auto"/>
        <w:ind w:left="479" w:leftChars="228"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代理人：_________（签字）         代理人：_________（签字）         </w:t>
      </w:r>
    </w:p>
    <w:p>
      <w:pPr>
        <w:pStyle w:val="52"/>
        <w:keepNext w:val="0"/>
        <w:keepLines w:val="0"/>
        <w:pageBreakBefore w:val="0"/>
        <w:widowControl/>
        <w:kinsoku/>
        <w:wordWrap/>
        <w:overflowPunct/>
        <w:topLinePunct w:val="0"/>
        <w:autoSpaceDE/>
        <w:autoSpaceDN/>
        <w:bidi w:val="0"/>
        <w:adjustRightInd w:val="0"/>
        <w:snapToGrid w:val="0"/>
        <w:spacing w:line="360" w:lineRule="auto"/>
        <w:ind w:left="479" w:leftChars="228"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纳税人识别码：                     纳税人识别码：</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住   所：                           住  所：</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 xml:space="preserve">                   </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账   号：</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开户银行：</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    话：                          电    话：</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p>
    <w:p>
      <w:pPr>
        <w:pStyle w:val="52"/>
        <w:keepNext w:val="0"/>
        <w:keepLines w:val="0"/>
        <w:pageBreakBefore w:val="0"/>
        <w:widowControl/>
        <w:kinsoku/>
        <w:wordWrap/>
        <w:overflowPunct/>
        <w:topLinePunct w:val="0"/>
        <w:autoSpaceDE/>
        <w:autoSpaceDN/>
        <w:bidi w:val="0"/>
        <w:adjustRightInd w:val="0"/>
        <w:snapToGrid w:val="0"/>
        <w:spacing w:line="360" w:lineRule="auto"/>
        <w:ind w:firstLine="120" w:firstLine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电子信箱：</w:t>
      </w:r>
    </w:p>
    <w:p>
      <w:pPr>
        <w:pStyle w:val="5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bookmarkEnd w:id="51"/>
    <w:p>
      <w:pPr>
        <w:pStyle w:val="4"/>
        <w:spacing w:after="120"/>
        <w:ind w:firstLine="2168" w:firstLineChars="900"/>
        <w:rPr>
          <w:rFonts w:hint="eastAsia" w:ascii="宋体" w:hAnsi="宋体" w:eastAsia="宋体" w:cs="宋体"/>
          <w:color w:val="auto"/>
          <w:sz w:val="24"/>
          <w:szCs w:val="24"/>
          <w:highlight w:val="none"/>
        </w:rPr>
      </w:pPr>
      <w:bookmarkStart w:id="63" w:name="_Toc419045066"/>
      <w:bookmarkStart w:id="64" w:name="_Toc422322481"/>
      <w:r>
        <w:rPr>
          <w:rFonts w:hint="eastAsia" w:ascii="宋体" w:hAnsi="宋体" w:eastAsia="宋体" w:cs="宋体"/>
          <w:color w:val="auto"/>
          <w:sz w:val="24"/>
          <w:szCs w:val="24"/>
          <w:highlight w:val="none"/>
        </w:rPr>
        <w:t>第二部分　通用条件</w:t>
      </w:r>
      <w:bookmarkEnd w:id="63"/>
      <w:bookmarkEnd w:id="64"/>
    </w:p>
    <w:p>
      <w:pPr>
        <w:pStyle w:val="21"/>
        <w:widowControl/>
        <w:spacing w:before="0" w:after="0"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5" w:name="_Toc419045067"/>
      <w:bookmarkStart w:id="66" w:name="_Toc422322482"/>
      <w:r>
        <w:rPr>
          <w:rFonts w:hint="eastAsia" w:ascii="宋体" w:hAnsi="宋体" w:eastAsia="宋体" w:cs="宋体"/>
          <w:color w:val="auto"/>
          <w:sz w:val="24"/>
          <w:szCs w:val="24"/>
          <w:highlight w:val="none"/>
        </w:rPr>
        <w:t>1.词语定义、语言、解释顺序与适用法律</w:t>
      </w:r>
      <w:bookmarkEnd w:id="65"/>
      <w:bookmarkEnd w:id="66"/>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67" w:name="_Toc422322483"/>
      <w:bookmarkStart w:id="68" w:name="_Toc419045068"/>
      <w:r>
        <w:rPr>
          <w:rFonts w:hint="eastAsia" w:ascii="宋体" w:hAnsi="宋体" w:eastAsia="宋体" w:cs="宋体"/>
          <w:b w:val="0"/>
          <w:color w:val="auto"/>
          <w:sz w:val="24"/>
          <w:szCs w:val="24"/>
          <w:highlight w:val="none"/>
        </w:rPr>
        <w:t>1.1词语定义</w:t>
      </w:r>
      <w:bookmarkEnd w:id="67"/>
      <w:bookmarkEnd w:id="68"/>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组成本合同的全部文件中的下列名词和用语应具有本款所赋予的含义：</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1.1.1“工程”是指按照本合同约定实施造价咨询与其他服务的建设工程。    </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1.1.2“工程造价”是指工程项目建设过程中预计或实际支出的全部费用。</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1.1.3“委托人”是指本合同中委托造价咨询与其他服务的一方，及其合法的继承人或受让人。</w:t>
      </w:r>
    </w:p>
    <w:p>
      <w:pPr>
        <w:pStyle w:val="52"/>
        <w:spacing w:line="48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1.1.4“咨询人”是指本合同中提供造价咨询与其他服务的一方</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及其合法的继承人。</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1.1.5“第三人”是指除委托人、咨询人以外与本咨询业务有关的当事人。</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1.1.6“正常工作”是指本合同订立时通用条件和专用条件中约定的咨询人的工作。</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1.1.7“附加工作”是指咨询人根据合同条件完成的正常工作以外的工作。</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1.1.8“项目咨询团队”是指咨询人指派负责履行本合同的团队，其团队成员为本合同的项目咨询人员。</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1.1.9“项目负责人”是指由咨询人的法定代表人书面授权，在授权范围内负责履行本合同、主持项目咨询团队工作的负责人。</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1.1.10“委托人代表”是指由委托人的法定代表人书面授权，在授权范围内行使委托人权利的人。</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1.1.11“酬金”是指咨询人履行本合同义务，委托人按照本合同约定给付咨询人的金额。</w:t>
      </w:r>
    </w:p>
    <w:p>
      <w:pPr>
        <w:pStyle w:val="52"/>
        <w:spacing w:line="48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1.1.12“正常工作酬金”是指在协议书中载明的，咨询人完成正常工作，委托人应给付咨询人的酬金。</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1.1.13“附加工作酬金”是指咨询人完成附加工作，委托人应给付咨询人的酬金。</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“书面形式”是指合同书、信件和数据电文（包括电报、电传、传真、电子数据交换和电子邮件）等可以有形地表现所载内容的形式。</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“不可抗力”是指委托人和咨询人在订立本合同时不可预见，在合同履行过程中不可避免并不能克服的自然灾害和社会性突发事件，如地震、海啸、瘟疫、水灾、骚乱、暴动、战争等情形。</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69" w:name="_Toc419045069"/>
      <w:bookmarkStart w:id="70" w:name="_Toc422322484"/>
      <w:r>
        <w:rPr>
          <w:rFonts w:hint="eastAsia" w:ascii="宋体" w:hAnsi="宋体" w:eastAsia="宋体" w:cs="宋体"/>
          <w:b w:val="0"/>
          <w:color w:val="auto"/>
          <w:sz w:val="24"/>
          <w:szCs w:val="24"/>
          <w:highlight w:val="none"/>
        </w:rPr>
        <w:t>1.2语言</w:t>
      </w:r>
      <w:bookmarkEnd w:id="69"/>
      <w:bookmarkEnd w:id="70"/>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本合同使用中文书写、解释和说明。如专用条件约定使用两种及以上语言文字时，应以中文为准。</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71" w:name="_Toc419045070"/>
      <w:bookmarkStart w:id="72" w:name="_Toc422322485"/>
      <w:r>
        <w:rPr>
          <w:rFonts w:hint="eastAsia" w:ascii="宋体" w:hAnsi="宋体" w:eastAsia="宋体" w:cs="宋体"/>
          <w:b w:val="0"/>
          <w:color w:val="auto"/>
          <w:sz w:val="24"/>
          <w:szCs w:val="24"/>
          <w:highlight w:val="none"/>
        </w:rPr>
        <w:t>1.3合同文件的优先顺序</w:t>
      </w:r>
      <w:bookmarkEnd w:id="71"/>
      <w:bookmarkEnd w:id="72"/>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组成本合同的下列文件彼此应能相互解释、互为说明。除专用条件另有约定外，本合同文件的解释顺序如下：</w:t>
      </w:r>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1.协议书</w:t>
      </w:r>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2.中标通知书或委托书（如果有）；</w:t>
      </w:r>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3.专用条件及附录；</w:t>
      </w:r>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4.通用条件；</w:t>
      </w:r>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5.投标函及投标函附录或造价咨询服务建议书（如果有）；</w:t>
      </w:r>
    </w:p>
    <w:p>
      <w:pPr>
        <w:widowControl/>
        <w:spacing w:line="480" w:lineRule="exact"/>
        <w:ind w:firstLine="46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6.其他合同文件。</w:t>
      </w:r>
    </w:p>
    <w:p>
      <w:pPr>
        <w:pStyle w:val="52"/>
        <w:spacing w:line="48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上述各项合同文件包括合同当事人就该项合同文件所作出的补充和修改，属于同一类内容的文件，应以最新签署的为准。</w:t>
      </w:r>
    </w:p>
    <w:p>
      <w:pPr>
        <w:widowControl/>
        <w:spacing w:line="480" w:lineRule="exact"/>
        <w:ind w:firstLine="46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在合同订立及履行过程中形成的与合同有关的文件均构成合同文件的组成部分。</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73" w:name="_Toc422322486"/>
      <w:bookmarkStart w:id="74" w:name="_Toc419045071"/>
      <w:r>
        <w:rPr>
          <w:rFonts w:hint="eastAsia" w:ascii="宋体" w:hAnsi="宋体" w:eastAsia="宋体" w:cs="宋体"/>
          <w:b w:val="0"/>
          <w:color w:val="auto"/>
          <w:sz w:val="24"/>
          <w:szCs w:val="24"/>
          <w:highlight w:val="none"/>
        </w:rPr>
        <w:t>1.4适用法律</w:t>
      </w:r>
      <w:bookmarkEnd w:id="73"/>
      <w:bookmarkEnd w:id="74"/>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本合同适用中华人民共和国法律、行政法规、部门规章以及工程所在地的地方性法规、自治条例、单行条例和地方政府规章等。</w:t>
      </w:r>
    </w:p>
    <w:p>
      <w:pPr>
        <w:widowControl/>
        <w:spacing w:line="480" w:lineRule="exact"/>
        <w:ind w:firstLine="480" w:firstLineChars="200"/>
        <w:rPr>
          <w:rStyle w:val="3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合同当事人可以在专用条件中约定本合同适用的其他规范、规程、定额、技术标准等规范性文件。</w:t>
      </w:r>
    </w:p>
    <w:p>
      <w:pPr>
        <w:pStyle w:val="21"/>
        <w:widowControl/>
        <w:spacing w:before="0" w:after="0" w:line="480" w:lineRule="exact"/>
        <w:ind w:firstLine="482" w:firstLineChars="200"/>
        <w:jc w:val="left"/>
        <w:rPr>
          <w:rFonts w:hint="eastAsia" w:ascii="宋体" w:hAnsi="宋体" w:eastAsia="宋体" w:cs="宋体"/>
          <w:color w:val="auto"/>
          <w:sz w:val="24"/>
          <w:szCs w:val="24"/>
          <w:highlight w:val="none"/>
        </w:rPr>
      </w:pPr>
      <w:bookmarkStart w:id="75" w:name="_Toc422322487"/>
      <w:r>
        <w:rPr>
          <w:rFonts w:hint="eastAsia" w:ascii="宋体" w:hAnsi="宋体" w:eastAsia="宋体" w:cs="宋体"/>
          <w:color w:val="auto"/>
          <w:sz w:val="24"/>
          <w:szCs w:val="24"/>
          <w:highlight w:val="none"/>
        </w:rPr>
        <w:t>2.委托人的义务</w:t>
      </w:r>
      <w:bookmarkEnd w:id="75"/>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76" w:name="_Toc422322488"/>
      <w:bookmarkStart w:id="77" w:name="_Toc419045072"/>
      <w:r>
        <w:rPr>
          <w:rFonts w:hint="eastAsia" w:ascii="宋体" w:hAnsi="宋体" w:eastAsia="宋体" w:cs="宋体"/>
          <w:b w:val="0"/>
          <w:color w:val="auto"/>
          <w:sz w:val="24"/>
          <w:szCs w:val="24"/>
          <w:highlight w:val="none"/>
        </w:rPr>
        <w:t>2.1提供资料</w:t>
      </w:r>
      <w:bookmarkEnd w:id="76"/>
      <w:bookmarkEnd w:id="77"/>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78" w:name="_Toc422322489"/>
      <w:bookmarkStart w:id="79" w:name="_Toc419045073"/>
      <w:r>
        <w:rPr>
          <w:rFonts w:hint="eastAsia" w:ascii="宋体" w:hAnsi="宋体" w:eastAsia="宋体" w:cs="宋体"/>
          <w:b w:val="0"/>
          <w:color w:val="auto"/>
          <w:sz w:val="24"/>
          <w:szCs w:val="24"/>
          <w:highlight w:val="none"/>
        </w:rPr>
        <w:t>2.2提供工作条件</w:t>
      </w:r>
      <w:bookmarkEnd w:id="78"/>
      <w:bookmarkEnd w:id="79"/>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委托人应为咨询人完成造价咨询提供必要的条件。</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2.2.1委托人需要咨询人派驻项目现场咨询人员的，除专用条件另有约定外，项目咨询人员有权无偿使用附录D中由委托人提供的房屋及设备。</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2.2.2委托人应负责与本工程造价咨询业务有关的所有外部关系的协调，为咨询人履行本合同提供必要的外部条件。</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80" w:name="_Toc419045074"/>
      <w:bookmarkStart w:id="81" w:name="_Toc422322490"/>
      <w:r>
        <w:rPr>
          <w:rFonts w:hint="eastAsia" w:ascii="宋体" w:hAnsi="宋体" w:eastAsia="宋体" w:cs="宋体"/>
          <w:b w:val="0"/>
          <w:color w:val="auto"/>
          <w:sz w:val="24"/>
          <w:szCs w:val="24"/>
          <w:highlight w:val="none"/>
        </w:rPr>
        <w:t>2.3合理工作时限</w:t>
      </w:r>
      <w:bookmarkEnd w:id="80"/>
      <w:bookmarkEnd w:id="81"/>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委托人应当为咨询人完成其咨询工作，设定合理的工作时限。</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82" w:name="_Toc422322491"/>
      <w:bookmarkStart w:id="83" w:name="_Toc419045075"/>
      <w:r>
        <w:rPr>
          <w:rFonts w:hint="eastAsia" w:ascii="宋体" w:hAnsi="宋体" w:eastAsia="宋体" w:cs="宋体"/>
          <w:b w:val="0"/>
          <w:color w:val="auto"/>
          <w:sz w:val="24"/>
          <w:szCs w:val="24"/>
          <w:highlight w:val="none"/>
        </w:rPr>
        <w:t>2.4委托人代表</w:t>
      </w:r>
      <w:bookmarkEnd w:id="82"/>
      <w:bookmarkEnd w:id="83"/>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委托人应授权一名代表负责本合同的履行。委托人应在双方签订本合同7日内，将委托人代表的姓名和权限范围书面告知咨询人。委托人更换委托人代表时，应提前7日书面通知咨询人。</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84" w:name="_Toc422322492"/>
      <w:bookmarkStart w:id="85" w:name="_Toc419045076"/>
      <w:r>
        <w:rPr>
          <w:rFonts w:hint="eastAsia" w:ascii="宋体" w:hAnsi="宋体" w:eastAsia="宋体" w:cs="宋体"/>
          <w:b w:val="0"/>
          <w:color w:val="auto"/>
          <w:sz w:val="24"/>
          <w:szCs w:val="24"/>
          <w:highlight w:val="none"/>
        </w:rPr>
        <w:t>2.5答复</w:t>
      </w:r>
      <w:bookmarkEnd w:id="84"/>
      <w:bookmarkEnd w:id="85"/>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委托人应当在专用条件约定的时间内就咨询人以书面形式提交并要求做出答复的事宜给予书面答复。逾期未答复的，由此造成的工作延误和损失由委托人承担。</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86" w:name="_Toc422322493"/>
      <w:bookmarkStart w:id="87" w:name="_Toc419045077"/>
      <w:r>
        <w:rPr>
          <w:rFonts w:hint="eastAsia" w:ascii="宋体" w:hAnsi="宋体" w:eastAsia="宋体" w:cs="宋体"/>
          <w:b w:val="0"/>
          <w:color w:val="auto"/>
          <w:sz w:val="24"/>
          <w:szCs w:val="24"/>
          <w:highlight w:val="none"/>
        </w:rPr>
        <w:t>2.6支付</w:t>
      </w:r>
      <w:bookmarkEnd w:id="86"/>
      <w:bookmarkEnd w:id="87"/>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委托人应当按照合同的约定，向咨询人支付酬金。</w:t>
      </w:r>
    </w:p>
    <w:p>
      <w:pPr>
        <w:pStyle w:val="21"/>
        <w:widowControl/>
        <w:spacing w:before="0" w:after="0" w:line="480" w:lineRule="exact"/>
        <w:ind w:firstLine="482" w:firstLineChars="200"/>
        <w:jc w:val="left"/>
        <w:rPr>
          <w:rFonts w:hint="eastAsia" w:ascii="宋体" w:hAnsi="宋体" w:eastAsia="宋体" w:cs="宋体"/>
          <w:color w:val="auto"/>
          <w:sz w:val="24"/>
          <w:szCs w:val="24"/>
          <w:highlight w:val="none"/>
        </w:rPr>
      </w:pPr>
      <w:bookmarkStart w:id="88" w:name="_Toc422322494"/>
      <w:bookmarkStart w:id="89" w:name="_Toc419045078"/>
      <w:r>
        <w:rPr>
          <w:rFonts w:hint="eastAsia" w:ascii="宋体" w:hAnsi="宋体" w:eastAsia="宋体" w:cs="宋体"/>
          <w:color w:val="auto"/>
          <w:sz w:val="24"/>
          <w:szCs w:val="24"/>
          <w:highlight w:val="none"/>
        </w:rPr>
        <w:t>3.咨询人的义务</w:t>
      </w:r>
      <w:bookmarkEnd w:id="88"/>
      <w:bookmarkEnd w:id="89"/>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90" w:name="_Toc422322495"/>
      <w:bookmarkStart w:id="91" w:name="_Toc419045080"/>
      <w:bookmarkStart w:id="92" w:name="16"/>
      <w:r>
        <w:rPr>
          <w:rFonts w:hint="eastAsia" w:ascii="宋体" w:hAnsi="宋体" w:eastAsia="宋体" w:cs="宋体"/>
          <w:b w:val="0"/>
          <w:color w:val="auto"/>
          <w:sz w:val="24"/>
          <w:szCs w:val="24"/>
          <w:highlight w:val="none"/>
        </w:rPr>
        <w:t>3.1 项目咨询团队及人员</w:t>
      </w:r>
      <w:bookmarkEnd w:id="90"/>
      <w:bookmarkEnd w:id="91"/>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3.1.1项目咨询团队的主要人员应具有专用条件约定的资格条件，团队人员的数量应符合专用条件的约定。</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3.1.2项目负责人</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咨询人应以书面形式授权一名项目负责人负责履行本合同、主持项目咨询团队工作。采用招标程序签署本合同的，项目负责人应当与投标文件载明的一致。</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3.1.3在本合同履行过程中，咨询人员应保持相对稳定，以保证咨询工作正常进行。</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pStyle w:val="5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3.1.4咨询人员有下列情形之一，委托人要求咨询人更换的，咨询人应当更换：</w:t>
      </w:r>
    </w:p>
    <w:p>
      <w:pPr>
        <w:pStyle w:val="52"/>
        <w:spacing w:line="480" w:lineRule="exact"/>
        <w:ind w:firstLine="3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（1）存在严重过失行为的；</w:t>
      </w:r>
    </w:p>
    <w:p>
      <w:pPr>
        <w:pStyle w:val="52"/>
        <w:spacing w:line="480" w:lineRule="exact"/>
        <w:ind w:firstLine="3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（2）存在违法行为不能履行职责的；</w:t>
      </w:r>
    </w:p>
    <w:p>
      <w:pPr>
        <w:pStyle w:val="52"/>
        <w:spacing w:line="480" w:lineRule="exact"/>
        <w:ind w:firstLine="3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（3）涉嫌犯罪的；</w:t>
      </w:r>
    </w:p>
    <w:p>
      <w:pPr>
        <w:pStyle w:val="52"/>
        <w:spacing w:line="480" w:lineRule="exact"/>
        <w:ind w:firstLine="3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（4）不能胜任岗位职责的；</w:t>
      </w:r>
    </w:p>
    <w:p>
      <w:pPr>
        <w:pStyle w:val="52"/>
        <w:spacing w:line="480" w:lineRule="exact"/>
        <w:ind w:firstLine="3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（5）严重违反职业道德的；</w:t>
      </w:r>
    </w:p>
    <w:p>
      <w:pPr>
        <w:pStyle w:val="52"/>
        <w:spacing w:line="480" w:lineRule="exact"/>
        <w:ind w:firstLine="336"/>
        <w:jc w:val="left"/>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（6）专用条件约定的其他情形。</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93" w:name="_Toc422322496"/>
      <w:r>
        <w:rPr>
          <w:rFonts w:hint="eastAsia" w:ascii="宋体" w:hAnsi="宋体" w:eastAsia="宋体" w:cs="宋体"/>
          <w:b w:val="0"/>
          <w:color w:val="auto"/>
          <w:sz w:val="24"/>
          <w:szCs w:val="24"/>
          <w:highlight w:val="none"/>
        </w:rPr>
        <w:t>3.2 咨询人的工作要求</w:t>
      </w:r>
      <w:bookmarkEnd w:id="93"/>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3.2.2咨询人应当在专用条件约定的时间内，按照专用条件约定的份数、组成向委托人提交咨询成果文件。</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3.2.3咨询人提交的工程造价咨询成果文件，除加盖咨询人单位公章、工程造价咨询企业执业印章外，还必须按要求加盖参加咨询工作人员的执业（从业）资格印章。</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3.2.4咨询人应在专用条件约定的时间内，对委托人以书面形式提出的建议或者异议给予书面答复。</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3.2.5咨询人从事工程造价咨询活动，应当遵循独立、客观、公正、诚</w:t>
      </w:r>
    </w:p>
    <w:p>
      <w:pPr>
        <w:pStyle w:val="52"/>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实信用的原则，不得损害社会公共利益和他人的合法权益。</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3.2.6咨询人承诺按照法律规定及合同约定，完成合同范围内的建设工程造价咨询服务，不转包承接的造价咨询服务业务。</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94" w:name="_Toc422322497"/>
      <w:bookmarkStart w:id="95" w:name="_Toc419045081"/>
      <w:r>
        <w:rPr>
          <w:rFonts w:hint="eastAsia" w:ascii="宋体" w:hAnsi="宋体" w:eastAsia="宋体" w:cs="宋体"/>
          <w:b w:val="0"/>
          <w:color w:val="auto"/>
          <w:sz w:val="24"/>
          <w:szCs w:val="24"/>
          <w:highlight w:val="none"/>
        </w:rPr>
        <w:t>3.3咨询人的工作依据</w:t>
      </w:r>
      <w:bookmarkEnd w:id="94"/>
      <w:bookmarkEnd w:id="95"/>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咨询人应在专用条件内与委托人协商明确履行本合同约定的咨询服务需要适用的技术标准、规范、定额等工作依据，但不得违反国家及工程所在地的强制性标准、规范。</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咨询人应自行配备本条所述的技术标准、规范、定额等相关资料。必须由委托人提供的资料，应在附录C中载明。需要委托人协助才能获得的资料，委托人应予以协助。</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96" w:name="_Toc419045082"/>
      <w:bookmarkStart w:id="97" w:name="_Toc422322498"/>
      <w:r>
        <w:rPr>
          <w:rFonts w:hint="eastAsia" w:ascii="宋体" w:hAnsi="宋体" w:eastAsia="宋体" w:cs="宋体"/>
          <w:b w:val="0"/>
          <w:color w:val="auto"/>
          <w:sz w:val="24"/>
          <w:szCs w:val="24"/>
          <w:highlight w:val="none"/>
        </w:rPr>
        <w:t>3.4使用委托人房屋及设备的返还</w:t>
      </w:r>
      <w:bookmarkEnd w:id="96"/>
      <w:bookmarkEnd w:id="97"/>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项目咨询人员使用委托人提供的房屋及设备的，咨询人应妥善使用和保管，在本合同终止时将上述房屋及设备按专用条件约定的时间和方式返还委托人。</w:t>
      </w:r>
    </w:p>
    <w:bookmarkEnd w:id="92"/>
    <w:p>
      <w:pPr>
        <w:widowControl/>
        <w:spacing w:line="480" w:lineRule="exact"/>
        <w:ind w:firstLine="482" w:firstLineChars="200"/>
        <w:rPr>
          <w:rStyle w:val="32"/>
          <w:rFonts w:hint="eastAsia" w:ascii="宋体" w:hAnsi="宋体" w:eastAsia="宋体" w:cs="宋体"/>
          <w:color w:val="auto"/>
          <w:sz w:val="24"/>
          <w:szCs w:val="24"/>
          <w:highlight w:val="none"/>
        </w:rPr>
      </w:pPr>
      <w:bookmarkStart w:id="98" w:name="_Toc419045083"/>
      <w:bookmarkStart w:id="99" w:name="_Toc422322499"/>
      <w:bookmarkStart w:id="100" w:name="19"/>
      <w:r>
        <w:rPr>
          <w:rStyle w:val="32"/>
          <w:rFonts w:hint="eastAsia" w:ascii="宋体" w:hAnsi="宋体" w:eastAsia="宋体" w:cs="宋体"/>
          <w:color w:val="auto"/>
          <w:sz w:val="24"/>
          <w:szCs w:val="24"/>
          <w:highlight w:val="none"/>
        </w:rPr>
        <w:t>4.违约责任</w:t>
      </w:r>
      <w:bookmarkEnd w:id="98"/>
      <w:bookmarkEnd w:id="99"/>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01" w:name="_Toc422322500"/>
      <w:r>
        <w:rPr>
          <w:rFonts w:hint="eastAsia" w:ascii="宋体" w:hAnsi="宋体" w:eastAsia="宋体" w:cs="宋体"/>
          <w:b w:val="0"/>
          <w:color w:val="auto"/>
          <w:sz w:val="24"/>
          <w:szCs w:val="24"/>
          <w:highlight w:val="none"/>
        </w:rPr>
        <w:t>4.1委托人的违约责任</w:t>
      </w:r>
      <w:bookmarkEnd w:id="101"/>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4.1.1委托人不履行本合同义务或者履行义务不符合本合同约定的，应承担违约责任。双方可在专用条件中约定违约金的计算及支付方法。</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4.1.2委托人违反本合同约定造成咨询人损失的，委托人应予以赔偿。双方可在专用条件中约定赔偿金额的确定及支付方法。</w:t>
      </w:r>
    </w:p>
    <w:p>
      <w:pPr>
        <w:pStyle w:val="52"/>
        <w:spacing w:line="480" w:lineRule="exact"/>
        <w:ind w:firstLine="480" w:firstLineChars="200"/>
        <w:jc w:val="left"/>
        <w:rPr>
          <w:rStyle w:val="32"/>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02" w:name="_Toc419045084"/>
      <w:bookmarkStart w:id="103" w:name="_Toc422322501"/>
      <w:r>
        <w:rPr>
          <w:rFonts w:hint="eastAsia" w:ascii="宋体" w:hAnsi="宋体" w:eastAsia="宋体" w:cs="宋体"/>
          <w:b w:val="0"/>
          <w:color w:val="auto"/>
          <w:sz w:val="24"/>
          <w:szCs w:val="24"/>
          <w:highlight w:val="none"/>
        </w:rPr>
        <w:t>4.2咨询人的违约责任</w:t>
      </w:r>
      <w:bookmarkEnd w:id="102"/>
      <w:bookmarkEnd w:id="103"/>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4.2.1咨询人不履行本合同义务或者履行义务不符合本合同约定的，应承担违约责任。双方可在专用条件中约定违约金的计算及支付方法。</w:t>
      </w:r>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4.2.2因咨询人违反本合同约定给委托人造成损失的，咨询人应当赔偿委托人损失。双方可在专用条件中约定赔偿金额的确定及支付方法。</w:t>
      </w:r>
    </w:p>
    <w:p>
      <w:pPr>
        <w:widowControl/>
        <w:spacing w:line="480" w:lineRule="exact"/>
        <w:ind w:firstLine="482" w:firstLineChars="200"/>
        <w:rPr>
          <w:rStyle w:val="32"/>
          <w:rFonts w:hint="eastAsia" w:ascii="宋体" w:hAnsi="宋体" w:eastAsia="宋体" w:cs="宋体"/>
          <w:bCs w:val="0"/>
          <w:color w:val="auto"/>
          <w:sz w:val="24"/>
          <w:szCs w:val="24"/>
          <w:highlight w:val="none"/>
        </w:rPr>
      </w:pPr>
      <w:bookmarkStart w:id="104" w:name="_Toc419045086"/>
      <w:bookmarkStart w:id="105" w:name="_Toc422322502"/>
      <w:r>
        <w:rPr>
          <w:rStyle w:val="32"/>
          <w:rFonts w:hint="eastAsia" w:ascii="宋体" w:hAnsi="宋体" w:eastAsia="宋体" w:cs="宋体"/>
          <w:bCs w:val="0"/>
          <w:color w:val="auto"/>
          <w:sz w:val="24"/>
          <w:szCs w:val="24"/>
          <w:highlight w:val="none"/>
        </w:rPr>
        <w:t>5.支付</w:t>
      </w:r>
      <w:bookmarkEnd w:id="104"/>
      <w:bookmarkEnd w:id="105"/>
    </w:p>
    <w:p>
      <w:pPr>
        <w:pStyle w:val="15"/>
        <w:widowControl/>
        <w:spacing w:before="0" w:after="0" w:line="480" w:lineRule="exact"/>
        <w:ind w:firstLine="480" w:firstLineChars="200"/>
        <w:jc w:val="left"/>
        <w:rPr>
          <w:rFonts w:hint="eastAsia" w:ascii="宋体" w:hAnsi="宋体" w:eastAsia="宋体" w:cs="宋体"/>
          <w:color w:val="auto"/>
          <w:sz w:val="24"/>
          <w:szCs w:val="24"/>
          <w:highlight w:val="none"/>
        </w:rPr>
      </w:pPr>
      <w:bookmarkStart w:id="106" w:name="_Toc419045087"/>
      <w:bookmarkStart w:id="107" w:name="_Toc422322503"/>
      <w:r>
        <w:rPr>
          <w:rStyle w:val="46"/>
          <w:rFonts w:hint="eastAsia" w:ascii="宋体" w:hAnsi="宋体" w:eastAsia="宋体" w:cs="宋体"/>
          <w:b w:val="0"/>
          <w:bCs w:val="0"/>
          <w:color w:val="auto"/>
          <w:sz w:val="24"/>
          <w:szCs w:val="24"/>
          <w:highlight w:val="none"/>
        </w:rPr>
        <w:t>5.1支付货币</w:t>
      </w:r>
      <w:bookmarkEnd w:id="106"/>
      <w:bookmarkEnd w:id="107"/>
    </w:p>
    <w:p>
      <w:pPr>
        <w:widowControl/>
        <w:spacing w:line="480" w:lineRule="exact"/>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除专用条件另有约定外，酬金均以人民币支付。涉及外币支付的，所采用的货币种类和汇率等在专用条件中约定。</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08" w:name="_Toc422322504"/>
      <w:r>
        <w:rPr>
          <w:rFonts w:hint="eastAsia" w:ascii="宋体" w:hAnsi="宋体" w:eastAsia="宋体" w:cs="宋体"/>
          <w:b w:val="0"/>
          <w:color w:val="auto"/>
          <w:sz w:val="24"/>
          <w:szCs w:val="24"/>
          <w:highlight w:val="none"/>
        </w:rPr>
        <w:t>5.2支付申请</w:t>
      </w:r>
      <w:bookmarkEnd w:id="108"/>
    </w:p>
    <w:p>
      <w:pPr>
        <w:widowControl/>
        <w:spacing w:line="480" w:lineRule="exact"/>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咨询人应在本合同约定的每次应付款日期前，向委托人提交支付申请书，支付申请书的提交日期由双方在专用条件中约定。支付申请书应当说明当期应付款总额，并列出当期应支付的款项及其金额。</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09" w:name="_Toc422322505"/>
      <w:r>
        <w:rPr>
          <w:rFonts w:hint="eastAsia" w:ascii="宋体" w:hAnsi="宋体" w:eastAsia="宋体" w:cs="宋体"/>
          <w:b w:val="0"/>
          <w:color w:val="auto"/>
          <w:sz w:val="24"/>
          <w:szCs w:val="24"/>
          <w:highlight w:val="none"/>
        </w:rPr>
        <w:t>5.3 支付酬金</w:t>
      </w:r>
      <w:bookmarkEnd w:id="109"/>
    </w:p>
    <w:p>
      <w:pPr>
        <w:widowControl/>
        <w:spacing w:line="480" w:lineRule="exact"/>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支付酬金包括正常工作酬金、附加工作酬金、合理化建议奖励金额及费用。</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10" w:name="_Toc422322506"/>
      <w:r>
        <w:rPr>
          <w:rFonts w:hint="eastAsia" w:ascii="宋体" w:hAnsi="宋体" w:eastAsia="宋体" w:cs="宋体"/>
          <w:b w:val="0"/>
          <w:color w:val="auto"/>
          <w:sz w:val="24"/>
          <w:szCs w:val="24"/>
          <w:highlight w:val="none"/>
        </w:rPr>
        <w:t>5.4有异议部分的支付</w:t>
      </w:r>
      <w:bookmarkEnd w:id="110"/>
    </w:p>
    <w:p>
      <w:pPr>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委托人对咨询人提交的支付申请书有异议时，应当在收到咨询人提交的支付申请书后7日内，以书面形式向咨询人发出异议通知。无异议部分的款项应按期支付，有异议部分的款项按第7条约定办理。</w:t>
      </w:r>
    </w:p>
    <w:p>
      <w:pPr>
        <w:widowControl/>
        <w:spacing w:line="480" w:lineRule="exact"/>
        <w:ind w:firstLine="482" w:firstLineChars="200"/>
        <w:rPr>
          <w:rStyle w:val="32"/>
          <w:rFonts w:hint="eastAsia" w:ascii="宋体" w:hAnsi="宋体" w:eastAsia="宋体" w:cs="宋体"/>
          <w:color w:val="auto"/>
          <w:sz w:val="24"/>
          <w:szCs w:val="24"/>
          <w:highlight w:val="none"/>
        </w:rPr>
      </w:pPr>
      <w:bookmarkStart w:id="111" w:name="_Toc419045088"/>
      <w:bookmarkStart w:id="112" w:name="_Toc422322507"/>
      <w:r>
        <w:rPr>
          <w:rStyle w:val="32"/>
          <w:rFonts w:hint="eastAsia" w:ascii="宋体" w:hAnsi="宋体" w:eastAsia="宋体" w:cs="宋体"/>
          <w:color w:val="auto"/>
          <w:sz w:val="24"/>
          <w:szCs w:val="24"/>
          <w:highlight w:val="none"/>
        </w:rPr>
        <w:t>6.合同变更、解除与终止</w:t>
      </w:r>
      <w:bookmarkEnd w:id="111"/>
      <w:bookmarkEnd w:id="112"/>
    </w:p>
    <w:p>
      <w:pPr>
        <w:widowControl/>
        <w:spacing w:line="480" w:lineRule="exact"/>
        <w:ind w:firstLine="480" w:firstLineChars="200"/>
        <w:rPr>
          <w:rFonts w:hint="eastAsia" w:ascii="宋体" w:hAnsi="宋体" w:eastAsia="宋体" w:cs="宋体"/>
          <w:color w:val="auto"/>
          <w:sz w:val="24"/>
          <w:szCs w:val="24"/>
          <w:highlight w:val="none"/>
          <w:lang w:eastAsia="zh-CN"/>
        </w:rPr>
      </w:pPr>
      <w:bookmarkStart w:id="113" w:name="_Toc419045089"/>
      <w:bookmarkStart w:id="114" w:name="_Toc422322508"/>
      <w:r>
        <w:rPr>
          <w:rStyle w:val="46"/>
          <w:rFonts w:hint="eastAsia" w:ascii="宋体" w:hAnsi="宋体" w:eastAsia="宋体" w:cs="宋体"/>
          <w:b w:val="0"/>
          <w:color w:val="auto"/>
          <w:sz w:val="24"/>
          <w:szCs w:val="24"/>
          <w:highlight w:val="none"/>
        </w:rPr>
        <w:t>6.1合同变更</w:t>
      </w:r>
      <w:bookmarkEnd w:id="113"/>
      <w:bookmarkEnd w:id="114"/>
      <w:r>
        <w:rPr>
          <w:rFonts w:hint="eastAsia" w:ascii="宋体" w:hAnsi="宋体" w:eastAsia="宋体" w:cs="宋体"/>
          <w:color w:val="auto"/>
          <w:sz w:val="24"/>
          <w:szCs w:val="24"/>
          <w:highlight w:val="none"/>
        </w:rPr>
        <w:t xml:space="preserve"> </w:t>
      </w:r>
    </w:p>
    <w:p>
      <w:pPr>
        <w:widowControl/>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6.1.1 任何一方以书面形式提出变更请求时，双方经协商一致后可进行变更。</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widowControl/>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widowControl/>
        <w:spacing w:line="48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6.1.4 因工程规模、服务范围及工作内容的变化等导致咨询人的工作量增减时，服务酬金应作相应调整，调整方法由双方在专用条件中约定。</w:t>
      </w:r>
    </w:p>
    <w:p>
      <w:pPr>
        <w:widowControl/>
        <w:spacing w:line="480" w:lineRule="exact"/>
        <w:ind w:firstLine="480" w:firstLineChars="200"/>
        <w:rPr>
          <w:rStyle w:val="46"/>
          <w:rFonts w:hint="eastAsia" w:ascii="宋体" w:hAnsi="宋体" w:eastAsia="宋体" w:cs="宋体"/>
          <w:b w:val="0"/>
          <w:color w:val="auto"/>
          <w:sz w:val="24"/>
          <w:szCs w:val="24"/>
          <w:highlight w:val="none"/>
        </w:rPr>
      </w:pPr>
      <w:bookmarkStart w:id="115" w:name="_Toc419045090"/>
      <w:bookmarkStart w:id="116" w:name="_Toc422322509"/>
      <w:r>
        <w:rPr>
          <w:rStyle w:val="46"/>
          <w:rFonts w:hint="eastAsia" w:ascii="宋体" w:hAnsi="宋体" w:eastAsia="宋体" w:cs="宋体"/>
          <w:b w:val="0"/>
          <w:bCs w:val="0"/>
          <w:color w:val="auto"/>
          <w:sz w:val="24"/>
          <w:szCs w:val="24"/>
          <w:highlight w:val="none"/>
        </w:rPr>
        <w:t>6.2合同</w:t>
      </w:r>
      <w:r>
        <w:rPr>
          <w:rStyle w:val="46"/>
          <w:rFonts w:hint="eastAsia" w:ascii="宋体" w:hAnsi="宋体" w:eastAsia="宋体" w:cs="宋体"/>
          <w:b w:val="0"/>
          <w:color w:val="auto"/>
          <w:sz w:val="24"/>
          <w:szCs w:val="24"/>
          <w:highlight w:val="none"/>
        </w:rPr>
        <w:t>解除</w:t>
      </w:r>
      <w:bookmarkEnd w:id="115"/>
      <w:bookmarkEnd w:id="116"/>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委托人与咨询人协商一致，可以解除合同。</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有下列情形之一的，合同当事人一方或双方可以解除合同：</w:t>
      </w:r>
    </w:p>
    <w:p>
      <w:pPr>
        <w:widowControl/>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（1）咨询人将本合同约定的工程造价咨询服务工作全部或部分转包给他人，委托人可以解除合同；</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（2）咨询人提供的造价咨询服务不符合合同约定的要求，经委托人催告仍不能达到合同约定要求的，委托人可以解除合同；</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（3）委托人未按合同约定支付服务酬金，经咨询人催告后，在28天内仍未支付的，咨询人可以解除合同；</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（4）因不可抗力致使合同无法履行；</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（5）因一方违约致使合同无法实际履行或实际履行已无必要。</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除上述情形外，双方可以根据委托的服务范围及工作内容，在专用条件中约定解除合同的其他条件。</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任何一方提出解除合同的，应提前30天书面通知对方。</w:t>
      </w:r>
    </w:p>
    <w:p>
      <w:pPr>
        <w:widowControl/>
        <w:spacing w:line="48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6.2.4合同解除后，委托人应按照合同约定向咨询人支付已完成部分的咨询服务酬金。</w:t>
      </w:r>
    </w:p>
    <w:p>
      <w:pPr>
        <w:widowControl/>
        <w:spacing w:line="48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widowControl/>
        <w:spacing w:line="480" w:lineRule="exact"/>
        <w:ind w:firstLine="480" w:firstLineChars="200"/>
        <w:rPr>
          <w:rFonts w:hint="eastAsia" w:ascii="宋体" w:hAnsi="宋体" w:eastAsia="宋体" w:cs="宋体"/>
          <w:smallCaps/>
          <w:color w:val="auto"/>
          <w:sz w:val="24"/>
          <w:szCs w:val="24"/>
          <w:highlight w:val="none"/>
        </w:rPr>
      </w:pPr>
      <w:r>
        <w:rPr>
          <w:rFonts w:hint="eastAsia" w:ascii="宋体" w:hAnsi="宋体" w:eastAsia="宋体" w:cs="宋体"/>
          <w:color w:val="auto"/>
          <w:sz w:val="24"/>
          <w:szCs w:val="24"/>
          <w:highlight w:val="none"/>
        </w:rPr>
        <w:t>6.2.5本合同解除后，本合同约定的有关结算、争议解决方式的条款仍然有效。</w:t>
      </w:r>
    </w:p>
    <w:p>
      <w:pPr>
        <w:widowControl/>
        <w:spacing w:line="480" w:lineRule="exact"/>
        <w:ind w:firstLine="480" w:firstLineChars="200"/>
        <w:rPr>
          <w:rStyle w:val="46"/>
          <w:rFonts w:hint="eastAsia" w:ascii="宋体" w:hAnsi="宋体" w:eastAsia="宋体" w:cs="宋体"/>
          <w:b w:val="0"/>
          <w:color w:val="auto"/>
          <w:sz w:val="24"/>
          <w:szCs w:val="24"/>
          <w:highlight w:val="none"/>
          <w:lang w:eastAsia="zh-CN"/>
        </w:rPr>
      </w:pPr>
      <w:bookmarkStart w:id="117" w:name="_Toc422322510"/>
      <w:r>
        <w:rPr>
          <w:rStyle w:val="46"/>
          <w:rFonts w:hint="eastAsia" w:ascii="宋体" w:hAnsi="宋体" w:eastAsia="宋体" w:cs="宋体"/>
          <w:b w:val="0"/>
          <w:color w:val="auto"/>
          <w:sz w:val="24"/>
          <w:szCs w:val="24"/>
          <w:highlight w:val="none"/>
        </w:rPr>
        <w:t>6.3 合同终止</w:t>
      </w:r>
      <w:bookmarkEnd w:id="117"/>
    </w:p>
    <w:p>
      <w:pPr>
        <w:widowControl/>
        <w:spacing w:line="48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smallCaps/>
          <w:color w:val="auto"/>
          <w:sz w:val="24"/>
          <w:szCs w:val="24"/>
          <w:highlight w:val="none"/>
        </w:rPr>
        <w:t>　　</w:t>
      </w:r>
      <w:r>
        <w:rPr>
          <w:rFonts w:hint="eastAsia" w:ascii="宋体" w:hAnsi="宋体" w:eastAsia="宋体" w:cs="宋体"/>
          <w:bCs/>
          <w:smallCaps/>
          <w:color w:val="auto"/>
          <w:sz w:val="24"/>
          <w:szCs w:val="24"/>
          <w:highlight w:val="none"/>
        </w:rPr>
        <w:t>除合同解除外，以下条</w:t>
      </w:r>
      <w:r>
        <w:rPr>
          <w:rFonts w:hint="eastAsia" w:ascii="宋体" w:hAnsi="宋体" w:eastAsia="宋体" w:cs="宋体"/>
          <w:color w:val="auto"/>
          <w:sz w:val="24"/>
          <w:szCs w:val="24"/>
          <w:highlight w:val="none"/>
        </w:rPr>
        <w:t>件全部满足时，本合同终止：</w:t>
      </w:r>
    </w:p>
    <w:p>
      <w:pPr>
        <w:widowControl/>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（1）咨询人完成本合同约定的全部工作；</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（2）委托人与咨询人结清并支付酬金；</w:t>
      </w:r>
    </w:p>
    <w:p>
      <w:pPr>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（3）咨询人将委托人提供的资料交还。</w:t>
      </w:r>
    </w:p>
    <w:p>
      <w:pPr>
        <w:widowControl/>
        <w:spacing w:line="480" w:lineRule="exact"/>
        <w:ind w:firstLine="482" w:firstLineChars="200"/>
        <w:rPr>
          <w:rStyle w:val="32"/>
          <w:rFonts w:hint="eastAsia" w:ascii="宋体" w:hAnsi="宋体" w:eastAsia="宋体" w:cs="宋体"/>
          <w:bCs w:val="0"/>
          <w:color w:val="auto"/>
          <w:sz w:val="24"/>
          <w:szCs w:val="24"/>
          <w:highlight w:val="none"/>
        </w:rPr>
      </w:pPr>
      <w:bookmarkStart w:id="118" w:name="_Toc419045091"/>
      <w:bookmarkStart w:id="119" w:name="_Toc422322511"/>
      <w:r>
        <w:rPr>
          <w:rStyle w:val="32"/>
          <w:rFonts w:hint="eastAsia" w:ascii="宋体" w:hAnsi="宋体" w:eastAsia="宋体" w:cs="宋体"/>
          <w:bCs w:val="0"/>
          <w:color w:val="auto"/>
          <w:sz w:val="24"/>
          <w:szCs w:val="24"/>
          <w:highlight w:val="none"/>
        </w:rPr>
        <w:t>7.争议解决</w:t>
      </w:r>
      <w:bookmarkEnd w:id="100"/>
      <w:bookmarkEnd w:id="118"/>
      <w:bookmarkEnd w:id="119"/>
    </w:p>
    <w:p>
      <w:pPr>
        <w:pStyle w:val="52"/>
        <w:spacing w:line="480" w:lineRule="exact"/>
        <w:ind w:firstLine="480" w:firstLineChars="200"/>
        <w:jc w:val="left"/>
        <w:rPr>
          <w:rStyle w:val="46"/>
          <w:rFonts w:hint="eastAsia" w:ascii="宋体" w:hAnsi="宋体" w:eastAsia="宋体" w:cs="宋体"/>
          <w:b w:val="0"/>
          <w:smallCaps/>
          <w:color w:val="auto"/>
          <w:sz w:val="24"/>
          <w:szCs w:val="24"/>
          <w:highlight w:val="none"/>
          <w:lang w:eastAsia="zh-CN"/>
        </w:rPr>
      </w:pPr>
      <w:bookmarkStart w:id="120" w:name="_Toc422322512"/>
      <w:bookmarkStart w:id="121" w:name="_Toc419045092"/>
      <w:r>
        <w:rPr>
          <w:rStyle w:val="46"/>
          <w:rFonts w:hint="eastAsia" w:ascii="宋体" w:hAnsi="宋体" w:eastAsia="宋体" w:cs="宋体"/>
          <w:b w:val="0"/>
          <w:smallCaps/>
          <w:color w:val="auto"/>
          <w:sz w:val="24"/>
          <w:szCs w:val="24"/>
          <w:highlight w:val="none"/>
        </w:rPr>
        <w:t>7.1协商</w:t>
      </w:r>
      <w:bookmarkEnd w:id="120"/>
      <w:bookmarkEnd w:id="121"/>
    </w:p>
    <w:p>
      <w:pPr>
        <w:pStyle w:val="52"/>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双方应本着诚实信用的原则协商解决本合同履行过程中发生的争议。</w:t>
      </w:r>
      <w:bookmarkStart w:id="122" w:name="37"/>
    </w:p>
    <w:p>
      <w:pPr>
        <w:pStyle w:val="52"/>
        <w:spacing w:line="480" w:lineRule="exact"/>
        <w:ind w:firstLine="480" w:firstLineChars="200"/>
        <w:jc w:val="left"/>
        <w:rPr>
          <w:rStyle w:val="46"/>
          <w:rFonts w:hint="eastAsia" w:ascii="宋体" w:hAnsi="宋体" w:eastAsia="宋体" w:cs="宋体"/>
          <w:b w:val="0"/>
          <w:smallCaps/>
          <w:color w:val="auto"/>
          <w:sz w:val="24"/>
          <w:szCs w:val="24"/>
          <w:highlight w:val="none"/>
          <w:lang w:eastAsia="zh-CN"/>
        </w:rPr>
      </w:pPr>
      <w:bookmarkStart w:id="123" w:name="_Toc419045093"/>
      <w:bookmarkStart w:id="124" w:name="_Toc422322513"/>
      <w:r>
        <w:rPr>
          <w:rStyle w:val="46"/>
          <w:rFonts w:hint="eastAsia" w:ascii="宋体" w:hAnsi="宋体" w:eastAsia="宋体" w:cs="宋体"/>
          <w:b w:val="0"/>
          <w:smallCaps/>
          <w:color w:val="auto"/>
          <w:sz w:val="24"/>
          <w:szCs w:val="24"/>
          <w:highlight w:val="none"/>
        </w:rPr>
        <w:t>7.2</w:t>
      </w:r>
      <w:bookmarkEnd w:id="122"/>
      <w:r>
        <w:rPr>
          <w:rStyle w:val="46"/>
          <w:rFonts w:hint="eastAsia" w:ascii="宋体" w:hAnsi="宋体" w:eastAsia="宋体" w:cs="宋体"/>
          <w:b w:val="0"/>
          <w:smallCaps/>
          <w:color w:val="auto"/>
          <w:sz w:val="24"/>
          <w:szCs w:val="24"/>
          <w:highlight w:val="none"/>
        </w:rPr>
        <w:t>调解</w:t>
      </w:r>
      <w:bookmarkEnd w:id="123"/>
      <w:bookmarkEnd w:id="124"/>
    </w:p>
    <w:p>
      <w:pPr>
        <w:pStyle w:val="52"/>
        <w:spacing w:line="48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如果双方不能在14日内或双方商定的其他时间内解决本合同争议，可以将其提交给专用条件约定的或事后达成协议的调解人进行调解。</w:t>
      </w:r>
    </w:p>
    <w:p>
      <w:pPr>
        <w:widowControl/>
        <w:spacing w:line="480" w:lineRule="exact"/>
        <w:ind w:firstLine="480" w:firstLineChars="200"/>
        <w:rPr>
          <w:rStyle w:val="46"/>
          <w:rFonts w:hint="eastAsia" w:ascii="宋体" w:hAnsi="宋体" w:eastAsia="宋体" w:cs="宋体"/>
          <w:b w:val="0"/>
          <w:smallCaps/>
          <w:color w:val="auto"/>
          <w:sz w:val="24"/>
          <w:szCs w:val="24"/>
          <w:highlight w:val="none"/>
          <w:lang w:eastAsia="zh-CN"/>
        </w:rPr>
      </w:pPr>
      <w:bookmarkStart w:id="125" w:name="38"/>
      <w:bookmarkStart w:id="126" w:name="_Toc419045094"/>
      <w:bookmarkStart w:id="127" w:name="_Toc422322514"/>
      <w:r>
        <w:rPr>
          <w:rStyle w:val="46"/>
          <w:rFonts w:hint="eastAsia" w:ascii="宋体" w:hAnsi="宋体" w:eastAsia="宋体" w:cs="宋体"/>
          <w:b w:val="0"/>
          <w:smallCaps/>
          <w:color w:val="auto"/>
          <w:sz w:val="24"/>
          <w:szCs w:val="24"/>
          <w:highlight w:val="none"/>
        </w:rPr>
        <w:t>7.</w:t>
      </w:r>
      <w:bookmarkEnd w:id="125"/>
      <w:r>
        <w:rPr>
          <w:rStyle w:val="46"/>
          <w:rFonts w:hint="eastAsia" w:ascii="宋体" w:hAnsi="宋体" w:eastAsia="宋体" w:cs="宋体"/>
          <w:b w:val="0"/>
          <w:smallCaps/>
          <w:color w:val="auto"/>
          <w:sz w:val="24"/>
          <w:szCs w:val="24"/>
          <w:highlight w:val="none"/>
        </w:rPr>
        <w:t>3仲裁或诉讼</w:t>
      </w:r>
      <w:bookmarkEnd w:id="126"/>
      <w:bookmarkEnd w:id="127"/>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双方均有权不经调解直接向专用条件约定的仲裁机构申请仲裁或向有管辖权的人民法院提起诉讼。</w:t>
      </w:r>
    </w:p>
    <w:p>
      <w:pPr>
        <w:widowControl/>
        <w:spacing w:line="480" w:lineRule="exact"/>
        <w:ind w:firstLine="482" w:firstLineChars="200"/>
        <w:rPr>
          <w:rStyle w:val="32"/>
          <w:rFonts w:hint="eastAsia" w:ascii="宋体" w:hAnsi="宋体" w:eastAsia="宋体" w:cs="宋体"/>
          <w:color w:val="auto"/>
          <w:sz w:val="24"/>
          <w:szCs w:val="24"/>
          <w:highlight w:val="none"/>
        </w:rPr>
      </w:pPr>
      <w:bookmarkStart w:id="128" w:name="_Toc422322515"/>
      <w:bookmarkStart w:id="129" w:name="_Toc419045095"/>
      <w:r>
        <w:rPr>
          <w:rStyle w:val="32"/>
          <w:rFonts w:hint="eastAsia" w:ascii="宋体" w:hAnsi="宋体" w:eastAsia="宋体" w:cs="宋体"/>
          <w:color w:val="auto"/>
          <w:sz w:val="24"/>
          <w:szCs w:val="24"/>
          <w:highlight w:val="none"/>
        </w:rPr>
        <w:t>8.其他</w:t>
      </w:r>
      <w:bookmarkEnd w:id="128"/>
      <w:bookmarkEnd w:id="129"/>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30" w:name="39"/>
      <w:bookmarkStart w:id="131" w:name="_Toc419045096"/>
      <w:bookmarkStart w:id="132" w:name="_Toc422322516"/>
      <w:r>
        <w:rPr>
          <w:rFonts w:hint="eastAsia" w:ascii="宋体" w:hAnsi="宋体" w:eastAsia="宋体" w:cs="宋体"/>
          <w:b w:val="0"/>
          <w:smallCaps/>
          <w:color w:val="auto"/>
          <w:sz w:val="24"/>
          <w:szCs w:val="24"/>
          <w:highlight w:val="none"/>
        </w:rPr>
        <w:t>8.1</w:t>
      </w:r>
      <w:bookmarkEnd w:id="130"/>
      <w:r>
        <w:rPr>
          <w:rFonts w:hint="eastAsia" w:ascii="宋体" w:hAnsi="宋体" w:eastAsia="宋体" w:cs="宋体"/>
          <w:b w:val="0"/>
          <w:color w:val="auto"/>
          <w:sz w:val="24"/>
          <w:szCs w:val="24"/>
          <w:highlight w:val="none"/>
        </w:rPr>
        <w:t>考察及相关费用</w:t>
      </w:r>
      <w:bookmarkEnd w:id="131"/>
      <w:bookmarkEnd w:id="132"/>
    </w:p>
    <w:p>
      <w:pPr>
        <w:widowControl/>
        <w:spacing w:line="480" w:lineRule="exact"/>
        <w:ind w:firstLine="480" w:firstLineChars="200"/>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除专用条件另有约定外，咨询人经委托人同意进行考察发生的费用由委托人审核后另行支付。差旅费及相关费用的承担由双方在专用条件中约定。</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33" w:name="_Toc422322517"/>
      <w:r>
        <w:rPr>
          <w:rFonts w:hint="eastAsia" w:ascii="宋体" w:hAnsi="宋体" w:eastAsia="宋体" w:cs="宋体"/>
          <w:b w:val="0"/>
          <w:color w:val="auto"/>
          <w:sz w:val="24"/>
          <w:szCs w:val="24"/>
          <w:highlight w:val="none"/>
        </w:rPr>
        <w:t>8.2奖励</w:t>
      </w:r>
      <w:bookmarkEnd w:id="133"/>
    </w:p>
    <w:p>
      <w:pPr>
        <w:widowControl/>
        <w:spacing w:line="480" w:lineRule="exact"/>
        <w:ind w:firstLine="480" w:firstLineChars="200"/>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34" w:name="_Toc422322518"/>
      <w:r>
        <w:rPr>
          <w:rFonts w:hint="eastAsia" w:ascii="宋体" w:hAnsi="宋体" w:eastAsia="宋体" w:cs="宋体"/>
          <w:b w:val="0"/>
          <w:color w:val="auto"/>
          <w:sz w:val="24"/>
          <w:szCs w:val="24"/>
          <w:highlight w:val="none"/>
        </w:rPr>
        <w:t>8.3保密</w:t>
      </w:r>
      <w:bookmarkEnd w:id="134"/>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在本合同履行期间或专用条件约定的期限内，双方不得泄露对方申明的保密资料，亦不得泄露与实施工程有关的第三人所提供的保密资料。保密事项在专用条件中约定。</w:t>
      </w:r>
    </w:p>
    <w:p>
      <w:pPr>
        <w:widowControl/>
        <w:spacing w:line="480" w:lineRule="exact"/>
        <w:rPr>
          <w:rFonts w:hint="eastAsia" w:ascii="宋体" w:hAnsi="宋体" w:eastAsia="宋体" w:cs="宋体"/>
          <w:b/>
          <w:color w:val="auto"/>
          <w:sz w:val="24"/>
          <w:szCs w:val="24"/>
          <w:highlight w:val="none"/>
        </w:rPr>
      </w:pPr>
      <w:r>
        <w:rPr>
          <w:rFonts w:hint="eastAsia" w:ascii="宋体" w:hAnsi="宋体" w:eastAsia="宋体" w:cs="宋体"/>
          <w:bCs/>
          <w:smallCaps/>
          <w:color w:val="auto"/>
          <w:sz w:val="24"/>
          <w:szCs w:val="24"/>
          <w:highlight w:val="none"/>
        </w:rPr>
        <w:t xml:space="preserve">　　 </w:t>
      </w:r>
      <w:bookmarkStart w:id="135" w:name="_Toc419045097"/>
      <w:bookmarkStart w:id="136" w:name="_Toc422322519"/>
      <w:r>
        <w:rPr>
          <w:rStyle w:val="46"/>
          <w:rFonts w:hint="eastAsia" w:ascii="宋体" w:hAnsi="宋体" w:eastAsia="宋体" w:cs="宋体"/>
          <w:b w:val="0"/>
          <w:color w:val="auto"/>
          <w:sz w:val="24"/>
          <w:szCs w:val="24"/>
          <w:highlight w:val="none"/>
        </w:rPr>
        <w:t>8.4</w:t>
      </w:r>
      <w:bookmarkEnd w:id="135"/>
      <w:r>
        <w:rPr>
          <w:rStyle w:val="46"/>
          <w:rFonts w:hint="eastAsia" w:ascii="宋体" w:hAnsi="宋体" w:eastAsia="宋体" w:cs="宋体"/>
          <w:b w:val="0"/>
          <w:color w:val="auto"/>
          <w:sz w:val="24"/>
          <w:szCs w:val="24"/>
          <w:highlight w:val="none"/>
        </w:rPr>
        <w:t>联络</w:t>
      </w:r>
      <w:bookmarkEnd w:id="136"/>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8.4.1与合同有关的通知、指示、要求、决定等，均应采用书面形式，并应在专用条件约定的期限内送达接收人和送达地点。</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pPr>
        <w:widowControl/>
        <w:tabs>
          <w:tab w:val="left" w:pos="5085"/>
        </w:tabs>
        <w:spacing w:line="480" w:lineRule="exact"/>
        <w:ind w:firstLine="480" w:firstLineChars="200"/>
        <w:rPr>
          <w:rStyle w:val="46"/>
          <w:rFonts w:hint="eastAsia" w:ascii="宋体" w:hAnsi="宋体" w:eastAsia="宋体" w:cs="宋体"/>
          <w:b w:val="0"/>
          <w:bCs w:val="0"/>
          <w:color w:val="auto"/>
          <w:kern w:val="0"/>
          <w:sz w:val="24"/>
          <w:szCs w:val="24"/>
          <w:highlight w:val="none"/>
        </w:rPr>
      </w:pPr>
      <w:r>
        <w:rPr>
          <w:rFonts w:hint="eastAsia" w:ascii="宋体" w:hAnsi="宋体" w:eastAsia="宋体" w:cs="宋体"/>
          <w:color w:val="auto"/>
          <w:sz w:val="24"/>
          <w:szCs w:val="24"/>
          <w:highlight w:val="none"/>
        </w:rPr>
        <w:t>8.4.3委托人和咨询人应当及时签收另一方送达至送达地点和指定接收人的往来函件，如确有充分证据证明一方无正当理由拒不签收的，视为认可往来函件的内容。</w:t>
      </w:r>
    </w:p>
    <w:p>
      <w:pPr>
        <w:pStyle w:val="15"/>
        <w:widowControl/>
        <w:spacing w:before="0" w:after="0" w:line="480" w:lineRule="exact"/>
        <w:ind w:firstLine="480" w:firstLineChars="200"/>
        <w:jc w:val="left"/>
        <w:rPr>
          <w:rFonts w:hint="eastAsia" w:ascii="宋体" w:hAnsi="宋体" w:eastAsia="宋体" w:cs="宋体"/>
          <w:b w:val="0"/>
          <w:color w:val="auto"/>
          <w:sz w:val="24"/>
          <w:szCs w:val="24"/>
          <w:highlight w:val="none"/>
        </w:rPr>
      </w:pPr>
      <w:bookmarkStart w:id="137" w:name="_Toc422322520"/>
      <w:r>
        <w:rPr>
          <w:rFonts w:hint="eastAsia" w:ascii="宋体" w:hAnsi="宋体" w:eastAsia="宋体" w:cs="宋体"/>
          <w:b w:val="0"/>
          <w:color w:val="auto"/>
          <w:sz w:val="24"/>
          <w:szCs w:val="24"/>
          <w:highlight w:val="none"/>
        </w:rPr>
        <w:t>8.5知识产权</w:t>
      </w:r>
      <w:bookmarkEnd w:id="137"/>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widowControl/>
        <w:autoSpaceDE w:val="0"/>
        <w:autoSpaceDN w:val="0"/>
        <w:adjustRightIn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双方保证在履行本合同过程中不侵犯对方及第三方的知识产权。因咨询人侵犯他人知识产权所引起的责任，由咨询人承担；因委托人提供的基础资料导致侵权的，由委托人承担责任。</w:t>
      </w:r>
    </w:p>
    <w:p>
      <w:pPr>
        <w:widowControl/>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除专用条件另有约定外，双方均有权在履行本合同保密义务并且不损害对方利益的情况下，将履行本合同形成的有关成果文件用于企业宣传、申报奖项以及接受上级主管部门的检查。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bookmarkStart w:id="138" w:name="_Toc419045098"/>
      <w:bookmarkStart w:id="139" w:name="_Toc422322521"/>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第三部分　专用条件</w:t>
      </w:r>
      <w:bookmarkEnd w:id="138"/>
      <w:bookmarkEnd w:id="139"/>
      <w:bookmarkStart w:id="140" w:name="45"/>
    </w:p>
    <w:bookmarkEnd w:id="140"/>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41" w:name="_Toc422322522"/>
      <w:bookmarkStart w:id="142" w:name="_Toc419045099"/>
      <w:r>
        <w:rPr>
          <w:rFonts w:hint="eastAsia" w:ascii="宋体" w:hAnsi="宋体" w:eastAsia="宋体" w:cs="宋体"/>
          <w:color w:val="auto"/>
          <w:sz w:val="24"/>
          <w:szCs w:val="24"/>
          <w:highlight w:val="none"/>
        </w:rPr>
        <w:t>1.词语定义、语言、解释顺序与适用法律</w:t>
      </w:r>
      <w:bookmarkEnd w:id="141"/>
      <w:bookmarkEnd w:id="142"/>
    </w:p>
    <w:p>
      <w:pPr>
        <w:spacing w:line="360" w:lineRule="auto"/>
        <w:ind w:firstLine="468"/>
        <w:rPr>
          <w:rStyle w:val="46"/>
          <w:rFonts w:hint="eastAsia" w:ascii="宋体" w:hAnsi="宋体" w:eastAsia="宋体" w:cs="宋体"/>
          <w:b w:val="0"/>
          <w:color w:val="auto"/>
          <w:sz w:val="24"/>
          <w:szCs w:val="24"/>
          <w:highlight w:val="none"/>
          <w:lang w:eastAsia="zh-CN"/>
        </w:rPr>
      </w:pPr>
      <w:bookmarkStart w:id="143" w:name="_Toc419045101"/>
      <w:bookmarkStart w:id="144" w:name="_Toc422322524"/>
      <w:r>
        <w:rPr>
          <w:rStyle w:val="46"/>
          <w:rFonts w:hint="eastAsia" w:ascii="宋体" w:hAnsi="宋体" w:eastAsia="宋体" w:cs="宋体"/>
          <w:b w:val="0"/>
          <w:color w:val="auto"/>
          <w:sz w:val="24"/>
          <w:szCs w:val="24"/>
          <w:highlight w:val="none"/>
        </w:rPr>
        <w:t>1.2 语言</w:t>
      </w:r>
      <w:bookmarkEnd w:id="143"/>
      <w:bookmarkEnd w:id="144"/>
    </w:p>
    <w:p>
      <w:pPr>
        <w:spacing w:line="360" w:lineRule="auto"/>
        <w:ind w:firstLine="468"/>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Style w:val="15"/>
        <w:spacing w:before="60"/>
        <w:ind w:firstLine="480" w:firstLineChars="200"/>
        <w:jc w:val="left"/>
        <w:rPr>
          <w:rFonts w:hint="eastAsia" w:ascii="宋体" w:hAnsi="宋体" w:eastAsia="宋体" w:cs="宋体"/>
          <w:b w:val="0"/>
          <w:color w:val="auto"/>
          <w:sz w:val="24"/>
          <w:szCs w:val="24"/>
          <w:highlight w:val="none"/>
        </w:rPr>
      </w:pPr>
      <w:bookmarkStart w:id="145" w:name="_Toc422322525"/>
      <w:r>
        <w:rPr>
          <w:rFonts w:hint="eastAsia" w:ascii="宋体" w:hAnsi="宋体" w:eastAsia="宋体" w:cs="宋体"/>
          <w:b w:val="0"/>
          <w:color w:val="auto"/>
          <w:sz w:val="24"/>
          <w:szCs w:val="24"/>
          <w:highlight w:val="none"/>
        </w:rPr>
        <w:t>1.3合同文件的优先顺序</w:t>
      </w:r>
      <w:bookmarkEnd w:id="145"/>
    </w:p>
    <w:p>
      <w:pPr>
        <w:spacing w:line="360" w:lineRule="auto"/>
        <w:ind w:firstLine="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本合同文件的解释顺序为：</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pPr>
        <w:spacing w:line="360" w:lineRule="auto"/>
        <w:ind w:firstLine="468"/>
        <w:rPr>
          <w:rStyle w:val="46"/>
          <w:rFonts w:hint="eastAsia" w:ascii="宋体" w:hAnsi="宋体" w:eastAsia="宋体" w:cs="宋体"/>
          <w:b w:val="0"/>
          <w:color w:val="auto"/>
          <w:sz w:val="24"/>
          <w:szCs w:val="24"/>
          <w:highlight w:val="none"/>
        </w:rPr>
      </w:pPr>
      <w:bookmarkStart w:id="146" w:name="_Toc419045102"/>
      <w:bookmarkStart w:id="147" w:name="_Toc422322526"/>
      <w:r>
        <w:rPr>
          <w:rStyle w:val="46"/>
          <w:rFonts w:hint="eastAsia" w:ascii="宋体" w:hAnsi="宋体" w:eastAsia="宋体" w:cs="宋体"/>
          <w:b w:val="0"/>
          <w:color w:val="auto"/>
          <w:sz w:val="24"/>
          <w:szCs w:val="24"/>
          <w:highlight w:val="none"/>
        </w:rPr>
        <w:t>1.4适用法律</w:t>
      </w:r>
      <w:bookmarkEnd w:id="146"/>
      <w:bookmarkEnd w:id="147"/>
    </w:p>
    <w:p>
      <w:pPr>
        <w:spacing w:line="36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本合同适用的其他规范性文件包括:</w:t>
      </w:r>
      <w:r>
        <w:rPr>
          <w:rFonts w:hint="eastAsia" w:ascii="宋体" w:hAnsi="宋体" w:eastAsia="宋体" w:cs="宋体"/>
          <w:color w:val="auto"/>
          <w:sz w:val="24"/>
          <w:szCs w:val="24"/>
          <w:highlight w:val="none"/>
          <w:u w:val="single"/>
        </w:rPr>
        <w:t xml:space="preserve">      执行现行法律法规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p>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48" w:name="_Toc422322527"/>
      <w:bookmarkStart w:id="149" w:name="_Toc419045103"/>
      <w:r>
        <w:rPr>
          <w:rFonts w:hint="eastAsia" w:ascii="宋体" w:hAnsi="宋体" w:eastAsia="宋体" w:cs="宋体"/>
          <w:color w:val="auto"/>
          <w:sz w:val="24"/>
          <w:szCs w:val="24"/>
          <w:highlight w:val="none"/>
        </w:rPr>
        <w:t>2.委托人的义务</w:t>
      </w:r>
      <w:bookmarkEnd w:id="148"/>
      <w:bookmarkEnd w:id="149"/>
    </w:p>
    <w:p>
      <w:pPr>
        <w:spacing w:line="360" w:lineRule="auto"/>
        <w:ind w:firstLine="468"/>
        <w:rPr>
          <w:rStyle w:val="46"/>
          <w:rFonts w:hint="eastAsia" w:ascii="宋体" w:hAnsi="宋体" w:eastAsia="宋体" w:cs="宋体"/>
          <w:b w:val="0"/>
          <w:color w:val="auto"/>
          <w:sz w:val="24"/>
          <w:szCs w:val="24"/>
          <w:highlight w:val="none"/>
        </w:rPr>
      </w:pPr>
      <w:bookmarkStart w:id="150" w:name="_Toc419045104"/>
      <w:bookmarkStart w:id="151" w:name="_Toc422322528"/>
      <w:r>
        <w:rPr>
          <w:rStyle w:val="46"/>
          <w:rFonts w:hint="eastAsia" w:ascii="宋体" w:hAnsi="宋体" w:eastAsia="宋体" w:cs="宋体"/>
          <w:b w:val="0"/>
          <w:color w:val="auto"/>
          <w:sz w:val="24"/>
          <w:szCs w:val="24"/>
          <w:highlight w:val="none"/>
        </w:rPr>
        <w:t>2.1提供资料</w:t>
      </w:r>
      <w:bookmarkEnd w:id="150"/>
      <w:bookmarkEnd w:id="15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委托人按照附录C约定无偿向咨询人提供与本合同咨询业务有关资料的时间为：</w:t>
      </w:r>
      <w:r>
        <w:rPr>
          <w:rFonts w:hint="eastAsia" w:ascii="宋体" w:hAnsi="宋体" w:eastAsia="宋体" w:cs="宋体"/>
          <w:color w:val="auto"/>
          <w:sz w:val="24"/>
          <w:szCs w:val="24"/>
          <w:highlight w:val="none"/>
          <w:u w:val="single"/>
        </w:rPr>
        <w:t xml:space="preserve">       造价咨询服务期内          </w:t>
      </w:r>
      <w:r>
        <w:rPr>
          <w:rFonts w:hint="eastAsia" w:ascii="宋体" w:hAnsi="宋体" w:eastAsia="宋体" w:cs="宋体"/>
          <w:color w:val="auto"/>
          <w:sz w:val="24"/>
          <w:szCs w:val="24"/>
          <w:highlight w:val="none"/>
        </w:rPr>
        <w:t>。</w:t>
      </w:r>
    </w:p>
    <w:p>
      <w:pPr>
        <w:spacing w:line="360" w:lineRule="auto"/>
        <w:ind w:firstLine="468"/>
        <w:rPr>
          <w:rStyle w:val="46"/>
          <w:rFonts w:hint="eastAsia" w:ascii="宋体" w:hAnsi="宋体" w:eastAsia="宋体" w:cs="宋体"/>
          <w:b w:val="0"/>
          <w:color w:val="auto"/>
          <w:sz w:val="24"/>
          <w:szCs w:val="24"/>
          <w:highlight w:val="none"/>
        </w:rPr>
      </w:pPr>
      <w:bookmarkStart w:id="152" w:name="_Toc419045105"/>
      <w:bookmarkStart w:id="153" w:name="_Toc422322529"/>
      <w:r>
        <w:rPr>
          <w:rStyle w:val="46"/>
          <w:rFonts w:hint="eastAsia" w:ascii="宋体" w:hAnsi="宋体" w:eastAsia="宋体" w:cs="宋体"/>
          <w:b w:val="0"/>
          <w:color w:val="auto"/>
          <w:sz w:val="24"/>
          <w:szCs w:val="24"/>
          <w:highlight w:val="none"/>
        </w:rPr>
        <w:t>2.2提供工作条件</w:t>
      </w:r>
      <w:bookmarkEnd w:id="152"/>
      <w:bookmarkEnd w:id="15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2.2.1项目咨询人员使用附录D中由委托人提供的房屋及设备，支付使用费的标准为：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60" w:lineRule="auto"/>
        <w:rPr>
          <w:rStyle w:val="46"/>
          <w:rFonts w:hint="eastAsia" w:ascii="宋体" w:hAnsi="宋体" w:eastAsia="宋体" w:cs="宋体"/>
          <w:b w:val="0"/>
          <w:color w:val="auto"/>
          <w:sz w:val="24"/>
          <w:szCs w:val="24"/>
          <w:highlight w:val="none"/>
          <w:lang w:eastAsia="zh-CN"/>
        </w:rPr>
      </w:pPr>
      <w:bookmarkStart w:id="154" w:name="_Toc422322530"/>
      <w:bookmarkStart w:id="155" w:name="_Toc419045106"/>
      <w:r>
        <w:rPr>
          <w:rStyle w:val="46"/>
          <w:rFonts w:hint="eastAsia" w:ascii="宋体" w:hAnsi="宋体" w:eastAsia="宋体" w:cs="宋体"/>
          <w:b w:val="0"/>
          <w:color w:val="auto"/>
          <w:sz w:val="24"/>
          <w:szCs w:val="24"/>
          <w:highlight w:val="none"/>
        </w:rPr>
        <w:t>2.4委托人代表</w:t>
      </w:r>
      <w:bookmarkEnd w:id="154"/>
      <w:bookmarkEnd w:id="155"/>
    </w:p>
    <w:p>
      <w:pPr>
        <w:spacing w:line="360" w:lineRule="auto"/>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委托人代表为：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，其权限范围：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5"/>
        <w:spacing w:before="60"/>
        <w:ind w:firstLine="480" w:firstLineChars="200"/>
        <w:jc w:val="left"/>
        <w:rPr>
          <w:rFonts w:hint="eastAsia" w:ascii="宋体" w:hAnsi="宋体" w:eastAsia="宋体" w:cs="宋体"/>
          <w:b w:val="0"/>
          <w:color w:val="auto"/>
          <w:sz w:val="24"/>
          <w:szCs w:val="24"/>
          <w:highlight w:val="none"/>
        </w:rPr>
      </w:pPr>
      <w:bookmarkStart w:id="156" w:name="_Toc422322531"/>
      <w:r>
        <w:rPr>
          <w:rFonts w:hint="eastAsia" w:ascii="宋体" w:hAnsi="宋体" w:eastAsia="宋体" w:cs="宋体"/>
          <w:b w:val="0"/>
          <w:color w:val="auto"/>
          <w:sz w:val="24"/>
          <w:szCs w:val="24"/>
          <w:highlight w:val="none"/>
        </w:rPr>
        <w:t>2.5答复</w:t>
      </w:r>
      <w:bookmarkEnd w:id="156"/>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委托人同意在 </w:t>
      </w:r>
      <w:r>
        <w:rPr>
          <w:rFonts w:hint="eastAsia" w:ascii="宋体" w:hAnsi="宋体" w:eastAsia="宋体" w:cs="宋体"/>
          <w:color w:val="auto"/>
          <w:sz w:val="24"/>
          <w:szCs w:val="24"/>
          <w:highlight w:val="none"/>
          <w:u w:val="single"/>
        </w:rPr>
        <w:t xml:space="preserve">  七  </w:t>
      </w:r>
      <w:r>
        <w:rPr>
          <w:rFonts w:hint="eastAsia" w:ascii="宋体" w:hAnsi="宋体" w:eastAsia="宋体" w:cs="宋体"/>
          <w:color w:val="auto"/>
          <w:sz w:val="24"/>
          <w:szCs w:val="24"/>
          <w:highlight w:val="none"/>
        </w:rPr>
        <w:t>日内，对咨询人书面提交并要求做出决定的事宜给予书面答复。逾期未答复的，视为委托人认可。</w:t>
      </w:r>
    </w:p>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57" w:name="_Toc422322532"/>
      <w:bookmarkStart w:id="158" w:name="_Toc419045107"/>
      <w:r>
        <w:rPr>
          <w:rFonts w:hint="eastAsia" w:ascii="宋体" w:hAnsi="宋体" w:eastAsia="宋体" w:cs="宋体"/>
          <w:color w:val="auto"/>
          <w:sz w:val="24"/>
          <w:szCs w:val="24"/>
          <w:highlight w:val="none"/>
        </w:rPr>
        <w:t>3.咨询人的义务</w:t>
      </w:r>
      <w:bookmarkEnd w:id="157"/>
      <w:bookmarkEnd w:id="158"/>
    </w:p>
    <w:p>
      <w:pPr>
        <w:pStyle w:val="15"/>
        <w:spacing w:before="60"/>
        <w:ind w:firstLine="480" w:firstLineChars="200"/>
        <w:jc w:val="left"/>
        <w:rPr>
          <w:rFonts w:hint="eastAsia" w:ascii="宋体" w:hAnsi="宋体" w:eastAsia="宋体" w:cs="宋体"/>
          <w:b w:val="0"/>
          <w:color w:val="auto"/>
          <w:sz w:val="24"/>
          <w:szCs w:val="24"/>
          <w:highlight w:val="none"/>
        </w:rPr>
      </w:pPr>
      <w:bookmarkStart w:id="159" w:name="_Toc422322533"/>
      <w:bookmarkStart w:id="160" w:name="_Toc419045109"/>
      <w:r>
        <w:rPr>
          <w:rFonts w:hint="eastAsia" w:ascii="宋体" w:hAnsi="宋体" w:eastAsia="宋体" w:cs="宋体"/>
          <w:b w:val="0"/>
          <w:color w:val="auto"/>
          <w:sz w:val="24"/>
          <w:szCs w:val="24"/>
          <w:highlight w:val="none"/>
        </w:rPr>
        <w:t>3.1项目咨询团队及人员</w:t>
      </w:r>
      <w:bookmarkEnd w:id="159"/>
      <w:bookmarkEnd w:id="160"/>
    </w:p>
    <w:p>
      <w:pPr>
        <w:spacing w:line="360" w:lineRule="auto"/>
        <w:ind w:left="900" w:leftChars="2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3.1.1项目咨询团队的主要人员应具有</w:t>
      </w:r>
      <w:r>
        <w:rPr>
          <w:rFonts w:hint="eastAsia" w:ascii="宋体" w:hAnsi="宋体" w:eastAsia="宋体" w:cs="宋体"/>
          <w:color w:val="auto"/>
          <w:sz w:val="24"/>
          <w:szCs w:val="24"/>
          <w:highlight w:val="none"/>
          <w:u w:val="single"/>
        </w:rPr>
        <w:t xml:space="preserve">        造价师      </w:t>
      </w:r>
      <w:r>
        <w:rPr>
          <w:rFonts w:hint="eastAsia" w:ascii="宋体" w:hAnsi="宋体" w:eastAsia="宋体" w:cs="宋体"/>
          <w:color w:val="auto"/>
          <w:sz w:val="24"/>
          <w:szCs w:val="24"/>
          <w:highlight w:val="none"/>
        </w:rPr>
        <w:t xml:space="preserve">资格条件，团队人员的数量为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3.1.2项目负责人为：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，项目负责人为履行本合同的权限为：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5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3.1.3咨询人更换项目咨询团队其他咨询人员的约定：</w:t>
      </w:r>
      <w:r>
        <w:rPr>
          <w:rFonts w:hint="eastAsia" w:ascii="宋体" w:hAnsi="宋体" w:eastAsia="宋体" w:cs="宋体"/>
          <w:color w:val="auto"/>
          <w:sz w:val="24"/>
          <w:szCs w:val="24"/>
          <w:highlight w:val="none"/>
          <w:u w:val="single"/>
        </w:rPr>
        <w:t xml:space="preserve">   执行通用条款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3.1.4委托人要求更换咨询人员的情形还包括：</w:t>
      </w:r>
      <w:r>
        <w:rPr>
          <w:rFonts w:hint="eastAsia" w:ascii="宋体" w:hAnsi="宋体" w:eastAsia="宋体" w:cs="宋体"/>
          <w:color w:val="auto"/>
          <w:sz w:val="24"/>
          <w:szCs w:val="24"/>
          <w:highlight w:val="none"/>
          <w:u w:val="single"/>
        </w:rPr>
        <w:t xml:space="preserve">     执行通用条款         。</w:t>
      </w:r>
    </w:p>
    <w:p>
      <w:pPr>
        <w:pStyle w:val="15"/>
        <w:spacing w:before="60"/>
        <w:ind w:firstLine="480" w:firstLineChars="200"/>
        <w:jc w:val="left"/>
        <w:rPr>
          <w:rFonts w:hint="eastAsia" w:ascii="宋体" w:hAnsi="宋体" w:eastAsia="宋体" w:cs="宋体"/>
          <w:b w:val="0"/>
          <w:color w:val="auto"/>
          <w:sz w:val="24"/>
          <w:szCs w:val="24"/>
          <w:highlight w:val="none"/>
        </w:rPr>
      </w:pPr>
      <w:bookmarkStart w:id="161" w:name="_Toc422322534"/>
      <w:bookmarkStart w:id="162" w:name="_Toc419045110"/>
      <w:r>
        <w:rPr>
          <w:rFonts w:hint="eastAsia" w:ascii="宋体" w:hAnsi="宋体" w:eastAsia="宋体" w:cs="宋体"/>
          <w:b w:val="0"/>
          <w:color w:val="auto"/>
          <w:sz w:val="24"/>
          <w:szCs w:val="24"/>
          <w:highlight w:val="none"/>
        </w:rPr>
        <w:t>3.2咨询人的工作要求</w:t>
      </w:r>
      <w:bookmarkEnd w:id="161"/>
      <w:bookmarkEnd w:id="16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3.2.1咨询人向委托人提供有关资料的时间：</w:t>
      </w:r>
      <w:r>
        <w:rPr>
          <w:rFonts w:hint="eastAsia" w:ascii="宋体" w:hAnsi="宋体" w:eastAsia="宋体" w:cs="宋体"/>
          <w:color w:val="auto"/>
          <w:sz w:val="24"/>
          <w:szCs w:val="24"/>
          <w:highlight w:val="none"/>
          <w:u w:val="single"/>
        </w:rPr>
        <w:t xml:space="preserve">  合同签订后7日内</w:t>
      </w:r>
      <w:r>
        <w:rPr>
          <w:rFonts w:hint="eastAsia" w:ascii="宋体" w:hAnsi="宋体" w:eastAsia="宋体" w:cs="宋体"/>
          <w:color w:val="auto"/>
          <w:sz w:val="24"/>
          <w:szCs w:val="24"/>
          <w:highlight w:val="none"/>
        </w:rPr>
        <w:t xml:space="preserve">。咨询人向委托人提供的资料还包括：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3.2.2咨询人向委托人提供咨询成果文件的名称、组成、时间、份数及质量标准：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详见附录B。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3.2.4咨询人应在收到委托人以书面形式提出的建议或者异议后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日内给予书面答复。</w:t>
      </w:r>
    </w:p>
    <w:p>
      <w:pPr>
        <w:pStyle w:val="15"/>
        <w:spacing w:before="60"/>
        <w:ind w:firstLine="480" w:firstLineChars="200"/>
        <w:jc w:val="left"/>
        <w:rPr>
          <w:rFonts w:hint="eastAsia" w:ascii="宋体" w:hAnsi="宋体" w:eastAsia="宋体" w:cs="宋体"/>
          <w:b w:val="0"/>
          <w:color w:val="auto"/>
          <w:sz w:val="24"/>
          <w:szCs w:val="24"/>
          <w:highlight w:val="none"/>
        </w:rPr>
      </w:pPr>
      <w:bookmarkStart w:id="163" w:name="_Toc422322535"/>
      <w:bookmarkStart w:id="164" w:name="_Toc419045111"/>
      <w:r>
        <w:rPr>
          <w:rFonts w:hint="eastAsia" w:ascii="宋体" w:hAnsi="宋体" w:eastAsia="宋体" w:cs="宋体"/>
          <w:b w:val="0"/>
          <w:color w:val="auto"/>
          <w:sz w:val="24"/>
          <w:szCs w:val="24"/>
          <w:highlight w:val="none"/>
        </w:rPr>
        <w:t>3.3咨询人的工作依据</w:t>
      </w:r>
      <w:bookmarkEnd w:id="163"/>
      <w:bookmarkEnd w:id="16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经双方协商，本合同约定的造价咨询服务适用的技术标准、规范、定额等工作依据为：</w:t>
      </w:r>
      <w:r>
        <w:rPr>
          <w:rFonts w:hint="eastAsia" w:ascii="宋体" w:hAnsi="宋体" w:eastAsia="宋体" w:cs="宋体"/>
          <w:color w:val="auto"/>
          <w:sz w:val="24"/>
          <w:szCs w:val="24"/>
          <w:highlight w:val="none"/>
          <w:u w:val="single"/>
        </w:rPr>
        <w:t>国家及自治区现行的计量计价规范、和田地区相关专业估价表、和田地区信息价等</w:t>
      </w:r>
      <w:r>
        <w:rPr>
          <w:rFonts w:hint="eastAsia" w:ascii="宋体" w:hAnsi="宋体" w:eastAsia="宋体" w:cs="宋体"/>
          <w:color w:val="auto"/>
          <w:sz w:val="24"/>
          <w:szCs w:val="24"/>
          <w:highlight w:val="none"/>
        </w:rPr>
        <w:t>。</w:t>
      </w:r>
    </w:p>
    <w:p>
      <w:pPr>
        <w:pStyle w:val="15"/>
        <w:spacing w:before="60"/>
        <w:ind w:firstLine="480" w:firstLineChars="200"/>
        <w:jc w:val="left"/>
        <w:rPr>
          <w:rFonts w:hint="eastAsia" w:ascii="宋体" w:hAnsi="宋体" w:eastAsia="宋体" w:cs="宋体"/>
          <w:b w:val="0"/>
          <w:color w:val="auto"/>
          <w:sz w:val="24"/>
          <w:szCs w:val="24"/>
          <w:highlight w:val="none"/>
        </w:rPr>
      </w:pPr>
      <w:bookmarkStart w:id="165" w:name="_Toc419045112"/>
      <w:bookmarkStart w:id="166" w:name="_Toc422322536"/>
      <w:r>
        <w:rPr>
          <w:rFonts w:hint="eastAsia" w:ascii="宋体" w:hAnsi="宋体" w:eastAsia="宋体" w:cs="宋体"/>
          <w:b w:val="0"/>
          <w:color w:val="auto"/>
          <w:sz w:val="24"/>
          <w:szCs w:val="24"/>
          <w:highlight w:val="none"/>
        </w:rPr>
        <w:t>3.4使用委托人房屋及设备的返还</w:t>
      </w:r>
      <w:bookmarkEnd w:id="165"/>
      <w:bookmarkEnd w:id="16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咨询人应在本合同终止后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日内移交委托人提供的房屋及设备，移交的方式为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67" w:name="_Toc419045113"/>
      <w:bookmarkStart w:id="168" w:name="_Toc422322537"/>
      <w:r>
        <w:rPr>
          <w:rFonts w:hint="eastAsia" w:ascii="宋体" w:hAnsi="宋体" w:eastAsia="宋体" w:cs="宋体"/>
          <w:color w:val="auto"/>
          <w:sz w:val="24"/>
          <w:szCs w:val="24"/>
          <w:highlight w:val="none"/>
        </w:rPr>
        <w:t>4. 违约责任</w:t>
      </w:r>
      <w:bookmarkEnd w:id="167"/>
      <w:bookmarkEnd w:id="168"/>
    </w:p>
    <w:p>
      <w:pPr>
        <w:pStyle w:val="15"/>
        <w:spacing w:before="60"/>
        <w:ind w:firstLine="480" w:firstLineChars="200"/>
        <w:jc w:val="left"/>
        <w:rPr>
          <w:rFonts w:hint="eastAsia" w:ascii="宋体" w:hAnsi="宋体" w:eastAsia="宋体" w:cs="宋体"/>
          <w:color w:val="auto"/>
          <w:sz w:val="24"/>
          <w:szCs w:val="24"/>
          <w:highlight w:val="none"/>
        </w:rPr>
      </w:pPr>
      <w:bookmarkStart w:id="169" w:name="_Toc422322538"/>
      <w:r>
        <w:rPr>
          <w:rStyle w:val="46"/>
          <w:rFonts w:hint="eastAsia" w:ascii="宋体" w:hAnsi="宋体" w:eastAsia="宋体" w:cs="宋体"/>
          <w:b w:val="0"/>
          <w:bCs w:val="0"/>
          <w:color w:val="auto"/>
          <w:sz w:val="24"/>
          <w:szCs w:val="24"/>
          <w:highlight w:val="none"/>
        </w:rPr>
        <w:t>4.1委托人的违约责任</w:t>
      </w:r>
      <w:bookmarkEnd w:id="169"/>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4.1.1委托人违约金的计算及支付方法：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4.1.2委托人赔偿金额按下列方法确定并支付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0"/>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pStyle w:val="15"/>
        <w:spacing w:before="60"/>
        <w:ind w:firstLine="480" w:firstLineChars="200"/>
        <w:jc w:val="left"/>
        <w:rPr>
          <w:rFonts w:hint="eastAsia" w:ascii="宋体" w:hAnsi="宋体" w:eastAsia="宋体" w:cs="宋体"/>
          <w:b w:val="0"/>
          <w:color w:val="auto"/>
          <w:sz w:val="24"/>
          <w:szCs w:val="24"/>
          <w:highlight w:val="none"/>
        </w:rPr>
      </w:pPr>
      <w:bookmarkStart w:id="170" w:name="_Toc422322539"/>
      <w:bookmarkStart w:id="171" w:name="_Toc419045114"/>
      <w:r>
        <w:rPr>
          <w:rFonts w:hint="eastAsia" w:ascii="宋体" w:hAnsi="宋体" w:eastAsia="宋体" w:cs="宋体"/>
          <w:b w:val="0"/>
          <w:color w:val="auto"/>
          <w:sz w:val="24"/>
          <w:szCs w:val="24"/>
          <w:highlight w:val="none"/>
        </w:rPr>
        <w:t>4.2咨询人的违约责任</w:t>
      </w:r>
      <w:bookmarkEnd w:id="170"/>
    </w:p>
    <w:bookmarkEnd w:id="171"/>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4.2.1咨询人违约金的计算及支付方法：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 xml:space="preserve">                     </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咨询人赔偿金额按下列方法确定并支付：</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rPr>
        <w:t xml:space="preserve">                 </w:t>
      </w:r>
    </w:p>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72" w:name="_Toc419045115"/>
      <w:bookmarkStart w:id="173" w:name="_Toc422322540"/>
      <w:r>
        <w:rPr>
          <w:rFonts w:hint="eastAsia" w:ascii="宋体" w:hAnsi="宋体" w:eastAsia="宋体" w:cs="宋体"/>
          <w:color w:val="auto"/>
          <w:sz w:val="24"/>
          <w:szCs w:val="24"/>
          <w:highlight w:val="none"/>
        </w:rPr>
        <w:t>5. 支付</w:t>
      </w:r>
      <w:bookmarkEnd w:id="172"/>
      <w:bookmarkEnd w:id="173"/>
    </w:p>
    <w:p>
      <w:pPr>
        <w:spacing w:line="360" w:lineRule="auto"/>
        <w:ind w:firstLine="480" w:firstLineChars="200"/>
        <w:rPr>
          <w:rStyle w:val="46"/>
          <w:rFonts w:hint="eastAsia" w:ascii="宋体" w:hAnsi="宋体" w:eastAsia="宋体" w:cs="宋体"/>
          <w:b w:val="0"/>
          <w:color w:val="auto"/>
          <w:sz w:val="24"/>
          <w:szCs w:val="24"/>
          <w:highlight w:val="none"/>
        </w:rPr>
      </w:pPr>
      <w:bookmarkStart w:id="174" w:name="_Toc419045116"/>
      <w:bookmarkStart w:id="175" w:name="_Toc422322541"/>
      <w:r>
        <w:rPr>
          <w:rStyle w:val="46"/>
          <w:rFonts w:hint="eastAsia" w:ascii="宋体" w:hAnsi="宋体" w:eastAsia="宋体" w:cs="宋体"/>
          <w:b w:val="0"/>
          <w:color w:val="auto"/>
          <w:sz w:val="24"/>
          <w:szCs w:val="24"/>
          <w:highlight w:val="none"/>
        </w:rPr>
        <w:t>5.1支付货币</w:t>
      </w:r>
      <w:bookmarkEnd w:id="174"/>
      <w:bookmarkEnd w:id="17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币种为： </w:t>
      </w:r>
      <w:r>
        <w:rPr>
          <w:rFonts w:hint="eastAsia" w:ascii="宋体" w:hAnsi="宋体" w:eastAsia="宋体" w:cs="宋体"/>
          <w:color w:val="auto"/>
          <w:sz w:val="24"/>
          <w:szCs w:val="24"/>
          <w:highlight w:val="none"/>
          <w:u w:val="single"/>
        </w:rPr>
        <w:t xml:space="preserve">  人民币</w:t>
      </w:r>
      <w:r>
        <w:rPr>
          <w:rFonts w:hint="eastAsia" w:ascii="宋体" w:hAnsi="宋体" w:eastAsia="宋体" w:cs="宋体"/>
          <w:color w:val="auto"/>
          <w:sz w:val="24"/>
          <w:szCs w:val="24"/>
          <w:highlight w:val="none"/>
        </w:rPr>
        <w:t>，汇率为：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u w:val="single"/>
        </w:rPr>
        <w:t xml:space="preserve">    </w:t>
      </w:r>
    </w:p>
    <w:p>
      <w:pPr>
        <w:spacing w:line="360" w:lineRule="auto"/>
        <w:ind w:firstLine="480" w:firstLineChars="200"/>
        <w:rPr>
          <w:rStyle w:val="46"/>
          <w:rFonts w:hint="eastAsia" w:ascii="宋体" w:hAnsi="宋体" w:eastAsia="宋体" w:cs="宋体"/>
          <w:b w:val="0"/>
          <w:color w:val="auto"/>
          <w:sz w:val="24"/>
          <w:szCs w:val="24"/>
          <w:highlight w:val="none"/>
        </w:rPr>
      </w:pPr>
      <w:bookmarkStart w:id="176" w:name="_Toc422322542"/>
      <w:bookmarkStart w:id="177" w:name="_Toc419045117"/>
      <w:r>
        <w:rPr>
          <w:rStyle w:val="46"/>
          <w:rFonts w:hint="eastAsia" w:ascii="宋体" w:hAnsi="宋体" w:eastAsia="宋体" w:cs="宋体"/>
          <w:b w:val="0"/>
          <w:color w:val="auto"/>
          <w:sz w:val="24"/>
          <w:szCs w:val="24"/>
          <w:highlight w:val="none"/>
        </w:rPr>
        <w:t>5.2 支付申请</w:t>
      </w:r>
      <w:bookmarkEnd w:id="176"/>
      <w:bookmarkEnd w:id="17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咨询人应在本合同约定的每次应付款日期</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日前，向委托人提交支付申请书。</w:t>
      </w:r>
    </w:p>
    <w:p>
      <w:pPr>
        <w:spacing w:line="360" w:lineRule="auto"/>
        <w:ind w:firstLine="480" w:firstLineChars="200"/>
        <w:rPr>
          <w:rStyle w:val="46"/>
          <w:rFonts w:hint="eastAsia" w:ascii="宋体" w:hAnsi="宋体" w:eastAsia="宋体" w:cs="宋体"/>
          <w:b w:val="0"/>
          <w:color w:val="auto"/>
          <w:sz w:val="24"/>
          <w:szCs w:val="24"/>
          <w:highlight w:val="none"/>
        </w:rPr>
      </w:pPr>
      <w:bookmarkStart w:id="178" w:name="_Toc422322543"/>
      <w:bookmarkStart w:id="179" w:name="_Toc419045118"/>
      <w:r>
        <w:rPr>
          <w:rStyle w:val="46"/>
          <w:rFonts w:hint="eastAsia" w:ascii="宋体" w:hAnsi="宋体" w:eastAsia="宋体" w:cs="宋体"/>
          <w:b w:val="0"/>
          <w:color w:val="auto"/>
          <w:sz w:val="24"/>
          <w:szCs w:val="24"/>
          <w:highlight w:val="none"/>
        </w:rPr>
        <w:t>5.3支付酬金</w:t>
      </w:r>
      <w:bookmarkEnd w:id="178"/>
      <w:bookmarkEnd w:id="17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正常工作酬金的支付：</w:t>
      </w:r>
    </w:p>
    <w:tbl>
      <w:tblPr>
        <w:tblStyle w:val="22"/>
        <w:tblW w:w="8155" w:type="dxa"/>
        <w:jc w:val="center"/>
        <w:tblLayout w:type="fixed"/>
        <w:tblCellMar>
          <w:top w:w="0" w:type="dxa"/>
          <w:left w:w="0" w:type="dxa"/>
          <w:bottom w:w="0" w:type="dxa"/>
          <w:right w:w="0" w:type="dxa"/>
        </w:tblCellMar>
      </w:tblPr>
      <w:tblGrid>
        <w:gridCol w:w="1295"/>
        <w:gridCol w:w="2732"/>
        <w:gridCol w:w="1673"/>
        <w:gridCol w:w="2455"/>
      </w:tblGrid>
      <w:tr>
        <w:trPr>
          <w:trHeight w:val="410"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支付次数</w:t>
            </w: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支付比例</w:t>
            </w: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支付金额（万元）</w:t>
            </w:r>
          </w:p>
        </w:tc>
      </w:tr>
      <w:tr>
        <w:tblPrEx>
          <w:tblCellMar>
            <w:top w:w="0" w:type="dxa"/>
            <w:left w:w="0" w:type="dxa"/>
            <w:bottom w:w="0" w:type="dxa"/>
            <w:right w:w="0" w:type="dxa"/>
          </w:tblCellMar>
        </w:tblPrEx>
        <w:trPr>
          <w:trHeight w:val="366"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79"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1"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374" w:hRule="atLeast"/>
          <w:jc w:val="center"/>
        </w:trPr>
        <w:tc>
          <w:tcPr>
            <w:tcW w:w="1295" w:type="dxa"/>
            <w:tcBorders>
              <w:top w:val="inset" w:color="000000" w:sz="6" w:space="0"/>
              <w:left w:val="inset" w:color="000000" w:sz="6" w:space="0"/>
              <w:bottom w:val="inset" w:color="000000" w:sz="6"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73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bl>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80" w:name="_Toc419045119"/>
      <w:bookmarkStart w:id="181" w:name="_Toc422322544"/>
      <w:r>
        <w:rPr>
          <w:rFonts w:hint="eastAsia" w:ascii="宋体" w:hAnsi="宋体" w:eastAsia="宋体" w:cs="宋体"/>
          <w:color w:val="auto"/>
          <w:sz w:val="24"/>
          <w:szCs w:val="24"/>
          <w:highlight w:val="none"/>
        </w:rPr>
        <w:t>6. 合同变更、解除与终止</w:t>
      </w:r>
      <w:bookmarkEnd w:id="180"/>
      <w:bookmarkEnd w:id="181"/>
    </w:p>
    <w:p>
      <w:pPr>
        <w:spacing w:line="360" w:lineRule="auto"/>
        <w:ind w:firstLine="480" w:firstLineChars="200"/>
        <w:rPr>
          <w:rStyle w:val="46"/>
          <w:rFonts w:hint="eastAsia" w:ascii="宋体" w:hAnsi="宋体" w:eastAsia="宋体" w:cs="宋体"/>
          <w:b w:val="0"/>
          <w:color w:val="auto"/>
          <w:sz w:val="24"/>
          <w:szCs w:val="24"/>
          <w:highlight w:val="none"/>
          <w:lang w:eastAsia="zh-CN"/>
        </w:rPr>
      </w:pPr>
      <w:bookmarkStart w:id="182" w:name="_Toc422322545"/>
      <w:bookmarkStart w:id="183" w:name="_Toc419045120"/>
      <w:r>
        <w:rPr>
          <w:rStyle w:val="46"/>
          <w:rFonts w:hint="eastAsia" w:ascii="宋体" w:hAnsi="宋体" w:eastAsia="宋体" w:cs="宋体"/>
          <w:b w:val="0"/>
          <w:color w:val="auto"/>
          <w:sz w:val="24"/>
          <w:szCs w:val="24"/>
          <w:highlight w:val="none"/>
        </w:rPr>
        <w:t>6.1合同变更</w:t>
      </w:r>
      <w:bookmarkEnd w:id="182"/>
      <w:bookmarkEnd w:id="183"/>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6.1.2 除不可抗力外，因非咨询人原因导致本合同履行期限延长、内容增加时，附加工作酬金按下列方法确定：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Style w:val="46"/>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 xml:space="preserve">    6.1.4因工程规模、服务范围及内容的变化等导致咨询人的工作量增减时，服务酬金的调整方法：</w:t>
      </w:r>
      <w:r>
        <w:rPr>
          <w:rFonts w:hint="eastAsia" w:ascii="宋体" w:hAnsi="宋体" w:eastAsia="宋体" w:cs="宋体"/>
          <w:color w:val="auto"/>
          <w:sz w:val="24"/>
          <w:szCs w:val="24"/>
          <w:highlight w:val="none"/>
          <w:u w:val="single"/>
        </w:rPr>
        <w:t xml:space="preserve">                 。</w:t>
      </w:r>
    </w:p>
    <w:p>
      <w:pPr>
        <w:pStyle w:val="15"/>
        <w:spacing w:before="60"/>
        <w:ind w:firstLine="480" w:firstLineChars="200"/>
        <w:jc w:val="left"/>
        <w:rPr>
          <w:rFonts w:hint="eastAsia" w:ascii="宋体" w:hAnsi="宋体" w:eastAsia="宋体" w:cs="宋体"/>
          <w:b w:val="0"/>
          <w:color w:val="auto"/>
          <w:sz w:val="24"/>
          <w:szCs w:val="24"/>
          <w:highlight w:val="none"/>
        </w:rPr>
      </w:pPr>
      <w:bookmarkStart w:id="184" w:name="_Toc422322546"/>
      <w:r>
        <w:rPr>
          <w:rFonts w:hint="eastAsia" w:ascii="宋体" w:hAnsi="宋体" w:eastAsia="宋体" w:cs="宋体"/>
          <w:b w:val="0"/>
          <w:color w:val="auto"/>
          <w:sz w:val="24"/>
          <w:szCs w:val="24"/>
          <w:highlight w:val="none"/>
        </w:rPr>
        <w:t>6.2合同解除</w:t>
      </w:r>
      <w:bookmarkEnd w:id="18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6.2.2双方约定解除合同的条件还包括：</w:t>
      </w:r>
      <w:r>
        <w:rPr>
          <w:rFonts w:hint="eastAsia" w:ascii="宋体" w:hAnsi="宋体" w:eastAsia="宋体" w:cs="宋体"/>
          <w:color w:val="auto"/>
          <w:sz w:val="24"/>
          <w:szCs w:val="24"/>
          <w:highlight w:val="none"/>
          <w:u w:val="single"/>
        </w:rPr>
        <w:t xml:space="preserve"> 执行通用条款</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6.2.4因不可抗力导致的合同解除，双方约定损失的分担如下：</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pPr>
        <w:pStyle w:val="21"/>
        <w:spacing w:before="0" w:after="0" w:line="360" w:lineRule="auto"/>
        <w:ind w:firstLine="482" w:firstLineChars="200"/>
        <w:jc w:val="left"/>
        <w:rPr>
          <w:rFonts w:hint="eastAsia" w:ascii="宋体" w:hAnsi="宋体" w:eastAsia="宋体" w:cs="宋体"/>
          <w:color w:val="auto"/>
          <w:sz w:val="24"/>
          <w:szCs w:val="24"/>
          <w:highlight w:val="none"/>
        </w:rPr>
      </w:pPr>
      <w:bookmarkStart w:id="185" w:name="_Toc419045121"/>
      <w:bookmarkStart w:id="186" w:name="_Toc422322547"/>
      <w:r>
        <w:rPr>
          <w:rFonts w:hint="eastAsia" w:ascii="宋体" w:hAnsi="宋体" w:eastAsia="宋体" w:cs="宋体"/>
          <w:color w:val="auto"/>
          <w:sz w:val="24"/>
          <w:szCs w:val="24"/>
          <w:highlight w:val="none"/>
        </w:rPr>
        <w:t>7. 争议解决</w:t>
      </w:r>
      <w:bookmarkEnd w:id="185"/>
      <w:bookmarkEnd w:id="186"/>
    </w:p>
    <w:p>
      <w:pPr>
        <w:spacing w:line="360" w:lineRule="auto"/>
        <w:ind w:firstLine="480"/>
        <w:rPr>
          <w:rStyle w:val="46"/>
          <w:rFonts w:hint="eastAsia" w:ascii="宋体" w:hAnsi="宋体" w:eastAsia="宋体" w:cs="宋体"/>
          <w:b w:val="0"/>
          <w:color w:val="auto"/>
          <w:sz w:val="24"/>
          <w:szCs w:val="24"/>
          <w:highlight w:val="none"/>
          <w:lang w:eastAsia="zh-CN"/>
        </w:rPr>
      </w:pPr>
      <w:bookmarkStart w:id="187" w:name="_Toc422322548"/>
      <w:bookmarkStart w:id="188" w:name="_Toc419045122"/>
      <w:r>
        <w:rPr>
          <w:rStyle w:val="46"/>
          <w:rFonts w:hint="eastAsia" w:ascii="宋体" w:hAnsi="宋体" w:eastAsia="宋体" w:cs="宋体"/>
          <w:b w:val="0"/>
          <w:color w:val="auto"/>
          <w:sz w:val="24"/>
          <w:szCs w:val="24"/>
          <w:highlight w:val="none"/>
        </w:rPr>
        <w:t>7.2调解</w:t>
      </w:r>
      <w:bookmarkEnd w:id="187"/>
      <w:bookmarkEnd w:id="188"/>
    </w:p>
    <w:p>
      <w:pPr>
        <w:spacing w:line="360" w:lineRule="auto"/>
        <w:ind w:firstLine="480"/>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    如果双方不能在</w:t>
      </w:r>
      <w:r>
        <w:rPr>
          <w:rFonts w:hint="eastAsia" w:ascii="宋体" w:hAnsi="宋体" w:eastAsia="宋体" w:cs="宋体"/>
          <w:color w:val="auto"/>
          <w:sz w:val="24"/>
          <w:szCs w:val="24"/>
          <w:highlight w:val="none"/>
          <w:u w:val="single"/>
        </w:rPr>
        <w:t>十</w:t>
      </w:r>
      <w:r>
        <w:rPr>
          <w:rFonts w:hint="eastAsia" w:ascii="宋体" w:hAnsi="宋体" w:eastAsia="宋体" w:cs="宋体"/>
          <w:color w:val="auto"/>
          <w:sz w:val="24"/>
          <w:szCs w:val="24"/>
          <w:highlight w:val="none"/>
        </w:rPr>
        <w:t>日内解决本合同争议，可以将其提交</w:t>
      </w:r>
      <w:r>
        <w:rPr>
          <w:rFonts w:hint="eastAsia" w:ascii="宋体" w:hAnsi="宋体" w:eastAsia="宋体" w:cs="宋体"/>
          <w:color w:val="auto"/>
          <w:sz w:val="24"/>
          <w:szCs w:val="24"/>
          <w:highlight w:val="none"/>
          <w:u w:val="single"/>
        </w:rPr>
        <w:t xml:space="preserve"> 该项目总监理工程师 </w:t>
      </w:r>
      <w:r>
        <w:rPr>
          <w:rFonts w:hint="eastAsia" w:ascii="宋体" w:hAnsi="宋体" w:eastAsia="宋体" w:cs="宋体"/>
          <w:color w:val="auto"/>
          <w:sz w:val="24"/>
          <w:szCs w:val="24"/>
          <w:highlight w:val="none"/>
        </w:rPr>
        <w:t>进行调解。</w:t>
      </w:r>
    </w:p>
    <w:p>
      <w:pPr>
        <w:pStyle w:val="15"/>
        <w:spacing w:before="60"/>
        <w:ind w:firstLine="480" w:firstLineChars="200"/>
        <w:jc w:val="left"/>
        <w:rPr>
          <w:rFonts w:hint="eastAsia" w:ascii="宋体" w:hAnsi="宋体" w:eastAsia="宋体" w:cs="宋体"/>
          <w:b w:val="0"/>
          <w:color w:val="auto"/>
          <w:sz w:val="24"/>
          <w:szCs w:val="24"/>
          <w:highlight w:val="none"/>
        </w:rPr>
      </w:pPr>
      <w:bookmarkStart w:id="189" w:name="_Toc422322549"/>
      <w:r>
        <w:rPr>
          <w:rFonts w:hint="eastAsia" w:ascii="宋体" w:hAnsi="宋体" w:eastAsia="宋体" w:cs="宋体"/>
          <w:b w:val="0"/>
          <w:color w:val="auto"/>
          <w:sz w:val="24"/>
          <w:szCs w:val="24"/>
          <w:highlight w:val="none"/>
        </w:rPr>
        <w:t>7.3仲裁或诉讼</w:t>
      </w:r>
      <w:bookmarkEnd w:id="189"/>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（1）提请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仲裁委员会进行仲裁。</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w:t>
      </w:r>
      <w:r>
        <w:rPr>
          <w:rFonts w:hint="eastAsia" w:ascii="宋体" w:hAnsi="宋体" w:eastAsia="宋体" w:cs="宋体"/>
          <w:color w:val="auto"/>
          <w:sz w:val="24"/>
          <w:szCs w:val="24"/>
          <w:highlight w:val="none"/>
          <w:u w:val="single"/>
        </w:rPr>
        <w:t xml:space="preserve">    和田地区中级           </w:t>
      </w:r>
      <w:r>
        <w:rPr>
          <w:rFonts w:hint="eastAsia" w:ascii="宋体" w:hAnsi="宋体" w:eastAsia="宋体" w:cs="宋体"/>
          <w:color w:val="auto"/>
          <w:sz w:val="24"/>
          <w:szCs w:val="24"/>
          <w:highlight w:val="none"/>
        </w:rPr>
        <w:t>人民法院提起诉讼。</w:t>
      </w:r>
    </w:p>
    <w:p>
      <w:pPr>
        <w:spacing w:line="360" w:lineRule="auto"/>
        <w:ind w:firstLine="482" w:firstLineChars="200"/>
        <w:rPr>
          <w:rStyle w:val="46"/>
          <w:rFonts w:hint="eastAsia" w:ascii="宋体" w:hAnsi="宋体" w:eastAsia="宋体" w:cs="宋体"/>
          <w:b w:val="0"/>
          <w:color w:val="auto"/>
          <w:sz w:val="24"/>
          <w:szCs w:val="24"/>
          <w:highlight w:val="none"/>
        </w:rPr>
      </w:pPr>
      <w:bookmarkStart w:id="190" w:name="_Toc422322550"/>
      <w:bookmarkStart w:id="191" w:name="_Toc419045123"/>
      <w:r>
        <w:rPr>
          <w:rStyle w:val="32"/>
          <w:rFonts w:hint="eastAsia" w:ascii="宋体" w:hAnsi="宋体" w:eastAsia="宋体" w:cs="宋体"/>
          <w:color w:val="auto"/>
          <w:sz w:val="24"/>
          <w:szCs w:val="24"/>
          <w:highlight w:val="none"/>
        </w:rPr>
        <w:t>8. 其他</w:t>
      </w:r>
      <w:bookmarkEnd w:id="190"/>
      <w:bookmarkEnd w:id="191"/>
    </w:p>
    <w:p>
      <w:pPr>
        <w:pStyle w:val="15"/>
        <w:spacing w:before="60"/>
        <w:ind w:firstLine="480" w:firstLineChars="200"/>
        <w:jc w:val="left"/>
        <w:rPr>
          <w:rFonts w:hint="eastAsia" w:ascii="宋体" w:hAnsi="宋体" w:eastAsia="宋体" w:cs="宋体"/>
          <w:b w:val="0"/>
          <w:color w:val="auto"/>
          <w:sz w:val="24"/>
          <w:szCs w:val="24"/>
          <w:highlight w:val="none"/>
        </w:rPr>
      </w:pPr>
      <w:bookmarkStart w:id="192" w:name="_Toc422322551"/>
      <w:r>
        <w:rPr>
          <w:rFonts w:hint="eastAsia" w:ascii="宋体" w:hAnsi="宋体" w:eastAsia="宋体" w:cs="宋体"/>
          <w:b w:val="0"/>
          <w:color w:val="auto"/>
          <w:sz w:val="24"/>
          <w:szCs w:val="24"/>
          <w:highlight w:val="none"/>
        </w:rPr>
        <w:t>8.1考察及相关费用</w:t>
      </w:r>
      <w:bookmarkEnd w:id="19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咨询人经委托人同意进行考察发生的费用由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支付。</w:t>
      </w:r>
    </w:p>
    <w:p>
      <w:pPr>
        <w:spacing w:line="360" w:lineRule="auto"/>
        <w:ind w:firstLine="480" w:firstLineChars="200"/>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差旅费及相关费用的支付：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pPr>
        <w:pStyle w:val="15"/>
        <w:spacing w:before="60"/>
        <w:ind w:firstLine="480" w:firstLineChars="200"/>
        <w:jc w:val="left"/>
        <w:rPr>
          <w:rFonts w:hint="eastAsia" w:ascii="宋体" w:hAnsi="宋体" w:eastAsia="宋体" w:cs="宋体"/>
          <w:b w:val="0"/>
          <w:color w:val="auto"/>
          <w:sz w:val="24"/>
          <w:szCs w:val="24"/>
          <w:highlight w:val="none"/>
        </w:rPr>
      </w:pPr>
      <w:bookmarkStart w:id="193" w:name="_Toc422322552"/>
      <w:r>
        <w:rPr>
          <w:rFonts w:hint="eastAsia" w:ascii="宋体" w:hAnsi="宋体" w:eastAsia="宋体" w:cs="宋体"/>
          <w:b w:val="0"/>
          <w:color w:val="auto"/>
          <w:sz w:val="24"/>
          <w:szCs w:val="24"/>
          <w:highlight w:val="none"/>
        </w:rPr>
        <w:t>8.2奖励</w:t>
      </w:r>
      <w:bookmarkEnd w:id="193"/>
    </w:p>
    <w:p>
      <w:pPr>
        <w:spacing w:line="360" w:lineRule="auto"/>
        <w:ind w:firstLine="480" w:firstLineChars="200"/>
        <w:rPr>
          <w:rStyle w:val="46"/>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 xml:space="preserve">合理化建议的奖励金额按下列方法确定： </w:t>
      </w:r>
    </w:p>
    <w:p>
      <w:pPr>
        <w:pStyle w:val="15"/>
        <w:spacing w:before="60"/>
        <w:ind w:firstLine="480" w:firstLineChars="200"/>
        <w:jc w:val="left"/>
        <w:rPr>
          <w:rFonts w:hint="eastAsia" w:ascii="宋体" w:hAnsi="宋体" w:eastAsia="宋体" w:cs="宋体"/>
          <w:b w:val="0"/>
          <w:color w:val="auto"/>
          <w:sz w:val="24"/>
          <w:szCs w:val="24"/>
          <w:highlight w:val="none"/>
        </w:rPr>
      </w:pPr>
      <w:bookmarkStart w:id="194" w:name="_Toc422322553"/>
      <w:r>
        <w:rPr>
          <w:rFonts w:hint="eastAsia" w:ascii="宋体" w:hAnsi="宋体" w:eastAsia="宋体" w:cs="宋体"/>
          <w:b w:val="0"/>
          <w:color w:val="auto"/>
          <w:sz w:val="24"/>
          <w:szCs w:val="24"/>
          <w:highlight w:val="none"/>
        </w:rPr>
        <w:t>8.3保密</w:t>
      </w:r>
      <w:bookmarkEnd w:id="194"/>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委托人申明的保密事项和期限：</w:t>
      </w:r>
      <w:r>
        <w:rPr>
          <w:rFonts w:hint="eastAsia" w:ascii="宋体" w:hAnsi="宋体" w:eastAsia="宋体" w:cs="宋体"/>
          <w:color w:val="auto"/>
          <w:sz w:val="24"/>
          <w:szCs w:val="24"/>
          <w:highlight w:val="none"/>
          <w:u w:val="single"/>
        </w:rPr>
        <w:t xml:space="preserve"> 长期 </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咨询人申明的保密事项和期限：</w:t>
      </w:r>
      <w:r>
        <w:rPr>
          <w:rFonts w:hint="eastAsia" w:ascii="宋体" w:hAnsi="宋体" w:eastAsia="宋体" w:cs="宋体"/>
          <w:color w:val="auto"/>
          <w:sz w:val="24"/>
          <w:szCs w:val="24"/>
          <w:highlight w:val="none"/>
          <w:u w:val="single"/>
        </w:rPr>
        <w:t xml:space="preserve"> 长期 </w:t>
      </w:r>
      <w:r>
        <w:rPr>
          <w:rFonts w:hint="eastAsia" w:ascii="宋体" w:hAnsi="宋体" w:eastAsia="宋体" w:cs="宋体"/>
          <w:color w:val="auto"/>
          <w:sz w:val="24"/>
          <w:szCs w:val="24"/>
          <w:highlight w:val="none"/>
        </w:rPr>
        <w:t xml:space="preserve">。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第三人申明的保密事项和期限：</w:t>
      </w:r>
      <w:r>
        <w:rPr>
          <w:rFonts w:hint="eastAsia" w:ascii="宋体" w:hAnsi="宋体" w:eastAsia="宋体" w:cs="宋体"/>
          <w:color w:val="auto"/>
          <w:sz w:val="24"/>
          <w:szCs w:val="24"/>
          <w:highlight w:val="none"/>
          <w:u w:val="single"/>
        </w:rPr>
        <w:t xml:space="preserve"> 长期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bCs/>
          <w:color w:val="auto"/>
          <w:kern w:val="28"/>
          <w:sz w:val="24"/>
          <w:szCs w:val="24"/>
          <w:highlight w:val="none"/>
        </w:rPr>
      </w:pPr>
      <w:bookmarkStart w:id="195" w:name="_Toc422322554"/>
      <w:r>
        <w:rPr>
          <w:rStyle w:val="46"/>
          <w:rFonts w:hint="eastAsia" w:ascii="宋体" w:hAnsi="宋体" w:eastAsia="宋体" w:cs="宋体"/>
          <w:b w:val="0"/>
          <w:color w:val="auto"/>
          <w:sz w:val="24"/>
          <w:szCs w:val="24"/>
          <w:highlight w:val="none"/>
        </w:rPr>
        <w:t>8.4联络</w:t>
      </w:r>
      <w:bookmarkEnd w:id="19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8.4.1任何一方与合同有关的通知、指示、要求、决定等，均应在</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日内送达对方指定的接收人和送达地点。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8.4.2委托人指定的送达接收人：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，送达地点：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咨询人指定的送达接收人：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，送达地点：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Style w:val="46"/>
          <w:rFonts w:hint="eastAsia" w:ascii="宋体" w:hAnsi="宋体" w:eastAsia="宋体" w:cs="宋体"/>
          <w:b w:val="0"/>
          <w:color w:val="auto"/>
          <w:sz w:val="24"/>
          <w:szCs w:val="24"/>
          <w:highlight w:val="none"/>
        </w:rPr>
      </w:pPr>
      <w:bookmarkStart w:id="196" w:name="_Toc422322555"/>
      <w:bookmarkStart w:id="197" w:name="_Toc419045124"/>
      <w:r>
        <w:rPr>
          <w:rStyle w:val="46"/>
          <w:rFonts w:hint="eastAsia" w:ascii="宋体" w:hAnsi="宋体" w:eastAsia="宋体" w:cs="宋体"/>
          <w:b w:val="0"/>
          <w:color w:val="auto"/>
          <w:sz w:val="24"/>
          <w:szCs w:val="24"/>
          <w:highlight w:val="none"/>
        </w:rPr>
        <w:t>8.5知识产权</w:t>
      </w:r>
      <w:bookmarkEnd w:id="196"/>
      <w:bookmarkEnd w:id="19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委托人提供给咨询人的图纸、委托人为实施工程自行编制或委托编制的技术规范以及反映委托人要求的或其他类似性质文件的著作权属于  </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咨询人为履行本合同约定而编制的成果文件，其著作权属于  </w:t>
      </w:r>
      <w:r>
        <w:rPr>
          <w:rFonts w:hint="eastAsia" w:ascii="宋体" w:hAnsi="宋体" w:eastAsia="宋体" w:cs="宋体"/>
          <w:color w:val="auto"/>
          <w:sz w:val="24"/>
          <w:szCs w:val="24"/>
          <w:highlight w:val="none"/>
          <w:u w:val="single"/>
        </w:rPr>
        <w:t xml:space="preserve"> 执行通用条款</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双方将履行本合同形成的有关成果文件用于企业宣传、申报奖项以及接受上级主管部门的检查须遵守以下约定：</w:t>
      </w:r>
      <w:r>
        <w:rPr>
          <w:rFonts w:hint="eastAsia" w:ascii="宋体" w:hAnsi="宋体" w:eastAsia="宋体" w:cs="宋体"/>
          <w:color w:val="auto"/>
          <w:sz w:val="24"/>
          <w:szCs w:val="24"/>
          <w:highlight w:val="none"/>
          <w:u w:val="single"/>
        </w:rPr>
        <w:t xml:space="preserve">       执行通用条款    。</w:t>
      </w:r>
    </w:p>
    <w:p>
      <w:pPr>
        <w:spacing w:line="360" w:lineRule="auto"/>
        <w:ind w:firstLine="482" w:firstLineChars="200"/>
        <w:rPr>
          <w:rFonts w:hint="eastAsia" w:ascii="宋体" w:hAnsi="宋体" w:eastAsia="宋体" w:cs="宋体"/>
          <w:color w:val="auto"/>
          <w:sz w:val="24"/>
          <w:szCs w:val="24"/>
          <w:highlight w:val="none"/>
        </w:rPr>
      </w:pPr>
      <w:bookmarkStart w:id="198" w:name="_Toc419045125"/>
      <w:bookmarkStart w:id="199" w:name="_Toc422322556"/>
      <w:r>
        <w:rPr>
          <w:rStyle w:val="32"/>
          <w:rFonts w:hint="eastAsia" w:ascii="宋体" w:hAnsi="宋体" w:eastAsia="宋体" w:cs="宋体"/>
          <w:color w:val="auto"/>
          <w:sz w:val="24"/>
          <w:szCs w:val="24"/>
          <w:highlight w:val="none"/>
        </w:rPr>
        <w:t>9.补充条款</w:t>
      </w:r>
      <w:bookmarkEnd w:id="198"/>
      <w:bookmarkEnd w:id="199"/>
    </w:p>
    <w:p>
      <w:pPr>
        <w:spacing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                                                           </w:t>
      </w:r>
    </w:p>
    <w:p>
      <w:pPr>
        <w:spacing w:line="360" w:lineRule="auto"/>
        <w:rPr>
          <w:rFonts w:hint="eastAsia" w:ascii="宋体" w:hAnsi="宋体" w:eastAsia="宋体" w:cs="宋体"/>
          <w:b/>
          <w:color w:val="auto"/>
          <w:sz w:val="24"/>
          <w:szCs w:val="24"/>
          <w:highlight w:val="none"/>
          <w:u w:val="single"/>
        </w:rPr>
        <w:sectPr>
          <w:footerReference r:id="rId15" w:type="default"/>
          <w:pgSz w:w="11906" w:h="16838"/>
          <w:pgMar w:top="1440" w:right="1800" w:bottom="1440" w:left="1800" w:header="851" w:footer="992" w:gutter="0"/>
          <w:pgNumType w:start="1"/>
          <w:cols w:space="720" w:num="1"/>
          <w:docGrid w:linePitch="312" w:charSpace="0"/>
        </w:sectPr>
      </w:pPr>
    </w:p>
    <w:p>
      <w:pPr>
        <w:pStyle w:val="4"/>
        <w:spacing w:before="0" w:after="0"/>
        <w:jc w:val="center"/>
        <w:rPr>
          <w:rFonts w:hint="eastAsia" w:ascii="宋体" w:hAnsi="宋体" w:eastAsia="宋体" w:cs="宋体"/>
          <w:color w:val="auto"/>
          <w:sz w:val="24"/>
          <w:szCs w:val="24"/>
          <w:highlight w:val="none"/>
        </w:rPr>
      </w:pPr>
      <w:bookmarkStart w:id="200" w:name="_Toc422322557"/>
      <w:bookmarkStart w:id="201" w:name="_Toc419045126"/>
      <w:r>
        <w:rPr>
          <w:rFonts w:hint="eastAsia" w:ascii="宋体" w:hAnsi="宋体" w:eastAsia="宋体" w:cs="宋体"/>
          <w:color w:val="auto"/>
          <w:sz w:val="24"/>
          <w:szCs w:val="24"/>
          <w:highlight w:val="none"/>
        </w:rPr>
        <w:t>附录A 服务范围及工作内容、酬金一览表</w:t>
      </w:r>
      <w:bookmarkEnd w:id="200"/>
      <w:bookmarkEnd w:id="201"/>
    </w:p>
    <w:tbl>
      <w:tblPr>
        <w:tblStyle w:val="22"/>
        <w:tblW w:w="9489"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614"/>
        <w:gridCol w:w="2235"/>
        <w:gridCol w:w="810"/>
        <w:gridCol w:w="1425"/>
        <w:gridCol w:w="114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服务阶段</w:t>
            </w:r>
          </w:p>
        </w:tc>
        <w:tc>
          <w:tcPr>
            <w:tcW w:w="3849" w:type="dxa"/>
            <w:gridSpan w:val="2"/>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服务范围及工作内容</w:t>
            </w:r>
          </w:p>
        </w:tc>
        <w:tc>
          <w:tcPr>
            <w:tcW w:w="3375" w:type="dxa"/>
            <w:gridSpan w:val="3"/>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酬金</w:t>
            </w:r>
          </w:p>
        </w:tc>
        <w:tc>
          <w:tcPr>
            <w:tcW w:w="990" w:type="dxa"/>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eastAsia="宋体" w:cs="宋体"/>
                <w:color w:val="auto"/>
                <w:sz w:val="24"/>
                <w:szCs w:val="24"/>
                <w:highlight w:val="none"/>
              </w:rPr>
            </w:pPr>
          </w:p>
        </w:tc>
        <w:tc>
          <w:tcPr>
            <w:tcW w:w="1614" w:type="dxa"/>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2235" w:type="dxa"/>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工作内容</w:t>
            </w:r>
          </w:p>
        </w:tc>
        <w:tc>
          <w:tcPr>
            <w:tcW w:w="810" w:type="dxa"/>
            <w:vAlign w:val="center"/>
          </w:tcPr>
          <w:p>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收费基数</w:t>
            </w:r>
          </w:p>
        </w:tc>
        <w:tc>
          <w:tcPr>
            <w:tcW w:w="1425" w:type="dxa"/>
            <w:vAlign w:val="center"/>
          </w:tcPr>
          <w:p>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收费标准（比例）</w:t>
            </w:r>
          </w:p>
        </w:tc>
        <w:tc>
          <w:tcPr>
            <w:tcW w:w="1140" w:type="dxa"/>
            <w:vAlign w:val="center"/>
          </w:tcPr>
          <w:p>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酬金数额（万元）</w:t>
            </w:r>
          </w:p>
        </w:tc>
        <w:tc>
          <w:tcPr>
            <w:tcW w:w="990" w:type="dxa"/>
            <w:vAlign w:val="center"/>
          </w:tcPr>
          <w:p>
            <w:pPr>
              <w:pStyle w:val="2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75" w:type="dxa"/>
            <w:vMerge w:val="restart"/>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决策阶段</w:t>
            </w: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投资估算</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经济评价</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235" w:type="dxa"/>
            <w:vAlign w:val="center"/>
          </w:tcPr>
          <w:p>
            <w:pPr>
              <w:spacing w:line="360" w:lineRule="auto"/>
              <w:jc w:val="center"/>
              <w:rPr>
                <w:rFonts w:hint="eastAsia" w:ascii="宋体" w:hAnsi="宋体" w:eastAsia="宋体" w:cs="宋体"/>
                <w:color w:val="auto"/>
                <w:sz w:val="24"/>
                <w:szCs w:val="24"/>
                <w:highlight w:val="none"/>
              </w:rPr>
            </w:pP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设计阶段</w:t>
            </w: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设计概算</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pStyle w:val="20"/>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235" w:type="dxa"/>
            <w:vAlign w:val="center"/>
          </w:tcPr>
          <w:p>
            <w:pPr>
              <w:spacing w:line="360" w:lineRule="auto"/>
              <w:jc w:val="center"/>
              <w:rPr>
                <w:rFonts w:hint="eastAsia" w:ascii="宋体" w:hAnsi="宋体" w:eastAsia="宋体" w:cs="宋体"/>
                <w:color w:val="auto"/>
                <w:sz w:val="24"/>
                <w:szCs w:val="24"/>
                <w:highlight w:val="none"/>
              </w:rPr>
            </w:pP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发承包阶段</w:t>
            </w: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投标报价分析</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清标报告</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235" w:type="dxa"/>
            <w:vAlign w:val="center"/>
          </w:tcPr>
          <w:p>
            <w:pPr>
              <w:spacing w:line="360" w:lineRule="auto"/>
              <w:jc w:val="center"/>
              <w:rPr>
                <w:rFonts w:hint="eastAsia" w:ascii="宋体" w:hAnsi="宋体" w:eastAsia="宋体" w:cs="宋体"/>
                <w:color w:val="auto"/>
                <w:sz w:val="24"/>
                <w:szCs w:val="24"/>
                <w:highlight w:val="none"/>
              </w:rPr>
            </w:pP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75" w:type="dxa"/>
            <w:vMerge w:val="restart"/>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实施阶段</w:t>
            </w: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资金使用计划</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p>
        </w:tc>
        <w:tc>
          <w:tcPr>
            <w:tcW w:w="810" w:type="dxa"/>
            <w:vAlign w:val="center"/>
          </w:tcPr>
          <w:p>
            <w:pPr>
              <w:spacing w:line="360" w:lineRule="auto"/>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工程计量与工程款审核</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合同价款调整</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工程变更、索赔、签证</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工程实施阶段造价控制</w:t>
            </w:r>
          </w:p>
        </w:tc>
        <w:tc>
          <w:tcPr>
            <w:tcW w:w="2235"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全过程造价咨询</w:t>
            </w: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235" w:type="dxa"/>
            <w:vAlign w:val="center"/>
          </w:tcPr>
          <w:p>
            <w:pPr>
              <w:spacing w:line="360" w:lineRule="auto"/>
              <w:jc w:val="center"/>
              <w:rPr>
                <w:rFonts w:hint="eastAsia" w:ascii="宋体" w:hAnsi="宋体" w:eastAsia="宋体" w:cs="宋体"/>
                <w:color w:val="auto"/>
                <w:sz w:val="24"/>
                <w:szCs w:val="24"/>
                <w:highlight w:val="none"/>
              </w:rPr>
            </w:pP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竣工阶段</w:t>
            </w: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Merge w:val="restart"/>
            <w:vAlign w:val="center"/>
          </w:tcPr>
          <w:p>
            <w:pPr>
              <w:spacing w:line="360" w:lineRule="auto"/>
              <w:jc w:val="center"/>
              <w:rPr>
                <w:rFonts w:hint="eastAsia" w:ascii="宋体" w:hAnsi="宋体" w:eastAsia="宋体" w:cs="宋体"/>
                <w:color w:val="auto"/>
                <w:sz w:val="24"/>
                <w:szCs w:val="24"/>
                <w:highlight w:val="none"/>
              </w:rPr>
            </w:pPr>
          </w:p>
        </w:tc>
        <w:tc>
          <w:tcPr>
            <w:tcW w:w="1425" w:type="dxa"/>
            <w:vMerge w:val="restart"/>
            <w:vAlign w:val="center"/>
          </w:tcPr>
          <w:p>
            <w:pPr>
              <w:spacing w:line="360" w:lineRule="auto"/>
              <w:jc w:val="center"/>
              <w:rPr>
                <w:rFonts w:hint="eastAsia" w:ascii="宋体" w:hAnsi="宋体" w:eastAsia="宋体" w:cs="宋体"/>
                <w:color w:val="auto"/>
                <w:sz w:val="24"/>
                <w:szCs w:val="24"/>
                <w:highlight w:val="none"/>
              </w:rPr>
            </w:pPr>
          </w:p>
        </w:tc>
        <w:tc>
          <w:tcPr>
            <w:tcW w:w="1140" w:type="dxa"/>
            <w:vMerge w:val="restart"/>
            <w:vAlign w:val="center"/>
          </w:tcPr>
          <w:p>
            <w:pPr>
              <w:spacing w:line="360" w:lineRule="auto"/>
              <w:jc w:val="center"/>
              <w:rPr>
                <w:rFonts w:hint="eastAsia" w:ascii="宋体" w:hAnsi="宋体" w:eastAsia="宋体" w:cs="宋体"/>
                <w:color w:val="auto"/>
                <w:sz w:val="24"/>
                <w:szCs w:val="24"/>
                <w:highlight w:val="none"/>
              </w:rPr>
            </w:pPr>
          </w:p>
        </w:tc>
        <w:tc>
          <w:tcPr>
            <w:tcW w:w="990" w:type="dxa"/>
            <w:vMerge w:val="restart"/>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竣工决算</w:t>
            </w:r>
          </w:p>
        </w:tc>
        <w:tc>
          <w:tcPr>
            <w:tcW w:w="223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调整</w:t>
            </w:r>
          </w:p>
        </w:tc>
        <w:tc>
          <w:tcPr>
            <w:tcW w:w="81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425"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14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990" w:type="dxa"/>
            <w:vMerge w:val="continue"/>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235" w:type="dxa"/>
            <w:vAlign w:val="center"/>
          </w:tcPr>
          <w:p>
            <w:pPr>
              <w:spacing w:line="360" w:lineRule="auto"/>
              <w:jc w:val="center"/>
              <w:rPr>
                <w:rFonts w:hint="eastAsia" w:ascii="宋体" w:hAnsi="宋体" w:eastAsia="宋体" w:cs="宋体"/>
                <w:color w:val="auto"/>
                <w:sz w:val="24"/>
                <w:szCs w:val="24"/>
                <w:highlight w:val="none"/>
              </w:rPr>
            </w:pP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其他服务</w:t>
            </w:r>
          </w:p>
        </w:tc>
        <w:tc>
          <w:tcPr>
            <w:tcW w:w="161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工程造价鉴定</w:t>
            </w:r>
          </w:p>
        </w:tc>
        <w:tc>
          <w:tcPr>
            <w:tcW w:w="2235" w:type="dxa"/>
            <w:vAlign w:val="center"/>
          </w:tcPr>
          <w:p>
            <w:pPr>
              <w:spacing w:line="360" w:lineRule="auto"/>
              <w:jc w:val="center"/>
              <w:rPr>
                <w:rFonts w:hint="eastAsia" w:ascii="宋体" w:hAnsi="宋体" w:eastAsia="宋体" w:cs="宋体"/>
                <w:color w:val="auto"/>
                <w:sz w:val="24"/>
                <w:szCs w:val="24"/>
                <w:highlight w:val="none"/>
              </w:rPr>
            </w:pPr>
          </w:p>
        </w:tc>
        <w:tc>
          <w:tcPr>
            <w:tcW w:w="810" w:type="dxa"/>
            <w:vAlign w:val="center"/>
          </w:tcPr>
          <w:p>
            <w:pPr>
              <w:spacing w:line="360" w:lineRule="auto"/>
              <w:jc w:val="center"/>
              <w:rPr>
                <w:rFonts w:hint="eastAsia" w:ascii="宋体" w:hAnsi="宋体" w:eastAsia="宋体" w:cs="宋体"/>
                <w:color w:val="auto"/>
                <w:sz w:val="24"/>
                <w:szCs w:val="24"/>
                <w:highlight w:val="none"/>
              </w:rPr>
            </w:pPr>
          </w:p>
        </w:tc>
        <w:tc>
          <w:tcPr>
            <w:tcW w:w="1425" w:type="dxa"/>
            <w:vAlign w:val="center"/>
          </w:tcPr>
          <w:p>
            <w:pPr>
              <w:spacing w:line="360" w:lineRule="auto"/>
              <w:jc w:val="center"/>
              <w:rPr>
                <w:rFonts w:hint="eastAsia" w:ascii="宋体" w:hAnsi="宋体" w:eastAsia="宋体" w:cs="宋体"/>
                <w:color w:val="auto"/>
                <w:sz w:val="24"/>
                <w:szCs w:val="24"/>
                <w:highlight w:val="none"/>
              </w:rPr>
            </w:pPr>
          </w:p>
        </w:tc>
        <w:tc>
          <w:tcPr>
            <w:tcW w:w="1140" w:type="dxa"/>
            <w:vAlign w:val="center"/>
          </w:tcPr>
          <w:p>
            <w:pPr>
              <w:spacing w:line="360" w:lineRule="auto"/>
              <w:jc w:val="center"/>
              <w:rPr>
                <w:rFonts w:hint="eastAsia" w:ascii="宋体" w:hAnsi="宋体" w:eastAsia="宋体" w:cs="宋体"/>
                <w:color w:val="auto"/>
                <w:sz w:val="24"/>
                <w:szCs w:val="24"/>
                <w:highlight w:val="none"/>
              </w:rPr>
            </w:pPr>
          </w:p>
        </w:tc>
        <w:tc>
          <w:tcPr>
            <w:tcW w:w="990"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注：</w:t>
      </w:r>
      <w:r>
        <w:rPr>
          <w:rFonts w:hint="eastAsia" w:ascii="宋体" w:hAnsi="宋体" w:eastAsia="宋体" w:cs="宋体"/>
          <w:color w:val="auto"/>
          <w:sz w:val="24"/>
          <w:szCs w:val="24"/>
          <w:highlight w:val="none"/>
        </w:rPr>
        <w:t xml:space="preserve"> 1.附录A中服务范围及工作内容未涉及的可在“其他”项中列明。</w:t>
      </w:r>
    </w:p>
    <w:p>
      <w:pPr>
        <w:spacing w:line="360" w:lineRule="auto"/>
        <w:ind w:firstLine="840" w:firstLineChars="350"/>
        <w:rPr>
          <w:rFonts w:hint="eastAsia" w:ascii="宋体" w:hAnsi="宋体" w:eastAsia="宋体" w:cs="宋体"/>
          <w:bCs/>
          <w:color w:val="auto"/>
          <w:sz w:val="24"/>
          <w:szCs w:val="24"/>
          <w:highlight w:val="none"/>
        </w:rPr>
        <w:sectPr>
          <w:pgSz w:w="11906" w:h="16838"/>
          <w:pgMar w:top="1440" w:right="1803" w:bottom="1440" w:left="1803" w:header="851" w:footer="992" w:gutter="0"/>
          <w:cols w:space="720" w:num="1"/>
          <w:docGrid w:linePitch="312" w:charSpace="0"/>
        </w:sectPr>
      </w:pPr>
      <w:r>
        <w:rPr>
          <w:rFonts w:hint="eastAsia" w:ascii="宋体" w:hAnsi="宋体" w:eastAsia="宋体" w:cs="宋体"/>
          <w:bCs/>
          <w:color w:val="auto"/>
          <w:sz w:val="24"/>
          <w:szCs w:val="24"/>
          <w:highlight w:val="none"/>
        </w:rPr>
        <w:t>2.实行招标控制价编制的工程，服务范围及工作内容按上表，酬金及计取方式为：</w:t>
      </w:r>
    </w:p>
    <w:p>
      <w:pPr>
        <w:pStyle w:val="4"/>
        <w:spacing w:before="0" w:after="0"/>
        <w:jc w:val="center"/>
        <w:rPr>
          <w:rFonts w:hint="eastAsia" w:ascii="宋体" w:hAnsi="宋体" w:eastAsia="宋体" w:cs="宋体"/>
          <w:color w:val="auto"/>
          <w:sz w:val="24"/>
          <w:szCs w:val="24"/>
          <w:highlight w:val="none"/>
        </w:rPr>
      </w:pPr>
      <w:bookmarkStart w:id="202" w:name="_Toc419045127"/>
      <w:bookmarkStart w:id="203" w:name="_Toc422322558"/>
      <w:r>
        <w:rPr>
          <w:rFonts w:hint="eastAsia" w:ascii="宋体" w:hAnsi="宋体" w:eastAsia="宋体" w:cs="宋体"/>
          <w:color w:val="auto"/>
          <w:sz w:val="24"/>
          <w:szCs w:val="24"/>
          <w:highlight w:val="none"/>
        </w:rPr>
        <w:t>附录B 咨询人提交成果文件一览表</w:t>
      </w:r>
      <w:bookmarkEnd w:id="202"/>
      <w:bookmarkEnd w:id="203"/>
    </w:p>
    <w:tbl>
      <w:tblPr>
        <w:tblStyle w:val="2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617"/>
        <w:gridCol w:w="1519"/>
        <w:gridCol w:w="1649"/>
        <w:gridCol w:w="145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服务阶段</w:t>
            </w:r>
          </w:p>
        </w:tc>
        <w:tc>
          <w:tcPr>
            <w:tcW w:w="1617"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成果文件名称</w:t>
            </w:r>
          </w:p>
        </w:tc>
        <w:tc>
          <w:tcPr>
            <w:tcW w:w="1519"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成果文件组成</w:t>
            </w:r>
          </w:p>
        </w:tc>
        <w:tc>
          <w:tcPr>
            <w:tcW w:w="1649"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提交时间</w:t>
            </w:r>
          </w:p>
        </w:tc>
        <w:tc>
          <w:tcPr>
            <w:tcW w:w="1455"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份数</w:t>
            </w:r>
          </w:p>
        </w:tc>
        <w:tc>
          <w:tcPr>
            <w:tcW w:w="1560"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决策阶段</w:t>
            </w: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设计阶段</w:t>
            </w: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发承包阶段</w:t>
            </w: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vAlign w:val="center"/>
          </w:tcPr>
          <w:p>
            <w:pPr>
              <w:pStyle w:val="2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实施阶段</w:t>
            </w: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vAlign w:val="center"/>
          </w:tcPr>
          <w:p>
            <w:pPr>
              <w:pStyle w:val="20"/>
              <w:spacing w:line="360" w:lineRule="auto"/>
              <w:jc w:val="center"/>
              <w:rPr>
                <w:rFonts w:hint="eastAsia" w:ascii="宋体" w:hAnsi="宋体" w:eastAsia="宋体" w:cs="宋体"/>
                <w:bCs/>
                <w:color w:val="auto"/>
                <w:sz w:val="24"/>
                <w:szCs w:val="24"/>
                <w:highlight w:val="none"/>
              </w:rPr>
            </w:pP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184" w:type="dxa"/>
            <w:vMerge w:val="restart"/>
            <w:vAlign w:val="center"/>
          </w:tcPr>
          <w:p>
            <w:pPr>
              <w:pStyle w:val="2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竣工阶段</w:t>
            </w:r>
          </w:p>
        </w:tc>
        <w:tc>
          <w:tcPr>
            <w:tcW w:w="1617" w:type="dxa"/>
            <w:vAlign w:val="center"/>
          </w:tcPr>
          <w:p>
            <w:pPr>
              <w:jc w:val="center"/>
              <w:rPr>
                <w:rFonts w:hint="eastAsia" w:ascii="宋体" w:hAnsi="宋体" w:eastAsia="宋体" w:cs="宋体"/>
                <w:bCs/>
                <w:color w:val="auto"/>
                <w:sz w:val="24"/>
                <w:szCs w:val="24"/>
                <w:highlight w:val="none"/>
              </w:rPr>
            </w:pPr>
          </w:p>
        </w:tc>
        <w:tc>
          <w:tcPr>
            <w:tcW w:w="1519" w:type="dxa"/>
            <w:vAlign w:val="center"/>
          </w:tcPr>
          <w:p>
            <w:pPr>
              <w:spacing w:line="240" w:lineRule="atLeast"/>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184" w:type="dxa"/>
            <w:vMerge w:val="continue"/>
            <w:vAlign w:val="center"/>
          </w:tcPr>
          <w:p>
            <w:pPr>
              <w:pStyle w:val="20"/>
              <w:spacing w:line="360" w:lineRule="auto"/>
              <w:jc w:val="center"/>
              <w:rPr>
                <w:rFonts w:hint="eastAsia" w:ascii="宋体" w:hAnsi="宋体" w:eastAsia="宋体" w:cs="宋体"/>
                <w:bCs/>
                <w:color w:val="auto"/>
                <w:sz w:val="24"/>
                <w:szCs w:val="24"/>
                <w:highlight w:val="none"/>
              </w:rPr>
            </w:pPr>
          </w:p>
        </w:tc>
        <w:tc>
          <w:tcPr>
            <w:tcW w:w="1617" w:type="dxa"/>
            <w:vAlign w:val="center"/>
          </w:tcPr>
          <w:p>
            <w:pPr>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184" w:type="dxa"/>
            <w:vMerge w:val="continue"/>
            <w:vAlign w:val="center"/>
          </w:tcPr>
          <w:p>
            <w:pPr>
              <w:spacing w:line="360" w:lineRule="auto"/>
              <w:jc w:val="center"/>
              <w:rPr>
                <w:rFonts w:hint="eastAsia" w:ascii="宋体" w:hAnsi="宋体" w:eastAsia="宋体" w:cs="宋体"/>
                <w:bCs/>
                <w:color w:val="auto"/>
                <w:sz w:val="24"/>
                <w:szCs w:val="24"/>
                <w:highlight w:val="none"/>
              </w:rPr>
            </w:pPr>
          </w:p>
        </w:tc>
        <w:tc>
          <w:tcPr>
            <w:tcW w:w="1617" w:type="dxa"/>
            <w:vAlign w:val="center"/>
          </w:tcPr>
          <w:p>
            <w:pPr>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其他服务</w:t>
            </w:r>
          </w:p>
        </w:tc>
        <w:tc>
          <w:tcPr>
            <w:tcW w:w="1617" w:type="dxa"/>
            <w:vAlign w:val="center"/>
          </w:tcPr>
          <w:p>
            <w:pPr>
              <w:spacing w:line="360" w:lineRule="auto"/>
              <w:jc w:val="center"/>
              <w:rPr>
                <w:rFonts w:hint="eastAsia" w:ascii="宋体" w:hAnsi="宋体" w:eastAsia="宋体" w:cs="宋体"/>
                <w:bCs/>
                <w:color w:val="auto"/>
                <w:sz w:val="24"/>
                <w:szCs w:val="24"/>
                <w:highlight w:val="none"/>
              </w:rPr>
            </w:pPr>
          </w:p>
        </w:tc>
        <w:tc>
          <w:tcPr>
            <w:tcW w:w="1519" w:type="dxa"/>
            <w:vAlign w:val="center"/>
          </w:tcPr>
          <w:p>
            <w:pPr>
              <w:spacing w:line="360" w:lineRule="auto"/>
              <w:jc w:val="center"/>
              <w:rPr>
                <w:rFonts w:hint="eastAsia" w:ascii="宋体" w:hAnsi="宋体" w:eastAsia="宋体" w:cs="宋体"/>
                <w:bCs/>
                <w:color w:val="auto"/>
                <w:sz w:val="24"/>
                <w:szCs w:val="24"/>
                <w:highlight w:val="none"/>
              </w:rPr>
            </w:pPr>
          </w:p>
        </w:tc>
        <w:tc>
          <w:tcPr>
            <w:tcW w:w="1649" w:type="dxa"/>
            <w:vAlign w:val="center"/>
          </w:tcPr>
          <w:p>
            <w:pPr>
              <w:spacing w:line="360" w:lineRule="auto"/>
              <w:jc w:val="center"/>
              <w:rPr>
                <w:rFonts w:hint="eastAsia" w:ascii="宋体" w:hAnsi="宋体" w:eastAsia="宋体" w:cs="宋体"/>
                <w:bCs/>
                <w:color w:val="auto"/>
                <w:sz w:val="24"/>
                <w:szCs w:val="24"/>
                <w:highlight w:val="none"/>
              </w:rPr>
            </w:pPr>
          </w:p>
        </w:tc>
        <w:tc>
          <w:tcPr>
            <w:tcW w:w="1455" w:type="dxa"/>
            <w:vAlign w:val="center"/>
          </w:tcPr>
          <w:p>
            <w:pPr>
              <w:spacing w:line="360" w:lineRule="auto"/>
              <w:jc w:val="center"/>
              <w:rPr>
                <w:rFonts w:hint="eastAsia" w:ascii="宋体" w:hAnsi="宋体" w:eastAsia="宋体" w:cs="宋体"/>
                <w:bCs/>
                <w:color w:val="auto"/>
                <w:sz w:val="24"/>
                <w:szCs w:val="24"/>
                <w:highlight w:val="none"/>
              </w:rPr>
            </w:pPr>
          </w:p>
        </w:tc>
        <w:tc>
          <w:tcPr>
            <w:tcW w:w="1560" w:type="dxa"/>
            <w:vAlign w:val="center"/>
          </w:tcPr>
          <w:p>
            <w:pPr>
              <w:spacing w:line="360" w:lineRule="auto"/>
              <w:jc w:val="center"/>
              <w:rPr>
                <w:rFonts w:hint="eastAsia" w:ascii="宋体" w:hAnsi="宋体" w:eastAsia="宋体" w:cs="宋体"/>
                <w:bCs/>
                <w:color w:val="auto"/>
                <w:sz w:val="24"/>
                <w:szCs w:val="24"/>
                <w:highlight w:val="none"/>
              </w:rPr>
            </w:pPr>
          </w:p>
        </w:tc>
      </w:tr>
    </w:tbl>
    <w:p>
      <w:pPr>
        <w:spacing w:line="360" w:lineRule="auto"/>
        <w:rPr>
          <w:rFonts w:hint="eastAsia" w:ascii="宋体" w:hAnsi="宋体" w:eastAsia="宋体" w:cs="宋体"/>
          <w:b/>
          <w:color w:val="auto"/>
          <w:sz w:val="24"/>
          <w:szCs w:val="24"/>
          <w:highlight w:val="none"/>
        </w:rPr>
        <w:sectPr>
          <w:pgSz w:w="11906" w:h="16838"/>
          <w:pgMar w:top="1440" w:right="1438" w:bottom="1440" w:left="1803" w:header="851" w:footer="992" w:gutter="0"/>
          <w:cols w:space="720" w:num="1"/>
          <w:docGrid w:linePitch="312" w:charSpace="0"/>
        </w:sectPr>
      </w:pPr>
    </w:p>
    <w:p>
      <w:pPr>
        <w:pStyle w:val="4"/>
        <w:spacing w:before="0" w:after="0"/>
        <w:jc w:val="center"/>
        <w:rPr>
          <w:rFonts w:hint="eastAsia" w:ascii="宋体" w:hAnsi="宋体" w:eastAsia="宋体" w:cs="宋体"/>
          <w:color w:val="auto"/>
          <w:sz w:val="24"/>
          <w:szCs w:val="24"/>
          <w:highlight w:val="none"/>
        </w:rPr>
      </w:pPr>
      <w:bookmarkStart w:id="204" w:name="_Toc419045128"/>
      <w:bookmarkStart w:id="205" w:name="_Toc422322559"/>
      <w:r>
        <w:rPr>
          <w:rFonts w:hint="eastAsia" w:ascii="宋体" w:hAnsi="宋体" w:eastAsia="宋体" w:cs="宋体"/>
          <w:color w:val="auto"/>
          <w:sz w:val="24"/>
          <w:szCs w:val="24"/>
          <w:highlight w:val="none"/>
        </w:rPr>
        <w:t>附录C　委托人提供资料一览表</w:t>
      </w:r>
      <w:bookmarkEnd w:id="204"/>
      <w:bookmarkEnd w:id="205"/>
    </w:p>
    <w:tbl>
      <w:tblPr>
        <w:tblStyle w:val="22"/>
        <w:tblW w:w="794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37"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1338"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c>
          <w:tcPr>
            <w:tcW w:w="2207"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pStyle w:val="20"/>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Pr>
          <w:p>
            <w:pPr>
              <w:spacing w:line="360" w:lineRule="auto"/>
              <w:jc w:val="center"/>
              <w:rPr>
                <w:rFonts w:hint="eastAsia" w:ascii="宋体" w:hAnsi="宋体" w:eastAsia="宋体" w:cs="宋体"/>
                <w:color w:val="auto"/>
                <w:sz w:val="24"/>
                <w:szCs w:val="24"/>
                <w:highlight w:val="none"/>
              </w:rPr>
            </w:pPr>
            <w:bookmarkStart w:id="206" w:name="_Toc419045129"/>
          </w:p>
        </w:tc>
        <w:tc>
          <w:tcPr>
            <w:tcW w:w="837" w:type="dxa"/>
          </w:tcPr>
          <w:p>
            <w:pPr>
              <w:spacing w:line="360" w:lineRule="auto"/>
              <w:jc w:val="center"/>
              <w:rPr>
                <w:rFonts w:hint="eastAsia" w:ascii="宋体" w:hAnsi="宋体" w:eastAsia="宋体" w:cs="宋体"/>
                <w:color w:val="auto"/>
                <w:sz w:val="24"/>
                <w:szCs w:val="24"/>
                <w:highlight w:val="none"/>
              </w:rPr>
            </w:pPr>
          </w:p>
        </w:tc>
        <w:tc>
          <w:tcPr>
            <w:tcW w:w="1338" w:type="dxa"/>
          </w:tcPr>
          <w:p>
            <w:pPr>
              <w:spacing w:line="360" w:lineRule="auto"/>
              <w:jc w:val="center"/>
              <w:rPr>
                <w:rFonts w:hint="eastAsia" w:ascii="宋体" w:hAnsi="宋体" w:eastAsia="宋体" w:cs="宋体"/>
                <w:color w:val="auto"/>
                <w:sz w:val="24"/>
                <w:szCs w:val="24"/>
                <w:highlight w:val="none"/>
              </w:rPr>
            </w:pPr>
          </w:p>
        </w:tc>
        <w:tc>
          <w:tcPr>
            <w:tcW w:w="2207" w:type="dxa"/>
          </w:tcPr>
          <w:p>
            <w:pPr>
              <w:spacing w:line="360" w:lineRule="auto"/>
              <w:jc w:val="center"/>
              <w:rPr>
                <w:rFonts w:hint="eastAsia" w:ascii="宋体" w:hAnsi="宋体" w:eastAsia="宋体" w:cs="宋体"/>
                <w:color w:val="auto"/>
                <w:sz w:val="24"/>
                <w:szCs w:val="24"/>
                <w:highlight w:val="none"/>
              </w:rPr>
            </w:pPr>
          </w:p>
        </w:tc>
      </w:tr>
    </w:tbl>
    <w:p>
      <w:pPr>
        <w:pStyle w:val="4"/>
        <w:spacing w:before="0" w:after="0"/>
        <w:jc w:val="center"/>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linePitch="312" w:charSpace="0"/>
        </w:sectPr>
      </w:pPr>
    </w:p>
    <w:p>
      <w:pPr>
        <w:pStyle w:val="4"/>
        <w:spacing w:before="0" w:after="0"/>
        <w:jc w:val="center"/>
        <w:rPr>
          <w:rFonts w:hint="eastAsia" w:ascii="宋体" w:hAnsi="宋体" w:eastAsia="宋体" w:cs="宋体"/>
          <w:color w:val="auto"/>
          <w:sz w:val="24"/>
          <w:szCs w:val="24"/>
          <w:highlight w:val="none"/>
        </w:rPr>
      </w:pPr>
      <w:bookmarkStart w:id="207" w:name="_Toc422322560"/>
      <w:r>
        <w:rPr>
          <w:rFonts w:hint="eastAsia" w:ascii="宋体" w:hAnsi="宋体" w:eastAsia="宋体" w:cs="宋体"/>
          <w:color w:val="auto"/>
          <w:sz w:val="24"/>
          <w:szCs w:val="24"/>
          <w:highlight w:val="none"/>
        </w:rPr>
        <w:t>附录D 委托人提供房屋及设备一览表</w:t>
      </w:r>
      <w:bookmarkEnd w:id="206"/>
      <w:bookmarkEnd w:id="207"/>
    </w:p>
    <w:tbl>
      <w:tblPr>
        <w:tblStyle w:val="22"/>
        <w:tblW w:w="882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749"/>
        <w:gridCol w:w="225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749"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256"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面积、型号及规格</w:t>
            </w:r>
          </w:p>
        </w:tc>
        <w:tc>
          <w:tcPr>
            <w:tcW w:w="2112" w:type="dxa"/>
          </w:tcPr>
          <w:p>
            <w:pPr>
              <w:pStyle w:val="2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56"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360" w:lineRule="auto"/>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55"/>
        <w:spacing w:line="380" w:lineRule="exact"/>
        <w:ind w:firstLine="964" w:firstLineChars="400"/>
        <w:jc w:val="both"/>
        <w:rPr>
          <w:rFonts w:hint="eastAsia" w:ascii="宋体" w:hAnsi="宋体" w:eastAsia="宋体" w:cs="宋体"/>
          <w:b/>
          <w:color w:val="auto"/>
          <w:sz w:val="24"/>
          <w:szCs w:val="24"/>
          <w:highlight w:val="none"/>
          <w:lang w:eastAsia="zh-CN"/>
        </w:rPr>
      </w:pPr>
      <w:bookmarkStart w:id="208" w:name="_Toc18368_WPSOffice_Level1"/>
      <w:r>
        <w:rPr>
          <w:rFonts w:hint="eastAsia" w:ascii="宋体" w:hAnsi="宋体" w:eastAsia="宋体" w:cs="宋体"/>
          <w:b/>
          <w:color w:val="auto"/>
          <w:sz w:val="24"/>
          <w:szCs w:val="24"/>
          <w:highlight w:val="none"/>
        </w:rPr>
        <w:t>第七章  投标文件格式</w:t>
      </w:r>
      <w:bookmarkEnd w:id="208"/>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仅供参考</w:t>
      </w:r>
      <w:r>
        <w:rPr>
          <w:rFonts w:hint="eastAsia" w:ascii="宋体" w:hAnsi="宋体" w:eastAsia="宋体" w:cs="宋体"/>
          <w:b/>
          <w:color w:val="auto"/>
          <w:sz w:val="24"/>
          <w:szCs w:val="24"/>
          <w:highlight w:val="none"/>
          <w:lang w:eastAsia="zh-CN"/>
        </w:rPr>
        <w:t>）</w:t>
      </w:r>
    </w:p>
    <w:p>
      <w:pPr>
        <w:pStyle w:val="55"/>
        <w:spacing w:line="380" w:lineRule="exact"/>
        <w:jc w:val="center"/>
        <w:rPr>
          <w:rFonts w:hint="eastAsia" w:ascii="宋体" w:hAnsi="宋体" w:eastAsia="宋体" w:cs="宋体"/>
          <w:b/>
          <w:color w:val="auto"/>
          <w:sz w:val="24"/>
          <w:szCs w:val="24"/>
          <w:highlight w:val="none"/>
        </w:rPr>
      </w:pPr>
    </w:p>
    <w:p>
      <w:pPr>
        <w:pStyle w:val="55"/>
        <w:spacing w:line="480" w:lineRule="auto"/>
        <w:jc w:val="center"/>
        <w:rPr>
          <w:rFonts w:hint="eastAsia" w:ascii="宋体" w:hAnsi="宋体" w:eastAsia="宋体" w:cs="宋体"/>
          <w:color w:val="auto"/>
          <w:sz w:val="24"/>
          <w:szCs w:val="24"/>
          <w:highlight w:val="none"/>
          <w:bdr w:val="single" w:color="auto" w:sz="4" w:space="0"/>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bdr w:val="single" w:color="auto" w:sz="4" w:space="0"/>
        </w:rPr>
        <w:t xml:space="preserve"> 正本</w:t>
      </w:r>
    </w:p>
    <w:p>
      <w:pPr>
        <w:pStyle w:val="55"/>
        <w:spacing w:line="380" w:lineRule="exact"/>
        <w:jc w:val="center"/>
        <w:rPr>
          <w:rFonts w:hint="eastAsia" w:ascii="宋体" w:hAnsi="宋体" w:eastAsia="宋体" w:cs="宋体"/>
          <w:color w:val="auto"/>
          <w:sz w:val="24"/>
          <w:szCs w:val="24"/>
          <w:highlight w:val="none"/>
        </w:rPr>
      </w:pPr>
    </w:p>
    <w:p>
      <w:pPr>
        <w:ind w:right="9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（项目名称）</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rPr>
        <w:t xml:space="preserve">编号： </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  标  文  件</w:t>
      </w:r>
    </w:p>
    <w:p>
      <w:pP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Cs/>
          <w:color w:val="auto"/>
          <w:sz w:val="24"/>
          <w:szCs w:val="24"/>
          <w:highlight w:val="none"/>
        </w:rPr>
      </w:pPr>
    </w:p>
    <w:p>
      <w:pPr>
        <w:pStyle w:val="28"/>
        <w:rPr>
          <w:rFonts w:hint="eastAsia" w:ascii="宋体" w:hAnsi="宋体" w:eastAsia="宋体" w:cs="宋体"/>
          <w:bCs/>
          <w:color w:val="auto"/>
          <w:sz w:val="24"/>
          <w:szCs w:val="24"/>
          <w:highlight w:val="none"/>
        </w:rPr>
      </w:pPr>
    </w:p>
    <w:p>
      <w:pPr>
        <w:pStyle w:val="28"/>
        <w:rPr>
          <w:rFonts w:hint="eastAsia" w:ascii="宋体" w:hAnsi="宋体" w:eastAsia="宋体" w:cs="宋体"/>
          <w:bCs/>
          <w:color w:val="auto"/>
          <w:sz w:val="24"/>
          <w:szCs w:val="24"/>
          <w:highlight w:val="none"/>
        </w:rPr>
      </w:pPr>
    </w:p>
    <w:p>
      <w:pPr>
        <w:pStyle w:val="28"/>
        <w:rPr>
          <w:rFonts w:hint="eastAsia" w:ascii="宋体" w:hAnsi="宋体" w:eastAsia="宋体" w:cs="宋体"/>
          <w:bCs/>
          <w:color w:val="auto"/>
          <w:sz w:val="24"/>
          <w:szCs w:val="24"/>
          <w:highlight w:val="none"/>
        </w:rPr>
      </w:pPr>
    </w:p>
    <w:p>
      <w:pPr>
        <w:pStyle w:val="28"/>
        <w:rPr>
          <w:rFonts w:hint="eastAsia" w:ascii="宋体" w:hAnsi="宋体" w:eastAsia="宋体" w:cs="宋体"/>
          <w:bCs/>
          <w:color w:val="auto"/>
          <w:sz w:val="24"/>
          <w:szCs w:val="24"/>
          <w:highlight w:val="none"/>
        </w:rPr>
      </w:pPr>
    </w:p>
    <w:p>
      <w:pPr>
        <w:pStyle w:val="28"/>
        <w:rPr>
          <w:rFonts w:hint="eastAsia" w:ascii="宋体" w:hAnsi="宋体" w:eastAsia="宋体" w:cs="宋体"/>
          <w:bCs/>
          <w:color w:val="auto"/>
          <w:sz w:val="24"/>
          <w:szCs w:val="24"/>
          <w:highlight w:val="none"/>
        </w:rPr>
      </w:pPr>
    </w:p>
    <w:p>
      <w:pPr>
        <w:pStyle w:val="28"/>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single"/>
          <w:lang w:val="en-US" w:eastAsia="zh-CN"/>
        </w:rPr>
        <w:t xml:space="preserve"> </w:t>
      </w:r>
    </w:p>
    <w:p>
      <w:pPr>
        <w:ind w:firstLine="720" w:firstLineChars="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u w:val="single"/>
          <w:lang w:val="en-US" w:eastAsia="zh-CN"/>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28"/>
        <w:rPr>
          <w:rFonts w:hint="eastAsia" w:ascii="宋体" w:hAnsi="宋体" w:eastAsia="宋体" w:cs="宋体"/>
          <w:color w:val="auto"/>
          <w:sz w:val="24"/>
          <w:szCs w:val="24"/>
          <w:highlight w:val="none"/>
        </w:rPr>
      </w:pPr>
    </w:p>
    <w:p>
      <w:pPr>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55"/>
        <w:spacing w:line="380" w:lineRule="exact"/>
        <w:rPr>
          <w:rFonts w:hint="eastAsia" w:ascii="宋体" w:hAnsi="宋体" w:eastAsia="宋体" w:cs="宋体"/>
          <w:color w:val="auto"/>
          <w:sz w:val="24"/>
          <w:szCs w:val="24"/>
          <w:highlight w:val="none"/>
        </w:rPr>
      </w:pPr>
    </w:p>
    <w:p>
      <w:pPr>
        <w:pStyle w:val="55"/>
        <w:spacing w:line="380" w:lineRule="exact"/>
        <w:rPr>
          <w:rFonts w:hint="eastAsia" w:ascii="宋体" w:hAnsi="宋体" w:eastAsia="宋体" w:cs="宋体"/>
          <w:color w:val="auto"/>
          <w:sz w:val="24"/>
          <w:szCs w:val="24"/>
          <w:highlight w:val="none"/>
        </w:rPr>
      </w:pPr>
    </w:p>
    <w:p>
      <w:pPr>
        <w:pStyle w:val="55"/>
        <w:spacing w:line="380" w:lineRule="exact"/>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8"/>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经济报价部分</w:t>
      </w: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380" w:lineRule="exact"/>
        <w:ind w:right="600"/>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bCs/>
          <w:color w:val="auto"/>
          <w:sz w:val="24"/>
          <w:szCs w:val="24"/>
          <w:highlight w:val="none"/>
          <w:lang w:val="zh-CN"/>
        </w:rPr>
      </w:pPr>
    </w:p>
    <w:p>
      <w:pPr>
        <w:spacing w:line="44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投标承诺书（一）</w:t>
      </w:r>
    </w:p>
    <w:p>
      <w:pPr>
        <w:spacing w:line="440" w:lineRule="exact"/>
        <w:jc w:val="center"/>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rPr>
        <w:t xml:space="preserve">（采购人）：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项目的招标文件后，我们愿意遵照招标文件的要求，参加</w:t>
      </w:r>
      <w:r>
        <w:rPr>
          <w:rFonts w:hint="eastAsia" w:ascii="宋体" w:hAnsi="宋体" w:eastAsia="宋体" w:cs="宋体"/>
          <w:color w:val="auto"/>
          <w:sz w:val="24"/>
          <w:szCs w:val="24"/>
          <w:highlight w:val="none"/>
          <w:u w:val="single"/>
          <w:lang w:val="en-US" w:eastAsia="zh-CN"/>
        </w:rPr>
        <w:t xml:space="preserve">    和田县一万亩补充耕地项目施工监理和审计服务采购招标（包二）项目</w:t>
      </w:r>
      <w:r>
        <w:rPr>
          <w:rFonts w:hint="eastAsia" w:ascii="宋体" w:hAnsi="宋体" w:eastAsia="宋体" w:cs="宋体"/>
          <w:color w:val="auto"/>
          <w:sz w:val="24"/>
          <w:szCs w:val="24"/>
          <w:highlight w:val="none"/>
        </w:rPr>
        <w:t>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2.如果贵单位接受我们的投标,我们将保</w:t>
      </w:r>
      <w:r>
        <w:rPr>
          <w:rFonts w:hint="eastAsia" w:ascii="宋体" w:hAnsi="宋体" w:eastAsia="宋体" w:cs="宋体"/>
          <w:color w:val="auto"/>
          <w:sz w:val="24"/>
          <w:szCs w:val="24"/>
          <w:highlight w:val="none"/>
        </w:rPr>
        <w:t>证按照</w:t>
      </w:r>
      <w:r>
        <w:rPr>
          <w:rFonts w:hint="eastAsia" w:ascii="宋体" w:hAnsi="宋体" w:eastAsia="宋体" w:cs="宋体"/>
          <w:color w:val="auto"/>
          <w:sz w:val="24"/>
          <w:szCs w:val="24"/>
          <w:highlight w:val="none"/>
        </w:rPr>
        <w:t>贵单位</w:t>
      </w:r>
      <w:r>
        <w:rPr>
          <w:rFonts w:hint="eastAsia" w:ascii="宋体" w:hAnsi="宋体" w:eastAsia="宋体" w:cs="宋体"/>
          <w:color w:val="auto"/>
          <w:sz w:val="24"/>
          <w:szCs w:val="24"/>
          <w:highlight w:val="none"/>
        </w:rPr>
        <w:t>的工作要求和统一安排</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rPr>
        <w:t>贵单位</w:t>
      </w:r>
      <w:r>
        <w:rPr>
          <w:rFonts w:hint="eastAsia" w:ascii="宋体" w:hAnsi="宋体" w:eastAsia="宋体" w:cs="宋体"/>
          <w:color w:val="auto"/>
          <w:sz w:val="24"/>
          <w:szCs w:val="24"/>
          <w:highlight w:val="none"/>
        </w:rPr>
        <w:t>规定的服务期内完成。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3.我们同意从规定的开标之日至评标结束期内严格遵守本投标书的各项承诺，本投标书始终将对我方具有约束力，并随时接受中标。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4.在正式合同签署生效之前，本投标书连同贵单位的中标通知书将构成双方之间共同遵守的文件，对双方具有约束力。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5.我们理解，贵单位不负担我们的任何投标费用。</w:t>
      </w:r>
    </w:p>
    <w:p>
      <w:pPr>
        <w:spacing w:line="360" w:lineRule="exact"/>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p>
    <w:p>
      <w:pPr>
        <w:spacing w:line="360" w:lineRule="exact"/>
        <w:rPr>
          <w:rFonts w:hint="eastAsia" w:ascii="宋体" w:hAnsi="宋体" w:eastAsia="宋体" w:cs="宋体"/>
          <w:color w:val="auto"/>
          <w:sz w:val="24"/>
          <w:szCs w:val="24"/>
          <w:highlight w:val="none"/>
        </w:rPr>
      </w:pPr>
      <w:bookmarkStart w:id="209" w:name="OLE_LINK2"/>
      <w:bookmarkStart w:id="210" w:name="OLE_LINK3"/>
    </w:p>
    <w:p>
      <w:pPr>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投标人地址： </w:t>
      </w:r>
      <w:r>
        <w:rPr>
          <w:rFonts w:hint="eastAsia" w:ascii="宋体" w:hAnsi="宋体" w:eastAsia="宋体" w:cs="宋体"/>
          <w:color w:val="auto"/>
          <w:sz w:val="24"/>
          <w:szCs w:val="24"/>
          <w:highlight w:val="none"/>
          <w:u w:val="single"/>
        </w:rPr>
        <w:t xml:space="preserve">           </w:t>
      </w:r>
    </w:p>
    <w:p>
      <w:pPr>
        <w:spacing w:line="360" w:lineRule="exact"/>
        <w:rPr>
          <w:rFonts w:hint="eastAsia" w:ascii="宋体" w:hAnsi="宋体" w:eastAsia="宋体" w:cs="宋体"/>
          <w:color w:val="auto"/>
          <w:sz w:val="24"/>
          <w:szCs w:val="24"/>
          <w:highlight w:val="none"/>
        </w:rPr>
      </w:pPr>
    </w:p>
    <w:p>
      <w:pPr>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政 编 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（盖章）</w:t>
      </w:r>
    </w:p>
    <w:p>
      <w:pPr>
        <w:spacing w:line="360" w:lineRule="exact"/>
        <w:rPr>
          <w:rFonts w:hint="eastAsia" w:ascii="宋体" w:hAnsi="宋体" w:eastAsia="宋体" w:cs="宋体"/>
          <w:color w:val="auto"/>
          <w:sz w:val="24"/>
          <w:szCs w:val="24"/>
          <w:highlight w:val="none"/>
        </w:rPr>
      </w:pP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（签字盖章）</w:t>
      </w:r>
      <w:r>
        <w:rPr>
          <w:rFonts w:hint="eastAsia" w:ascii="宋体" w:hAnsi="宋体" w:eastAsia="宋体" w:cs="宋体"/>
          <w:color w:val="auto"/>
          <w:sz w:val="24"/>
          <w:szCs w:val="24"/>
          <w:highlight w:val="none"/>
          <w:u w:val="single"/>
        </w:rPr>
        <w:t xml:space="preserve">  </w:t>
      </w:r>
    </w:p>
    <w:p>
      <w:pPr>
        <w:spacing w:line="360" w:lineRule="exact"/>
        <w:rPr>
          <w:rFonts w:hint="eastAsia" w:ascii="宋体" w:hAnsi="宋体" w:eastAsia="宋体" w:cs="宋体"/>
          <w:color w:val="auto"/>
          <w:sz w:val="24"/>
          <w:szCs w:val="24"/>
          <w:highlight w:val="none"/>
        </w:rPr>
      </w:pP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209"/>
      <w:bookmarkEnd w:id="210"/>
    </w:p>
    <w:p>
      <w:pPr>
        <w:autoSpaceDE w:val="0"/>
        <w:autoSpaceDN w:val="0"/>
        <w:adjustRightInd w:val="0"/>
        <w:ind w:left="424"/>
        <w:jc w:val="center"/>
        <w:rPr>
          <w:rFonts w:hint="eastAsia" w:ascii="宋体" w:hAnsi="宋体" w:eastAsia="宋体" w:cs="宋体"/>
          <w:b/>
          <w:color w:val="auto"/>
          <w:sz w:val="24"/>
          <w:szCs w:val="24"/>
          <w:highlight w:val="none"/>
          <w:lang w:val="zh-CN"/>
        </w:rPr>
      </w:pPr>
    </w:p>
    <w:p>
      <w:pPr>
        <w:autoSpaceDE w:val="0"/>
        <w:autoSpaceDN w:val="0"/>
        <w:adjustRightInd w:val="0"/>
        <w:ind w:left="424"/>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autoSpaceDE w:val="0"/>
        <w:autoSpaceDN w:val="0"/>
        <w:adjustRightInd w:val="0"/>
        <w:ind w:left="424"/>
        <w:jc w:val="center"/>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投标承诺书（二）</w:t>
      </w:r>
    </w:p>
    <w:p>
      <w:pPr>
        <w:autoSpaceDE w:val="0"/>
        <w:autoSpaceDN w:val="0"/>
        <w:adjustRightInd w:val="0"/>
        <w:spacing w:line="360" w:lineRule="auto"/>
        <w:ind w:left="424"/>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ind w:left="424"/>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招标人：</w:t>
      </w:r>
      <w:r>
        <w:rPr>
          <w:rFonts w:hint="eastAsia" w:ascii="宋体" w:hAnsi="宋体" w:eastAsia="宋体" w:cs="宋体"/>
          <w:color w:val="auto"/>
          <w:sz w:val="24"/>
          <w:szCs w:val="24"/>
          <w:highlight w:val="none"/>
          <w:u w:val="single"/>
          <w:lang w:val="zh-CN"/>
        </w:rPr>
        <w:t xml:space="preserve">                 </w:t>
      </w:r>
    </w:p>
    <w:p>
      <w:pPr>
        <w:autoSpaceDE w:val="0"/>
        <w:autoSpaceDN w:val="0"/>
        <w:adjustRightInd w:val="0"/>
        <w:spacing w:line="360" w:lineRule="auto"/>
        <w:ind w:left="424"/>
        <w:rPr>
          <w:rFonts w:hint="eastAsia" w:ascii="宋体" w:hAnsi="宋体" w:eastAsia="宋体" w:cs="宋体"/>
          <w:color w:val="auto"/>
          <w:sz w:val="24"/>
          <w:szCs w:val="24"/>
          <w:highlight w:val="none"/>
          <w:u w:val="single"/>
          <w:lang w:val="zh-CN"/>
        </w:rPr>
      </w:pPr>
    </w:p>
    <w:p>
      <w:pPr>
        <w:autoSpaceDE w:val="0"/>
        <w:autoSpaceDN w:val="0"/>
        <w:adjustRightInd w:val="0"/>
        <w:spacing w:line="360" w:lineRule="auto"/>
        <w:ind w:left="42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若我公司中标后，</w:t>
      </w:r>
      <w:r>
        <w:rPr>
          <w:rFonts w:hint="eastAsia" w:ascii="宋体" w:hAnsi="宋体" w:eastAsia="宋体" w:cs="宋体"/>
          <w:color w:val="auto"/>
          <w:sz w:val="24"/>
          <w:szCs w:val="24"/>
          <w:highlight w:val="none"/>
          <w:lang w:val="en-US" w:eastAsia="zh-CN"/>
        </w:rPr>
        <w:t>审计</w:t>
      </w:r>
      <w:r>
        <w:rPr>
          <w:rFonts w:hint="eastAsia" w:ascii="宋体" w:hAnsi="宋体" w:eastAsia="宋体" w:cs="宋体"/>
          <w:color w:val="auto"/>
          <w:sz w:val="24"/>
          <w:szCs w:val="24"/>
          <w:highlight w:val="none"/>
          <w:lang w:val="zh-CN"/>
        </w:rPr>
        <w:t>负责人为：</w:t>
      </w:r>
    </w:p>
    <w:p>
      <w:pPr>
        <w:autoSpaceDE w:val="0"/>
        <w:autoSpaceDN w:val="0"/>
        <w:adjustRightInd w:val="0"/>
        <w:spacing w:line="360" w:lineRule="auto"/>
        <w:ind w:left="424"/>
        <w:rPr>
          <w:rFonts w:hint="eastAsia" w:ascii="宋体" w:hAnsi="宋体" w:eastAsia="宋体" w:cs="宋体"/>
          <w:color w:val="auto"/>
          <w:sz w:val="24"/>
          <w:szCs w:val="24"/>
          <w:highlight w:val="none"/>
          <w:lang w:val="zh-CN"/>
        </w:rPr>
      </w:pPr>
    </w:p>
    <w:tbl>
      <w:tblPr>
        <w:tblStyle w:val="22"/>
        <w:tblW w:w="0" w:type="auto"/>
        <w:tblInd w:w="0" w:type="dxa"/>
        <w:tblLayout w:type="fixed"/>
        <w:tblCellMar>
          <w:top w:w="0" w:type="dxa"/>
          <w:left w:w="108" w:type="dxa"/>
          <w:bottom w:w="0" w:type="dxa"/>
          <w:right w:w="108" w:type="dxa"/>
        </w:tblCellMar>
      </w:tblPr>
      <w:tblGrid>
        <w:gridCol w:w="2463"/>
        <w:gridCol w:w="2464"/>
        <w:gridCol w:w="2464"/>
        <w:gridCol w:w="2464"/>
      </w:tblGrid>
      <w:tr>
        <w:tblPrEx>
          <w:tblCellMar>
            <w:top w:w="0" w:type="dxa"/>
            <w:left w:w="108" w:type="dxa"/>
            <w:bottom w:w="0" w:type="dxa"/>
            <w:right w:w="108" w:type="dxa"/>
          </w:tblCellMar>
        </w:tblPrEx>
        <w:trPr>
          <w:trHeight w:val="296" w:hRule="atLeast"/>
        </w:trPr>
        <w:tc>
          <w:tcPr>
            <w:tcW w:w="2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246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tc>
        <w:tc>
          <w:tcPr>
            <w:tcW w:w="246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职称</w:t>
            </w:r>
          </w:p>
        </w:tc>
        <w:tc>
          <w:tcPr>
            <w:tcW w:w="246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tc>
      </w:tr>
      <w:tr>
        <w:tblPrEx>
          <w:tblCellMar>
            <w:top w:w="0" w:type="dxa"/>
            <w:left w:w="108" w:type="dxa"/>
            <w:bottom w:w="0" w:type="dxa"/>
            <w:right w:w="108" w:type="dxa"/>
          </w:tblCellMar>
        </w:tblPrEx>
        <w:trPr>
          <w:trHeight w:val="327" w:hRule="atLeast"/>
        </w:trPr>
        <w:tc>
          <w:tcPr>
            <w:tcW w:w="2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注册造价师证书编号</w:t>
            </w:r>
          </w:p>
        </w:tc>
        <w:tc>
          <w:tcPr>
            <w:tcW w:w="246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246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46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360" w:hRule="atLeast"/>
        </w:trPr>
        <w:tc>
          <w:tcPr>
            <w:tcW w:w="246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身份证号码</w:t>
            </w:r>
          </w:p>
        </w:tc>
        <w:tc>
          <w:tcPr>
            <w:tcW w:w="7392"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jc w:val="center"/>
              <w:rPr>
                <w:rFonts w:hint="eastAsia" w:ascii="宋体" w:hAnsi="宋体" w:eastAsia="宋体" w:cs="宋体"/>
                <w:color w:val="auto"/>
                <w:sz w:val="24"/>
                <w:szCs w:val="24"/>
                <w:highlight w:val="none"/>
              </w:rPr>
            </w:pPr>
          </w:p>
        </w:tc>
      </w:tr>
    </w:tbl>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ind w:firstLine="42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中标后，若由于特殊原因须更换项目负责人时，我方将以资质、业绩以及信誉不低于此注册造价师的人员替换，并报业主审查。经审查通过后，方可更换。若未经业主批准，我方擅自更换项目负责人，我方愿以合同价的</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%作为赔偿金。</w:t>
      </w: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投标人：（盖章）</w:t>
      </w:r>
    </w:p>
    <w:p>
      <w:pPr>
        <w:autoSpaceDE w:val="0"/>
        <w:autoSpaceDN w:val="0"/>
        <w:adjustRightInd w:val="0"/>
        <w:spacing w:line="500" w:lineRule="exact"/>
        <w:rPr>
          <w:rFonts w:hint="eastAsia" w:ascii="宋体" w:hAnsi="宋体" w:eastAsia="宋体" w:cs="宋体"/>
          <w:color w:val="auto"/>
          <w:sz w:val="24"/>
          <w:szCs w:val="24"/>
          <w:highlight w:val="none"/>
          <w:lang w:val="zh-CN"/>
        </w:rPr>
      </w:pPr>
    </w:p>
    <w:p>
      <w:pPr>
        <w:autoSpaceDE w:val="0"/>
        <w:autoSpaceDN w:val="0"/>
        <w:adjustRightInd w:val="0"/>
        <w:spacing w:line="5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法定代表人或授权代理人：（签字</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盖章）</w:t>
      </w:r>
    </w:p>
    <w:p>
      <w:pPr>
        <w:autoSpaceDE w:val="0"/>
        <w:autoSpaceDN w:val="0"/>
        <w:adjustRightInd w:val="0"/>
        <w:spacing w:line="5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日期：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pStyle w:val="2"/>
        <w:rPr>
          <w:rFonts w:hint="eastAsia" w:ascii="宋体" w:hAnsi="宋体" w:eastAsia="宋体" w:cs="宋体"/>
          <w:color w:val="auto"/>
          <w:sz w:val="24"/>
          <w:szCs w:val="24"/>
          <w:highlight w:val="none"/>
          <w:lang w:val="zh-CN"/>
        </w:rPr>
      </w:pPr>
    </w:p>
    <w:p>
      <w:pPr>
        <w:pStyle w:val="2"/>
        <w:rPr>
          <w:rFonts w:hint="eastAsia" w:ascii="宋体" w:hAnsi="宋体" w:eastAsia="宋体" w:cs="宋体"/>
          <w:color w:val="auto"/>
          <w:sz w:val="24"/>
          <w:szCs w:val="24"/>
          <w:highlight w:val="none"/>
          <w:lang w:val="zh-CN"/>
        </w:rPr>
      </w:pPr>
    </w:p>
    <w:p>
      <w:pPr>
        <w:pStyle w:val="2"/>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rPr>
          <w:rFonts w:hint="eastAsia" w:ascii="宋体" w:hAnsi="宋体" w:eastAsia="宋体" w:cs="宋体"/>
          <w:color w:val="auto"/>
          <w:sz w:val="24"/>
          <w:szCs w:val="24"/>
          <w:highlight w:val="none"/>
          <w:lang w:val="zh-CN"/>
        </w:rPr>
      </w:pPr>
    </w:p>
    <w:p>
      <w:pPr>
        <w:autoSpaceDE w:val="0"/>
        <w:autoSpaceDN w:val="0"/>
        <w:adjustRightInd w:val="0"/>
        <w:ind w:left="424"/>
        <w:jc w:val="center"/>
        <w:rPr>
          <w:rFonts w:hint="eastAsia" w:ascii="宋体" w:hAnsi="宋体" w:eastAsia="宋体" w:cs="宋体"/>
          <w:b/>
          <w:bCs/>
          <w:color w:val="auto"/>
          <w:sz w:val="24"/>
          <w:szCs w:val="24"/>
          <w:highlight w:val="none"/>
          <w:lang w:val="zh-CN"/>
        </w:rPr>
      </w:pPr>
    </w:p>
    <w:p>
      <w:pPr>
        <w:autoSpaceDE w:val="0"/>
        <w:autoSpaceDN w:val="0"/>
        <w:adjustRightInd w:val="0"/>
        <w:ind w:left="424"/>
        <w:jc w:val="center"/>
        <w:rPr>
          <w:rFonts w:hint="eastAsia" w:ascii="宋体" w:hAnsi="宋体" w:eastAsia="宋体" w:cs="宋体"/>
          <w:b/>
          <w:bCs/>
          <w:color w:val="auto"/>
          <w:sz w:val="24"/>
          <w:szCs w:val="24"/>
          <w:highlight w:val="none"/>
          <w:lang w:val="zh-CN"/>
        </w:rPr>
      </w:pPr>
    </w:p>
    <w:p>
      <w:pPr>
        <w:autoSpaceDE w:val="0"/>
        <w:autoSpaceDN w:val="0"/>
        <w:adjustRightInd w:val="0"/>
        <w:ind w:left="424"/>
        <w:jc w:val="center"/>
        <w:rPr>
          <w:rFonts w:hint="eastAsia" w:ascii="宋体" w:hAnsi="宋体" w:eastAsia="宋体" w:cs="宋体"/>
          <w:b/>
          <w:bCs/>
          <w:color w:val="auto"/>
          <w:sz w:val="24"/>
          <w:szCs w:val="24"/>
          <w:highlight w:val="none"/>
          <w:lang w:val="zh-CN"/>
        </w:rPr>
      </w:pPr>
    </w:p>
    <w:p>
      <w:pPr>
        <w:spacing w:line="460" w:lineRule="exact"/>
        <w:jc w:val="both"/>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 报价一览表</w:t>
      </w:r>
    </w:p>
    <w:p>
      <w:pPr>
        <w:spacing w:line="460" w:lineRule="exact"/>
        <w:rPr>
          <w:rFonts w:hint="eastAsia" w:ascii="宋体" w:hAnsi="宋体" w:eastAsia="宋体" w:cs="宋体"/>
          <w:b/>
          <w:color w:val="auto"/>
          <w:sz w:val="24"/>
          <w:szCs w:val="24"/>
          <w:highlight w:val="none"/>
        </w:rPr>
      </w:pPr>
    </w:p>
    <w:p>
      <w:pPr>
        <w:tabs>
          <w:tab w:val="left" w:pos="7540"/>
        </w:tabs>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u w:val="single"/>
          <w:lang w:val="zh-CN"/>
        </w:rPr>
        <w:t xml:space="preserve">           </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85" w:type="dxa"/>
            <w:noWrap w:val="0"/>
            <w:vAlign w:val="center"/>
          </w:tcPr>
          <w:p>
            <w:pPr>
              <w:pStyle w:val="59"/>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投标报价（万元）</w:t>
            </w:r>
          </w:p>
        </w:tc>
        <w:tc>
          <w:tcPr>
            <w:tcW w:w="510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68" w:type="dxa"/>
            <w:noWrap w:val="0"/>
            <w:vAlign w:val="center"/>
          </w:tcPr>
          <w:p>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工程审计项目</w:t>
            </w:r>
          </w:p>
        </w:tc>
        <w:tc>
          <w:tcPr>
            <w:tcW w:w="198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10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政府投资审计项目，即咨询单位自行签章出具审计报告.</w:t>
            </w:r>
          </w:p>
        </w:tc>
      </w:tr>
    </w:tbl>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注： 1、此表在内容一致的情况下，可自行制作。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2、所报金额为投标方的最终报价。　</w:t>
      </w: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p>
    <w:p>
      <w:pPr>
        <w:pStyle w:val="7"/>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w:t>
      </w: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color w:val="auto"/>
          <w:sz w:val="24"/>
          <w:szCs w:val="24"/>
          <w:highlight w:val="none"/>
          <w:u w:val="single"/>
        </w:rPr>
      </w:pPr>
    </w:p>
    <w:p>
      <w:pPr>
        <w:spacing w:line="460" w:lineRule="exact"/>
        <w:rPr>
          <w:rFonts w:hint="eastAsia" w:ascii="宋体" w:hAnsi="宋体" w:eastAsia="宋体" w:cs="宋体"/>
          <w:color w:val="auto"/>
          <w:sz w:val="24"/>
          <w:szCs w:val="24"/>
          <w:highlight w:val="none"/>
          <w:u w:val="single"/>
        </w:rPr>
      </w:pPr>
    </w:p>
    <w:p>
      <w:pPr>
        <w:spacing w:line="460" w:lineRule="exact"/>
        <w:rPr>
          <w:rFonts w:hint="eastAsia" w:ascii="宋体" w:hAnsi="宋体" w:eastAsia="宋体" w:cs="宋体"/>
          <w:color w:val="auto"/>
          <w:sz w:val="24"/>
          <w:szCs w:val="24"/>
          <w:highlight w:val="none"/>
          <w:u w:val="single"/>
        </w:rPr>
      </w:pPr>
    </w:p>
    <w:p>
      <w:pPr>
        <w:spacing w:line="460" w:lineRule="exact"/>
        <w:rPr>
          <w:rFonts w:hint="eastAsia" w:ascii="宋体" w:hAnsi="宋体" w:eastAsia="宋体" w:cs="宋体"/>
          <w:color w:val="auto"/>
          <w:sz w:val="24"/>
          <w:szCs w:val="24"/>
          <w:highlight w:val="none"/>
          <w:u w:val="single"/>
        </w:rPr>
      </w:pPr>
    </w:p>
    <w:p>
      <w:pPr>
        <w:spacing w:line="460" w:lineRule="exact"/>
        <w:rPr>
          <w:rFonts w:hint="eastAsia" w:ascii="宋体" w:hAnsi="宋体" w:eastAsia="宋体" w:cs="宋体"/>
          <w:color w:val="auto"/>
          <w:sz w:val="24"/>
          <w:szCs w:val="24"/>
          <w:highlight w:val="none"/>
          <w:u w:val="single"/>
        </w:rPr>
      </w:pPr>
    </w:p>
    <w:p>
      <w:pPr>
        <w:pStyle w:val="5"/>
        <w:spacing w:line="460" w:lineRule="exact"/>
        <w:jc w:val="center"/>
        <w:rPr>
          <w:rFonts w:hint="eastAsia" w:ascii="宋体" w:hAnsi="宋体" w:eastAsia="宋体" w:cs="宋体"/>
          <w:color w:val="auto"/>
          <w:sz w:val="24"/>
          <w:szCs w:val="24"/>
          <w:highlight w:val="none"/>
        </w:rPr>
      </w:pPr>
    </w:p>
    <w:p>
      <w:pPr>
        <w:pStyle w:val="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1、投标方的资格声明</w:t>
      </w:r>
    </w:p>
    <w:p>
      <w:pPr>
        <w:ind w:left="450"/>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pPr>
        <w:widowControl/>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项目招标文件，本投标方愿意参加投标，并证明资格文件中和所要求的说明是真实和准确无误的。</w:t>
      </w:r>
    </w:p>
    <w:p>
      <w:pPr>
        <w:spacing w:line="460" w:lineRule="exact"/>
        <w:ind w:firstLine="5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本投标方对可能要求的进一步的资格资料表示理解和同意，并同意按贵方的要求提供任何有关资料。</w:t>
      </w:r>
    </w:p>
    <w:p>
      <w:pPr>
        <w:spacing w:line="460" w:lineRule="exact"/>
        <w:ind w:firstLine="576"/>
        <w:rPr>
          <w:rFonts w:hint="eastAsia" w:ascii="宋体" w:hAnsi="宋体" w:eastAsia="宋体" w:cs="宋体"/>
          <w:color w:val="auto"/>
          <w:sz w:val="24"/>
          <w:szCs w:val="24"/>
          <w:highlight w:val="none"/>
        </w:rPr>
      </w:pPr>
    </w:p>
    <w:p>
      <w:pPr>
        <w:spacing w:line="460" w:lineRule="exact"/>
        <w:ind w:firstLine="576"/>
        <w:rPr>
          <w:rFonts w:hint="eastAsia" w:ascii="宋体" w:hAnsi="宋体" w:eastAsia="宋体" w:cs="宋体"/>
          <w:color w:val="auto"/>
          <w:sz w:val="24"/>
          <w:szCs w:val="24"/>
          <w:highlight w:val="none"/>
        </w:rPr>
      </w:pPr>
    </w:p>
    <w:p>
      <w:pPr>
        <w:spacing w:line="460" w:lineRule="exact"/>
        <w:ind w:firstLine="576"/>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（法人公章）</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spacing w:line="460" w:lineRule="exact"/>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2、投标单位基本情况表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具有较强的项目管理、技术服务和组织实施能力、具有履行合同所必需的设备和专业技术能力；有良好的执业质量记录，具有良好的职业道德记录和社会声誉，近三年内没有被建设工程造价管理协会等相关部门因审计质量问题予以行政处罚或禁入的记录；在审计工作中没有出现重大审计质量问题和不良记录，具备承担相应审计风险的能力在“信用中国”网站(</w:t>
      </w:r>
      <w:r>
        <w:rPr>
          <w:rFonts w:hint="eastAsia" w:ascii="宋体" w:hAnsi="宋体" w:eastAsia="宋体" w:cs="宋体"/>
          <w:b/>
          <w:bCs/>
          <w:color w:val="auto"/>
          <w:sz w:val="24"/>
          <w:szCs w:val="24"/>
          <w:highlight w:val="none"/>
          <w:lang w:val="en-US" w:eastAsia="zh-CN"/>
        </w:rPr>
        <w:t>www</w:t>
      </w:r>
      <w:r>
        <w:rPr>
          <w:rFonts w:hint="eastAsia" w:ascii="宋体" w:hAnsi="宋体" w:eastAsia="宋体" w:cs="宋体"/>
          <w:b/>
          <w:bCs/>
          <w:color w:val="auto"/>
          <w:sz w:val="24"/>
          <w:szCs w:val="24"/>
          <w:highlight w:val="none"/>
        </w:rPr>
        <w:t>.creditchina.gov.cn)、中国政府釆购网(www.ccgp.gov.cn)、国家企业信用信息公示系统(www.gsxt.gov.cn)、</w:t>
      </w:r>
    </w:p>
    <w:p>
      <w:pPr>
        <w:spacing w:line="480" w:lineRule="exact"/>
        <w:ind w:firstLine="480" w:firstLineChars="200"/>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2、2</w:t>
      </w:r>
      <w:r>
        <w:rPr>
          <w:rFonts w:hint="eastAsia" w:ascii="宋体" w:hAnsi="宋体" w:eastAsia="宋体" w:cs="宋体"/>
          <w:b/>
          <w:color w:val="auto"/>
          <w:sz w:val="24"/>
          <w:szCs w:val="24"/>
          <w:highlight w:val="none"/>
        </w:rPr>
        <w:t>投标单位总体情况表（一）</w:t>
      </w:r>
    </w:p>
    <w:tbl>
      <w:tblPr>
        <w:tblStyle w:val="22"/>
        <w:tblW w:w="0" w:type="auto"/>
        <w:tblInd w:w="-252" w:type="dxa"/>
        <w:tblLayout w:type="fixed"/>
        <w:tblCellMar>
          <w:top w:w="0" w:type="dxa"/>
          <w:left w:w="108" w:type="dxa"/>
          <w:bottom w:w="0" w:type="dxa"/>
          <w:right w:w="108" w:type="dxa"/>
        </w:tblCellMar>
      </w:tblPr>
      <w:tblGrid>
        <w:gridCol w:w="1946"/>
        <w:gridCol w:w="1374"/>
        <w:gridCol w:w="1353"/>
        <w:gridCol w:w="2943"/>
        <w:gridCol w:w="2525"/>
      </w:tblGrid>
      <w:tr>
        <w:tblPrEx>
          <w:tblCellMar>
            <w:top w:w="0" w:type="dxa"/>
            <w:left w:w="108" w:type="dxa"/>
            <w:bottom w:w="0" w:type="dxa"/>
            <w:right w:w="108" w:type="dxa"/>
          </w:tblCellMar>
        </w:tblPrEx>
        <w:trPr>
          <w:trHeight w:val="680" w:hRule="atLeast"/>
        </w:trPr>
        <w:tc>
          <w:tcPr>
            <w:tcW w:w="10141" w:type="dxa"/>
            <w:gridSpan w:val="5"/>
            <w:tcBorders>
              <w:top w:val="nil"/>
              <w:left w:val="nil"/>
              <w:bottom w:val="single" w:color="auto" w:sz="4" w:space="0"/>
              <w:right w:val="nil"/>
            </w:tcBorders>
            <w:noWrap w:val="0"/>
            <w:vAlign w:val="bottom"/>
          </w:tcPr>
          <w:p>
            <w:pPr>
              <w:widowControl/>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投标单位名称：</w:t>
            </w:r>
          </w:p>
        </w:tc>
      </w:tr>
      <w:tr>
        <w:tblPrEx>
          <w:tblCellMar>
            <w:top w:w="0" w:type="dxa"/>
            <w:left w:w="108" w:type="dxa"/>
            <w:bottom w:w="0" w:type="dxa"/>
            <w:right w:w="108" w:type="dxa"/>
          </w:tblCellMar>
        </w:tblPrEx>
        <w:trPr>
          <w:trHeight w:val="837" w:hRule="atLeast"/>
        </w:trPr>
        <w:tc>
          <w:tcPr>
            <w:tcW w:w="194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资质等级</w:t>
            </w:r>
          </w:p>
        </w:tc>
        <w:tc>
          <w:tcPr>
            <w:tcW w:w="137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注册资金（万元）</w:t>
            </w: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近三年平均营业收入情况（万元）</w:t>
            </w:r>
          </w:p>
        </w:tc>
        <w:tc>
          <w:tcPr>
            <w:tcW w:w="5468"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造价咨询人员共计    人</w:t>
            </w:r>
          </w:p>
        </w:tc>
      </w:tr>
      <w:tr>
        <w:tblPrEx>
          <w:tblCellMar>
            <w:top w:w="0" w:type="dxa"/>
            <w:left w:w="108" w:type="dxa"/>
            <w:bottom w:w="0" w:type="dxa"/>
            <w:right w:w="108" w:type="dxa"/>
          </w:tblCellMar>
        </w:tblPrEx>
        <w:trPr>
          <w:trHeight w:val="960" w:hRule="atLeast"/>
        </w:trPr>
        <w:tc>
          <w:tcPr>
            <w:tcW w:w="1946" w:type="dxa"/>
            <w:vMerge w:val="continue"/>
            <w:tcBorders>
              <w:top w:val="nil"/>
              <w:left w:val="single" w:color="auto" w:sz="4" w:space="0"/>
              <w:bottom w:val="single" w:color="auto" w:sz="4" w:space="0"/>
              <w:right w:val="single" w:color="auto" w:sz="4" w:space="0"/>
            </w:tcBorders>
            <w:noWrap w:val="0"/>
            <w:vAlign w:val="center"/>
          </w:tcPr>
          <w:p>
            <w:pPr>
              <w:widowControl/>
              <w:snapToGrid w:val="0"/>
              <w:rPr>
                <w:rFonts w:hint="eastAsia" w:ascii="宋体" w:hAnsi="宋体" w:eastAsia="宋体" w:cs="宋体"/>
                <w:bCs/>
                <w:color w:val="auto"/>
                <w:sz w:val="24"/>
                <w:szCs w:val="24"/>
                <w:highlight w:val="none"/>
              </w:rPr>
            </w:pPr>
          </w:p>
        </w:tc>
        <w:tc>
          <w:tcPr>
            <w:tcW w:w="1374" w:type="dxa"/>
            <w:vMerge w:val="continue"/>
            <w:tcBorders>
              <w:top w:val="nil"/>
              <w:left w:val="single" w:color="auto" w:sz="4" w:space="0"/>
              <w:bottom w:val="single" w:color="auto" w:sz="4" w:space="0"/>
              <w:right w:val="single" w:color="auto" w:sz="4" w:space="0"/>
            </w:tcBorders>
            <w:noWrap w:val="0"/>
            <w:vAlign w:val="center"/>
          </w:tcPr>
          <w:p>
            <w:pPr>
              <w:widowControl/>
              <w:snapToGrid w:val="0"/>
              <w:rPr>
                <w:rFonts w:hint="eastAsia" w:ascii="宋体" w:hAnsi="宋体" w:eastAsia="宋体" w:cs="宋体"/>
                <w:bCs/>
                <w:color w:val="auto"/>
                <w:sz w:val="24"/>
                <w:szCs w:val="24"/>
                <w:highlight w:val="none"/>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napToGrid w:val="0"/>
              <w:rPr>
                <w:rFonts w:hint="eastAsia" w:ascii="宋体" w:hAnsi="宋体" w:eastAsia="宋体" w:cs="宋体"/>
                <w:bCs/>
                <w:color w:val="auto"/>
                <w:sz w:val="24"/>
                <w:szCs w:val="24"/>
                <w:highlight w:val="none"/>
              </w:rPr>
            </w:pPr>
          </w:p>
        </w:tc>
        <w:tc>
          <w:tcPr>
            <w:tcW w:w="2943" w:type="dxa"/>
            <w:tcBorders>
              <w:top w:val="nil"/>
              <w:left w:val="nil"/>
              <w:bottom w:val="single" w:color="auto" w:sz="4" w:space="0"/>
              <w:right w:val="single" w:color="auto" w:sz="4" w:space="0"/>
            </w:tcBorders>
            <w:noWrap w:val="0"/>
            <w:vAlign w:val="center"/>
          </w:tcPr>
          <w:p>
            <w:pPr>
              <w:widowControl/>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注册造价工程师兼中、高级职称总人数</w:t>
            </w:r>
          </w:p>
        </w:tc>
        <w:tc>
          <w:tcPr>
            <w:tcW w:w="2525" w:type="dxa"/>
            <w:tcBorders>
              <w:top w:val="single" w:color="auto" w:sz="4" w:space="0"/>
              <w:left w:val="nil"/>
              <w:bottom w:val="single" w:color="auto" w:sz="4" w:space="0"/>
              <w:right w:val="single" w:color="000000" w:sz="4" w:space="0"/>
            </w:tcBorders>
            <w:noWrap w:val="0"/>
            <w:vAlign w:val="center"/>
          </w:tcPr>
          <w:p>
            <w:pPr>
              <w:widowControl/>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其他人员情况</w:t>
            </w:r>
          </w:p>
        </w:tc>
      </w:tr>
      <w:tr>
        <w:tblPrEx>
          <w:tblCellMar>
            <w:top w:w="0" w:type="dxa"/>
            <w:left w:w="108" w:type="dxa"/>
            <w:bottom w:w="0" w:type="dxa"/>
            <w:right w:w="108" w:type="dxa"/>
          </w:tblCellMar>
        </w:tblPrEx>
        <w:trPr>
          <w:trHeight w:val="973" w:hRule="atLeast"/>
        </w:trPr>
        <w:tc>
          <w:tcPr>
            <w:tcW w:w="1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tc>
        <w:tc>
          <w:tcPr>
            <w:tcW w:w="137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tc>
        <w:tc>
          <w:tcPr>
            <w:tcW w:w="13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tc>
        <w:tc>
          <w:tcPr>
            <w:tcW w:w="29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widowControl/>
              <w:jc w:val="center"/>
              <w:rPr>
                <w:rFonts w:hint="eastAsia" w:ascii="宋体" w:hAnsi="宋体" w:eastAsia="宋体" w:cs="宋体"/>
                <w:bCs/>
                <w:color w:val="auto"/>
                <w:sz w:val="24"/>
                <w:szCs w:val="24"/>
                <w:highlight w:val="none"/>
              </w:rPr>
            </w:pPr>
          </w:p>
        </w:tc>
        <w:tc>
          <w:tcPr>
            <w:tcW w:w="252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tc>
      </w:tr>
      <w:tr>
        <w:tblPrEx>
          <w:tblCellMar>
            <w:top w:w="0" w:type="dxa"/>
            <w:left w:w="108" w:type="dxa"/>
            <w:bottom w:w="0" w:type="dxa"/>
            <w:right w:w="108" w:type="dxa"/>
          </w:tblCellMar>
        </w:tblPrEx>
        <w:trPr>
          <w:trHeight w:val="1292" w:hRule="atLeast"/>
        </w:trPr>
        <w:tc>
          <w:tcPr>
            <w:tcW w:w="10141" w:type="dxa"/>
            <w:gridSpan w:val="5"/>
            <w:tcBorders>
              <w:top w:val="single" w:color="auto" w:sz="4" w:space="0"/>
              <w:left w:val="nil"/>
              <w:bottom w:val="nil"/>
              <w:right w:val="nil"/>
            </w:tcBorders>
            <w:noWrap w:val="0"/>
            <w:vAlign w:val="bottom"/>
          </w:tcPr>
          <w:p>
            <w:pPr>
              <w:widowControl/>
              <w:snapToGri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pPr>
              <w:widowControl/>
              <w:snapToGrid w:val="0"/>
              <w:ind w:left="36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w:t>
            </w:r>
          </w:p>
          <w:p>
            <w:pPr>
              <w:widowControl/>
              <w:snapToGrid w:val="0"/>
              <w:ind w:left="840" w:hanging="840" w:hangingChars="350"/>
              <w:rPr>
                <w:rFonts w:hint="eastAsia" w:ascii="宋体" w:hAnsi="宋体" w:eastAsia="宋体" w:cs="宋体"/>
                <w:bCs/>
                <w:color w:val="auto"/>
                <w:sz w:val="24"/>
                <w:szCs w:val="24"/>
                <w:highlight w:val="none"/>
              </w:rPr>
            </w:pPr>
          </w:p>
          <w:p>
            <w:pPr>
              <w:widowControl/>
              <w:numPr>
                <w:ilvl w:val="0"/>
                <w:numId w:val="0"/>
              </w:numPr>
              <w:snapToGrid w:val="0"/>
              <w:ind w:left="315"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上述人员造价工程师及其他人员注册证书、职称证书</w:t>
            </w:r>
            <w:r>
              <w:rPr>
                <w:rFonts w:hint="eastAsia" w:ascii="宋体" w:hAnsi="宋体" w:eastAsia="宋体" w:cs="宋体"/>
                <w:color w:val="auto"/>
                <w:sz w:val="24"/>
                <w:szCs w:val="24"/>
                <w:highlight w:val="none"/>
              </w:rPr>
              <w:t>复印件加盖公章</w:t>
            </w:r>
            <w:r>
              <w:rPr>
                <w:rFonts w:hint="eastAsia" w:ascii="宋体" w:hAnsi="宋体" w:eastAsia="宋体" w:cs="宋体"/>
                <w:bCs/>
                <w:color w:val="auto"/>
                <w:sz w:val="24"/>
                <w:szCs w:val="24"/>
                <w:highlight w:val="none"/>
              </w:rPr>
              <w:t>。</w:t>
            </w:r>
          </w:p>
          <w:p>
            <w:pPr>
              <w:widowControl/>
              <w:numPr>
                <w:ilvl w:val="0"/>
                <w:numId w:val="0"/>
              </w:numPr>
              <w:snapToGrid w:val="0"/>
              <w:ind w:left="315"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附投标人营业执照、资质证书等复印件。</w:t>
            </w:r>
          </w:p>
          <w:p>
            <w:pPr>
              <w:widowControl/>
              <w:snapToGrid w:val="0"/>
              <w:ind w:left="675"/>
              <w:rPr>
                <w:rFonts w:hint="eastAsia" w:ascii="宋体" w:hAnsi="宋体" w:eastAsia="宋体" w:cs="宋体"/>
                <w:bCs/>
                <w:color w:val="auto"/>
                <w:sz w:val="24"/>
                <w:szCs w:val="24"/>
                <w:highlight w:val="none"/>
              </w:rPr>
            </w:pPr>
          </w:p>
        </w:tc>
      </w:tr>
    </w:tbl>
    <w:p>
      <w:pPr>
        <w:autoSpaceDE w:val="0"/>
        <w:autoSpaceDN w:val="0"/>
        <w:adjustRightInd w:val="0"/>
        <w:jc w:val="center"/>
        <w:rPr>
          <w:rFonts w:hint="eastAsia" w:ascii="宋体" w:hAnsi="宋体" w:eastAsia="宋体" w:cs="宋体"/>
          <w:b/>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p>
    <w:p>
      <w:pPr>
        <w:spacing w:line="6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6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640" w:lineRule="exact"/>
        <w:ind w:firstLine="240" w:firstLineChars="1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9"/>
        <w:spacing w:line="460" w:lineRule="exact"/>
        <w:ind w:firstLine="0" w:firstLineChars="0"/>
        <w:jc w:val="center"/>
        <w:rPr>
          <w:rFonts w:hint="eastAsia" w:ascii="宋体" w:hAnsi="宋体" w:eastAsia="宋体" w:cs="宋体"/>
          <w:b/>
          <w:color w:val="auto"/>
          <w:sz w:val="24"/>
          <w:szCs w:val="24"/>
          <w:highlight w:val="none"/>
        </w:rPr>
      </w:pPr>
    </w:p>
    <w:p>
      <w:pPr>
        <w:pStyle w:val="9"/>
        <w:spacing w:line="460" w:lineRule="exact"/>
        <w:ind w:firstLine="0" w:firstLineChars="0"/>
        <w:jc w:val="center"/>
        <w:rPr>
          <w:rFonts w:hint="eastAsia" w:ascii="宋体" w:hAnsi="宋体" w:eastAsia="宋体" w:cs="宋体"/>
          <w:b/>
          <w:color w:val="auto"/>
          <w:sz w:val="24"/>
          <w:szCs w:val="24"/>
          <w:highlight w:val="none"/>
        </w:rPr>
      </w:pPr>
    </w:p>
    <w:p>
      <w:pPr>
        <w:pStyle w:val="9"/>
        <w:spacing w:line="460" w:lineRule="exact"/>
        <w:ind w:firstLine="0" w:firstLineChars="0"/>
        <w:jc w:val="center"/>
        <w:rPr>
          <w:rFonts w:hint="eastAsia" w:ascii="宋体" w:hAnsi="宋体" w:eastAsia="宋体" w:cs="宋体"/>
          <w:b/>
          <w:color w:val="auto"/>
          <w:sz w:val="24"/>
          <w:szCs w:val="24"/>
          <w:highlight w:val="none"/>
        </w:rPr>
      </w:pPr>
    </w:p>
    <w:p>
      <w:pPr>
        <w:pStyle w:val="9"/>
        <w:spacing w:line="460" w:lineRule="exact"/>
        <w:ind w:firstLine="0" w:firstLineChars="0"/>
        <w:jc w:val="center"/>
        <w:rPr>
          <w:rFonts w:hint="eastAsia" w:ascii="宋体" w:hAnsi="宋体" w:eastAsia="宋体" w:cs="宋体"/>
          <w:b/>
          <w:color w:val="auto"/>
          <w:sz w:val="24"/>
          <w:szCs w:val="24"/>
          <w:highlight w:val="none"/>
        </w:rPr>
      </w:pPr>
    </w:p>
    <w:p>
      <w:pPr>
        <w:pStyle w:val="9"/>
        <w:spacing w:line="460" w:lineRule="exact"/>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3、出具法人营业执照函</w:t>
      </w:r>
    </w:p>
    <w:p>
      <w:pPr>
        <w:pStyle w:val="9"/>
        <w:spacing w:line="460" w:lineRule="exact"/>
        <w:ind w:left="450" w:firstLine="0" w:firstLineChars="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（签发机关名称）签发的我方法人营业执照复印件，该执照已经年检，真实有效。</w:t>
      </w:r>
    </w:p>
    <w:p>
      <w:pPr>
        <w:spacing w:line="460" w:lineRule="exact"/>
        <w:ind w:firstLine="852"/>
        <w:rPr>
          <w:rFonts w:hint="eastAsia" w:ascii="宋体" w:hAnsi="宋体" w:eastAsia="宋体" w:cs="宋体"/>
          <w:color w:val="auto"/>
          <w:sz w:val="24"/>
          <w:szCs w:val="24"/>
          <w:highlight w:val="none"/>
        </w:rPr>
      </w:pPr>
    </w:p>
    <w:p>
      <w:pPr>
        <w:spacing w:line="460" w:lineRule="exact"/>
        <w:ind w:firstLine="852"/>
        <w:rPr>
          <w:rFonts w:hint="eastAsia" w:ascii="宋体" w:hAnsi="宋体" w:eastAsia="宋体" w:cs="宋体"/>
          <w:color w:val="auto"/>
          <w:sz w:val="24"/>
          <w:szCs w:val="24"/>
          <w:highlight w:val="none"/>
        </w:rPr>
      </w:pPr>
    </w:p>
    <w:p>
      <w:pPr>
        <w:spacing w:line="460" w:lineRule="exact"/>
        <w:ind w:firstLine="852"/>
        <w:rPr>
          <w:rFonts w:hint="eastAsia" w:ascii="宋体" w:hAnsi="宋体" w:eastAsia="宋体" w:cs="宋体"/>
          <w:color w:val="auto"/>
          <w:sz w:val="24"/>
          <w:szCs w:val="24"/>
          <w:highlight w:val="none"/>
        </w:rPr>
      </w:pPr>
    </w:p>
    <w:p>
      <w:pPr>
        <w:spacing w:line="6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6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6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期:</w:t>
      </w:r>
      <w:r>
        <w:rPr>
          <w:rFonts w:hint="eastAsia" w:ascii="宋体" w:hAnsi="宋体" w:eastAsia="宋体" w:cs="宋体"/>
          <w:color w:val="auto"/>
          <w:sz w:val="24"/>
          <w:szCs w:val="24"/>
          <w:highlight w:val="none"/>
          <w:u w:val="single"/>
        </w:rPr>
        <w:t xml:space="preserve">                      </w:t>
      </w:r>
    </w:p>
    <w:p>
      <w:pPr>
        <w:spacing w:line="460" w:lineRule="exact"/>
        <w:rPr>
          <w:rFonts w:hint="eastAsia" w:ascii="宋体" w:hAnsi="宋体" w:eastAsia="宋体" w:cs="宋体"/>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pStyle w:val="5"/>
        <w:numPr>
          <w:ilvl w:val="0"/>
          <w:numId w:val="3"/>
        </w:num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w:t>
      </w:r>
    </w:p>
    <w:p>
      <w:pPr>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spacing w:line="460" w:lineRule="exact"/>
        <w:ind w:firstLine="960" w:firstLineChars="400"/>
        <w:jc w:val="right"/>
        <w:rPr>
          <w:rFonts w:hint="eastAsia" w:ascii="宋体" w:hAnsi="宋体" w:eastAsia="宋体" w:cs="宋体"/>
          <w:color w:val="auto"/>
          <w:sz w:val="24"/>
          <w:szCs w:val="24"/>
          <w:highlight w:val="none"/>
        </w:rPr>
      </w:pPr>
    </w:p>
    <w:p>
      <w:pPr>
        <w:spacing w:line="460" w:lineRule="exact"/>
        <w:ind w:firstLine="960" w:firstLineChars="400"/>
        <w:jc w:val="right"/>
        <w:rPr>
          <w:rFonts w:hint="eastAsia" w:ascii="宋体" w:hAnsi="宋体" w:eastAsia="宋体" w:cs="宋体"/>
          <w:color w:val="auto"/>
          <w:sz w:val="24"/>
          <w:szCs w:val="24"/>
          <w:highlight w:val="none"/>
        </w:rPr>
      </w:pPr>
    </w:p>
    <w:p>
      <w:pPr>
        <w:spacing w:line="460" w:lineRule="exact"/>
        <w:ind w:firstLine="960" w:firstLineChars="400"/>
        <w:jc w:val="right"/>
        <w:rPr>
          <w:rFonts w:hint="eastAsia" w:ascii="宋体" w:hAnsi="宋体" w:eastAsia="宋体" w:cs="宋体"/>
          <w:color w:val="auto"/>
          <w:sz w:val="24"/>
          <w:szCs w:val="24"/>
          <w:highlight w:val="none"/>
        </w:rPr>
      </w:pPr>
    </w:p>
    <w:p>
      <w:pPr>
        <w:spacing w:line="460" w:lineRule="exact"/>
        <w:ind w:firstLine="960" w:firstLineChars="400"/>
        <w:jc w:val="right"/>
        <w:rPr>
          <w:rFonts w:hint="eastAsia" w:ascii="宋体" w:hAnsi="宋体" w:eastAsia="宋体" w:cs="宋体"/>
          <w:color w:val="auto"/>
          <w:sz w:val="24"/>
          <w:szCs w:val="24"/>
          <w:highlight w:val="none"/>
        </w:rPr>
      </w:pPr>
    </w:p>
    <w:p>
      <w:pPr>
        <w:spacing w:line="460" w:lineRule="exact"/>
        <w:ind w:firstLine="960" w:firstLineChars="400"/>
        <w:jc w:val="right"/>
        <w:rPr>
          <w:rFonts w:hint="eastAsia" w:ascii="宋体" w:hAnsi="宋体" w:eastAsia="宋体" w:cs="宋体"/>
          <w:color w:val="auto"/>
          <w:sz w:val="24"/>
          <w:szCs w:val="24"/>
          <w:highlight w:val="none"/>
        </w:rPr>
      </w:pPr>
    </w:p>
    <w:p>
      <w:pPr>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rPr>
        <w:t>法定代表人授权委托书</w:t>
      </w:r>
    </w:p>
    <w:p>
      <w:pPr>
        <w:autoSpaceDE w:val="0"/>
        <w:autoSpaceDN w:val="0"/>
        <w:adjustRightInd w:val="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zh-CN"/>
        </w:rPr>
        <w:t>必须在一张纸上</w:t>
      </w:r>
    </w:p>
    <w:p>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（投标单位名称）法</w:t>
      </w:r>
      <w:r>
        <w:rPr>
          <w:rFonts w:hint="eastAsia" w:ascii="宋体" w:hAnsi="宋体" w:eastAsia="宋体" w:cs="宋体"/>
          <w:color w:val="auto"/>
          <w:sz w:val="24"/>
          <w:szCs w:val="24"/>
          <w:highlight w:val="none"/>
        </w:rPr>
        <w:t>定代表人授权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为本公司的合法代理人，参加贵方组织的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bCs/>
          <w:color w:val="auto"/>
          <w:kern w:val="0"/>
          <w:sz w:val="24"/>
          <w:szCs w:val="24"/>
          <w:highlight w:val="none"/>
        </w:rPr>
        <w:t>招标文件</w:t>
      </w:r>
      <w:r>
        <w:rPr>
          <w:rFonts w:hint="eastAsia" w:ascii="宋体" w:hAnsi="宋体" w:eastAsia="宋体" w:cs="宋体"/>
          <w:color w:val="auto"/>
          <w:sz w:val="24"/>
          <w:szCs w:val="24"/>
          <w:highlight w:val="none"/>
        </w:rPr>
        <w:t>采购招标活动，全权代表我方处理招标活动中的一切事宜和签署一切文件，被授权人无转委托权，特此委托。</w:t>
      </w:r>
    </w:p>
    <w:p>
      <w:p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法人公章</w:t>
      </w:r>
    </w:p>
    <w:p>
      <w:pPr>
        <w:spacing w:line="46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6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被授权人姓名（签字）：</w:t>
      </w:r>
      <w:r>
        <w:rPr>
          <w:rFonts w:hint="eastAsia" w:ascii="宋体" w:hAnsi="宋体" w:eastAsia="宋体" w:cs="宋体"/>
          <w:color w:val="auto"/>
          <w:sz w:val="24"/>
          <w:szCs w:val="24"/>
          <w:highlight w:val="none"/>
          <w:u w:val="single"/>
        </w:rPr>
        <w:t xml:space="preserve">            </w:t>
      </w:r>
    </w:p>
    <w:p>
      <w:p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spacing w:line="46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46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3154045</wp:posOffset>
                </wp:positionH>
                <wp:positionV relativeFrom="paragraph">
                  <wp:posOffset>209550</wp:posOffset>
                </wp:positionV>
                <wp:extent cx="2472690" cy="1263650"/>
                <wp:effectExtent l="4445" t="4445" r="18415" b="8255"/>
                <wp:wrapNone/>
                <wp:docPr id="10" name="文本框 10"/>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被委托人身份证复印件正面</w:t>
                            </w:r>
                          </w:p>
                        </w:txbxContent>
                      </wps:txbx>
                      <wps:bodyPr upright="1"/>
                    </wps:wsp>
                  </a:graphicData>
                </a:graphic>
              </wp:anchor>
            </w:drawing>
          </mc:Choice>
          <mc:Fallback>
            <w:pict>
              <v:shape id="_x0000_s1026" o:spid="_x0000_s1026" o:spt="202" type="#_x0000_t202" style="position:absolute;left:0pt;margin-left:248.35pt;margin-top:16.5pt;height:99.5pt;width:194.7pt;z-index:251664384;mso-width-relative:page;mso-height-relative:page;" fillcolor="#FFFFFF" filled="t" stroked="t" coordsize="21600,21600" o:gfxdata="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S0o02wAAAAoBAAAPAAAAAAAA&#10;AAEAIAAAACIAAABkcnMvZG93bnJldi54bWxQSwECFAAUAAAACACHTuJAZjqs3A8CAAA5BAAADgAA&#10;AAAAAAABACAAAAAqAQAAZHJzL2Uyb0RvYy54bWxQSwUGAAAAAAYABgBZAQAAqwUAAAAA&#10;">
                <v:fill on="t" focussize="0,0"/>
                <v:stroke color="#000000" joinstyle="miter" dashstyle="1 1" endcap="round"/>
                <v:imagedata o:title=""/>
                <o:lock v:ext="edit" aspectratio="f"/>
                <v:textbo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被委托人身份证复印件正面</w:t>
                      </w:r>
                    </w:p>
                  </w:txbxContent>
                </v:textbox>
              </v:shape>
            </w:pict>
          </mc:Fallback>
        </mc:AlternateContent>
      </w: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13" name="文本框 1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法人身份证复印件正面</w:t>
                            </w:r>
                          </w:p>
                        </w:txbxContent>
                      </wps:txbx>
                      <wps:bodyPr upright="1"/>
                    </wps:wsp>
                  </a:graphicData>
                </a:graphic>
              </wp:anchor>
            </w:drawing>
          </mc:Choice>
          <mc:Fallback>
            <w:pict>
              <v:shape id="_x0000_s1026" o:spid="_x0000_s1026" o:spt="202" type="#_x0000_t202" style="position:absolute;left:0pt;margin-left:22.6pt;margin-top:20.6pt;height:99.5pt;width:194.7pt;z-index:251663360;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ee407ZAAAACQEAAA8AAAAAAAAA&#10;AQAgAAAAIgAAAGRycy9kb3ducmV2LnhtbFBLAQIUABQAAAAIAIdO4kCj4Ri+EAIAADkEAAAOAAAA&#10;AAAAAAEAIAAAACgBAABkcnMvZTJvRG9jLnhtbFBLBQYAAAAABgAGAFkBAACqBQAAAAA=&#10;">
                <v:fill on="t" focussize="0,0"/>
                <v:stroke color="#000000" joinstyle="miter" dashstyle="1 1" endcap="round"/>
                <v:imagedata o:title=""/>
                <o:lock v:ext="edit" aspectratio="f"/>
                <v:textbo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法人身份证复印件正面</w:t>
                      </w:r>
                    </w:p>
                  </w:txbxContent>
                </v:textbox>
              </v:shape>
            </w:pict>
          </mc:Fallback>
        </mc:AlternateContent>
      </w: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3128645</wp:posOffset>
                </wp:positionH>
                <wp:positionV relativeFrom="paragraph">
                  <wp:posOffset>15240</wp:posOffset>
                </wp:positionV>
                <wp:extent cx="2472690" cy="1263650"/>
                <wp:effectExtent l="4445" t="4445" r="18415" b="8255"/>
                <wp:wrapNone/>
                <wp:docPr id="14" name="文本框 1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被委托人身份证复印件背面</w:t>
                            </w:r>
                          </w:p>
                        </w:txbxContent>
                      </wps:txbx>
                      <wps:bodyPr upright="1"/>
                    </wps:wsp>
                  </a:graphicData>
                </a:graphic>
              </wp:anchor>
            </w:drawing>
          </mc:Choice>
          <mc:Fallback>
            <w:pict>
              <v:shape id="_x0000_s1026" o:spid="_x0000_s1026" o:spt="202" type="#_x0000_t202" style="position:absolute;left:0pt;margin-left:246.35pt;margin-top:1.2pt;height:99.5pt;width:194.7pt;z-index:251666432;mso-width-relative:page;mso-height-relative:page;" fillcolor="#FFFFFF" filled="t" stroked="t" coordsize="21600,21600" o:gfxdata="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fKr9gAAAAJAQAADwAAAAAAAAAB&#10;ACAAAAAiAAAAZHJzL2Rvd25yZXYueG1sUEsBAhQAFAAAAAgAh07iQFUdMuwQAgAAOQQAAA4AAAAA&#10;AAAAAQAgAAAAJwEAAGRycy9lMm9Eb2MueG1sUEsFBgAAAAAGAAYAWQEAAKkFAAAAAA==&#10;">
                <v:fill on="t" focussize="0,0"/>
                <v:stroke color="#000000" joinstyle="miter" dashstyle="1 1" endcap="round"/>
                <v:imagedata o:title=""/>
                <o:lock v:ext="edit" aspectratio="f"/>
                <v:textbo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被委托人身份证复印件背面</w:t>
                      </w:r>
                    </w:p>
                  </w:txbxContent>
                </v:textbox>
              </v:shape>
            </w:pict>
          </mc:Fallback>
        </mc:AlternateContent>
      </w: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12" name="文本框 1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法人身份证复印件背面</w:t>
                            </w:r>
                          </w:p>
                        </w:txbxContent>
                      </wps:txbx>
                      <wps:bodyPr upright="1"/>
                    </wps:wsp>
                  </a:graphicData>
                </a:graphic>
              </wp:anchor>
            </w:drawing>
          </mc:Choice>
          <mc:Fallback>
            <w:pict>
              <v:shape id="_x0000_s1026" o:spid="_x0000_s1026" o:spt="202" type="#_x0000_t202" style="position:absolute;left:0pt;margin-left:21.25pt;margin-top:3.25pt;height:99.5pt;width:194.7pt;z-index:251665408;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IK+HZAAAACAEAAA8AAAAAAAAA&#10;AQAgAAAAIgAAAGRycy9kb3ducmV2LnhtbFBLAQIUABQAAAAIAIdO4kDfqlspEAIAADkEAAAOAAAA&#10;AAAAAAEAIAAAACgBAABkcnMvZTJvRG9jLnhtbFBLBQYAAAAABgAGAFkBAACqBQAAAAA=&#10;">
                <v:fill on="t" focussize="0,0"/>
                <v:stroke color="#000000" joinstyle="miter" dashstyle="1 1" endcap="round"/>
                <v:imagedata o:title=""/>
                <o:lock v:ext="edit" aspectratio="f"/>
                <v:textbox>
                  <w:txbxContent>
                    <w:p>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法人身份证复印件背面</w:t>
                      </w:r>
                    </w:p>
                  </w:txbxContent>
                </v:textbox>
              </v:shape>
            </w:pict>
          </mc:Fallback>
        </mc:AlternateContent>
      </w: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b/>
          <w:color w:val="auto"/>
          <w:sz w:val="24"/>
          <w:szCs w:val="24"/>
          <w:highlight w:val="none"/>
        </w:rPr>
      </w:pPr>
    </w:p>
    <w:p>
      <w:pPr>
        <w:spacing w:before="312" w:beforeLines="100" w:after="156" w:afterLines="50" w:line="240" w:lineRule="auto"/>
        <w:jc w:val="center"/>
        <w:rPr>
          <w:rFonts w:hint="eastAsia" w:ascii="宋体" w:hAnsi="宋体" w:eastAsia="宋体" w:cs="宋体"/>
          <w:b/>
          <w:color w:val="auto"/>
          <w:sz w:val="24"/>
          <w:szCs w:val="24"/>
          <w:highlight w:val="none"/>
          <w:lang w:val="en-US" w:eastAsia="zh-CN"/>
        </w:rPr>
      </w:pPr>
    </w:p>
    <w:p>
      <w:pPr>
        <w:pStyle w:val="5"/>
        <w:spacing w:line="240" w:lineRule="auto"/>
        <w:jc w:val="center"/>
        <w:rPr>
          <w:rFonts w:hint="eastAsia" w:ascii="宋体" w:hAnsi="宋体" w:eastAsia="宋体" w:cs="宋体"/>
          <w:color w:val="auto"/>
          <w:sz w:val="24"/>
          <w:szCs w:val="24"/>
          <w:highlight w:val="none"/>
        </w:rPr>
      </w:pPr>
    </w:p>
    <w:p>
      <w:pPr>
        <w:pStyle w:val="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6、近三年的企业审计业绩表及相关证明</w:t>
      </w:r>
    </w:p>
    <w:p>
      <w:pPr>
        <w:autoSpaceDE w:val="0"/>
        <w:autoSpaceDN w:val="0"/>
        <w:adjustRightIn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6.1 近三年受政府单位委托的竣工工程审计项目情况表</w:t>
      </w:r>
    </w:p>
    <w:tbl>
      <w:tblPr>
        <w:tblStyle w:val="22"/>
        <w:tblW w:w="0" w:type="auto"/>
        <w:tblInd w:w="0" w:type="dxa"/>
        <w:tblLayout w:type="fixed"/>
        <w:tblCellMar>
          <w:top w:w="0" w:type="dxa"/>
          <w:left w:w="108" w:type="dxa"/>
          <w:bottom w:w="0" w:type="dxa"/>
          <w:right w:w="108" w:type="dxa"/>
        </w:tblCellMar>
      </w:tblPr>
      <w:tblGrid>
        <w:gridCol w:w="639"/>
        <w:gridCol w:w="1958"/>
        <w:gridCol w:w="1811"/>
        <w:gridCol w:w="1844"/>
        <w:gridCol w:w="1701"/>
        <w:gridCol w:w="1307"/>
        <w:gridCol w:w="252"/>
      </w:tblGrid>
      <w:tr>
        <w:tblPrEx>
          <w:tblCellMar>
            <w:top w:w="0" w:type="dxa"/>
            <w:left w:w="108" w:type="dxa"/>
            <w:bottom w:w="0" w:type="dxa"/>
            <w:right w:w="108" w:type="dxa"/>
          </w:tblCellMar>
        </w:tblPrEx>
        <w:trPr>
          <w:trHeight w:val="750" w:hRule="atLeast"/>
        </w:trPr>
        <w:tc>
          <w:tcPr>
            <w:tcW w:w="6252" w:type="dxa"/>
            <w:gridSpan w:val="4"/>
            <w:tcBorders>
              <w:top w:val="nil"/>
              <w:left w:val="nil"/>
              <w:bottom w:val="nil"/>
              <w:right w:val="nil"/>
            </w:tcBorders>
            <w:noWrap w:val="0"/>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tc>
        <w:tc>
          <w:tcPr>
            <w:tcW w:w="1701" w:type="dxa"/>
            <w:tcBorders>
              <w:top w:val="nil"/>
              <w:left w:val="nil"/>
              <w:bottom w:val="nil"/>
              <w:right w:val="nil"/>
            </w:tcBorders>
            <w:noWrap w:val="0"/>
            <w:vAlign w:val="bottom"/>
          </w:tcPr>
          <w:p>
            <w:pPr>
              <w:widowControl/>
              <w:rPr>
                <w:rFonts w:hint="eastAsia" w:ascii="宋体" w:hAnsi="宋体" w:eastAsia="宋体" w:cs="宋体"/>
                <w:color w:val="auto"/>
                <w:sz w:val="24"/>
                <w:szCs w:val="24"/>
                <w:highlight w:val="none"/>
              </w:rPr>
            </w:pPr>
          </w:p>
        </w:tc>
        <w:tc>
          <w:tcPr>
            <w:tcW w:w="1559" w:type="dxa"/>
            <w:gridSpan w:val="2"/>
            <w:tcBorders>
              <w:top w:val="nil"/>
              <w:left w:val="nil"/>
              <w:bottom w:val="nil"/>
              <w:right w:val="nil"/>
            </w:tcBorders>
            <w:noWrap w:val="0"/>
            <w:vAlign w:val="bottom"/>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单位：万元</w:t>
            </w:r>
          </w:p>
        </w:tc>
      </w:tr>
      <w:tr>
        <w:tblPrEx>
          <w:tblCellMar>
            <w:top w:w="0" w:type="dxa"/>
            <w:left w:w="108" w:type="dxa"/>
            <w:bottom w:w="0" w:type="dxa"/>
            <w:right w:w="108" w:type="dxa"/>
          </w:tblCellMar>
        </w:tblPrEx>
        <w:trPr>
          <w:trHeight w:val="1005"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近三年受政府单位委托的竣工工程审计项目（</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个项目名称）</w:t>
            </w:r>
          </w:p>
        </w:tc>
        <w:tc>
          <w:tcPr>
            <w:tcW w:w="1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w:t>
            </w:r>
          </w:p>
        </w:tc>
        <w:tc>
          <w:tcPr>
            <w:tcW w:w="18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送审额</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核减额</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核减率（%）</w:t>
            </w:r>
          </w:p>
        </w:tc>
      </w:tr>
      <w:tr>
        <w:tblPrEx>
          <w:tblCellMar>
            <w:top w:w="0" w:type="dxa"/>
            <w:left w:w="108" w:type="dxa"/>
            <w:bottom w:w="0" w:type="dxa"/>
            <w:right w:w="108" w:type="dxa"/>
          </w:tblCellMar>
        </w:tblPrEx>
        <w:trPr>
          <w:trHeight w:val="661"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8"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CellMar>
            <w:top w:w="0" w:type="dxa"/>
            <w:left w:w="108" w:type="dxa"/>
            <w:bottom w:w="0" w:type="dxa"/>
            <w:right w:w="108" w:type="dxa"/>
          </w:tblCellMar>
        </w:tblPrEx>
        <w:trPr>
          <w:trHeight w:val="557"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CellMar>
            <w:top w:w="0" w:type="dxa"/>
            <w:left w:w="108" w:type="dxa"/>
            <w:bottom w:w="0" w:type="dxa"/>
            <w:right w:w="108" w:type="dxa"/>
          </w:tblCellMar>
        </w:tblPrEx>
        <w:trPr>
          <w:trHeight w:val="693"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CellMar>
            <w:top w:w="0" w:type="dxa"/>
            <w:left w:w="108" w:type="dxa"/>
            <w:bottom w:w="0" w:type="dxa"/>
            <w:right w:w="108" w:type="dxa"/>
          </w:tblCellMar>
        </w:tblPrEx>
        <w:trPr>
          <w:trHeight w:val="56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CellMar>
            <w:top w:w="0" w:type="dxa"/>
            <w:left w:w="108" w:type="dxa"/>
            <w:bottom w:w="0" w:type="dxa"/>
            <w:right w:w="108" w:type="dxa"/>
          </w:tblCellMar>
        </w:tblPrEx>
        <w:trPr>
          <w:trHeight w:val="71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CellMar>
            <w:top w:w="0" w:type="dxa"/>
            <w:left w:w="108" w:type="dxa"/>
            <w:bottom w:w="0" w:type="dxa"/>
            <w:right w:w="108" w:type="dxa"/>
          </w:tblCellMar>
        </w:tblPrEx>
        <w:trPr>
          <w:trHeight w:val="71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84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55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77" w:hRule="atLeast"/>
        </w:trPr>
        <w:tc>
          <w:tcPr>
            <w:tcW w:w="63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76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平均值</w:t>
            </w:r>
          </w:p>
        </w:tc>
        <w:tc>
          <w:tcPr>
            <w:tcW w:w="184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sz w:val="24"/>
                <w:szCs w:val="24"/>
                <w:highlight w:val="none"/>
              </w:rPr>
            </w:pPr>
          </w:p>
        </w:tc>
        <w:tc>
          <w:tcPr>
            <w:tcW w:w="170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sz w:val="24"/>
                <w:szCs w:val="24"/>
                <w:highlight w:val="none"/>
              </w:rPr>
            </w:pPr>
          </w:p>
        </w:tc>
        <w:tc>
          <w:tcPr>
            <w:tcW w:w="1559"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gridAfter w:val="1"/>
          <w:wAfter w:w="132" w:type="pct"/>
          <w:trHeight w:val="585" w:hRule="atLeast"/>
        </w:trPr>
        <w:tc>
          <w:tcPr>
            <w:tcW w:w="9260" w:type="dxa"/>
            <w:gridSpan w:val="6"/>
            <w:tcBorders>
              <w:top w:val="single" w:color="auto" w:sz="4" w:space="0"/>
              <w:left w:val="nil"/>
              <w:bottom w:val="nil"/>
              <w:right w:val="nil"/>
            </w:tcBorders>
            <w:noWrap w:val="0"/>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lang w:bidi="ar"/>
              </w:rPr>
              <w:t>（以合同</w:t>
            </w:r>
            <w:r>
              <w:rPr>
                <w:rFonts w:hint="eastAsia" w:ascii="宋体" w:hAnsi="宋体" w:eastAsia="宋体" w:cs="宋体"/>
                <w:color w:val="auto"/>
                <w:kern w:val="0"/>
                <w:sz w:val="24"/>
                <w:szCs w:val="24"/>
                <w:highlight w:val="none"/>
                <w:lang w:val="en-US" w:eastAsia="zh-CN" w:bidi="ar"/>
              </w:rPr>
              <w:t>或中标通知书或</w:t>
            </w:r>
            <w:r>
              <w:rPr>
                <w:rFonts w:hint="eastAsia" w:ascii="宋体" w:hAnsi="宋体" w:eastAsia="宋体" w:cs="宋体"/>
                <w:color w:val="auto"/>
                <w:kern w:val="0"/>
                <w:sz w:val="24"/>
                <w:szCs w:val="24"/>
                <w:highlight w:val="none"/>
                <w:lang w:bidi="ar"/>
              </w:rPr>
              <w:t>审计报告为依据）</w:t>
            </w:r>
          </w:p>
        </w:tc>
      </w:tr>
      <w:tr>
        <w:tblPrEx>
          <w:tblCellMar>
            <w:top w:w="0" w:type="dxa"/>
            <w:left w:w="108" w:type="dxa"/>
            <w:bottom w:w="0" w:type="dxa"/>
            <w:right w:w="108" w:type="dxa"/>
          </w:tblCellMar>
        </w:tblPrEx>
        <w:trPr>
          <w:gridAfter w:val="1"/>
          <w:wAfter w:w="132" w:type="pct"/>
          <w:trHeight w:val="585" w:hRule="atLeast"/>
        </w:trPr>
        <w:tc>
          <w:tcPr>
            <w:tcW w:w="9260" w:type="dxa"/>
            <w:gridSpan w:val="6"/>
            <w:tcBorders>
              <w:top w:val="nil"/>
              <w:left w:val="nil"/>
              <w:bottom w:val="nil"/>
              <w:right w:val="nil"/>
            </w:tcBorders>
            <w:noWrap w:val="0"/>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2.核减率=核减额/项目送审额*100</w:t>
            </w:r>
          </w:p>
        </w:tc>
      </w:tr>
      <w:tr>
        <w:tblPrEx>
          <w:tblCellMar>
            <w:top w:w="0" w:type="dxa"/>
            <w:left w:w="108" w:type="dxa"/>
            <w:bottom w:w="0" w:type="dxa"/>
            <w:right w:w="108" w:type="dxa"/>
          </w:tblCellMar>
        </w:tblPrEx>
        <w:trPr>
          <w:gridAfter w:val="1"/>
          <w:wAfter w:w="132" w:type="pct"/>
          <w:trHeight w:val="1890" w:hRule="atLeast"/>
        </w:trPr>
        <w:tc>
          <w:tcPr>
            <w:tcW w:w="9260" w:type="dxa"/>
            <w:gridSpan w:val="6"/>
            <w:tcBorders>
              <w:top w:val="nil"/>
              <w:left w:val="nil"/>
              <w:bottom w:val="nil"/>
              <w:right w:val="nil"/>
            </w:tcBorders>
            <w:noWrap w:val="0"/>
            <w:vAlign w:val="center"/>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投标单位（签章）：                         法定代表人（签字）：</w:t>
            </w:r>
          </w:p>
        </w:tc>
      </w:tr>
    </w:tbl>
    <w:p>
      <w:pPr>
        <w:rPr>
          <w:rFonts w:hint="eastAsia" w:ascii="宋体" w:hAnsi="宋体" w:eastAsia="宋体" w:cs="宋体"/>
          <w:b/>
          <w:color w:val="auto"/>
          <w:kern w:val="0"/>
          <w:sz w:val="24"/>
          <w:szCs w:val="24"/>
          <w:highlight w:val="none"/>
          <w:lang w:bidi="ar"/>
        </w:rPr>
      </w:pPr>
    </w:p>
    <w:p>
      <w:pPr>
        <w:jc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6.2近三年受政府单位委托的审计项目涉及工民建、园林、市政、水利项目情况表</w:t>
      </w:r>
    </w:p>
    <w:tbl>
      <w:tblPr>
        <w:tblStyle w:val="22"/>
        <w:tblW w:w="0" w:type="auto"/>
        <w:tblInd w:w="93" w:type="dxa"/>
        <w:tblLayout w:type="fixed"/>
        <w:tblCellMar>
          <w:top w:w="0" w:type="dxa"/>
          <w:left w:w="108" w:type="dxa"/>
          <w:bottom w:w="0" w:type="dxa"/>
          <w:right w:w="108" w:type="dxa"/>
        </w:tblCellMar>
      </w:tblPr>
      <w:tblGrid>
        <w:gridCol w:w="640"/>
        <w:gridCol w:w="2224"/>
        <w:gridCol w:w="1404"/>
        <w:gridCol w:w="1476"/>
        <w:gridCol w:w="1260"/>
        <w:gridCol w:w="1233"/>
        <w:gridCol w:w="1134"/>
      </w:tblGrid>
      <w:tr>
        <w:tblPrEx>
          <w:tblCellMar>
            <w:top w:w="0" w:type="dxa"/>
            <w:left w:w="108" w:type="dxa"/>
            <w:bottom w:w="0" w:type="dxa"/>
            <w:right w:w="108" w:type="dxa"/>
          </w:tblCellMar>
        </w:tblPrEx>
        <w:trPr>
          <w:trHeight w:val="750" w:hRule="atLeast"/>
        </w:trPr>
        <w:tc>
          <w:tcPr>
            <w:tcW w:w="4268" w:type="dxa"/>
            <w:gridSpan w:val="3"/>
            <w:tcBorders>
              <w:top w:val="nil"/>
              <w:left w:val="nil"/>
              <w:bottom w:val="nil"/>
              <w:right w:val="nil"/>
            </w:tcBorders>
            <w:noWrap w:val="0"/>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tc>
        <w:tc>
          <w:tcPr>
            <w:tcW w:w="1476" w:type="dxa"/>
            <w:tcBorders>
              <w:top w:val="nil"/>
              <w:left w:val="nil"/>
              <w:bottom w:val="nil"/>
              <w:right w:val="nil"/>
            </w:tcBorders>
            <w:noWrap w:val="0"/>
            <w:vAlign w:val="bottom"/>
          </w:tcPr>
          <w:p>
            <w:pPr>
              <w:widowControl/>
              <w:rPr>
                <w:rFonts w:hint="eastAsia" w:ascii="宋体" w:hAnsi="宋体" w:eastAsia="宋体" w:cs="宋体"/>
                <w:color w:val="auto"/>
                <w:sz w:val="24"/>
                <w:szCs w:val="24"/>
                <w:highlight w:val="none"/>
              </w:rPr>
            </w:pPr>
          </w:p>
        </w:tc>
        <w:tc>
          <w:tcPr>
            <w:tcW w:w="3627" w:type="dxa"/>
            <w:gridSpan w:val="3"/>
            <w:tcBorders>
              <w:top w:val="nil"/>
              <w:left w:val="nil"/>
              <w:bottom w:val="nil"/>
              <w:right w:val="nil"/>
            </w:tcBorders>
            <w:noWrap w:val="0"/>
            <w:vAlign w:val="bottom"/>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单位：万元</w:t>
            </w:r>
          </w:p>
        </w:tc>
      </w:tr>
      <w:tr>
        <w:tblPrEx>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2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近三年受政府单位委托的审计项目涉及工民建、园林、市政、水利项目情况表</w:t>
            </w:r>
          </w:p>
        </w:tc>
        <w:tc>
          <w:tcPr>
            <w:tcW w:w="140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项目送审额</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审定金额</w:t>
            </w:r>
          </w:p>
        </w:tc>
        <w:tc>
          <w:tcPr>
            <w:tcW w:w="12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审减金额</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民建、园林、市政、水利等</w:t>
            </w:r>
          </w:p>
        </w:tc>
      </w:tr>
      <w:tr>
        <w:tblPrEx>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0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4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2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c>
          <w:tcPr>
            <w:tcW w:w="11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color w:val="auto"/>
          <w:sz w:val="24"/>
          <w:szCs w:val="24"/>
          <w:highlight w:val="none"/>
        </w:rPr>
      </w:pPr>
    </w:p>
    <w:tbl>
      <w:tblPr>
        <w:tblStyle w:val="22"/>
        <w:tblW w:w="0" w:type="auto"/>
        <w:tblInd w:w="93" w:type="dxa"/>
        <w:tblLayout w:type="fixed"/>
        <w:tblCellMar>
          <w:top w:w="0" w:type="dxa"/>
          <w:left w:w="108" w:type="dxa"/>
          <w:bottom w:w="0" w:type="dxa"/>
          <w:right w:w="108" w:type="dxa"/>
        </w:tblCellMar>
      </w:tblPr>
      <w:tblGrid>
        <w:gridCol w:w="9260"/>
      </w:tblGrid>
      <w:tr>
        <w:tblPrEx>
          <w:tblCellMar>
            <w:top w:w="0" w:type="dxa"/>
            <w:left w:w="108" w:type="dxa"/>
            <w:bottom w:w="0" w:type="dxa"/>
            <w:right w:w="108" w:type="dxa"/>
          </w:tblCellMar>
        </w:tblPrEx>
        <w:trPr>
          <w:trHeight w:val="585" w:hRule="atLeast"/>
        </w:trPr>
        <w:tc>
          <w:tcPr>
            <w:tcW w:w="9260" w:type="dxa"/>
            <w:tcBorders>
              <w:top w:val="single" w:color="auto" w:sz="4" w:space="0"/>
              <w:left w:val="nil"/>
              <w:bottom w:val="nil"/>
              <w:right w:val="nil"/>
            </w:tcBorders>
            <w:noWrap w:val="0"/>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lang w:bidi="ar"/>
              </w:rPr>
              <w:t>（以合同</w:t>
            </w:r>
            <w:r>
              <w:rPr>
                <w:rFonts w:hint="eastAsia" w:ascii="宋体" w:hAnsi="宋体" w:eastAsia="宋体" w:cs="宋体"/>
                <w:color w:val="auto"/>
                <w:kern w:val="0"/>
                <w:sz w:val="24"/>
                <w:szCs w:val="24"/>
                <w:highlight w:val="none"/>
                <w:lang w:val="en-US" w:eastAsia="zh-CN" w:bidi="ar"/>
              </w:rPr>
              <w:t>或中标通知书或</w:t>
            </w:r>
            <w:r>
              <w:rPr>
                <w:rFonts w:hint="eastAsia" w:ascii="宋体" w:hAnsi="宋体" w:eastAsia="宋体" w:cs="宋体"/>
                <w:color w:val="auto"/>
                <w:kern w:val="0"/>
                <w:sz w:val="24"/>
                <w:szCs w:val="24"/>
                <w:highlight w:val="none"/>
                <w:lang w:bidi="ar"/>
              </w:rPr>
              <w:t>审计报告为依据）</w:t>
            </w:r>
          </w:p>
        </w:tc>
      </w:tr>
      <w:tr>
        <w:tblPrEx>
          <w:tblCellMar>
            <w:top w:w="0" w:type="dxa"/>
            <w:left w:w="108" w:type="dxa"/>
            <w:bottom w:w="0" w:type="dxa"/>
            <w:right w:w="108" w:type="dxa"/>
          </w:tblCellMar>
        </w:tblPrEx>
        <w:trPr>
          <w:trHeight w:val="585" w:hRule="atLeast"/>
        </w:trPr>
        <w:tc>
          <w:tcPr>
            <w:tcW w:w="9260" w:type="dxa"/>
            <w:tcBorders>
              <w:top w:val="nil"/>
              <w:left w:val="nil"/>
              <w:bottom w:val="nil"/>
              <w:right w:val="nil"/>
            </w:tcBorders>
            <w:noWrap w:val="0"/>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trHeight w:val="1890" w:hRule="atLeast"/>
        </w:trPr>
        <w:tc>
          <w:tcPr>
            <w:tcW w:w="9260" w:type="dxa"/>
            <w:tcBorders>
              <w:top w:val="nil"/>
              <w:left w:val="nil"/>
              <w:bottom w:val="nil"/>
              <w:right w:val="nil"/>
            </w:tcBorders>
            <w:noWrap w:val="0"/>
            <w:vAlign w:val="center"/>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投标单位（签章）：                         法定代表人（签字）：</w:t>
            </w:r>
          </w:p>
        </w:tc>
      </w:tr>
    </w:tbl>
    <w:p>
      <w:pPr>
        <w:autoSpaceDE w:val="0"/>
        <w:autoSpaceDN w:val="0"/>
        <w:adjustRightInd w:val="0"/>
        <w:jc w:val="center"/>
        <w:rPr>
          <w:rFonts w:hint="eastAsia" w:ascii="宋体" w:hAnsi="宋体" w:eastAsia="宋体" w:cs="宋体"/>
          <w:b/>
          <w:bCs/>
          <w:color w:val="auto"/>
          <w:sz w:val="24"/>
          <w:szCs w:val="24"/>
          <w:highlight w:val="none"/>
        </w:rPr>
      </w:pPr>
    </w:p>
    <w:p>
      <w:pPr>
        <w:pStyle w:val="7"/>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b/>
          <w:bCs/>
          <w:color w:val="auto"/>
          <w:sz w:val="24"/>
          <w:szCs w:val="24"/>
          <w:highlight w:val="none"/>
        </w:rPr>
      </w:pPr>
    </w:p>
    <w:p>
      <w:pPr>
        <w:autoSpaceDE w:val="0"/>
        <w:autoSpaceDN w:val="0"/>
        <w:adjustRightInd w:val="0"/>
        <w:jc w:val="center"/>
        <w:rPr>
          <w:rFonts w:hint="eastAsia" w:ascii="宋体" w:hAnsi="宋体" w:eastAsia="宋体" w:cs="宋体"/>
          <w:b/>
          <w:bCs/>
          <w:color w:val="auto"/>
          <w:sz w:val="24"/>
          <w:szCs w:val="24"/>
          <w:highlight w:val="none"/>
        </w:rPr>
      </w:pPr>
    </w:p>
    <w:p>
      <w:pPr>
        <w:autoSpaceDE w:val="0"/>
        <w:autoSpaceDN w:val="0"/>
        <w:adjustRightInd w:val="0"/>
        <w:jc w:val="center"/>
        <w:rPr>
          <w:rFonts w:hint="eastAsia" w:ascii="宋体" w:hAnsi="宋体" w:eastAsia="宋体" w:cs="宋体"/>
          <w:b/>
          <w:bCs/>
          <w:color w:val="auto"/>
          <w:sz w:val="24"/>
          <w:szCs w:val="24"/>
          <w:highlight w:val="none"/>
        </w:rPr>
      </w:pPr>
    </w:p>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zh-CN"/>
        </w:rPr>
        <w:t>项目负责人简历表</w:t>
      </w:r>
    </w:p>
    <w:p>
      <w:pPr>
        <w:autoSpaceDE w:val="0"/>
        <w:autoSpaceDN w:val="0"/>
        <w:adjustRightInd w:val="0"/>
        <w:jc w:val="center"/>
        <w:rPr>
          <w:rFonts w:hint="eastAsia" w:ascii="宋体" w:hAnsi="宋体" w:eastAsia="宋体" w:cs="宋体"/>
          <w:color w:val="auto"/>
          <w:sz w:val="24"/>
          <w:szCs w:val="24"/>
          <w:highlight w:val="none"/>
          <w:lang w:val="zh-CN"/>
        </w:rPr>
      </w:pPr>
    </w:p>
    <w:p>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zh-CN"/>
        </w:rPr>
        <w:t>工程项目审计负</w:t>
      </w:r>
      <w:r>
        <w:rPr>
          <w:rFonts w:hint="eastAsia" w:ascii="宋体" w:hAnsi="宋体" w:eastAsia="宋体" w:cs="宋体"/>
          <w:color w:val="auto"/>
          <w:sz w:val="24"/>
          <w:szCs w:val="24"/>
          <w:highlight w:val="none"/>
          <w:lang w:val="zh-CN"/>
        </w:rPr>
        <w:t>责人简历及业绩表</w:t>
      </w:r>
    </w:p>
    <w:p>
      <w:pPr>
        <w:autoSpaceDE w:val="0"/>
        <w:autoSpaceDN w:val="0"/>
        <w:adjustRightInd w:val="0"/>
        <w:jc w:val="center"/>
        <w:rPr>
          <w:rFonts w:hint="eastAsia" w:ascii="宋体" w:hAnsi="宋体" w:eastAsia="宋体" w:cs="宋体"/>
          <w:b/>
          <w:bCs/>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1、政府固定资产投资审计负责人介绍应包括：姓名、性别、年龄、职称、学历、参加工作时间、从事造价年限、注册造价师证书编号以及其他内容。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2、政府固定资产投资审计负责人近3年内类似工程经历应按下表提供。</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政府固定资产投资审计负责人近3年内类似工作经历一览表</w:t>
      </w:r>
    </w:p>
    <w:tbl>
      <w:tblPr>
        <w:tblStyle w:val="22"/>
        <w:tblW w:w="0" w:type="auto"/>
        <w:tblInd w:w="0" w:type="dxa"/>
        <w:tblLayout w:type="fixed"/>
        <w:tblCellMar>
          <w:top w:w="0" w:type="dxa"/>
          <w:left w:w="108" w:type="dxa"/>
          <w:bottom w:w="0" w:type="dxa"/>
          <w:right w:w="108" w:type="dxa"/>
        </w:tblCellMar>
      </w:tblPr>
      <w:tblGrid>
        <w:gridCol w:w="1472"/>
        <w:gridCol w:w="1574"/>
        <w:gridCol w:w="1470"/>
        <w:gridCol w:w="2099"/>
        <w:gridCol w:w="2106"/>
        <w:gridCol w:w="1152"/>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建设单位</w:t>
            </w:r>
          </w:p>
        </w:tc>
        <w:tc>
          <w:tcPr>
            <w:tcW w:w="1574"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项目名称</w:t>
            </w:r>
          </w:p>
        </w:tc>
        <w:tc>
          <w:tcPr>
            <w:tcW w:w="1470"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建设规模</w:t>
            </w:r>
          </w:p>
        </w:tc>
        <w:tc>
          <w:tcPr>
            <w:tcW w:w="2099"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开竣工日期</w:t>
            </w:r>
          </w:p>
        </w:tc>
        <w:tc>
          <w:tcPr>
            <w:tcW w:w="210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质量</w:t>
            </w:r>
          </w:p>
        </w:tc>
        <w:tc>
          <w:tcPr>
            <w:tcW w:w="1152"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p>
        </w:tc>
        <w:tc>
          <w:tcPr>
            <w:tcW w:w="1574"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p>
        </w:tc>
        <w:tc>
          <w:tcPr>
            <w:tcW w:w="2099"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p>
        </w:tc>
        <w:tc>
          <w:tcPr>
            <w:tcW w:w="2106"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p>
        </w:tc>
        <w:tc>
          <w:tcPr>
            <w:tcW w:w="1152"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3、政府固定资产投资审计负责人简历中应附相关资格证书、职称证</w:t>
      </w:r>
      <w:r>
        <w:rPr>
          <w:rFonts w:hint="eastAsia" w:ascii="宋体" w:hAnsi="宋体" w:eastAsia="宋体" w:cs="宋体"/>
          <w:color w:val="auto"/>
          <w:sz w:val="24"/>
          <w:szCs w:val="24"/>
          <w:highlight w:val="none"/>
          <w:lang w:val="zh-CN"/>
        </w:rPr>
        <w:t>书、类似业绩、需提供本单位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个月社保记录等相关证明材料复印件。</w:t>
      </w:r>
    </w:p>
    <w:p>
      <w:pPr>
        <w:spacing w:line="480" w:lineRule="auto"/>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p>
    <w:p>
      <w:pPr>
        <w:autoSpaceDE w:val="0"/>
        <w:autoSpaceDN w:val="0"/>
        <w:adjustRightIn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8、拟参加组织审计人员表</w:t>
      </w:r>
    </w:p>
    <w:p>
      <w:pPr>
        <w:jc w:val="center"/>
        <w:rPr>
          <w:rFonts w:hint="eastAsia" w:ascii="宋体" w:hAnsi="宋体" w:eastAsia="宋体" w:cs="宋体"/>
          <w:color w:val="auto"/>
          <w:sz w:val="24"/>
          <w:szCs w:val="24"/>
          <w:highlight w:val="none"/>
        </w:rPr>
      </w:pPr>
    </w:p>
    <w:p>
      <w:pPr>
        <w:autoSpaceDE w:val="0"/>
        <w:autoSpaceDN w:val="0"/>
        <w:adjustRightInd w:val="0"/>
        <w:ind w:left="424"/>
        <w:jc w:val="center"/>
        <w:rPr>
          <w:rFonts w:hint="eastAsia" w:ascii="宋体" w:hAnsi="宋体" w:eastAsia="宋体" w:cs="宋体"/>
          <w:color w:val="auto"/>
          <w:sz w:val="24"/>
          <w:szCs w:val="24"/>
          <w:highlight w:val="none"/>
          <w:lang w:val="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52"/>
        <w:gridCol w:w="1062"/>
        <w:gridCol w:w="1586"/>
        <w:gridCol w:w="1586"/>
        <w:gridCol w:w="158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752"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姓名</w:t>
            </w:r>
          </w:p>
        </w:tc>
        <w:tc>
          <w:tcPr>
            <w:tcW w:w="1062"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性别</w:t>
            </w:r>
          </w:p>
        </w:tc>
        <w:tc>
          <w:tcPr>
            <w:tcW w:w="1586"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专业</w:t>
            </w:r>
          </w:p>
        </w:tc>
        <w:tc>
          <w:tcPr>
            <w:tcW w:w="1586"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技术职称</w:t>
            </w:r>
          </w:p>
        </w:tc>
        <w:tc>
          <w:tcPr>
            <w:tcW w:w="1586"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执业资格证书号</w:t>
            </w:r>
          </w:p>
        </w:tc>
        <w:tc>
          <w:tcPr>
            <w:tcW w:w="1240"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0" w:type="dxa"/>
            <w:gridSpan w:val="7"/>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拟选派担任主审人员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0" w:type="dxa"/>
            <w:gridSpan w:val="7"/>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拟选派参加审计人员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5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062"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6"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240" w:type="dxa"/>
            <w:noWrap w:val="0"/>
            <w:vAlign w:val="top"/>
          </w:tcPr>
          <w:p>
            <w:pPr>
              <w:autoSpaceDE w:val="0"/>
              <w:autoSpaceDN w:val="0"/>
              <w:adjustRightInd w:val="0"/>
              <w:jc w:val="center"/>
              <w:rPr>
                <w:rFonts w:hint="eastAsia" w:ascii="宋体" w:hAnsi="宋体" w:eastAsia="宋体" w:cs="宋体"/>
                <w:b/>
                <w:bCs/>
                <w:color w:val="auto"/>
                <w:sz w:val="24"/>
                <w:szCs w:val="24"/>
                <w:highlight w:val="none"/>
                <w:lang w:val="zh-CN"/>
              </w:rPr>
            </w:pPr>
          </w:p>
        </w:tc>
      </w:tr>
    </w:tbl>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zh-CN"/>
        </w:rPr>
        <w:t>附相关注册证书、专业技术职称证书等复印件，加盖公章</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需提供本单位近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val="zh-CN"/>
        </w:rPr>
        <w:t>社保记录等相关证明材料复印件。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utoSpaceDE w:val="0"/>
        <w:autoSpaceDN w:val="0"/>
        <w:adjustRightInd w:val="0"/>
        <w:ind w:left="425"/>
        <w:jc w:val="center"/>
        <w:rPr>
          <w:rFonts w:hint="eastAsia" w:ascii="宋体" w:hAnsi="宋体" w:eastAsia="宋体" w:cs="宋体"/>
          <w:b/>
          <w:bCs/>
          <w:color w:val="auto"/>
          <w:sz w:val="24"/>
          <w:szCs w:val="24"/>
          <w:highlight w:val="none"/>
          <w:lang w:val="zh-CN"/>
        </w:rPr>
      </w:pPr>
    </w:p>
    <w:p>
      <w:pPr>
        <w:autoSpaceDE w:val="0"/>
        <w:autoSpaceDN w:val="0"/>
        <w:adjustRightInd w:val="0"/>
        <w:ind w:left="425"/>
        <w:jc w:val="center"/>
        <w:rPr>
          <w:rFonts w:hint="eastAsia" w:ascii="宋体" w:hAnsi="宋体" w:eastAsia="宋体" w:cs="宋体"/>
          <w:b/>
          <w:bCs/>
          <w:color w:val="auto"/>
          <w:sz w:val="24"/>
          <w:szCs w:val="24"/>
          <w:highlight w:val="none"/>
          <w:lang w:val="zh-CN"/>
        </w:rPr>
      </w:pPr>
    </w:p>
    <w:p>
      <w:pPr>
        <w:pStyle w:val="7"/>
        <w:rPr>
          <w:rFonts w:hint="eastAsia" w:ascii="宋体" w:hAnsi="宋体" w:eastAsia="宋体" w:cs="宋体"/>
          <w:b/>
          <w:bCs/>
          <w:color w:val="auto"/>
          <w:sz w:val="24"/>
          <w:szCs w:val="24"/>
          <w:highlight w:val="none"/>
          <w:lang w:val="zh-CN"/>
        </w:rPr>
      </w:pPr>
    </w:p>
    <w:p>
      <w:pPr>
        <w:rPr>
          <w:rFonts w:hint="eastAsia" w:ascii="宋体" w:hAnsi="宋体" w:eastAsia="宋体" w:cs="宋体"/>
          <w:b/>
          <w:bCs/>
          <w:color w:val="auto"/>
          <w:sz w:val="24"/>
          <w:szCs w:val="24"/>
          <w:highlight w:val="none"/>
          <w:lang w:val="zh-CN"/>
        </w:rPr>
      </w:pPr>
    </w:p>
    <w:p>
      <w:pPr>
        <w:pStyle w:val="7"/>
        <w:rPr>
          <w:rFonts w:hint="eastAsia" w:ascii="宋体" w:hAnsi="宋体" w:eastAsia="宋体" w:cs="宋体"/>
          <w:b/>
          <w:bCs/>
          <w:color w:val="auto"/>
          <w:sz w:val="24"/>
          <w:szCs w:val="24"/>
          <w:highlight w:val="none"/>
          <w:lang w:val="zh-CN"/>
        </w:rPr>
      </w:pPr>
    </w:p>
    <w:p>
      <w:pPr>
        <w:rPr>
          <w:rFonts w:hint="eastAsia" w:ascii="宋体" w:hAnsi="宋体" w:eastAsia="宋体" w:cs="宋体"/>
          <w:b/>
          <w:bCs/>
          <w:color w:val="auto"/>
          <w:sz w:val="24"/>
          <w:szCs w:val="24"/>
          <w:highlight w:val="none"/>
          <w:lang w:val="zh-CN"/>
        </w:rPr>
      </w:pPr>
    </w:p>
    <w:p>
      <w:pPr>
        <w:pStyle w:val="7"/>
        <w:rPr>
          <w:rFonts w:hint="eastAsia" w:ascii="宋体" w:hAnsi="宋体" w:eastAsia="宋体" w:cs="宋体"/>
          <w:color w:val="auto"/>
          <w:sz w:val="24"/>
          <w:szCs w:val="24"/>
          <w:highlight w:val="none"/>
          <w:lang w:val="zh-CN"/>
        </w:rPr>
      </w:pPr>
    </w:p>
    <w:p>
      <w:pPr>
        <w:rPr>
          <w:rFonts w:hint="eastAsia" w:ascii="宋体" w:hAnsi="宋体" w:eastAsia="宋体" w:cs="宋体"/>
          <w:b/>
          <w:bCs/>
          <w:color w:val="auto"/>
          <w:sz w:val="24"/>
          <w:szCs w:val="24"/>
          <w:highlight w:val="none"/>
          <w:lang w:val="zh-CN"/>
        </w:rPr>
      </w:pPr>
    </w:p>
    <w:p>
      <w:pPr>
        <w:pStyle w:val="7"/>
        <w:rPr>
          <w:rFonts w:hint="eastAsia" w:ascii="宋体" w:hAnsi="宋体" w:eastAsia="宋体" w:cs="宋体"/>
          <w:color w:val="auto"/>
          <w:sz w:val="24"/>
          <w:szCs w:val="24"/>
          <w:highlight w:val="none"/>
          <w:lang w:val="zh-CN"/>
        </w:rPr>
      </w:pPr>
    </w:p>
    <w:p>
      <w:pPr>
        <w:autoSpaceDE w:val="0"/>
        <w:autoSpaceDN w:val="0"/>
        <w:adjustRightInd w:val="0"/>
        <w:ind w:left="425"/>
        <w:jc w:val="center"/>
        <w:rPr>
          <w:rFonts w:hint="eastAsia" w:ascii="宋体" w:hAnsi="宋体" w:eastAsia="宋体" w:cs="宋体"/>
          <w:b/>
          <w:bCs/>
          <w:color w:val="auto"/>
          <w:sz w:val="24"/>
          <w:szCs w:val="24"/>
          <w:highlight w:val="none"/>
          <w:lang w:val="zh-CN"/>
        </w:rPr>
      </w:pPr>
    </w:p>
    <w:p>
      <w:pPr>
        <w:autoSpaceDE w:val="0"/>
        <w:autoSpaceDN w:val="0"/>
        <w:adjustRightInd w:val="0"/>
        <w:ind w:left="425"/>
        <w:jc w:val="center"/>
        <w:rPr>
          <w:rFonts w:hint="eastAsia" w:ascii="宋体" w:hAnsi="宋体" w:eastAsia="宋体" w:cs="宋体"/>
          <w:b/>
          <w:bCs/>
          <w:color w:val="auto"/>
          <w:sz w:val="24"/>
          <w:szCs w:val="24"/>
          <w:highlight w:val="none"/>
          <w:lang w:val="zh-CN"/>
        </w:rPr>
      </w:pPr>
    </w:p>
    <w:p>
      <w:pPr>
        <w:autoSpaceDE w:val="0"/>
        <w:autoSpaceDN w:val="0"/>
        <w:adjustRightInd w:val="0"/>
        <w:ind w:left="425"/>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参审人员详细情况表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771"/>
        <w:gridCol w:w="1585"/>
        <w:gridCol w:w="1585"/>
        <w:gridCol w:w="158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姓名</w:t>
            </w: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性别</w:t>
            </w: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出生日期</w:t>
            </w:r>
          </w:p>
        </w:tc>
        <w:tc>
          <w:tcPr>
            <w:tcW w:w="1587"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文化程度</w:t>
            </w: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专业</w:t>
            </w: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政治面貌</w:t>
            </w:r>
          </w:p>
        </w:tc>
        <w:tc>
          <w:tcPr>
            <w:tcW w:w="1587" w:type="dxa"/>
            <w:tcBorders>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现任职务</w:t>
            </w: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技术职称</w:t>
            </w: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聘任时间</w:t>
            </w:r>
          </w:p>
        </w:tc>
        <w:tc>
          <w:tcPr>
            <w:tcW w:w="1587" w:type="dxa"/>
            <w:tcBorders>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72" w:type="dxa"/>
          <w:trHeight w:val="528" w:hRule="atLeast"/>
        </w:trPr>
        <w:tc>
          <w:tcPr>
            <w:tcW w:w="3166" w:type="dxa"/>
            <w:gridSpan w:val="2"/>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审计组职责分工</w:t>
            </w:r>
          </w:p>
        </w:tc>
        <w:tc>
          <w:tcPr>
            <w:tcW w:w="1585"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联系电话</w:t>
            </w:r>
          </w:p>
        </w:tc>
        <w:tc>
          <w:tcPr>
            <w:tcW w:w="1585" w:type="dxa"/>
            <w:tcBorders>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Merge w:val="restart"/>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执业资格情况</w:t>
            </w: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专业</w:t>
            </w:r>
          </w:p>
        </w:tc>
        <w:tc>
          <w:tcPr>
            <w:tcW w:w="3170" w:type="dxa"/>
            <w:gridSpan w:val="2"/>
            <w:tcBorders>
              <w:bottom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执业资格名称</w:t>
            </w:r>
          </w:p>
        </w:tc>
        <w:tc>
          <w:tcPr>
            <w:tcW w:w="3172" w:type="dxa"/>
            <w:gridSpan w:val="2"/>
            <w:tcBorders>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证书号及发证日期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Merge w:val="continue"/>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3170" w:type="dxa"/>
            <w:gridSpan w:val="2"/>
            <w:tcBorders>
              <w:top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3172" w:type="dxa"/>
            <w:gridSpan w:val="2"/>
            <w:tcBorders>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95" w:type="dxa"/>
            <w:vMerge w:val="continue"/>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3170" w:type="dxa"/>
            <w:gridSpan w:val="2"/>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3172" w:type="dxa"/>
            <w:gridSpan w:val="2"/>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95" w:type="dxa"/>
            <w:vMerge w:val="continue"/>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1771" w:type="dxa"/>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3170" w:type="dxa"/>
            <w:gridSpan w:val="2"/>
            <w:tcBorders>
              <w:bottom w:val="single" w:color="auto" w:sz="4" w:space="0"/>
            </w:tcBorders>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c>
          <w:tcPr>
            <w:tcW w:w="3172" w:type="dxa"/>
            <w:gridSpan w:val="2"/>
            <w:noWrap w:val="0"/>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p>
        </w:tc>
      </w:tr>
    </w:tbl>
    <w:p>
      <w:pPr>
        <w:autoSpaceDE w:val="0"/>
        <w:autoSpaceDN w:val="0"/>
        <w:adjustRightInd w:val="0"/>
        <w:ind w:left="425"/>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说明：1、本表每名审计人员填写一份，不够可按此格式自行添加；</w:t>
      </w:r>
    </w:p>
    <w:p>
      <w:pPr>
        <w:autoSpaceDE w:val="0"/>
        <w:autoSpaceDN w:val="0"/>
        <w:adjustRightInd w:val="0"/>
        <w:ind w:firstLine="1205" w:firstLineChars="500"/>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附件要有职称证书、造价员证、造价</w:t>
      </w:r>
      <w:r>
        <w:rPr>
          <w:rFonts w:hint="eastAsia" w:ascii="宋体" w:hAnsi="宋体" w:eastAsia="宋体" w:cs="宋体"/>
          <w:b/>
          <w:bCs/>
          <w:color w:val="auto"/>
          <w:sz w:val="24"/>
          <w:szCs w:val="24"/>
          <w:highlight w:val="none"/>
          <w:lang w:val="zh-CN"/>
        </w:rPr>
        <w:t>师注册证书、其</w:t>
      </w:r>
      <w:r>
        <w:rPr>
          <w:rFonts w:hint="eastAsia" w:ascii="宋体" w:hAnsi="宋体" w:eastAsia="宋体" w:cs="宋体"/>
          <w:b/>
          <w:bCs/>
          <w:color w:val="auto"/>
          <w:sz w:val="24"/>
          <w:szCs w:val="24"/>
          <w:highlight w:val="none"/>
          <w:lang w:val="zh-CN"/>
        </w:rPr>
        <w:t>他注册师等。</w:t>
      </w:r>
    </w:p>
    <w:p>
      <w:pPr>
        <w:autoSpaceDE w:val="0"/>
        <w:autoSpaceDN w:val="0"/>
        <w:adjustRightInd w:val="0"/>
        <w:ind w:firstLine="1205" w:firstLineChars="500"/>
        <w:jc w:val="left"/>
        <w:rPr>
          <w:rFonts w:hint="eastAsia" w:ascii="宋体" w:hAnsi="宋体" w:eastAsia="宋体" w:cs="宋体"/>
          <w:b/>
          <w:bCs/>
          <w:color w:val="auto"/>
          <w:sz w:val="24"/>
          <w:szCs w:val="24"/>
          <w:highlight w:val="none"/>
          <w:lang w:val="zh-CN"/>
        </w:rPr>
      </w:pPr>
    </w:p>
    <w:p>
      <w:pPr>
        <w:autoSpaceDE w:val="0"/>
        <w:autoSpaceDN w:val="0"/>
        <w:adjustRightInd w:val="0"/>
        <w:ind w:left="1060"/>
        <w:jc w:val="left"/>
        <w:rPr>
          <w:rFonts w:hint="eastAsia" w:ascii="宋体" w:hAnsi="宋体" w:eastAsia="宋体" w:cs="宋体"/>
          <w:b/>
          <w:bCs/>
          <w:color w:val="auto"/>
          <w:sz w:val="24"/>
          <w:szCs w:val="24"/>
          <w:highlight w:val="none"/>
          <w:lang w:val="zh-CN"/>
        </w:rPr>
      </w:pPr>
    </w:p>
    <w:p>
      <w:pPr>
        <w:autoSpaceDE w:val="0"/>
        <w:autoSpaceDN w:val="0"/>
        <w:adjustRightInd w:val="0"/>
        <w:jc w:val="left"/>
        <w:rPr>
          <w:rFonts w:hint="eastAsia" w:ascii="宋体" w:hAnsi="宋体" w:eastAsia="宋体" w:cs="宋体"/>
          <w:b/>
          <w:bCs/>
          <w:color w:val="auto"/>
          <w:sz w:val="24"/>
          <w:szCs w:val="24"/>
          <w:highlight w:val="none"/>
          <w:lang w:val="zh-CN"/>
        </w:rPr>
      </w:pPr>
    </w:p>
    <w:p>
      <w:pPr>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9、商务条款偏离表</w:t>
      </w:r>
    </w:p>
    <w:p>
      <w:pP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7"/>
        <w:gridCol w:w="2505"/>
        <w:gridCol w:w="2942"/>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69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招标文件编号</w:t>
            </w:r>
          </w:p>
        </w:tc>
        <w:tc>
          <w:tcPr>
            <w:tcW w:w="25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94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5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8"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7"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505" w:type="dxa"/>
            <w:noWrap w:val="0"/>
            <w:vAlign w:val="top"/>
          </w:tcPr>
          <w:p>
            <w:pPr>
              <w:rPr>
                <w:rFonts w:hint="eastAsia" w:ascii="宋体" w:hAnsi="宋体" w:eastAsia="宋体" w:cs="宋体"/>
                <w:color w:val="auto"/>
                <w:sz w:val="24"/>
                <w:szCs w:val="24"/>
                <w:highlight w:val="none"/>
              </w:rPr>
            </w:pPr>
          </w:p>
        </w:tc>
        <w:tc>
          <w:tcPr>
            <w:tcW w:w="2942" w:type="dxa"/>
            <w:noWrap w:val="0"/>
            <w:vAlign w:val="top"/>
          </w:tcPr>
          <w:p>
            <w:pPr>
              <w:rPr>
                <w:rFonts w:hint="eastAsia" w:ascii="宋体" w:hAnsi="宋体" w:eastAsia="宋体" w:cs="宋体"/>
                <w:color w:val="auto"/>
                <w:sz w:val="24"/>
                <w:szCs w:val="24"/>
                <w:highlight w:val="none"/>
              </w:rPr>
            </w:pPr>
          </w:p>
        </w:tc>
        <w:tc>
          <w:tcPr>
            <w:tcW w:w="2058"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98"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rPr>
                <w:rFonts w:hint="eastAsia" w:ascii="宋体" w:hAnsi="宋体" w:eastAsia="宋体" w:cs="宋体"/>
                <w:color w:val="auto"/>
                <w:sz w:val="24"/>
                <w:szCs w:val="24"/>
                <w:highlight w:val="none"/>
              </w:rPr>
            </w:pPr>
          </w:p>
        </w:tc>
        <w:tc>
          <w:tcPr>
            <w:tcW w:w="1307"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505" w:type="dxa"/>
            <w:noWrap w:val="0"/>
            <w:vAlign w:val="top"/>
          </w:tcPr>
          <w:p>
            <w:pPr>
              <w:rPr>
                <w:rFonts w:hint="eastAsia" w:ascii="宋体" w:hAnsi="宋体" w:eastAsia="宋体" w:cs="宋体"/>
                <w:color w:val="auto"/>
                <w:sz w:val="24"/>
                <w:szCs w:val="24"/>
                <w:highlight w:val="none"/>
              </w:rPr>
            </w:pPr>
          </w:p>
        </w:tc>
        <w:tc>
          <w:tcPr>
            <w:tcW w:w="2942" w:type="dxa"/>
            <w:noWrap w:val="0"/>
            <w:vAlign w:val="top"/>
          </w:tcPr>
          <w:p>
            <w:pPr>
              <w:rPr>
                <w:rFonts w:hint="eastAsia" w:ascii="宋体" w:hAnsi="宋体" w:eastAsia="宋体" w:cs="宋体"/>
                <w:color w:val="auto"/>
                <w:sz w:val="24"/>
                <w:szCs w:val="24"/>
                <w:highlight w:val="none"/>
              </w:rPr>
            </w:pPr>
          </w:p>
        </w:tc>
        <w:tc>
          <w:tcPr>
            <w:tcW w:w="2058" w:type="dxa"/>
            <w:noWrap w:val="0"/>
            <w:vAlign w:val="top"/>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8"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rPr>
                <w:rFonts w:hint="eastAsia" w:ascii="宋体" w:hAnsi="宋体" w:eastAsia="宋体" w:cs="宋体"/>
                <w:color w:val="auto"/>
                <w:sz w:val="24"/>
                <w:szCs w:val="24"/>
                <w:highlight w:val="none"/>
              </w:rPr>
            </w:pPr>
          </w:p>
        </w:tc>
        <w:tc>
          <w:tcPr>
            <w:tcW w:w="1307" w:type="dxa"/>
            <w:noWrap w:val="0"/>
            <w:vAlign w:val="top"/>
          </w:tcPr>
          <w:p>
            <w:pPr>
              <w:widowControl/>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tc>
        <w:tc>
          <w:tcPr>
            <w:tcW w:w="2505" w:type="dxa"/>
            <w:noWrap w:val="0"/>
            <w:vAlign w:val="top"/>
          </w:tcPr>
          <w:p>
            <w:pPr>
              <w:rPr>
                <w:rFonts w:hint="eastAsia" w:ascii="宋体" w:hAnsi="宋体" w:eastAsia="宋体" w:cs="宋体"/>
                <w:color w:val="auto"/>
                <w:sz w:val="24"/>
                <w:szCs w:val="24"/>
                <w:highlight w:val="none"/>
              </w:rPr>
            </w:pPr>
          </w:p>
        </w:tc>
        <w:tc>
          <w:tcPr>
            <w:tcW w:w="2942" w:type="dxa"/>
            <w:noWrap w:val="0"/>
            <w:vAlign w:val="top"/>
          </w:tcPr>
          <w:p>
            <w:pPr>
              <w:rPr>
                <w:rFonts w:hint="eastAsia" w:ascii="宋体" w:hAnsi="宋体" w:eastAsia="宋体" w:cs="宋体"/>
                <w:color w:val="auto"/>
                <w:sz w:val="24"/>
                <w:szCs w:val="24"/>
                <w:highlight w:val="none"/>
              </w:rPr>
            </w:pPr>
          </w:p>
        </w:tc>
        <w:tc>
          <w:tcPr>
            <w:tcW w:w="2058" w:type="dxa"/>
            <w:noWrap w:val="0"/>
            <w:vAlign w:val="top"/>
          </w:tcPr>
          <w:p>
            <w:pP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before="100" w:beforeAutospacing="1" w:after="100" w:afterAutospacing="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（公章）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pPr>
        <w:jc w:val="center"/>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4"/>
          <w:highlight w:val="none"/>
        </w:rPr>
        <w:t>10、</w:t>
      </w:r>
      <w:r>
        <w:rPr>
          <w:rFonts w:hint="eastAsia" w:ascii="宋体" w:hAnsi="宋体" w:eastAsia="宋体" w:cs="宋体"/>
          <w:b/>
          <w:color w:val="auto"/>
          <w:kern w:val="0"/>
          <w:sz w:val="24"/>
          <w:szCs w:val="24"/>
          <w:highlight w:val="none"/>
          <w:lang w:val="zh-CN"/>
        </w:rPr>
        <w:t>投标单位（供应商）反商业贿赂承诺书</w:t>
      </w:r>
    </w:p>
    <w:p>
      <w:pPr>
        <w:autoSpaceDE w:val="0"/>
        <w:autoSpaceDN w:val="0"/>
        <w:adjustRightInd w:val="0"/>
        <w:ind w:left="22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号（和田</w:t>
      </w:r>
      <w:r>
        <w:rPr>
          <w:rFonts w:hint="eastAsia" w:ascii="宋体" w:hAnsi="宋体" w:eastAsia="宋体" w:cs="宋体"/>
          <w:color w:val="auto"/>
          <w:kern w:val="0"/>
          <w:sz w:val="24"/>
          <w:szCs w:val="24"/>
          <w:highlight w:val="none"/>
          <w:lang w:val="en-US" w:eastAsia="zh-CN"/>
        </w:rPr>
        <w:t>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项目）招标活动中，我公司承诺如下 ：  </w:t>
      </w:r>
    </w:p>
    <w:p>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2、不与投标人相互勾结私下协议，弄虚作假，搞假招标、陪标、串通投标，明招暗定，暗箱操作。</w:t>
      </w:r>
    </w:p>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3、我公司法人及项目参与人员有亲戚担任业主方副科级以上领导职务时，自愿放弃此次投标权。</w:t>
      </w:r>
    </w:p>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如有上述行为，一经发现，我公司及项目参与人员愿意按照《政府采购法》、《招投标法》、《反不正当竞争法》的有关规定接受处罚。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公司法人代表：（签字）</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法人授权代表：（签字）</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 经 理： （签字）</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autoSpaceDE w:val="0"/>
        <w:autoSpaceDN w:val="0"/>
        <w:adjustRightInd w:val="0"/>
        <w:spacing w:line="360" w:lineRule="auto"/>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       公司签章       </w:t>
      </w:r>
    </w:p>
    <w:p>
      <w:pPr>
        <w:autoSpaceDE w:val="0"/>
        <w:autoSpaceDN w:val="0"/>
        <w:adjustRightInd w:val="0"/>
        <w:spacing w:line="360" w:lineRule="auto"/>
        <w:ind w:left="221"/>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年      月     日</w:t>
      </w:r>
    </w:p>
    <w:p>
      <w:pPr>
        <w:autoSpaceDE w:val="0"/>
        <w:autoSpaceDN w:val="0"/>
        <w:adjustRightInd w:val="0"/>
        <w:ind w:firstLine="600" w:firstLineChars="250"/>
        <w:rPr>
          <w:rFonts w:hint="eastAsia" w:ascii="宋体" w:hAnsi="宋体" w:eastAsia="宋体" w:cs="宋体"/>
          <w:color w:val="auto"/>
          <w:kern w:val="0"/>
          <w:sz w:val="24"/>
          <w:szCs w:val="24"/>
          <w:highlight w:val="none"/>
        </w:rPr>
      </w:pPr>
    </w:p>
    <w:p>
      <w:pPr>
        <w:autoSpaceDE w:val="0"/>
        <w:autoSpaceDN w:val="0"/>
        <w:adjustRightInd w:val="0"/>
        <w:ind w:firstLine="600" w:firstLineChars="250"/>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7"/>
        <w:rPr>
          <w:rFonts w:hint="eastAsia" w:ascii="宋体" w:hAnsi="宋体" w:eastAsia="宋体" w:cs="宋体"/>
          <w:color w:val="auto"/>
          <w:kern w:val="0"/>
          <w:sz w:val="24"/>
          <w:szCs w:val="24"/>
          <w:highlight w:val="none"/>
        </w:rPr>
      </w:pPr>
    </w:p>
    <w:p>
      <w:pP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11、服务承诺书</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zh-CN"/>
        </w:rPr>
        <w:t>和田县自然资源局</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w:t>
      </w:r>
      <w:r>
        <w:rPr>
          <w:rFonts w:hint="eastAsia" w:ascii="宋体" w:hAnsi="宋体" w:eastAsia="宋体" w:cs="宋体"/>
          <w:color w:val="auto"/>
          <w:kern w:val="0"/>
          <w:sz w:val="24"/>
          <w:szCs w:val="24"/>
          <w:highlight w:val="none"/>
          <w:u w:val="single"/>
          <w:lang w:eastAsia="zh-CN"/>
        </w:rPr>
        <w:t>和田县一万亩补充耕地项目施工监理和审计服务采购招标（包二）</w:t>
      </w:r>
      <w:r>
        <w:rPr>
          <w:rFonts w:hint="eastAsia" w:ascii="宋体" w:hAnsi="宋体" w:eastAsia="宋体" w:cs="宋体"/>
          <w:color w:val="auto"/>
          <w:kern w:val="0"/>
          <w:sz w:val="24"/>
          <w:szCs w:val="24"/>
          <w:highlight w:val="none"/>
          <w:lang w:eastAsia="zh-CN"/>
        </w:rPr>
        <w:t>公开招标</w:t>
      </w:r>
      <w:r>
        <w:rPr>
          <w:rFonts w:hint="eastAsia" w:ascii="宋体" w:hAnsi="宋体" w:eastAsia="宋体" w:cs="宋体"/>
          <w:color w:val="auto"/>
          <w:sz w:val="24"/>
          <w:szCs w:val="24"/>
          <w:highlight w:val="none"/>
        </w:rPr>
        <w:t>投标人，在此郑重承诺：如果在此次投标过程中或者在中标后，招标人或者有管辖权的招标投标行政监管机构发现并查实我公司在所填报的该项目投标文件中存在提供虚假或不真实的信息或者伪造数据、资料或证书等情况，不管招标人或有管辖权的招标投标监管机构是否有合法的处罚依据，我公司将无条件地自动放弃该项目地投标资格和中标资格；如我单位成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候选人，在2019-2020年度如我公司</w:t>
      </w:r>
      <w:r>
        <w:rPr>
          <w:rFonts w:hint="eastAsia" w:ascii="宋体" w:hAnsi="宋体" w:eastAsia="宋体" w:cs="宋体"/>
          <w:color w:val="auto"/>
          <w:sz w:val="24"/>
          <w:szCs w:val="24"/>
          <w:highlight w:val="none"/>
        </w:rPr>
        <w:t>因企业名称、资质等级、企业法人、注册资金和性质、主管人员、投标人员、办公地点等情况发生变化，我公司会在发生变化后5日内以书面形式通知审计机关，上述内容发生变化后，不能满足审计机关规定的条件，我公司的该项目中标资格自动解除。在2019-2020年度如我公司被有关行政管理部门、行业协会、司法机构给予处理、处罚或追究法律责任，我公司中标资格自动解除。我公司无条件地承认，我公司所收到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通知书为无效文件，对招标人不具备任何法律约束力；如发生上述几种情况由此造成的任何后果和损失均由我公司承担。</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我公司郑重承诺：如我公司成为</w:t>
      </w:r>
      <w:r>
        <w:rPr>
          <w:rFonts w:hint="eastAsia" w:ascii="宋体" w:hAnsi="宋体" w:eastAsia="宋体" w:cs="宋体"/>
          <w:color w:val="auto"/>
          <w:sz w:val="24"/>
          <w:szCs w:val="24"/>
          <w:highlight w:val="none"/>
          <w:lang w:val="zh-CN"/>
        </w:rPr>
        <w:t>和田县自然资源局</w:t>
      </w:r>
      <w:r>
        <w:rPr>
          <w:rFonts w:hint="eastAsia" w:ascii="宋体" w:hAnsi="宋体" w:eastAsia="宋体" w:cs="宋体"/>
          <w:color w:val="auto"/>
          <w:sz w:val="24"/>
          <w:szCs w:val="24"/>
          <w:highlight w:val="none"/>
        </w:rPr>
        <w:t>审计服务机构中标单位，参与审计机关组织实施的审计项目，参审人员将起到以审代培的作用，在审计期间必</w:t>
      </w:r>
      <w:r>
        <w:rPr>
          <w:rFonts w:hint="eastAsia" w:ascii="宋体" w:hAnsi="宋体" w:eastAsia="宋体" w:cs="宋体"/>
          <w:color w:val="auto"/>
          <w:sz w:val="24"/>
          <w:szCs w:val="24"/>
          <w:highlight w:val="none"/>
        </w:rPr>
        <w:t>须服从审计机关的领导和管理。</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以上承诺是我公司投标文件的有效组成内容，也是我公司在以后与</w:t>
      </w:r>
      <w:r>
        <w:rPr>
          <w:rFonts w:hint="eastAsia" w:ascii="宋体" w:hAnsi="宋体" w:eastAsia="宋体" w:cs="宋体"/>
          <w:color w:val="auto"/>
          <w:sz w:val="24"/>
          <w:szCs w:val="24"/>
          <w:highlight w:val="none"/>
          <w:lang w:val="zh-CN"/>
        </w:rPr>
        <w:t>和田县自然资源局</w:t>
      </w:r>
      <w:r>
        <w:rPr>
          <w:rFonts w:hint="eastAsia" w:ascii="宋体" w:hAnsi="宋体" w:eastAsia="宋体" w:cs="宋体"/>
          <w:color w:val="auto"/>
          <w:sz w:val="24"/>
          <w:szCs w:val="24"/>
          <w:highlight w:val="none"/>
        </w:rPr>
        <w:t>签订有关协议有效组成内容，是我公司真实意思表示，对我公司在该项目有关的任何行为中始终具有优先的法律约束力。</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如您们需要我们提供任何进一步资料，请与下述人员联系：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职务：</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联系电话和地址：</w:t>
      </w:r>
    </w:p>
    <w:p>
      <w:pPr>
        <w:spacing w:line="360" w:lineRule="auto"/>
        <w:jc w:val="left"/>
        <w:rPr>
          <w:rFonts w:hint="eastAsia" w:ascii="宋体" w:hAnsi="宋体" w:eastAsia="宋体" w:cs="宋体"/>
          <w:color w:val="auto"/>
          <w:sz w:val="24"/>
          <w:szCs w:val="24"/>
          <w:highlight w:val="none"/>
        </w:rPr>
      </w:pPr>
    </w:p>
    <w:p>
      <w:pPr>
        <w:spacing w:line="6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spacing w:line="6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spacing w:line="6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jc w:val="left"/>
        <w:rPr>
          <w:rFonts w:hint="eastAsia" w:ascii="宋体" w:hAnsi="宋体" w:eastAsia="宋体" w:cs="宋体"/>
          <w:color w:val="auto"/>
          <w:sz w:val="24"/>
          <w:szCs w:val="24"/>
          <w:highlight w:val="none"/>
        </w:rPr>
      </w:pPr>
    </w:p>
    <w:p>
      <w:pPr>
        <w:autoSpaceDE w:val="0"/>
        <w:autoSpaceDN w:val="0"/>
        <w:adjustRightInd w:val="0"/>
        <w:spacing w:line="480" w:lineRule="auto"/>
        <w:ind w:firstLine="602" w:firstLineChars="25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12、投标人企业信誉证明文件；</w:t>
      </w:r>
    </w:p>
    <w:p>
      <w:pPr>
        <w:autoSpaceDE w:val="0"/>
        <w:autoSpaceDN w:val="0"/>
        <w:adjustRightInd w:val="0"/>
        <w:spacing w:line="480" w:lineRule="auto"/>
        <w:ind w:firstLine="602" w:firstLineChars="25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13、通过国家或国际认证资格证书（如有，提供复印件）；</w:t>
      </w:r>
    </w:p>
    <w:p>
      <w:pPr>
        <w:autoSpaceDE w:val="0"/>
        <w:autoSpaceDN w:val="0"/>
        <w:adjustRightInd w:val="0"/>
        <w:spacing w:line="480" w:lineRule="auto"/>
        <w:ind w:firstLine="602" w:firstLineChars="25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14、投标保证金收据复印件或银行回执单等有效证明文件；</w:t>
      </w:r>
    </w:p>
    <w:p>
      <w:pPr>
        <w:autoSpaceDE w:val="0"/>
        <w:autoSpaceDN w:val="0"/>
        <w:adjustRightInd w:val="0"/>
        <w:spacing w:line="480" w:lineRule="auto"/>
        <w:ind w:firstLine="602" w:firstLineChars="25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15、提供会计事务所出具2020年度财务审计报告；</w:t>
      </w:r>
    </w:p>
    <w:p>
      <w:pPr>
        <w:autoSpaceDE w:val="0"/>
        <w:autoSpaceDN w:val="0"/>
        <w:adjustRightInd w:val="0"/>
        <w:spacing w:line="480" w:lineRule="auto"/>
        <w:ind w:firstLine="602" w:firstLineChars="25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、投标企业认为有必要提供的声明及文件资料；</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autoSpaceDE w:val="0"/>
        <w:autoSpaceDN w:val="0"/>
        <w:adjustRightInd w:val="0"/>
        <w:ind w:left="220" w:leftChars="105" w:firstLine="361" w:firstLineChars="150"/>
        <w:jc w:val="left"/>
        <w:rPr>
          <w:rFonts w:hint="eastAsia" w:ascii="宋体" w:hAnsi="宋体" w:eastAsia="宋体" w:cs="宋体"/>
          <w:b/>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审计实施方案</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应包括保障完成工程竣工结算审计、审计的任务和内容的实施方案等。质量保证措施主要包括质量和进度计划的保证措施，人员专业性配置、履行的职责、保密措施、廉洁 措施等，其深度应能满足评标要求；（投标人自行编制）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工程竣工结算审计的组织方案应包括下列内容：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1、工程竣工结算审计审计的概况及特点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2、工程竣工结算审计审计的具体方案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3、工程竣工结算审计审计的进度计划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4、工程竣工结算审计审计的重点、难点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5、工程竣工结算审计的服务质量保证技术组织措施和保证体系及承诺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6、工程竣工结算审计的进度保证技术组织措施和保证体系及工期承诺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7、工程竣工结算审计的控制技术组织措施和保证体系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8、工程竣工结算审计的保密措施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9、工程竣工结算审计的廉洁措施。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投标单位：         （公章）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法定代表人或授权代表人（签字盖章）：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    期：   年    月   日</w:t>
      </w:r>
    </w:p>
    <w:p>
      <w:pPr>
        <w:ind w:right="480"/>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8"/>
        <w:rPr>
          <w:rFonts w:hint="eastAsia" w:ascii="宋体" w:hAnsi="宋体" w:eastAsia="宋体" w:cs="宋体"/>
          <w:color w:val="auto"/>
          <w:sz w:val="24"/>
          <w:szCs w:val="24"/>
          <w:highlight w:val="none"/>
        </w:rPr>
      </w:pPr>
    </w:p>
    <w:p>
      <w:pPr>
        <w:ind w:right="480"/>
        <w:rPr>
          <w:rFonts w:hint="eastAsia" w:ascii="宋体" w:hAnsi="宋体" w:eastAsia="宋体" w:cs="宋体"/>
          <w:color w:val="auto"/>
          <w:sz w:val="24"/>
          <w:szCs w:val="24"/>
          <w:highlight w:val="none"/>
        </w:rPr>
      </w:pPr>
    </w:p>
    <w:bookmarkEnd w:id="211"/>
    <w:sectPr>
      <w:footerReference r:id="rId17" w:type="first"/>
      <w:footerReference r:id="rId16" w:type="default"/>
      <w:footnotePr>
        <w:numFmt w:val="decimalHalfWidth"/>
      </w:footnotePr>
      <w:endnotePr>
        <w:numFmt w:val="chineseCounting"/>
      </w:endnotePr>
      <w:pgSz w:w="11906" w:h="16838"/>
      <w:pgMar w:top="1134" w:right="1304" w:bottom="1134" w:left="1304" w:header="850" w:footer="850" w:gutter="0"/>
      <w:cols w:space="720" w:num="1"/>
      <w:titlePg/>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29235" cy="147955"/>
              <wp:effectExtent l="0" t="0" r="0" b="0"/>
              <wp:wrapNone/>
              <wp:docPr id="9" name="文本框 116"/>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a:noFill/>
                      </a:ln>
                    </wps:spPr>
                    <wps:txbx>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17</w:t>
                          </w:r>
                          <w:r>
                            <w:rPr>
                              <w:rFonts w:hint="eastAsia"/>
                              <w:sz w:val="18"/>
                            </w:rPr>
                            <w:fldChar w:fldCharType="end"/>
                          </w:r>
                          <w:r>
                            <w:rPr>
                              <w:rFonts w:hint="eastAsia"/>
                              <w:sz w:val="18"/>
                            </w:rPr>
                            <w:t>-</w:t>
                          </w:r>
                        </w:p>
                      </w:txbxContent>
                    </wps:txbx>
                    <wps:bodyPr wrap="none" lIns="0" tIns="0" rIns="0" bIns="0" upright="1">
                      <a:spAutoFit/>
                    </wps:bodyPr>
                  </wps:wsp>
                </a:graphicData>
              </a:graphic>
            </wp:anchor>
          </w:drawing>
        </mc:Choice>
        <mc:Fallback>
          <w:pict>
            <v:shape id="文本框 116" o:spid="_x0000_s1026" o:spt="202" type="#_x0000_t202" style="position:absolute;left:0pt;margin-top:0pt;height:11.65pt;width:18.05pt;mso-position-horizontal:center;mso-position-horizontal-relative:margin;mso-wrap-style:none;z-index:251662336;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8aPB0QAAAAMBAAAPAAAAAAAAAAEAIAAAACIAAABkcnMv&#10;ZG93bnJldi54bWxQSwECFAAUAAAACACHTuJAs3CUyNEBAACZAwAADgAAAAAAAAABACAAAAAg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zh-CN"/>
                      </w:rPr>
                      <w:t>17</w:t>
                    </w:r>
                    <w:r>
                      <w:rPr>
                        <w:rFonts w:hint="eastAsia"/>
                        <w:sz w:val="18"/>
                      </w:rPr>
                      <w:fldChar w:fldCharType="end"/>
                    </w:r>
                    <w:r>
                      <w:rPr>
                        <w:rFonts w:hint="eastAsia"/>
                        <w:sz w:val="1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wdY6/1AEAAKUDAAAOAAAAAAAAAAEAIAAA&#10;ACIBAABkcnMvZTJvRG9jLnhtbFBLBQYAAAAABgAGAFkBAABoBQAAAAA=&#10;">
              <v:fill on="f" focussize="0,0"/>
              <v:stroke on="f" weight="1.25pt"/>
              <v:imagedata o:title=""/>
              <o:lock v:ext="edit" aspectratio="f"/>
              <v:textbox inset="0mm,0mm,0mm,0mm" style="mso-fit-shape-to-text:t;">
                <w:txbxContent>
                  <w:p>
                    <w:pPr>
                      <w:pStyle w:val="12"/>
                      <w:rPr>
                        <w:rFonts w:hint="eastAsia"/>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wg7AbTAQAApQMAAA4AAAAAAAAAAQAgAAAA&#10;IgEAAGRycy9lMm9Eb2MueG1sUEsFBgAAAAAGAAYAWQEAAGcFAAAAAA==&#10;">
              <v:fill on="f" focussize="0,0"/>
              <v:stroke on="f" weight="1.25pt"/>
              <v:imagedata o:title=""/>
              <o:lock v:ext="edit" aspectratio="f"/>
              <v:textbox inset="0mm,0mm,0mm,0mm" style="mso-fit-shape-to-text:t;">
                <w:txbxContent>
                  <w:p>
                    <w:pPr>
                      <w:pStyle w:val="12"/>
                      <w:rPr>
                        <w:rFonts w:hint="eastAsia"/>
                      </w:rP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ascii="Calibri" w:hAnsi="Calibri"/>
      </w:rPr>
      <w:t>4</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XnoIQ1AEAAKUDAAAOAAAAAAAAAAEAIAAA&#10;ACIBAABkcnMvZTJvRG9jLnhtbFBLBQYAAAAABgAGAFkBAABoBQAAAAA=&#10;">
              <v:fill on="f" focussize="0,0"/>
              <v:stroke on="f" weight="1.25pt"/>
              <v:imagedata o:title=""/>
              <o:lock v:ext="edit" aspectratio="f"/>
              <v:textbox inset="0mm,0mm,0mm,0mm" style="mso-fit-shape-to-text:t;">
                <w:txbxContent>
                  <w:p>
                    <w:pPr>
                      <w:pStyle w:val="12"/>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5808D697"/>
    <w:multiLevelType w:val="singleLevel"/>
    <w:tmpl w:val="5808D697"/>
    <w:lvl w:ilvl="0" w:tentative="0">
      <w:start w:val="12"/>
      <w:numFmt w:val="decimal"/>
      <w:suff w:val="nothing"/>
      <w:lvlText w:val="%1、"/>
      <w:lvlJc w:val="left"/>
    </w:lvl>
  </w:abstractNum>
  <w:abstractNum w:abstractNumId="2">
    <w:nsid w:val="58B79D08"/>
    <w:multiLevelType w:val="singleLevel"/>
    <w:tmpl w:val="58B79D08"/>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275"/>
    <w:rsid w:val="00040AFA"/>
    <w:rsid w:val="00044BCB"/>
    <w:rsid w:val="00044C60"/>
    <w:rsid w:val="00065F51"/>
    <w:rsid w:val="000800D9"/>
    <w:rsid w:val="000C1FD1"/>
    <w:rsid w:val="000F224A"/>
    <w:rsid w:val="000F2E53"/>
    <w:rsid w:val="00104A7D"/>
    <w:rsid w:val="0011156E"/>
    <w:rsid w:val="00126166"/>
    <w:rsid w:val="00127A2F"/>
    <w:rsid w:val="00134B0B"/>
    <w:rsid w:val="001469EC"/>
    <w:rsid w:val="00157D11"/>
    <w:rsid w:val="00166BF8"/>
    <w:rsid w:val="00192908"/>
    <w:rsid w:val="00192D78"/>
    <w:rsid w:val="001B2A68"/>
    <w:rsid w:val="001D29FB"/>
    <w:rsid w:val="001E7153"/>
    <w:rsid w:val="002364B6"/>
    <w:rsid w:val="002417A4"/>
    <w:rsid w:val="002447CA"/>
    <w:rsid w:val="00251914"/>
    <w:rsid w:val="002636E9"/>
    <w:rsid w:val="002662EA"/>
    <w:rsid w:val="00285A60"/>
    <w:rsid w:val="002B064F"/>
    <w:rsid w:val="002C2BF9"/>
    <w:rsid w:val="002C2F7A"/>
    <w:rsid w:val="002C6AE5"/>
    <w:rsid w:val="002F33B3"/>
    <w:rsid w:val="00305005"/>
    <w:rsid w:val="00357411"/>
    <w:rsid w:val="00373E9B"/>
    <w:rsid w:val="003A1C49"/>
    <w:rsid w:val="003B6120"/>
    <w:rsid w:val="00421FF8"/>
    <w:rsid w:val="00425EB7"/>
    <w:rsid w:val="00461A04"/>
    <w:rsid w:val="004A6D6C"/>
    <w:rsid w:val="004B7B8E"/>
    <w:rsid w:val="004C6837"/>
    <w:rsid w:val="004F6B7E"/>
    <w:rsid w:val="005257CA"/>
    <w:rsid w:val="005343A1"/>
    <w:rsid w:val="00535A9B"/>
    <w:rsid w:val="005429A1"/>
    <w:rsid w:val="00544B2F"/>
    <w:rsid w:val="0054546D"/>
    <w:rsid w:val="00546E26"/>
    <w:rsid w:val="00580EBF"/>
    <w:rsid w:val="005A45B9"/>
    <w:rsid w:val="005B02D7"/>
    <w:rsid w:val="005B3E3C"/>
    <w:rsid w:val="005C7A7B"/>
    <w:rsid w:val="005C7FFA"/>
    <w:rsid w:val="005D40FE"/>
    <w:rsid w:val="005D44D9"/>
    <w:rsid w:val="005E0C68"/>
    <w:rsid w:val="005F47C7"/>
    <w:rsid w:val="00603699"/>
    <w:rsid w:val="00605A27"/>
    <w:rsid w:val="00645D8F"/>
    <w:rsid w:val="00655A35"/>
    <w:rsid w:val="0065627D"/>
    <w:rsid w:val="00672E06"/>
    <w:rsid w:val="00680947"/>
    <w:rsid w:val="006823B9"/>
    <w:rsid w:val="006902E1"/>
    <w:rsid w:val="006959DD"/>
    <w:rsid w:val="006C0ADF"/>
    <w:rsid w:val="006E0869"/>
    <w:rsid w:val="006F7C8E"/>
    <w:rsid w:val="00707E13"/>
    <w:rsid w:val="00716D67"/>
    <w:rsid w:val="00724E54"/>
    <w:rsid w:val="00742F39"/>
    <w:rsid w:val="007517DA"/>
    <w:rsid w:val="007543AF"/>
    <w:rsid w:val="007619DD"/>
    <w:rsid w:val="00775A02"/>
    <w:rsid w:val="007964D1"/>
    <w:rsid w:val="007A4127"/>
    <w:rsid w:val="007A602D"/>
    <w:rsid w:val="007B0C64"/>
    <w:rsid w:val="007C4579"/>
    <w:rsid w:val="007C4780"/>
    <w:rsid w:val="007E15E7"/>
    <w:rsid w:val="007F60A9"/>
    <w:rsid w:val="00801294"/>
    <w:rsid w:val="00831E47"/>
    <w:rsid w:val="00842E3D"/>
    <w:rsid w:val="00894620"/>
    <w:rsid w:val="008A6450"/>
    <w:rsid w:val="008B57E4"/>
    <w:rsid w:val="008C245B"/>
    <w:rsid w:val="008F4131"/>
    <w:rsid w:val="00904A6C"/>
    <w:rsid w:val="0091104B"/>
    <w:rsid w:val="009D55D7"/>
    <w:rsid w:val="009D565C"/>
    <w:rsid w:val="009E7CCD"/>
    <w:rsid w:val="00A02CFB"/>
    <w:rsid w:val="00A128F7"/>
    <w:rsid w:val="00A164B6"/>
    <w:rsid w:val="00A360C5"/>
    <w:rsid w:val="00A42F6F"/>
    <w:rsid w:val="00A433B6"/>
    <w:rsid w:val="00A44EC6"/>
    <w:rsid w:val="00A70320"/>
    <w:rsid w:val="00A7728B"/>
    <w:rsid w:val="00A823A5"/>
    <w:rsid w:val="00A87B2A"/>
    <w:rsid w:val="00AA3D6D"/>
    <w:rsid w:val="00B13FF0"/>
    <w:rsid w:val="00B20734"/>
    <w:rsid w:val="00B27427"/>
    <w:rsid w:val="00B442B7"/>
    <w:rsid w:val="00B528AA"/>
    <w:rsid w:val="00B737F8"/>
    <w:rsid w:val="00B73D5B"/>
    <w:rsid w:val="00B81E07"/>
    <w:rsid w:val="00B84DDD"/>
    <w:rsid w:val="00B87830"/>
    <w:rsid w:val="00B93BE4"/>
    <w:rsid w:val="00B97D3E"/>
    <w:rsid w:val="00BA0621"/>
    <w:rsid w:val="00BA57BA"/>
    <w:rsid w:val="00BB5E51"/>
    <w:rsid w:val="00BC5D41"/>
    <w:rsid w:val="00BE1CEA"/>
    <w:rsid w:val="00BF6A67"/>
    <w:rsid w:val="00C044F2"/>
    <w:rsid w:val="00C16E94"/>
    <w:rsid w:val="00C219C9"/>
    <w:rsid w:val="00C3238D"/>
    <w:rsid w:val="00C37218"/>
    <w:rsid w:val="00C377A9"/>
    <w:rsid w:val="00C606C2"/>
    <w:rsid w:val="00C7579F"/>
    <w:rsid w:val="00C87999"/>
    <w:rsid w:val="00C92FC2"/>
    <w:rsid w:val="00CA61B4"/>
    <w:rsid w:val="00CC0602"/>
    <w:rsid w:val="00CC2C02"/>
    <w:rsid w:val="00CE7A9C"/>
    <w:rsid w:val="00D30CF5"/>
    <w:rsid w:val="00D31934"/>
    <w:rsid w:val="00D42DCA"/>
    <w:rsid w:val="00D45F16"/>
    <w:rsid w:val="00D535E5"/>
    <w:rsid w:val="00D565BE"/>
    <w:rsid w:val="00D60EFD"/>
    <w:rsid w:val="00D73195"/>
    <w:rsid w:val="00D7515C"/>
    <w:rsid w:val="00D75EEF"/>
    <w:rsid w:val="00D95580"/>
    <w:rsid w:val="00D967F3"/>
    <w:rsid w:val="00DA02E7"/>
    <w:rsid w:val="00DA4CC4"/>
    <w:rsid w:val="00DB6C1E"/>
    <w:rsid w:val="00DF6272"/>
    <w:rsid w:val="00E57036"/>
    <w:rsid w:val="00E76FA0"/>
    <w:rsid w:val="00E954A8"/>
    <w:rsid w:val="00EA17C5"/>
    <w:rsid w:val="00EB549A"/>
    <w:rsid w:val="00EB603E"/>
    <w:rsid w:val="00ED5F64"/>
    <w:rsid w:val="00EF7A20"/>
    <w:rsid w:val="00F27364"/>
    <w:rsid w:val="00F4673E"/>
    <w:rsid w:val="00F46D59"/>
    <w:rsid w:val="00F51593"/>
    <w:rsid w:val="00F52729"/>
    <w:rsid w:val="00F65A1B"/>
    <w:rsid w:val="00F71315"/>
    <w:rsid w:val="00F80E02"/>
    <w:rsid w:val="00F85E97"/>
    <w:rsid w:val="00F96EDC"/>
    <w:rsid w:val="00FD1C4B"/>
    <w:rsid w:val="00FD37F7"/>
    <w:rsid w:val="01623555"/>
    <w:rsid w:val="01711A8F"/>
    <w:rsid w:val="01A4682D"/>
    <w:rsid w:val="01C741D1"/>
    <w:rsid w:val="02724EDA"/>
    <w:rsid w:val="02C016D2"/>
    <w:rsid w:val="02C61358"/>
    <w:rsid w:val="031D6490"/>
    <w:rsid w:val="034A00CF"/>
    <w:rsid w:val="034A30ED"/>
    <w:rsid w:val="035212A8"/>
    <w:rsid w:val="03573508"/>
    <w:rsid w:val="03785405"/>
    <w:rsid w:val="03E45911"/>
    <w:rsid w:val="03EC5951"/>
    <w:rsid w:val="03F10DDB"/>
    <w:rsid w:val="03FE2F50"/>
    <w:rsid w:val="040E6C97"/>
    <w:rsid w:val="04433A31"/>
    <w:rsid w:val="045B4619"/>
    <w:rsid w:val="04E423FD"/>
    <w:rsid w:val="05151273"/>
    <w:rsid w:val="052C1273"/>
    <w:rsid w:val="053B4A0E"/>
    <w:rsid w:val="053D7925"/>
    <w:rsid w:val="054567CB"/>
    <w:rsid w:val="054661AD"/>
    <w:rsid w:val="054F67E4"/>
    <w:rsid w:val="05525437"/>
    <w:rsid w:val="05792D8F"/>
    <w:rsid w:val="061649B9"/>
    <w:rsid w:val="06501AF7"/>
    <w:rsid w:val="067A4552"/>
    <w:rsid w:val="06B409AA"/>
    <w:rsid w:val="06C81AEA"/>
    <w:rsid w:val="06EE5133"/>
    <w:rsid w:val="07454D3A"/>
    <w:rsid w:val="077638FC"/>
    <w:rsid w:val="07775437"/>
    <w:rsid w:val="079B78C3"/>
    <w:rsid w:val="079D051F"/>
    <w:rsid w:val="07B71C20"/>
    <w:rsid w:val="07BD6C23"/>
    <w:rsid w:val="087151F9"/>
    <w:rsid w:val="08920AC3"/>
    <w:rsid w:val="09337B0E"/>
    <w:rsid w:val="093E0879"/>
    <w:rsid w:val="097B5724"/>
    <w:rsid w:val="09A90CA4"/>
    <w:rsid w:val="09F10115"/>
    <w:rsid w:val="09FA308F"/>
    <w:rsid w:val="0A0B6856"/>
    <w:rsid w:val="0A5375D4"/>
    <w:rsid w:val="0A56303A"/>
    <w:rsid w:val="0B122C47"/>
    <w:rsid w:val="0B515123"/>
    <w:rsid w:val="0B594218"/>
    <w:rsid w:val="0B695F62"/>
    <w:rsid w:val="0B893F6C"/>
    <w:rsid w:val="0B996F7E"/>
    <w:rsid w:val="0B9B18C0"/>
    <w:rsid w:val="0BFB5C9F"/>
    <w:rsid w:val="0C024486"/>
    <w:rsid w:val="0C3C6EBF"/>
    <w:rsid w:val="0CB71CB1"/>
    <w:rsid w:val="0CBC718E"/>
    <w:rsid w:val="0CD127ED"/>
    <w:rsid w:val="0CE5724F"/>
    <w:rsid w:val="0D3F6C7E"/>
    <w:rsid w:val="0D67658E"/>
    <w:rsid w:val="0D8B2B38"/>
    <w:rsid w:val="0E0E1702"/>
    <w:rsid w:val="0E653B0B"/>
    <w:rsid w:val="0E7F583F"/>
    <w:rsid w:val="0E8D4238"/>
    <w:rsid w:val="0E944526"/>
    <w:rsid w:val="0EB813FB"/>
    <w:rsid w:val="0EF9713C"/>
    <w:rsid w:val="0F3F1C4B"/>
    <w:rsid w:val="0F6272D1"/>
    <w:rsid w:val="0F8F5C8F"/>
    <w:rsid w:val="0FC862F6"/>
    <w:rsid w:val="0FF55326"/>
    <w:rsid w:val="10135C67"/>
    <w:rsid w:val="103D402F"/>
    <w:rsid w:val="103D75A1"/>
    <w:rsid w:val="105643C0"/>
    <w:rsid w:val="109F2C0A"/>
    <w:rsid w:val="10A47D6A"/>
    <w:rsid w:val="10AB1DC9"/>
    <w:rsid w:val="10E13651"/>
    <w:rsid w:val="110170F5"/>
    <w:rsid w:val="11031D1F"/>
    <w:rsid w:val="11195BD9"/>
    <w:rsid w:val="111C7165"/>
    <w:rsid w:val="113F4D18"/>
    <w:rsid w:val="114B5BA3"/>
    <w:rsid w:val="11715DF7"/>
    <w:rsid w:val="118268F8"/>
    <w:rsid w:val="11E11432"/>
    <w:rsid w:val="11ED27D5"/>
    <w:rsid w:val="12101949"/>
    <w:rsid w:val="121052C3"/>
    <w:rsid w:val="123637F5"/>
    <w:rsid w:val="123E2107"/>
    <w:rsid w:val="126834AC"/>
    <w:rsid w:val="127C3C0A"/>
    <w:rsid w:val="12B516B5"/>
    <w:rsid w:val="12EC76EF"/>
    <w:rsid w:val="133D4922"/>
    <w:rsid w:val="135F6A8F"/>
    <w:rsid w:val="13A04C5A"/>
    <w:rsid w:val="13A30EE0"/>
    <w:rsid w:val="13AD1B47"/>
    <w:rsid w:val="13B366DB"/>
    <w:rsid w:val="141C4FF9"/>
    <w:rsid w:val="14452B76"/>
    <w:rsid w:val="144F533C"/>
    <w:rsid w:val="147E1422"/>
    <w:rsid w:val="14986E4B"/>
    <w:rsid w:val="149B0C7A"/>
    <w:rsid w:val="14D5496E"/>
    <w:rsid w:val="15012F6D"/>
    <w:rsid w:val="154C5CF5"/>
    <w:rsid w:val="158832FC"/>
    <w:rsid w:val="159E016B"/>
    <w:rsid w:val="15A16711"/>
    <w:rsid w:val="15EB63C1"/>
    <w:rsid w:val="160062CA"/>
    <w:rsid w:val="164A397D"/>
    <w:rsid w:val="165258A4"/>
    <w:rsid w:val="165D60E0"/>
    <w:rsid w:val="16600B51"/>
    <w:rsid w:val="16CA4513"/>
    <w:rsid w:val="17174F0E"/>
    <w:rsid w:val="173D65FB"/>
    <w:rsid w:val="174D12C7"/>
    <w:rsid w:val="17667240"/>
    <w:rsid w:val="1767749A"/>
    <w:rsid w:val="17B20A74"/>
    <w:rsid w:val="180D432F"/>
    <w:rsid w:val="188C05F6"/>
    <w:rsid w:val="189F5775"/>
    <w:rsid w:val="18D102A3"/>
    <w:rsid w:val="18E5523E"/>
    <w:rsid w:val="1941350B"/>
    <w:rsid w:val="19464028"/>
    <w:rsid w:val="195255E8"/>
    <w:rsid w:val="197F50EC"/>
    <w:rsid w:val="19A909AF"/>
    <w:rsid w:val="19AE3725"/>
    <w:rsid w:val="19CB539B"/>
    <w:rsid w:val="19E23584"/>
    <w:rsid w:val="19EB12E0"/>
    <w:rsid w:val="1A2D7577"/>
    <w:rsid w:val="1A3013B2"/>
    <w:rsid w:val="1A360509"/>
    <w:rsid w:val="1A483B09"/>
    <w:rsid w:val="1A711612"/>
    <w:rsid w:val="1A75465C"/>
    <w:rsid w:val="1ABD2BD8"/>
    <w:rsid w:val="1AD814C2"/>
    <w:rsid w:val="1AF66E8E"/>
    <w:rsid w:val="1AF90619"/>
    <w:rsid w:val="1B1A787C"/>
    <w:rsid w:val="1B3C2C0D"/>
    <w:rsid w:val="1B88034C"/>
    <w:rsid w:val="1BED38F0"/>
    <w:rsid w:val="1C026177"/>
    <w:rsid w:val="1C2F7905"/>
    <w:rsid w:val="1C354928"/>
    <w:rsid w:val="1C466199"/>
    <w:rsid w:val="1C793EAA"/>
    <w:rsid w:val="1C991B79"/>
    <w:rsid w:val="1CCB2AF5"/>
    <w:rsid w:val="1D4A7748"/>
    <w:rsid w:val="1D854E4F"/>
    <w:rsid w:val="1D9C3408"/>
    <w:rsid w:val="1DC909D4"/>
    <w:rsid w:val="1DC94463"/>
    <w:rsid w:val="1DCB52FC"/>
    <w:rsid w:val="1DE7088F"/>
    <w:rsid w:val="1E257039"/>
    <w:rsid w:val="1E7966E2"/>
    <w:rsid w:val="1EAA6913"/>
    <w:rsid w:val="1EAB6485"/>
    <w:rsid w:val="1EDA20F7"/>
    <w:rsid w:val="1F180648"/>
    <w:rsid w:val="1F696E19"/>
    <w:rsid w:val="1F800FB0"/>
    <w:rsid w:val="1FA27001"/>
    <w:rsid w:val="1FA308B1"/>
    <w:rsid w:val="1FF93F8E"/>
    <w:rsid w:val="203D3A29"/>
    <w:rsid w:val="20623B03"/>
    <w:rsid w:val="217432F0"/>
    <w:rsid w:val="217A0232"/>
    <w:rsid w:val="21930CE9"/>
    <w:rsid w:val="219E7824"/>
    <w:rsid w:val="21F318E1"/>
    <w:rsid w:val="21FD07CE"/>
    <w:rsid w:val="225C023B"/>
    <w:rsid w:val="22747F5F"/>
    <w:rsid w:val="22914649"/>
    <w:rsid w:val="22A8302D"/>
    <w:rsid w:val="22C30269"/>
    <w:rsid w:val="22EB541D"/>
    <w:rsid w:val="232F3C30"/>
    <w:rsid w:val="23810CF5"/>
    <w:rsid w:val="238C0CC0"/>
    <w:rsid w:val="23FF1B6F"/>
    <w:rsid w:val="243240F7"/>
    <w:rsid w:val="243A0BE5"/>
    <w:rsid w:val="244C3021"/>
    <w:rsid w:val="24B02203"/>
    <w:rsid w:val="25DA7F3F"/>
    <w:rsid w:val="25E24917"/>
    <w:rsid w:val="264B5353"/>
    <w:rsid w:val="265C6B47"/>
    <w:rsid w:val="268B3230"/>
    <w:rsid w:val="268F3246"/>
    <w:rsid w:val="26BE1670"/>
    <w:rsid w:val="27002C46"/>
    <w:rsid w:val="271420A5"/>
    <w:rsid w:val="271E5A43"/>
    <w:rsid w:val="2776226E"/>
    <w:rsid w:val="27B04A9A"/>
    <w:rsid w:val="27C85434"/>
    <w:rsid w:val="27D30BD3"/>
    <w:rsid w:val="27E16397"/>
    <w:rsid w:val="27E366D9"/>
    <w:rsid w:val="28094648"/>
    <w:rsid w:val="285E69B2"/>
    <w:rsid w:val="28A12D7D"/>
    <w:rsid w:val="29085475"/>
    <w:rsid w:val="29134F06"/>
    <w:rsid w:val="292D1569"/>
    <w:rsid w:val="296A12DF"/>
    <w:rsid w:val="297F1D72"/>
    <w:rsid w:val="29904404"/>
    <w:rsid w:val="29B437BD"/>
    <w:rsid w:val="2A2502BA"/>
    <w:rsid w:val="2A267E8C"/>
    <w:rsid w:val="2A6A377A"/>
    <w:rsid w:val="2A986B9E"/>
    <w:rsid w:val="2AAD7299"/>
    <w:rsid w:val="2ACB0392"/>
    <w:rsid w:val="2B372617"/>
    <w:rsid w:val="2B390125"/>
    <w:rsid w:val="2B6C2007"/>
    <w:rsid w:val="2B810249"/>
    <w:rsid w:val="2BBE5F9B"/>
    <w:rsid w:val="2BD36390"/>
    <w:rsid w:val="2BEE15C2"/>
    <w:rsid w:val="2BF51A22"/>
    <w:rsid w:val="2BFB7F22"/>
    <w:rsid w:val="2BFF1742"/>
    <w:rsid w:val="2C3D5E98"/>
    <w:rsid w:val="2C652A53"/>
    <w:rsid w:val="2C7348EC"/>
    <w:rsid w:val="2D2A55F4"/>
    <w:rsid w:val="2D3A7414"/>
    <w:rsid w:val="2D9446CD"/>
    <w:rsid w:val="2DB56B9C"/>
    <w:rsid w:val="2DCF2598"/>
    <w:rsid w:val="2E6C2C2D"/>
    <w:rsid w:val="2E787EDB"/>
    <w:rsid w:val="2E926570"/>
    <w:rsid w:val="2EB15D3D"/>
    <w:rsid w:val="2EB337BF"/>
    <w:rsid w:val="2EB347BC"/>
    <w:rsid w:val="2EE70E27"/>
    <w:rsid w:val="2F757863"/>
    <w:rsid w:val="2F7F2DFB"/>
    <w:rsid w:val="2F865F67"/>
    <w:rsid w:val="300708C5"/>
    <w:rsid w:val="3029650B"/>
    <w:rsid w:val="30667891"/>
    <w:rsid w:val="30A1498B"/>
    <w:rsid w:val="30EB7223"/>
    <w:rsid w:val="31284409"/>
    <w:rsid w:val="320E6314"/>
    <w:rsid w:val="32210B24"/>
    <w:rsid w:val="32442125"/>
    <w:rsid w:val="32B23F6F"/>
    <w:rsid w:val="32CF62C4"/>
    <w:rsid w:val="33023280"/>
    <w:rsid w:val="335036D5"/>
    <w:rsid w:val="33626A7A"/>
    <w:rsid w:val="337B280B"/>
    <w:rsid w:val="33B076DF"/>
    <w:rsid w:val="33D24300"/>
    <w:rsid w:val="33E353E0"/>
    <w:rsid w:val="346C260D"/>
    <w:rsid w:val="34A84A7C"/>
    <w:rsid w:val="34CB7714"/>
    <w:rsid w:val="34F97376"/>
    <w:rsid w:val="34FD2A25"/>
    <w:rsid w:val="357A7991"/>
    <w:rsid w:val="35943E90"/>
    <w:rsid w:val="365725D5"/>
    <w:rsid w:val="374B3D75"/>
    <w:rsid w:val="37B208CF"/>
    <w:rsid w:val="381C647F"/>
    <w:rsid w:val="385E3DA4"/>
    <w:rsid w:val="386D4F26"/>
    <w:rsid w:val="38D63B72"/>
    <w:rsid w:val="38DF7412"/>
    <w:rsid w:val="38E05C9F"/>
    <w:rsid w:val="38E853DF"/>
    <w:rsid w:val="38FD0E8B"/>
    <w:rsid w:val="3908399E"/>
    <w:rsid w:val="39390324"/>
    <w:rsid w:val="396C29EA"/>
    <w:rsid w:val="399F5FAD"/>
    <w:rsid w:val="39B45EFF"/>
    <w:rsid w:val="39CC5BD2"/>
    <w:rsid w:val="39F40891"/>
    <w:rsid w:val="39FF7C50"/>
    <w:rsid w:val="3A133ED6"/>
    <w:rsid w:val="3A83714D"/>
    <w:rsid w:val="3A8A0E7C"/>
    <w:rsid w:val="3AC927B3"/>
    <w:rsid w:val="3B024D9A"/>
    <w:rsid w:val="3B0F7B52"/>
    <w:rsid w:val="3B2D72A6"/>
    <w:rsid w:val="3B7C61A5"/>
    <w:rsid w:val="3B872FBE"/>
    <w:rsid w:val="3BE54C29"/>
    <w:rsid w:val="3C1A27A9"/>
    <w:rsid w:val="3C3B3A65"/>
    <w:rsid w:val="3C5E458C"/>
    <w:rsid w:val="3C900653"/>
    <w:rsid w:val="3CA27AD9"/>
    <w:rsid w:val="3CBB185A"/>
    <w:rsid w:val="3D432DA6"/>
    <w:rsid w:val="3D55649C"/>
    <w:rsid w:val="3D5C46D9"/>
    <w:rsid w:val="3D6868BF"/>
    <w:rsid w:val="3DB95E2D"/>
    <w:rsid w:val="3DC674C1"/>
    <w:rsid w:val="3DFA2861"/>
    <w:rsid w:val="3E751275"/>
    <w:rsid w:val="3ED730DC"/>
    <w:rsid w:val="3F1269B3"/>
    <w:rsid w:val="3F5C5A7F"/>
    <w:rsid w:val="3FEF4B25"/>
    <w:rsid w:val="406A0711"/>
    <w:rsid w:val="407D3476"/>
    <w:rsid w:val="40C072F9"/>
    <w:rsid w:val="40DB7696"/>
    <w:rsid w:val="40DD2E08"/>
    <w:rsid w:val="40EF1C95"/>
    <w:rsid w:val="411528E8"/>
    <w:rsid w:val="413714C2"/>
    <w:rsid w:val="413922CF"/>
    <w:rsid w:val="414017AD"/>
    <w:rsid w:val="41655510"/>
    <w:rsid w:val="41C567AE"/>
    <w:rsid w:val="423A71EF"/>
    <w:rsid w:val="42554FF2"/>
    <w:rsid w:val="42573053"/>
    <w:rsid w:val="42702E79"/>
    <w:rsid w:val="42974C74"/>
    <w:rsid w:val="42E2321E"/>
    <w:rsid w:val="4341377A"/>
    <w:rsid w:val="442265B2"/>
    <w:rsid w:val="446A4670"/>
    <w:rsid w:val="4487093E"/>
    <w:rsid w:val="44BC5E74"/>
    <w:rsid w:val="44FD6B7F"/>
    <w:rsid w:val="45152437"/>
    <w:rsid w:val="45257A4B"/>
    <w:rsid w:val="4527499A"/>
    <w:rsid w:val="452805E5"/>
    <w:rsid w:val="45461A2F"/>
    <w:rsid w:val="455D708D"/>
    <w:rsid w:val="45A50F6F"/>
    <w:rsid w:val="45BD166C"/>
    <w:rsid w:val="45C70962"/>
    <w:rsid w:val="45E538C9"/>
    <w:rsid w:val="46332207"/>
    <w:rsid w:val="46A8357F"/>
    <w:rsid w:val="46AC349C"/>
    <w:rsid w:val="46C0074C"/>
    <w:rsid w:val="46D430DE"/>
    <w:rsid w:val="476963A2"/>
    <w:rsid w:val="476F1751"/>
    <w:rsid w:val="47AE45AF"/>
    <w:rsid w:val="48090B4C"/>
    <w:rsid w:val="480E2EC4"/>
    <w:rsid w:val="48107A3A"/>
    <w:rsid w:val="487959D5"/>
    <w:rsid w:val="487D65BC"/>
    <w:rsid w:val="489A22BA"/>
    <w:rsid w:val="48B5734F"/>
    <w:rsid w:val="48F549C6"/>
    <w:rsid w:val="495F04C0"/>
    <w:rsid w:val="498B7FF5"/>
    <w:rsid w:val="49900334"/>
    <w:rsid w:val="49C30E68"/>
    <w:rsid w:val="4A8E15AF"/>
    <w:rsid w:val="4ACC7267"/>
    <w:rsid w:val="4B240AE1"/>
    <w:rsid w:val="4B276A1F"/>
    <w:rsid w:val="4B2B66FC"/>
    <w:rsid w:val="4B306B44"/>
    <w:rsid w:val="4B8D3716"/>
    <w:rsid w:val="4C003E01"/>
    <w:rsid w:val="4C1A1578"/>
    <w:rsid w:val="4C926F9C"/>
    <w:rsid w:val="4CFD46B6"/>
    <w:rsid w:val="4D5C48FE"/>
    <w:rsid w:val="4D683E54"/>
    <w:rsid w:val="4DF16A68"/>
    <w:rsid w:val="4E1848B8"/>
    <w:rsid w:val="4E283778"/>
    <w:rsid w:val="4E67561D"/>
    <w:rsid w:val="4E9F7D2E"/>
    <w:rsid w:val="4EAF06F2"/>
    <w:rsid w:val="4EBC7E47"/>
    <w:rsid w:val="4F0160EE"/>
    <w:rsid w:val="4F336B91"/>
    <w:rsid w:val="4F876DDC"/>
    <w:rsid w:val="4F91255F"/>
    <w:rsid w:val="4FA718C9"/>
    <w:rsid w:val="506E0905"/>
    <w:rsid w:val="50C649A9"/>
    <w:rsid w:val="50EA5D60"/>
    <w:rsid w:val="51075293"/>
    <w:rsid w:val="51270CAB"/>
    <w:rsid w:val="51CD7B48"/>
    <w:rsid w:val="51FB71FC"/>
    <w:rsid w:val="52650152"/>
    <w:rsid w:val="526C4D7F"/>
    <w:rsid w:val="527E4F3C"/>
    <w:rsid w:val="52D625A9"/>
    <w:rsid w:val="53645904"/>
    <w:rsid w:val="53883256"/>
    <w:rsid w:val="539E76D2"/>
    <w:rsid w:val="53E67F15"/>
    <w:rsid w:val="53F50992"/>
    <w:rsid w:val="54073660"/>
    <w:rsid w:val="540745D9"/>
    <w:rsid w:val="54091E26"/>
    <w:rsid w:val="542F0E9E"/>
    <w:rsid w:val="54377082"/>
    <w:rsid w:val="54C61409"/>
    <w:rsid w:val="54E30563"/>
    <w:rsid w:val="54FF3AA2"/>
    <w:rsid w:val="551D0DE8"/>
    <w:rsid w:val="55387BC7"/>
    <w:rsid w:val="553948CD"/>
    <w:rsid w:val="554029EF"/>
    <w:rsid w:val="55A807B3"/>
    <w:rsid w:val="55B606FA"/>
    <w:rsid w:val="563F7D9B"/>
    <w:rsid w:val="56812ED3"/>
    <w:rsid w:val="569C0351"/>
    <w:rsid w:val="56DF561E"/>
    <w:rsid w:val="57023B67"/>
    <w:rsid w:val="57074709"/>
    <w:rsid w:val="571961EB"/>
    <w:rsid w:val="57211B8B"/>
    <w:rsid w:val="574635E1"/>
    <w:rsid w:val="57F77198"/>
    <w:rsid w:val="580C7104"/>
    <w:rsid w:val="58775F67"/>
    <w:rsid w:val="587B4A21"/>
    <w:rsid w:val="58BF4B5D"/>
    <w:rsid w:val="58E379E6"/>
    <w:rsid w:val="58F45F94"/>
    <w:rsid w:val="59123FAA"/>
    <w:rsid w:val="5924170C"/>
    <w:rsid w:val="599E5E1A"/>
    <w:rsid w:val="59BD040E"/>
    <w:rsid w:val="59BF66E0"/>
    <w:rsid w:val="59DA3A11"/>
    <w:rsid w:val="59DC3F50"/>
    <w:rsid w:val="5A040ED1"/>
    <w:rsid w:val="5A325959"/>
    <w:rsid w:val="5A6D3AB6"/>
    <w:rsid w:val="5A946A27"/>
    <w:rsid w:val="5ACD4951"/>
    <w:rsid w:val="5AEA0006"/>
    <w:rsid w:val="5B1A607C"/>
    <w:rsid w:val="5B397978"/>
    <w:rsid w:val="5B3F55F4"/>
    <w:rsid w:val="5B55264E"/>
    <w:rsid w:val="5B852993"/>
    <w:rsid w:val="5BC72EF0"/>
    <w:rsid w:val="5BD93009"/>
    <w:rsid w:val="5BE32A8E"/>
    <w:rsid w:val="5C067455"/>
    <w:rsid w:val="5C595F67"/>
    <w:rsid w:val="5C991EEB"/>
    <w:rsid w:val="5CAF760A"/>
    <w:rsid w:val="5CC021F5"/>
    <w:rsid w:val="5CC410DE"/>
    <w:rsid w:val="5DD62EE8"/>
    <w:rsid w:val="5E7401B4"/>
    <w:rsid w:val="5E841677"/>
    <w:rsid w:val="5E956894"/>
    <w:rsid w:val="5F736881"/>
    <w:rsid w:val="5F7F1B0C"/>
    <w:rsid w:val="5FA93928"/>
    <w:rsid w:val="603101F8"/>
    <w:rsid w:val="60566100"/>
    <w:rsid w:val="60A33536"/>
    <w:rsid w:val="60F43781"/>
    <w:rsid w:val="61146EF9"/>
    <w:rsid w:val="61294268"/>
    <w:rsid w:val="6147732A"/>
    <w:rsid w:val="61616DB9"/>
    <w:rsid w:val="617A36F2"/>
    <w:rsid w:val="618210DE"/>
    <w:rsid w:val="61EC4401"/>
    <w:rsid w:val="6221170F"/>
    <w:rsid w:val="624B5847"/>
    <w:rsid w:val="626A2633"/>
    <w:rsid w:val="62B34E9E"/>
    <w:rsid w:val="63022648"/>
    <w:rsid w:val="631553FD"/>
    <w:rsid w:val="6333357C"/>
    <w:rsid w:val="6353677B"/>
    <w:rsid w:val="636A040E"/>
    <w:rsid w:val="63D72125"/>
    <w:rsid w:val="63EB793B"/>
    <w:rsid w:val="64452D8E"/>
    <w:rsid w:val="65AC5771"/>
    <w:rsid w:val="65AD184A"/>
    <w:rsid w:val="660D1283"/>
    <w:rsid w:val="664875B0"/>
    <w:rsid w:val="67931F6E"/>
    <w:rsid w:val="679407CF"/>
    <w:rsid w:val="679C7359"/>
    <w:rsid w:val="67BA705D"/>
    <w:rsid w:val="67DB7134"/>
    <w:rsid w:val="685A77C3"/>
    <w:rsid w:val="687218FC"/>
    <w:rsid w:val="68BE6561"/>
    <w:rsid w:val="68E3759A"/>
    <w:rsid w:val="697F6F37"/>
    <w:rsid w:val="69AE455B"/>
    <w:rsid w:val="69BE456B"/>
    <w:rsid w:val="69C12552"/>
    <w:rsid w:val="69DD662F"/>
    <w:rsid w:val="69F612DF"/>
    <w:rsid w:val="6A6B1761"/>
    <w:rsid w:val="6A6C3234"/>
    <w:rsid w:val="6A6D4574"/>
    <w:rsid w:val="6AD16F27"/>
    <w:rsid w:val="6B0E16E8"/>
    <w:rsid w:val="6B217694"/>
    <w:rsid w:val="6B34279C"/>
    <w:rsid w:val="6B346035"/>
    <w:rsid w:val="6B3868C5"/>
    <w:rsid w:val="6BB716E3"/>
    <w:rsid w:val="6BDC2CFA"/>
    <w:rsid w:val="6BEA4C90"/>
    <w:rsid w:val="6BF501C0"/>
    <w:rsid w:val="6C6B12CA"/>
    <w:rsid w:val="6C88144A"/>
    <w:rsid w:val="6CB43FD0"/>
    <w:rsid w:val="6D3E00DE"/>
    <w:rsid w:val="6D707957"/>
    <w:rsid w:val="6D986D88"/>
    <w:rsid w:val="6DC3327A"/>
    <w:rsid w:val="6DD01987"/>
    <w:rsid w:val="6DE6606E"/>
    <w:rsid w:val="6E0A6DCB"/>
    <w:rsid w:val="6E4C2B39"/>
    <w:rsid w:val="6EC81C85"/>
    <w:rsid w:val="6ED81B50"/>
    <w:rsid w:val="6EDA03A1"/>
    <w:rsid w:val="6EDF306E"/>
    <w:rsid w:val="6EEE052E"/>
    <w:rsid w:val="6F0F686C"/>
    <w:rsid w:val="6F624775"/>
    <w:rsid w:val="6F6C25A5"/>
    <w:rsid w:val="6F90683A"/>
    <w:rsid w:val="6F9E3278"/>
    <w:rsid w:val="6FD20CA7"/>
    <w:rsid w:val="6FDF3642"/>
    <w:rsid w:val="705C65F8"/>
    <w:rsid w:val="709B7E99"/>
    <w:rsid w:val="70A53D86"/>
    <w:rsid w:val="70AA2B21"/>
    <w:rsid w:val="70BD1230"/>
    <w:rsid w:val="70EE1F1D"/>
    <w:rsid w:val="711817D9"/>
    <w:rsid w:val="711F5457"/>
    <w:rsid w:val="7124079A"/>
    <w:rsid w:val="71B07AAF"/>
    <w:rsid w:val="71D73878"/>
    <w:rsid w:val="720042CB"/>
    <w:rsid w:val="720610EB"/>
    <w:rsid w:val="72E95234"/>
    <w:rsid w:val="72EF6C40"/>
    <w:rsid w:val="741E3CB2"/>
    <w:rsid w:val="74684291"/>
    <w:rsid w:val="74E44E48"/>
    <w:rsid w:val="74E726FA"/>
    <w:rsid w:val="74F14B25"/>
    <w:rsid w:val="74F81EB4"/>
    <w:rsid w:val="751F7184"/>
    <w:rsid w:val="752B0C0F"/>
    <w:rsid w:val="7562724F"/>
    <w:rsid w:val="75844DE8"/>
    <w:rsid w:val="75AF16B5"/>
    <w:rsid w:val="76054C98"/>
    <w:rsid w:val="76401149"/>
    <w:rsid w:val="76426BCC"/>
    <w:rsid w:val="76472867"/>
    <w:rsid w:val="765A5969"/>
    <w:rsid w:val="76772E72"/>
    <w:rsid w:val="76E10833"/>
    <w:rsid w:val="76E6230C"/>
    <w:rsid w:val="76F65E42"/>
    <w:rsid w:val="77214A3B"/>
    <w:rsid w:val="775C04F2"/>
    <w:rsid w:val="77CD2345"/>
    <w:rsid w:val="77DC2FA9"/>
    <w:rsid w:val="77FC0B6C"/>
    <w:rsid w:val="782F3564"/>
    <w:rsid w:val="784B5F94"/>
    <w:rsid w:val="787F3970"/>
    <w:rsid w:val="788D5266"/>
    <w:rsid w:val="78964AB9"/>
    <w:rsid w:val="7899179B"/>
    <w:rsid w:val="78A652B5"/>
    <w:rsid w:val="78EC6499"/>
    <w:rsid w:val="794C401B"/>
    <w:rsid w:val="7975360C"/>
    <w:rsid w:val="79BE2DD4"/>
    <w:rsid w:val="79C73FFB"/>
    <w:rsid w:val="7A083E9E"/>
    <w:rsid w:val="7A15028F"/>
    <w:rsid w:val="7A330C77"/>
    <w:rsid w:val="7A75153D"/>
    <w:rsid w:val="7AF73FFB"/>
    <w:rsid w:val="7B0C5969"/>
    <w:rsid w:val="7BAA10C4"/>
    <w:rsid w:val="7BCB5D8F"/>
    <w:rsid w:val="7C3A0396"/>
    <w:rsid w:val="7C5227C8"/>
    <w:rsid w:val="7C604535"/>
    <w:rsid w:val="7C880331"/>
    <w:rsid w:val="7CE320AB"/>
    <w:rsid w:val="7D0F797F"/>
    <w:rsid w:val="7D1A6CC4"/>
    <w:rsid w:val="7D6A02B5"/>
    <w:rsid w:val="7D6D02A2"/>
    <w:rsid w:val="7D780D3F"/>
    <w:rsid w:val="7D7952D1"/>
    <w:rsid w:val="7D9176BB"/>
    <w:rsid w:val="7DAE5DE0"/>
    <w:rsid w:val="7DD07CAE"/>
    <w:rsid w:val="7E3F7FEA"/>
    <w:rsid w:val="7EB66F81"/>
    <w:rsid w:val="7EBA492E"/>
    <w:rsid w:val="7EE80B61"/>
    <w:rsid w:val="7EEC52B3"/>
    <w:rsid w:val="7F4B3A14"/>
    <w:rsid w:val="7F7F2C6A"/>
    <w:rsid w:val="7F895230"/>
    <w:rsid w:val="7FCD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3"/>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23">
    <w:name w:val="Default Paragraph Font"/>
    <w:link w:val="24"/>
    <w:semiHidden/>
    <w:qFormat/>
    <w:uiPriority w:val="0"/>
    <w:rPr>
      <w:szCs w:val="21"/>
    </w:rPr>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ind w:firstLine="420"/>
      <w:jc w:val="left"/>
    </w:pPr>
    <w:rPr>
      <w:kern w:val="0"/>
      <w:sz w:val="20"/>
    </w:rPr>
  </w:style>
  <w:style w:type="paragraph" w:styleId="3">
    <w:name w:val="Body Text"/>
    <w:basedOn w:val="1"/>
    <w:next w:val="1"/>
    <w:qFormat/>
    <w:uiPriority w:val="0"/>
    <w:rPr>
      <w:sz w:val="28"/>
    </w:rPr>
  </w:style>
  <w:style w:type="paragraph" w:styleId="7">
    <w:name w:val="Normal Indent"/>
    <w:basedOn w:val="1"/>
    <w:next w:val="1"/>
    <w:qFormat/>
    <w:uiPriority w:val="0"/>
    <w:pPr>
      <w:adjustRightInd w:val="0"/>
      <w:ind w:firstLine="420"/>
      <w:jc w:val="left"/>
    </w:pPr>
    <w:rPr>
      <w:rFonts w:eastAsia="楷体_GB2312"/>
      <w:sz w:val="24"/>
    </w:rPr>
  </w:style>
  <w:style w:type="paragraph" w:styleId="8">
    <w:name w:val="annotation text"/>
    <w:basedOn w:val="1"/>
    <w:qFormat/>
    <w:uiPriority w:val="0"/>
    <w:pPr>
      <w:jc w:val="left"/>
    </w:pPr>
  </w:style>
  <w:style w:type="paragraph" w:styleId="9">
    <w:name w:val="Body Text Indent"/>
    <w:basedOn w:val="1"/>
    <w:qFormat/>
    <w:uiPriority w:val="0"/>
    <w:pPr>
      <w:spacing w:line="360" w:lineRule="auto"/>
      <w:ind w:firstLine="560" w:firstLineChars="200"/>
    </w:pPr>
    <w:rPr>
      <w:sz w:val="28"/>
    </w:rPr>
  </w:style>
  <w:style w:type="paragraph" w:styleId="10">
    <w:name w:val="Plain Text"/>
    <w:basedOn w:val="1"/>
    <w:qFormat/>
    <w:uiPriority w:val="0"/>
    <w:rPr>
      <w:rFonts w:ascii="宋体" w:hAnsi="Courier New"/>
    </w:rPr>
  </w:style>
  <w:style w:type="paragraph" w:styleId="11">
    <w:name w:val="Date"/>
    <w:basedOn w:val="1"/>
    <w:next w:val="1"/>
    <w:link w:val="44"/>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unhideWhenUsed/>
    <w:qFormat/>
    <w:uiPriority w:val="39"/>
    <w:rPr>
      <w:rFonts w:eastAsia="黑体"/>
      <w:sz w:val="28"/>
    </w:rPr>
  </w:style>
  <w:style w:type="paragraph" w:styleId="15">
    <w:name w:val="Subtitle"/>
    <w:basedOn w:val="1"/>
    <w:next w:val="1"/>
    <w:link w:val="46"/>
    <w:qFormat/>
    <w:uiPriority w:val="0"/>
    <w:pPr>
      <w:spacing w:before="240" w:after="60" w:line="312" w:lineRule="auto"/>
      <w:jc w:val="center"/>
      <w:outlineLvl w:val="1"/>
    </w:pPr>
    <w:rPr>
      <w:rFonts w:ascii="Cambria" w:hAnsi="Cambria"/>
      <w:b/>
      <w:bCs/>
      <w:kern w:val="28"/>
      <w:sz w:val="32"/>
      <w:szCs w:val="32"/>
    </w:rPr>
  </w:style>
  <w:style w:type="paragraph" w:styleId="16">
    <w:name w:val="List"/>
    <w:basedOn w:val="1"/>
    <w:qFormat/>
    <w:uiPriority w:val="0"/>
    <w:pPr>
      <w:tabs>
        <w:tab w:val="center" w:pos="425"/>
      </w:tabs>
      <w:spacing w:line="360" w:lineRule="auto"/>
      <w:ind w:left="425" w:hanging="425"/>
    </w:pPr>
    <w:rPr>
      <w:rFonts w:ascii="Arial" w:hAnsi="Arial"/>
      <w:kern w:val="0"/>
      <w:sz w:val="24"/>
    </w:rPr>
  </w:style>
  <w:style w:type="paragraph" w:styleId="17">
    <w:name w:val="footnote text"/>
    <w:basedOn w:val="1"/>
    <w:qFormat/>
    <w:uiPriority w:val="0"/>
    <w:pPr>
      <w:snapToGrid w:val="0"/>
      <w:jc w:val="left"/>
    </w:pPr>
    <w:rPr>
      <w:sz w:val="18"/>
    </w:rPr>
  </w:style>
  <w:style w:type="paragraph" w:styleId="18">
    <w:name w:val="toc 2"/>
    <w:basedOn w:val="1"/>
    <w:next w:val="1"/>
    <w:unhideWhenUsed/>
    <w:qFormat/>
    <w:uiPriority w:val="39"/>
    <w:pPr>
      <w:ind w:left="420" w:leftChars="200"/>
    </w:p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Title"/>
    <w:basedOn w:val="1"/>
    <w:next w:val="1"/>
    <w:link w:val="32"/>
    <w:qFormat/>
    <w:uiPriority w:val="10"/>
    <w:pPr>
      <w:spacing w:before="60" w:after="60"/>
      <w:jc w:val="center"/>
      <w:outlineLvl w:val="0"/>
    </w:pPr>
    <w:rPr>
      <w:rFonts w:ascii="Cambria" w:hAnsi="Cambria"/>
      <w:b/>
      <w:bCs/>
      <w:kern w:val="0"/>
      <w:sz w:val="20"/>
      <w:szCs w:val="32"/>
    </w:rPr>
  </w:style>
  <w:style w:type="paragraph" w:customStyle="1" w:styleId="24">
    <w:name w:val="Char Char Char Char"/>
    <w:basedOn w:val="1"/>
    <w:link w:val="23"/>
    <w:qFormat/>
    <w:uiPriority w:val="0"/>
    <w:rPr>
      <w:szCs w:val="21"/>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HTML Sample"/>
    <w:basedOn w:val="23"/>
    <w:unhideWhenUsed/>
    <w:qFormat/>
    <w:uiPriority w:val="99"/>
    <w:rPr>
      <w:rFonts w:ascii="Courier New" w:hAnsi="Courier New"/>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font01"/>
    <w:basedOn w:val="23"/>
    <w:qFormat/>
    <w:uiPriority w:val="0"/>
    <w:rPr>
      <w:rFonts w:hint="eastAsia" w:ascii="宋体" w:hAnsi="宋体" w:eastAsia="宋体" w:cs="宋体"/>
      <w:color w:val="FF0000"/>
      <w:sz w:val="20"/>
      <w:szCs w:val="20"/>
      <w:u w:val="none"/>
    </w:rPr>
  </w:style>
  <w:style w:type="character" w:customStyle="1" w:styleId="30">
    <w:name w:val="font61"/>
    <w:basedOn w:val="23"/>
    <w:qFormat/>
    <w:uiPriority w:val="0"/>
    <w:rPr>
      <w:rFonts w:hint="eastAsia" w:ascii="宋体" w:hAnsi="宋体" w:eastAsia="宋体" w:cs="宋体"/>
      <w:color w:val="000000"/>
      <w:sz w:val="18"/>
      <w:szCs w:val="18"/>
      <w:u w:val="none"/>
    </w:rPr>
  </w:style>
  <w:style w:type="character" w:customStyle="1" w:styleId="31">
    <w:name w:val="font21"/>
    <w:basedOn w:val="23"/>
    <w:qFormat/>
    <w:uiPriority w:val="0"/>
    <w:rPr>
      <w:rFonts w:hint="eastAsia" w:ascii="宋体" w:hAnsi="宋体" w:eastAsia="宋体" w:cs="宋体"/>
      <w:color w:val="000000"/>
      <w:sz w:val="20"/>
      <w:szCs w:val="20"/>
      <w:u w:val="none"/>
    </w:rPr>
  </w:style>
  <w:style w:type="character" w:customStyle="1" w:styleId="32">
    <w:name w:val="标题 Char"/>
    <w:link w:val="21"/>
    <w:qFormat/>
    <w:uiPriority w:val="10"/>
    <w:rPr>
      <w:rFonts w:ascii="Cambria" w:hAnsi="Cambria" w:cs="Times New Roman"/>
      <w:b/>
      <w:bCs/>
      <w:szCs w:val="32"/>
    </w:rPr>
  </w:style>
  <w:style w:type="character" w:customStyle="1" w:styleId="33">
    <w:name w:val="标题 2 Char"/>
    <w:link w:val="5"/>
    <w:qFormat/>
    <w:uiPriority w:val="0"/>
    <w:rPr>
      <w:rFonts w:ascii="Arial Black" w:hAnsi="Arial Black" w:eastAsia="黑体"/>
      <w:b/>
      <w:bCs/>
      <w:kern w:val="2"/>
      <w:sz w:val="32"/>
      <w:szCs w:val="32"/>
      <w:lang w:val="en-US" w:eastAsia="zh-CN" w:bidi="ar-SA"/>
    </w:rPr>
  </w:style>
  <w:style w:type="character" w:customStyle="1" w:styleId="34">
    <w:name w:val="font11"/>
    <w:basedOn w:val="23"/>
    <w:qFormat/>
    <w:uiPriority w:val="0"/>
    <w:rPr>
      <w:rFonts w:hint="eastAsia" w:ascii="宋体" w:hAnsi="宋体" w:eastAsia="宋体" w:cs="宋体"/>
      <w:color w:val="000000"/>
      <w:sz w:val="20"/>
      <w:szCs w:val="20"/>
      <w:u w:val="none"/>
    </w:rPr>
  </w:style>
  <w:style w:type="character" w:customStyle="1" w:styleId="35">
    <w:name w:val="ca-1"/>
    <w:basedOn w:val="23"/>
    <w:qFormat/>
    <w:uiPriority w:val="0"/>
  </w:style>
  <w:style w:type="character" w:customStyle="1" w:styleId="36">
    <w:name w:val="font91"/>
    <w:basedOn w:val="23"/>
    <w:qFormat/>
    <w:uiPriority w:val="0"/>
    <w:rPr>
      <w:rFonts w:hint="eastAsia" w:ascii="宋体" w:hAnsi="宋体" w:eastAsia="宋体" w:cs="宋体"/>
      <w:color w:val="000000"/>
      <w:sz w:val="18"/>
      <w:szCs w:val="18"/>
      <w:u w:val="none"/>
    </w:rPr>
  </w:style>
  <w:style w:type="character" w:customStyle="1" w:styleId="37">
    <w:name w:val="15"/>
    <w:qFormat/>
    <w:uiPriority w:val="0"/>
    <w:rPr>
      <w:rFonts w:hint="default" w:ascii="Times New Roman" w:hAnsi="Times New Roman" w:cs="Times New Roman"/>
      <w:color w:val="464445"/>
      <w:u w:val="none"/>
    </w:rPr>
  </w:style>
  <w:style w:type="character" w:customStyle="1" w:styleId="38">
    <w:name w:val="font81"/>
    <w:basedOn w:val="23"/>
    <w:qFormat/>
    <w:uiPriority w:val="0"/>
    <w:rPr>
      <w:rFonts w:hint="eastAsia" w:ascii="宋体" w:hAnsi="宋体" w:eastAsia="宋体" w:cs="宋体"/>
      <w:color w:val="000000"/>
      <w:sz w:val="20"/>
      <w:szCs w:val="20"/>
      <w:u w:val="none"/>
    </w:rPr>
  </w:style>
  <w:style w:type="character" w:customStyle="1" w:styleId="39">
    <w:name w:val="font131"/>
    <w:basedOn w:val="23"/>
    <w:qFormat/>
    <w:uiPriority w:val="0"/>
    <w:rPr>
      <w:rFonts w:hint="eastAsia" w:ascii="宋体" w:hAnsi="宋体" w:eastAsia="宋体" w:cs="宋体"/>
      <w:color w:val="000000"/>
      <w:sz w:val="20"/>
      <w:szCs w:val="20"/>
      <w:u w:val="none"/>
    </w:rPr>
  </w:style>
  <w:style w:type="character" w:customStyle="1" w:styleId="40">
    <w:name w:val="font121"/>
    <w:basedOn w:val="23"/>
    <w:qFormat/>
    <w:uiPriority w:val="0"/>
    <w:rPr>
      <w:rFonts w:hint="eastAsia" w:ascii="宋体" w:hAnsi="宋体" w:eastAsia="宋体" w:cs="宋体"/>
      <w:color w:val="000000"/>
      <w:sz w:val="20"/>
      <w:szCs w:val="20"/>
      <w:u w:val="none"/>
    </w:rPr>
  </w:style>
  <w:style w:type="character" w:customStyle="1" w:styleId="41">
    <w:name w:val="font51"/>
    <w:basedOn w:val="23"/>
    <w:qFormat/>
    <w:uiPriority w:val="0"/>
    <w:rPr>
      <w:rFonts w:hint="default" w:ascii="Arial" w:hAnsi="Arial" w:cs="Arial"/>
      <w:color w:val="000000"/>
      <w:sz w:val="18"/>
      <w:szCs w:val="18"/>
      <w:u w:val="none"/>
    </w:rPr>
  </w:style>
  <w:style w:type="character" w:customStyle="1" w:styleId="42">
    <w:name w:val="font31"/>
    <w:basedOn w:val="23"/>
    <w:qFormat/>
    <w:uiPriority w:val="0"/>
    <w:rPr>
      <w:rFonts w:hint="eastAsia" w:ascii="宋体" w:hAnsi="宋体" w:eastAsia="宋体" w:cs="宋体"/>
      <w:b/>
      <w:color w:val="000000"/>
      <w:sz w:val="20"/>
      <w:szCs w:val="20"/>
      <w:u w:val="none"/>
    </w:rPr>
  </w:style>
  <w:style w:type="character" w:customStyle="1" w:styleId="43">
    <w:name w:val="font71"/>
    <w:basedOn w:val="23"/>
    <w:qFormat/>
    <w:uiPriority w:val="0"/>
    <w:rPr>
      <w:rFonts w:hint="eastAsia" w:ascii="宋体" w:hAnsi="宋体" w:eastAsia="宋体" w:cs="宋体"/>
      <w:color w:val="000000"/>
      <w:sz w:val="20"/>
      <w:szCs w:val="20"/>
      <w:u w:val="none"/>
    </w:rPr>
  </w:style>
  <w:style w:type="character" w:customStyle="1" w:styleId="44">
    <w:name w:val="日期 Char"/>
    <w:basedOn w:val="23"/>
    <w:link w:val="11"/>
    <w:qFormat/>
    <w:uiPriority w:val="0"/>
    <w:rPr>
      <w:kern w:val="2"/>
      <w:sz w:val="21"/>
    </w:rPr>
  </w:style>
  <w:style w:type="character" w:customStyle="1" w:styleId="45">
    <w:name w:val="font41"/>
    <w:basedOn w:val="23"/>
    <w:qFormat/>
    <w:uiPriority w:val="0"/>
    <w:rPr>
      <w:rFonts w:hint="eastAsia" w:ascii="宋体" w:hAnsi="宋体" w:eastAsia="宋体" w:cs="宋体"/>
      <w:color w:val="000000"/>
      <w:sz w:val="22"/>
      <w:szCs w:val="22"/>
      <w:u w:val="none"/>
    </w:rPr>
  </w:style>
  <w:style w:type="character" w:customStyle="1" w:styleId="46">
    <w:name w:val="副标题 Char"/>
    <w:link w:val="15"/>
    <w:qFormat/>
    <w:uiPriority w:val="0"/>
    <w:rPr>
      <w:rFonts w:ascii="Cambria" w:hAnsi="Cambria" w:eastAsia="宋体"/>
      <w:b/>
      <w:bCs/>
      <w:kern w:val="28"/>
      <w:sz w:val="32"/>
      <w:szCs w:val="32"/>
      <w:lang w:val="en-US" w:eastAsia="zh-CN" w:bidi="ar-SA"/>
    </w:rPr>
  </w:style>
  <w:style w:type="paragraph" w:styleId="47">
    <w:name w:val="List Paragraph"/>
    <w:basedOn w:val="1"/>
    <w:qFormat/>
    <w:uiPriority w:val="0"/>
    <w:pPr>
      <w:ind w:firstLine="420" w:firstLineChars="200"/>
    </w:pPr>
    <w:rPr>
      <w:rFonts w:ascii="Calibri" w:hAnsi="Calibri"/>
      <w:szCs w:val="22"/>
    </w:rPr>
  </w:style>
  <w:style w:type="paragraph" w:customStyle="1" w:styleId="48">
    <w:name w:val="pa-7"/>
    <w:basedOn w:val="1"/>
    <w:qFormat/>
    <w:uiPriority w:val="0"/>
    <w:pPr>
      <w:widowControl/>
      <w:spacing w:before="150" w:after="150"/>
      <w:jc w:val="left"/>
    </w:pPr>
    <w:rPr>
      <w:rFonts w:ascii="宋体" w:hAnsi="宋体" w:cs="宋体"/>
      <w:kern w:val="0"/>
      <w:sz w:val="24"/>
      <w:szCs w:val="24"/>
    </w:rPr>
  </w:style>
  <w:style w:type="paragraph" w:customStyle="1" w:styleId="49">
    <w:name w:val="_Style 5"/>
    <w:basedOn w:val="1"/>
    <w:qFormat/>
    <w:uiPriority w:val="0"/>
    <w:pPr>
      <w:tabs>
        <w:tab w:val="left" w:pos="360"/>
      </w:tabs>
      <w:ind w:firstLine="420" w:firstLineChars="150"/>
    </w:pPr>
    <w:rPr>
      <w:rFonts w:ascii="Arial" w:hAnsi="Arial" w:cs="Arial"/>
      <w:sz w:val="20"/>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_Style 7"/>
    <w:basedOn w:val="1"/>
    <w:qFormat/>
    <w:uiPriority w:val="0"/>
    <w:pPr>
      <w:tabs>
        <w:tab w:val="left" w:pos="360"/>
      </w:tabs>
      <w:ind w:firstLine="420" w:firstLineChars="150"/>
    </w:pPr>
    <w:rPr>
      <w:rFonts w:ascii="Arial" w:hAnsi="Arial" w:cs="Arial"/>
      <w:sz w:val="20"/>
    </w:rPr>
  </w:style>
  <w:style w:type="paragraph" w:customStyle="1" w:styleId="52">
    <w:name w:val="p0"/>
    <w:basedOn w:val="1"/>
    <w:qFormat/>
    <w:uiPriority w:val="0"/>
    <w:pPr>
      <w:widowControl/>
    </w:pPr>
    <w:rPr>
      <w:rFonts w:ascii="Calibri" w:hAnsi="Calibri" w:cs="宋体"/>
      <w:kern w:val="0"/>
      <w:szCs w:val="21"/>
    </w:rPr>
  </w:style>
  <w:style w:type="paragraph" w:customStyle="1" w:styleId="53">
    <w:name w:val="Plain Text"/>
    <w:basedOn w:val="1"/>
    <w:qFormat/>
    <w:uiPriority w:val="0"/>
    <w:pPr>
      <w:adjustRightInd w:val="0"/>
    </w:pPr>
    <w:rPr>
      <w:rFonts w:hint="eastAsia" w:ascii="宋体" w:hAnsi="Courier New" w:eastAsia="楷体_GB2312"/>
      <w:sz w:val="28"/>
    </w:rPr>
  </w:style>
  <w:style w:type="paragraph" w:customStyle="1" w:styleId="54">
    <w:name w:val=" Char Char Char Char"/>
    <w:basedOn w:val="1"/>
    <w:qFormat/>
    <w:uiPriority w:val="0"/>
    <w:pPr>
      <w:tabs>
        <w:tab w:val="left" w:pos="360"/>
      </w:tabs>
      <w:ind w:firstLine="420" w:firstLineChars="150"/>
    </w:pPr>
    <w:rPr>
      <w:rFonts w:ascii="Arial" w:hAnsi="Arial" w:cs="Arial"/>
      <w:sz w:val="20"/>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6">
    <w:name w:val="Normal Indent1"/>
    <w:basedOn w:val="1"/>
    <w:qFormat/>
    <w:uiPriority w:val="99"/>
    <w:pPr>
      <w:adjustRightInd w:val="0"/>
      <w:snapToGrid w:val="0"/>
      <w:spacing w:line="312" w:lineRule="auto"/>
      <w:ind w:firstLine="420" w:firstLineChars="200"/>
    </w:pPr>
    <w:rPr>
      <w:sz w:val="24"/>
    </w:rPr>
  </w:style>
  <w:style w:type="paragraph" w:customStyle="1" w:styleId="57">
    <w:name w:val="List Paragraph1"/>
    <w:basedOn w:val="1"/>
    <w:qFormat/>
    <w:uiPriority w:val="0"/>
    <w:pPr>
      <w:ind w:firstLine="420" w:firstLineChars="200"/>
    </w:pPr>
  </w:style>
  <w:style w:type="paragraph" w:customStyle="1" w:styleId="58">
    <w:name w:val="zhang"/>
    <w:basedOn w:val="1"/>
    <w:qFormat/>
    <w:uiPriority w:val="0"/>
    <w:pPr>
      <w:spacing w:before="100" w:beforeAutospacing="1" w:after="100" w:afterAutospacing="1"/>
    </w:pPr>
    <w:rPr>
      <w:b/>
      <w:bCs/>
      <w:smallCaps/>
      <w:color w:val="000000"/>
      <w:sz w:val="20"/>
    </w:rPr>
  </w:style>
  <w:style w:type="paragraph" w:customStyle="1" w:styleId="5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样式1"/>
    <w:basedOn w:val="1"/>
    <w:qFormat/>
    <w:uiPriority w:val="0"/>
    <w:pPr>
      <w:tabs>
        <w:tab w:val="left" w:pos="420"/>
      </w:tabs>
      <w:adjustRightInd w:val="0"/>
      <w:snapToGrid w:val="0"/>
      <w:ind w:left="420" w:hanging="420"/>
    </w:pPr>
    <w:rPr>
      <w:rFonts w:ascii="宋体" w:hAnsi="宋体"/>
      <w:kern w:val="0"/>
      <w:szCs w:val="21"/>
    </w:rPr>
  </w:style>
  <w:style w:type="paragraph" w:customStyle="1" w:styleId="61">
    <w:name w:val="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62">
    <w:name w:val="TOC Heading"/>
    <w:basedOn w:val="4"/>
    <w:next w:val="1"/>
    <w:qFormat/>
    <w:uiPriority w:val="0"/>
    <w:pPr>
      <w:spacing w:line="576" w:lineRule="auto"/>
      <w:outlineLvl w:val="9"/>
    </w:pPr>
    <w:rPr>
      <w:rFonts w:ascii="Calibri" w:hAnsi="Calibri"/>
    </w:rPr>
  </w:style>
  <w:style w:type="paragraph" w:customStyle="1" w:styleId="63">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77</Pages>
  <Words>6981</Words>
  <Characters>39798</Characters>
  <Lines>331</Lines>
  <Paragraphs>93</Paragraphs>
  <TotalTime>4</TotalTime>
  <ScaleCrop>false</ScaleCrop>
  <LinksUpToDate>false</LinksUpToDate>
  <CharactersWithSpaces>46686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2020-04-04T11:19:00Z</dcterms:created>
  <dc:creator>微软用户</dc:creator>
  <cp:lastModifiedBy>彭均安</cp:lastModifiedBy>
  <cp:lastPrinted>2020-03-12T04:39:00Z</cp:lastPrinted>
  <dcterms:modified xsi:type="dcterms:W3CDTF">2021-09-30T11:57:10Z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57EC7870695643DE8805A477E04A6F0E</vt:lpwstr>
  </property>
</Properties>
</file>