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招标主要设备名称、规格、数量明</w:t>
      </w:r>
      <w:bookmarkStart w:id="20" w:name="_GoBack"/>
      <w:bookmarkEnd w:id="2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细表</w:t>
      </w:r>
    </w:p>
    <w:tbl>
      <w:tblPr>
        <w:tblStyle w:val="6"/>
        <w:tblpPr w:leftFromText="180" w:rightFromText="180" w:vertAnchor="text" w:horzAnchor="page" w:tblpXSpec="center" w:tblpY="636"/>
        <w:tblOverlap w:val="never"/>
        <w:tblW w:w="10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923"/>
        <w:gridCol w:w="3846"/>
        <w:gridCol w:w="613"/>
        <w:gridCol w:w="627"/>
        <w:gridCol w:w="2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锅炉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房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工艺设备表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规格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数量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燃气热水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锅炉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结构形式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双锅筒纵置式室燃水管锅炉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规格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:SZS29-1.6/130/70-Q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3.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热功率（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MW):29MW                                 4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.热效率：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&gt;95%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.适用燃料：天燃气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.额定出水口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进水口温度（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℃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）：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130/70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.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额定工作压力：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1.6MPa.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燃烧器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结构形式:低氮燃烧器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2.NOx＜ 30mg/Nm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排烟温度＜80℃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4.二氧化硫≤50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mg/Nm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燃烧机品牌：要求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主流知名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品牌（包括阀组件）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，与优尼瓦斯、欧保、欧科、奥林同档次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。厂家配套，一炉一机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锅炉节能装置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要求锅炉最终排烟温度＜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80℃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省煤器、冷凝器、空预器等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根据自身锅炉情况自行配备。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鼓风机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变频电机功率：满足超低氮排放要求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.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厂家配套，一炉一机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卧式循环水泵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Q=5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0m</w:t>
            </w:r>
            <w:r>
              <w:rPr>
                <w:rStyle w:val="11"/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  <w:lang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 xml:space="preserve"> /h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H=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50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mH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O N=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110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kW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设变频，两用一备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卧式补水泵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Q=22m</w:t>
            </w:r>
            <w:r>
              <w:rPr>
                <w:rStyle w:val="11"/>
                <w:rFonts w:hint="eastAsia" w:ascii="宋体" w:hAnsi="宋体" w:eastAsia="宋体" w:cs="宋体"/>
                <w:sz w:val="28"/>
                <w:szCs w:val="28"/>
                <w:highlight w:val="none"/>
                <w:vertAlign w:val="superscript"/>
                <w:lang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 xml:space="preserve"> /h</w:t>
            </w:r>
            <w:r>
              <w:rPr>
                <w:rStyle w:val="13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H=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70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mH</w:t>
            </w: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O N=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ar"/>
              </w:rPr>
              <w:t>11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kW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设变频，平时开启一台，事故时两台全启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自动水处理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20t/h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水箱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软化、除氧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2000*4000*2500=20m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superscript"/>
                <w:lang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装配式不锈钢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除氧设备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 xml:space="preserve">海绵铁过滤式除氧器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t/h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钢制烟囱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出口直径1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.4m</w:t>
            </w:r>
            <w:r>
              <w:rPr>
                <w:rStyle w:val="13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，烟囱高15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highlight w:val="none"/>
                <w:lang w:bidi="ar"/>
              </w:rPr>
              <w:t>m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厂家配套，一炉一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卧式除污器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DN450  1.6MPa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热计量表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1.6MPa  130℃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每台锅炉一个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电控系统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配电柜、ABB变频器，DCS控制系统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烟气在线监测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HJ76-2017标准要求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取样冷却器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配套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费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安装费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75" w:firstLineChars="200"/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/>
        </w:rPr>
        <w:t>共需采购4台40T此型号燃气热水锅炉，分</w:t>
      </w: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highlight w:val="none"/>
          <w:lang w:val="en-US" w:eastAsia="zh-CN"/>
        </w:rPr>
        <w:t>两处独</w:t>
      </w: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/>
        </w:rPr>
        <w:t>立锅炉房安置。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75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  <w:t>1、设备（包括专用工具、试车备件、2年内备品备件）和材料的采购、运输、卸车、二次倒运、接、保、检、安装、调试直至工程验收合格；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75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  <w:t>2、技术服务、技术指导、技术资料（包括设备运行维护手册、操作规程的编制和提供）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75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  <w:t>3、在执行合同过程中发现有任何漏项和短缺，在工作清单、发货清单中并未列入且确实是承包人工作、供货范围中应该有的，并且是满足设备正常运行所必须的全部的设备、材料、技术资料、专用工具、备品备件、技术服务、技术指导、运行及维护手册编制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75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 w:bidi="ar-SA"/>
        </w:rPr>
        <w:t>4、投标单价包括本项工作开始到竣工验收完成的全部费用。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1.配套设备设施与材料要求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配套设备设施与材料须选用符合国家标准、安全可靠、满足使用年限要求的产品，至少提供出厂合格证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、检验报告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。其它配套设备设施与材料的合格证和检验报告，以材料购配件使用报验单形式报采购存档，作为支付相应款项依据之一。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1.1 产品性能要求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1.1.1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燃气热水锅炉概述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SZS29-1.6/130/70-Q型燃气热水锅炉，本锅炉炉膛由前、后、左、右墙膜式壁组成，对流烟道四周为膜式壁结构，炉膛左墙为双面受热膜式壁。对流烟道内布置对流管束形成受热面，烟气出对流管束后进入外膜式壁，形成三回程受热。锅炉尾部布置省煤器、冷凝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该产品具有：锅炉密封性好，散热损失小，热效率高、自动化程度高、操作强度小、燃料燃烧效率高等优点。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同时与世界范围内的该系列辅机制造厂商进行密切合作，以打造完美的适用于用户的锅炉产品为终极目的。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1.1.2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锅炉产品的主要参数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额定热功率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29MW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额定工作压力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额定出水温度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130℃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额定回水温度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70℃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给风温度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燃烧方式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全自动燃烧器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室燃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排烟温度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&lt;80℃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排烟处空气过量系数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锅炉设计热效率：&gt;95%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10、设计燃料：天然气（根据当地天然气参数）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11、排污率：2%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12、允许的负荷变化范围30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13、烟尘排放要求：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烟尘（TSP）排放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≤10mg/Nm3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NOx排放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&lt; 30mg/Nm3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二氧化硫排放：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≤50</w:t>
      </w:r>
      <w:r>
        <w:rPr>
          <w:rFonts w:hint="eastAsia" w:ascii="宋体" w:hAnsi="宋体" w:eastAsia="宋体" w:cs="宋体"/>
          <w:sz w:val="28"/>
          <w:szCs w:val="28"/>
        </w:rPr>
        <w:t>mg/Nm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1.1.3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结构形式与总体布置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该锅炉为双锅筒纵置式室燃循环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气</w:t>
      </w:r>
      <w:r>
        <w:rPr>
          <w:rFonts w:hint="eastAsia" w:ascii="仿宋_GB2312" w:hAnsi="仿宋_GB2312" w:eastAsia="仿宋_GB2312" w:cs="仿宋_GB2312"/>
          <w:sz w:val="32"/>
          <w:szCs w:val="32"/>
        </w:rPr>
        <w:t>热水锅炉。锅筒用Q245R钢材卷焊而成。上下锅筒内部采用隔板结构，确保管内流速不低于0.6m/s,水循环可靠运行。采用全膜式水冷壁结构，炉膛纵向水平布置。炉膛由前墙、左、右侧墙、后墙水冷壁膜式壁组成，后接对流管束，对流管束的外部也布有φ51膜式壁结构，烟气出对流管束进入第三回程，第三回程由对流管束外部及外膜式壁形成。烟气由第三回程进入省煤器，省煤器采用φ42蛇形管。冷凝器为外循环受热面。整个水冷系统支撑于锅炉底座上。沿锅筒长度方向可以自由向后膨胀，底座上设置了滑动支座。尾部布置钢管式省煤器，以提高锅炉热效率，防止锅炉本体造成低温腐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2、尾部受热面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⑴省煤器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锅炉尾部本体出口布置一钢管省煤器，蛇形管均由Φ42×3.5的20号钢管制成，省煤器底部设有放水阀，以及时清除启动时尾部烟道产生的冷凝水。省煤器管内水流速为1.57m/s，在安全流速范围内。省煤器进口水温为70℃，出水温度为72.8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省煤器在最高点处设置排放空气的接管座和阀门。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⑵冷凝器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省煤器后布置一级钢制螺旋翅片管冷凝器。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钢制螺旋翅片管采用φ42×3.5钢管，翅片厚度1.2、翅片高度20、翅片节距7，钢管、翅片材质为ND钢（09CrCuSb）。管子中间设置管夹，管夹支撑在支撑梁上，管箱、管夹、支撑梁均采用ND钢（09CrCuSb）。ND钢耐腐蚀性好，提高冷凝器的使用寿命。进口水温为30℃时，出水温度为59.78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3、钢架、平台扶梯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钢结构的设计、制造运用先进技术、质量完全达到我国《钢结构设计规范》的要求，钢结构件的接头,采用焊接连接。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在布置有门孔、测点附近均设有操作平台，平台按2000N/m2载荷设计。平台在锅炉两侧对称布置，便于操作。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4、炉墙保温层及护板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本锅炉采用轻型炉墙,使用的绝热材料主要有:硅酸铝纤维板、耐火混凝土、膨胀珍珠岩砖、岩棉等。当环境温度为25℃时，锅炉的炉墙表面温度不超过50 ℃，散热量一般不超过290W/m2。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锅炉外护板采用彩色喷塑板，厚度0.8mm。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5、燃烧系统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炉膛前布置一个燃烧器，并配备一个看火孔及火焰电视口。燃烧器为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主流知名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优质燃烧器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优尼瓦斯、欧保、欧科、奥林同档次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。厂家配套，一炉一机。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1.1.4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烟气流程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燃烧器布置在锅炉前面板上，正对炉膛。空气与燃料在燃烧器前部混合后喷入炉膛燃烧，到达末端时燃尽并转向，生成的高温烟气经对流管束进入外膜式壁，后进入省煤器，经冷凝器、烟道，从烟囱排出炉外。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锅炉受热面共分：炉膛辐射受热面、燃尽室受热面、第一对流管束、第二对流管束、第三对流管束、省煤器受热面、冷凝器受热面。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1.1.5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锅炉本体范围内管道、阀门及其附件。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（1）锅炉本体范围内管道。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（2）汽包安全阀、排气阀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（3）本体范围内部分测点的一次测量仪表、元件（温度、压力）及其附件。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1.1.6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技术标准和要求</w:t>
      </w:r>
      <w:bookmarkStart w:id="0" w:name="_Toc138638884"/>
      <w:bookmarkEnd w:id="0"/>
      <w:bookmarkStart w:id="1" w:name="_Toc138639090"/>
      <w:bookmarkEnd w:id="1"/>
      <w:bookmarkStart w:id="2" w:name="_Toc138638702"/>
      <w:bookmarkEnd w:id="2"/>
      <w:bookmarkStart w:id="3" w:name="_Toc138638883"/>
      <w:bookmarkEnd w:id="3"/>
      <w:bookmarkStart w:id="4" w:name="_Toc138638773"/>
      <w:bookmarkEnd w:id="4"/>
      <w:bookmarkStart w:id="5" w:name="_Toc138638534"/>
      <w:bookmarkEnd w:id="5"/>
      <w:bookmarkStart w:id="6" w:name="_Toc138639091"/>
      <w:bookmarkEnd w:id="6"/>
      <w:bookmarkStart w:id="7" w:name="_Toc138638907"/>
      <w:bookmarkEnd w:id="7"/>
      <w:bookmarkStart w:id="8" w:name="_Toc138639145"/>
      <w:bookmarkEnd w:id="8"/>
      <w:bookmarkStart w:id="9" w:name="_Toc138638510"/>
      <w:bookmarkEnd w:id="9"/>
      <w:bookmarkStart w:id="10" w:name="_Toc138638535"/>
      <w:bookmarkEnd w:id="10"/>
      <w:bookmarkStart w:id="11" w:name="_Toc138638719"/>
      <w:bookmarkEnd w:id="11"/>
      <w:bookmarkStart w:id="12" w:name="_Toc138638718"/>
      <w:bookmarkEnd w:id="12"/>
      <w:bookmarkStart w:id="13" w:name="_Toc138638910"/>
      <w:bookmarkEnd w:id="13"/>
      <w:bookmarkStart w:id="14" w:name="_Toc138638906"/>
      <w:bookmarkEnd w:id="14"/>
      <w:bookmarkStart w:id="15" w:name="_Toc138639074"/>
      <w:bookmarkEnd w:id="15"/>
      <w:bookmarkStart w:id="16" w:name="_合同文件的组成及解释顺序"/>
      <w:bookmarkEnd w:id="16"/>
      <w:bookmarkStart w:id="17" w:name="_Toc138638538"/>
      <w:bookmarkEnd w:id="17"/>
      <w:bookmarkStart w:id="18" w:name="_Toc138638509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在制造、验收过程中要严格执行，但不限于下列标准：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《热水锅炉安全技术检查规程》( 劳锅字[1997]74号)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《工业锅炉通用技术条件》(]B/T10094-2002)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《锅炉大气污染物排放标准》( GBP13271-2014)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《锅壳锅炉承压原件强度计算》 (GB/T16508-1996)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《工业锅炉热工试验规范》( GB/T101 80-2003)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《工业锅炉水质》(GB/T1567-2008)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《环境空气质量标准》(GB3095-1996)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《工业锅炉安装工程施工及验收规范》( GB50273-1998)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《钢结构设计规范》(GB50017-2003)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《水管锅炉承压元件强度设计》(GB9222-88)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《锅炉油漆和包装技术条件》(JB/T1615-91)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《锅炉锅简制造技术条件》(]B/T1609-93)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《锅炉集箱制造技术条件》(JB/T1610-93)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《锅炉管子制造技术条件》(JB/T1611-93)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《锅炉钢结构技术条件》(JB/T1620-93)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《锅炉用高频电阻焊螺旋翅片管制造技术条件》(JB/T6512-1992)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《锅炉水压试验技术条件》(JB/T1612-94)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《锅炉受压件焊接技术条件》l (JB/T1613-93)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《离心泵技术条件》(GB/T5656-2008)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《机械密封》(JB/T 4127.1-2013)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《风机压缩机泵安装工程施工及验收规范》(GB 50275-2010)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《一般用途离心通风机技术条件》( JB/10563-2006)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《通风机基本型式、尺寸参数及性能曲线》(GB/T3235-2008)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2.安装范围与要求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安装包括所有供货范围内设备的就位、找正、固定、调试；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采购人提供安装地点内临时电源位置，由中标方负责将电源从招标方指定的位置接入电控柜，施工及生活用水水费由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管道除锈刷漆，按规定刷成规定的颜色标识，并标明管道走向；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 提供随机必备的特殊工具，维修调试的专用工具，试运行备件及所需消耗品明细；</w:t>
      </w:r>
      <w:bookmarkStart w:id="19" w:name="_Toc2572085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3.项目商务要求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3.1 合同方式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在投标价下完成本项目所需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燃气热水锅炉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设备的运输、安装、调试、技术培训和验收工作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，保证设备正常运行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5" w:firstLineChars="200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3.2 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3.2.1本标书的各项条款作为设备验收要求之一。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3.2.2按卖方的合格证明书、技术资料中的各项性能指标及双方合同中规定的质量要求进行验收。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5" w:firstLineChars="200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3.3 包装要求及运输方式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3.3.1包装要求：保证途中不被损坏。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3.3.2运输方式：可根据最快捷、最经济的方式运输。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75" w:firstLineChars="200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3.4 完工期：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自双方签订合同之日起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天（日历日）完工。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3.5 技术文件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3.5.1提供设备的操作手册；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3.5.2提供设备的维护说明书；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3.5.3提供设备主要构成件清单，包括设备型号、产地、厂家、规格等；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3.5.4详细提供设备技术参数、相关设计、制作、技术规范及标准。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3.6 设备调试要求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3.6.1按照设备安装、调试需求，安装、调试工具由中标方自备；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3.6.2所有安装工作应由持有相关专业资质证书的工人来完成；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3.6.3设备安装要求符合国家相关国标和规范、有序且维护方便。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3.6.4在安装完毕，交付使用前，卖方会同采购人对货物的质量、规格、性能、数量等进行详细而全面的检验，并出具检验证明，如果货物的质量和规格与合同明显不符或存在缺陷，包括潜在的缺陷或使用不符合要求的材料，采购人将有权向投标方提出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3.7 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3.7.1卖方应为用户提供技术咨询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3.7.2投标方应有良好的售后服务及明确服务响应时间（不超过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小时），所有设备质保期应在二十四个月以上。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3.7.3保修期外，各项费用收取标准从优。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3.8 培训及售后服务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3.8.1培训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操作人员、维修人员免费培训，培训目标为操作人员能够熟练操作、维修人员能够排除一般故障，并附设备操作维护说明。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3.8.2售后服务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3.8.2.1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应根据设备情况，免费提供随机易损、保养的备品备件及清单。清单中包括备件的名称、数量及单价；说明该设备的定期维护周期和定期维护费用。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3.8.2.2当接到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维修要求后，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能保证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小时内派维修工作人员赶到现在。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3.8.2.3调试和保修期间损坏的零部件，由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免费提供（人为损坏除外）。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3.8.2.4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提供全新的、性能完备、节省能源、具有高可靠性质量、能稳定连续地工作，使用寿命长、维修方便并通过调试可以投入使用的完整设备。这些要求将不被认为是全部的，不管招标文件中是否规定，投标时应提供包括所有招标方没有要求的但必须的材料、附属设备、备件、专用检测仪器和专用工具等，以上着重描述了设备的某些特性，但并不意味着包括了设计和制造的全部细节。</w:t>
      </w:r>
      <w:bookmarkEnd w:id="19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31CF7C"/>
    <w:multiLevelType w:val="singleLevel"/>
    <w:tmpl w:val="CF31CF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DD69E1"/>
    <w:multiLevelType w:val="singleLevel"/>
    <w:tmpl w:val="5EDD6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D10B3"/>
    <w:rsid w:val="130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widowControl/>
      <w:spacing w:line="380" w:lineRule="exact"/>
      <w:ind w:firstLine="600" w:firstLineChars="250"/>
      <w:jc w:val="left"/>
    </w:pPr>
    <w:rPr>
      <w:kern w:val="0"/>
      <w:sz w:val="24"/>
      <w:szCs w:val="24"/>
    </w:rPr>
  </w:style>
  <w:style w:type="paragraph" w:styleId="4">
    <w:name w:val="Normal (Web)"/>
    <w:basedOn w:val="1"/>
    <w:next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5">
    <w:name w:val="Body Text"/>
    <w:basedOn w:val="1"/>
    <w:qFormat/>
    <w:uiPriority w:val="0"/>
    <w:pPr>
      <w:spacing w:line="520" w:lineRule="exact"/>
      <w:jc w:val="center"/>
    </w:pPr>
    <w:rPr>
      <w:b/>
      <w:bCs/>
      <w:kern w:val="2"/>
      <w:sz w:val="36"/>
      <w:szCs w:val="24"/>
    </w:rPr>
  </w:style>
  <w:style w:type="paragraph" w:customStyle="1" w:styleId="8">
    <w:name w:val="UserStyle_0"/>
    <w:basedOn w:val="1"/>
    <w:qFormat/>
    <w:uiPriority w:val="0"/>
    <w:pPr>
      <w:ind w:firstLine="420"/>
      <w:jc w:val="both"/>
      <w:textAlignment w:val="baseline"/>
    </w:p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2021-10-08T09:03:00Z</dcterms:created>
  <dc:creator>l</dc:creator>
  <cp:lastModifiedBy>l</cp:lastModifiedBy>
  <dcterms:modified xsi:type="dcterms:W3CDTF">2021-10-08T09:04:47Z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