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拜城县煤炭矿区总体规划环境影响跟踪评价报告</w:t>
      </w:r>
      <w:r>
        <w:rPr>
          <w:sz w:val="36"/>
          <w:szCs w:val="36"/>
        </w:rPr>
        <w:t>公开招标公告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拜城县煤炭矿区总体规划环境影响跟踪评价报告的潜在供应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商应在新疆政府采购网报名获取（下载）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文件，并于202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16:30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（北京时间）前提交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投标文件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  <w:t>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bcx-gkzb-2021-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038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559" w:leftChars="266" w:righ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项目名称：拜城县煤炭矿区总体规划环境影响跟踪评价报告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559" w:leftChars="266" w:righ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购方式：公开招标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采购需求：</w:t>
      </w:r>
    </w:p>
    <w:tbl>
      <w:tblPr>
        <w:tblStyle w:val="9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2"/>
        <w:gridCol w:w="876"/>
        <w:gridCol w:w="1550"/>
        <w:gridCol w:w="833"/>
        <w:gridCol w:w="3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标项名称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55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预算金额（元）</w:t>
            </w:r>
          </w:p>
        </w:tc>
        <w:tc>
          <w:tcPr>
            <w:tcW w:w="83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3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简要规格描述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拜城县煤炭矿区总体规划环境影响跟踪评价报告</w:t>
            </w:r>
          </w:p>
        </w:tc>
        <w:tc>
          <w:tcPr>
            <w:tcW w:w="87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1050000</w:t>
            </w:r>
          </w:p>
        </w:tc>
        <w:tc>
          <w:tcPr>
            <w:tcW w:w="83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33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对拜城县煤炭矿区总体规划内的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22个矿区进行环境影响跟踪评价工作，要求完成的编制、评审及备案工作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合同履约期限：按照甲乙双方签订的合同日期执行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本项目（否）接受联合体投标。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二、申请人的资格要求：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（1）具有独立承担民事责任的能力；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（2）具有良好的商业信誉和健全的财务会计制度；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（3）具有履行合同所必需的设备和专业技术能力；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（4）有依法缴纳税收和社会保障资金的良好记录；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（5）参加政府采购活动前三年内，在经营活动中没有重大违法记录；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（6）法律、行政法规规定的其他条件。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2.落实政府采购政策需满足的资格要求：（1）《政府采购促进中小企业发展管理办法》（财库〔2020〕46号）；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（2）《财政部、司法部关于政府采购支持监狱企业发展有关问题的通知》（财库[2014]68号）；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（3）《国务院办公厅关于建立政府强制采购节能产品制度的通知》（国发办[2007]51号）；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（4）《财政部、民政部、中国残疾人联合会关于促进残疾人就业政府采购政策的通知》财库[2017]141号；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《国务院办公厅关于建立政府强制采购节能产品制度的通知》（国办发〔2007〕51号），投标产品为计算机、打印机、空调、照明产品、电视机、电热水器、显示器、便器、水嘴等九大类政府强制采购的产品，必须为国家财政部、环境保护部、国家发改委等有关部门发布的《环境标志产品政府采购清单》和《节能产品政府采购清单》中的产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3.本项目的特定资格要求：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（1）具备有效的三证合一营业执照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）具有注册环境影响评价工程师证（证书扫描件）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法定代表人需提供法定代表人证明书及法定代表人身份证，委托代理人需提供法定代表人授权委托书及委托代理人身份证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凡拟参加本次采购项目的投标人，如在“信用中国”网站、中国政府采购网、国家企业信用信息公示系统，被列入失信被执行人、重大税收违法案件当事人名单、政府采购严重违法失信行为记录名单的（尚在处罚期内的），将拒绝其参加本次政府采购活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）单位负责人为同一人或者存在控股、管理关系的不同单位，不得参加同一标段投标或者未划分标段的同一招标项目投标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End w:id="0"/>
      <w:r>
        <w:rPr>
          <w:rFonts w:hint="eastAsia" w:ascii="仿宋" w:hAnsi="仿宋" w:eastAsia="仿宋" w:cs="仿宋"/>
          <w:sz w:val="28"/>
          <w:szCs w:val="28"/>
        </w:rPr>
        <w:t>   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4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三、获取招标文件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日至2021年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日，每天上午10:00至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0，下午1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地点：政采云平台报名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方式：政采云平台下载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4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四、提交投标文件截止时间、开标时间和地点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提交投标文件截止时间：2021年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投标地点：拜城县公共资源交易中心三楼（拜城县中央公园中心城）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开标时间：2021年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开标地点：拜城县公共资源交易中心三楼（拜城县中央公园中心</w:t>
      </w:r>
      <w:r>
        <w:rPr>
          <w:rFonts w:hint="eastAsia" w:ascii="仿宋" w:hAnsi="仿宋" w:eastAsia="仿宋" w:cs="仿宋"/>
          <w:sz w:val="28"/>
          <w:szCs w:val="28"/>
        </w:rPr>
        <w:t>城）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4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五、公告期限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4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获取采购文件时需提供的资料：凡有意参与的供应商，应在政采云平台报名时，在附件中上传以下资料加盖公章的彩色扫描件：有效的营业执照、具有注册环境影响评价工程师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</w:t>
      </w:r>
      <w:r>
        <w:rPr>
          <w:rFonts w:hint="eastAsia" w:ascii="仿宋" w:hAnsi="仿宋" w:eastAsia="仿宋" w:cs="仿宋"/>
          <w:sz w:val="28"/>
          <w:szCs w:val="28"/>
        </w:rPr>
        <w:t>（证书扫描件，并提供社保缴纳近三个月证明）、法定代表人身份证明或法人代表授权委托书、在“信用中国”网站（www.creditchina.gov.cn）、中国政府采购网（www.ccgp.gov.cn）信用记录查询结果（需注明截止时间，不得早于招标公告发布日期）打印页面并加盖公章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2、请投标单位随时关注本项目的澄清、答疑、变更事项。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4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Style w:val="8"/>
          <w:rFonts w:hint="eastAsia" w:ascii="仿宋" w:hAnsi="仿宋" w:eastAsia="仿宋" w:cs="仿宋"/>
          <w:sz w:val="28"/>
          <w:szCs w:val="28"/>
        </w:rPr>
        <w:t>拜城县</w:t>
      </w:r>
      <w:r>
        <w:rPr>
          <w:rStyle w:val="8"/>
          <w:rFonts w:hint="eastAsia" w:ascii="仿宋" w:hAnsi="仿宋" w:eastAsia="仿宋" w:cs="仿宋"/>
          <w:sz w:val="28"/>
          <w:szCs w:val="28"/>
          <w:lang w:eastAsia="zh-CN"/>
        </w:rPr>
        <w:t>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 址：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拜城县胜利路33号（拜城县财政局5楼）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朱永僚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13999070322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称：库车凯丰招投标代理有限公司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址：新和县观湖郡5号楼1单元301室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项目联系人：宋静静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left="0" w:righ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15739771942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02CD"/>
    <w:rsid w:val="015102CD"/>
    <w:rsid w:val="1677587A"/>
    <w:rsid w:val="1A945630"/>
    <w:rsid w:val="1B6D65E5"/>
    <w:rsid w:val="270C6974"/>
    <w:rsid w:val="297B3C69"/>
    <w:rsid w:val="2AB41190"/>
    <w:rsid w:val="30804496"/>
    <w:rsid w:val="4F2A7460"/>
    <w:rsid w:val="51F12A73"/>
    <w:rsid w:val="56002099"/>
    <w:rsid w:val="59FA2217"/>
    <w:rsid w:val="674145FA"/>
    <w:rsid w:val="6F727C27"/>
    <w:rsid w:val="71211894"/>
    <w:rsid w:val="715852EE"/>
    <w:rsid w:val="75BE329B"/>
    <w:rsid w:val="77AC367E"/>
    <w:rsid w:val="7C6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30"/>
      </w:tabs>
      <w:ind w:left="0" w:leftChars="0" w:firstLine="210"/>
    </w:pPr>
    <w:rPr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楷体_GB2312"/>
      <w:sz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2021-10-07T04:26:00Z</dcterms:created>
  <dc:creator>宋闹闹</dc:creator>
  <cp:lastModifiedBy>admin</cp:lastModifiedBy>
  <dcterms:modified xsi:type="dcterms:W3CDTF">2021-10-09T07:17:20Z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980FCC3D9ABE4A5198E68659677EC140</vt:lpwstr>
  </property>
</Properties>
</file>