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10"/>
        </w:tabs>
        <w:rPr>
          <w:rFonts w:cs="Arial" w:asciiTheme="majorEastAsia" w:hAnsiTheme="majorEastAsia" w:eastAsiaTheme="majorEastAsia"/>
        </w:rPr>
      </w:pPr>
    </w:p>
    <w:p>
      <w:pPr>
        <w:spacing w:line="900" w:lineRule="exact"/>
        <w:jc w:val="center"/>
        <w:rPr>
          <w:rFonts w:asciiTheme="majorEastAsia" w:hAnsiTheme="majorEastAsia" w:eastAsiaTheme="majorEastAsia"/>
          <w:sz w:val="72"/>
          <w:szCs w:val="72"/>
        </w:rPr>
      </w:pPr>
    </w:p>
    <w:p>
      <w:pPr>
        <w:autoSpaceDE w:val="0"/>
        <w:autoSpaceDN w:val="0"/>
        <w:adjustRightInd w:val="0"/>
        <w:jc w:val="center"/>
        <w:rPr>
          <w:rFonts w:ascii="宋体" w:hAnsi="宋体" w:cs="宋体"/>
          <w:bCs/>
          <w:sz w:val="58"/>
          <w:szCs w:val="36"/>
        </w:rPr>
      </w:pPr>
      <w:r>
        <w:rPr>
          <w:rFonts w:hint="eastAsia" w:ascii="宋体" w:hAnsi="宋体" w:cs="宋体"/>
          <w:bCs/>
          <w:sz w:val="58"/>
          <w:szCs w:val="36"/>
        </w:rPr>
        <w:t>政 府 采 购 招 标 文 件</w:t>
      </w:r>
    </w:p>
    <w:p>
      <w:pPr>
        <w:autoSpaceDE w:val="0"/>
        <w:autoSpaceDN w:val="0"/>
        <w:adjustRightInd w:val="0"/>
        <w:jc w:val="center"/>
        <w:rPr>
          <w:rFonts w:ascii="宋体" w:hAnsi="宋体" w:cs="宋体"/>
          <w:bCs/>
          <w:sz w:val="36"/>
          <w:szCs w:val="36"/>
        </w:rPr>
      </w:pPr>
    </w:p>
    <w:p>
      <w:pPr>
        <w:ind w:firstLine="420" w:firstLineChars="150"/>
        <w:rPr>
          <w:rFonts w:ascii="宋体" w:hAnsi="宋体" w:cs="宋体"/>
          <w:bCs/>
          <w:sz w:val="28"/>
          <w:szCs w:val="28"/>
          <w:lang w:val="zh-CN"/>
        </w:rPr>
      </w:pPr>
      <w:r>
        <w:rPr>
          <w:rFonts w:hint="eastAsia" w:ascii="宋体" w:hAnsi="宋体" w:cs="宋体"/>
          <w:bCs/>
          <w:sz w:val="28"/>
          <w:szCs w:val="28"/>
          <w:lang w:val="zh-CN"/>
        </w:rPr>
        <w:t xml:space="preserve">  </w:t>
      </w:r>
    </w:p>
    <w:p>
      <w:pPr>
        <w:spacing w:line="360" w:lineRule="exact"/>
        <w:rPr>
          <w:rFonts w:ascii="宋体" w:hAnsi="宋体" w:cs="宋体"/>
          <w:bCs/>
          <w:sz w:val="24"/>
          <w:lang w:val="zh-CN"/>
        </w:rPr>
      </w:pPr>
    </w:p>
    <w:p>
      <w:pPr>
        <w:spacing w:line="360" w:lineRule="exact"/>
        <w:rPr>
          <w:rFonts w:hint="default" w:ascii="宋体" w:hAnsi="宋体" w:eastAsia="宋体" w:cs="宋体"/>
          <w:bCs/>
          <w:color w:val="000000" w:themeColor="text1"/>
          <w:sz w:val="24"/>
          <w:lang w:val="en-US" w:eastAsia="zh-CN"/>
          <w14:textFill>
            <w14:solidFill>
              <w14:schemeClr w14:val="tx1"/>
            </w14:solidFill>
          </w14:textFill>
        </w:rPr>
      </w:pPr>
      <w:r>
        <w:rPr>
          <w:rFonts w:hint="eastAsia" w:ascii="宋体" w:hAnsi="宋体" w:cs="宋体"/>
          <w:bCs/>
          <w:sz w:val="24"/>
          <w:lang w:val="zh-CN"/>
        </w:rPr>
        <w:t>项目名称：</w:t>
      </w:r>
      <w:r>
        <w:rPr>
          <w:rFonts w:hint="eastAsia" w:ascii="宋体" w:hAnsi="宋体" w:cs="宋体"/>
          <w:bCs/>
          <w:color w:val="000000" w:themeColor="text1"/>
          <w:sz w:val="24"/>
          <w:lang w:eastAsia="zh-CN"/>
          <w14:textFill>
            <w14:solidFill>
              <w14:schemeClr w14:val="tx1"/>
            </w14:solidFill>
          </w14:textFill>
        </w:rPr>
        <w:t>墨玉县福利蛋鸡养殖设备采购项目（一期）</w:t>
      </w:r>
      <w:r>
        <w:rPr>
          <w:rFonts w:hint="eastAsia" w:ascii="宋体" w:hAnsi="宋体" w:cs="宋体"/>
          <w:bCs/>
          <w:color w:val="000000" w:themeColor="text1"/>
          <w:sz w:val="24"/>
          <w:lang w:val="en-US" w:eastAsia="zh-CN"/>
          <w14:textFill>
            <w14:solidFill>
              <w14:schemeClr w14:val="tx1"/>
            </w14:solidFill>
          </w14:textFill>
        </w:rPr>
        <w:t>包二</w:t>
      </w:r>
    </w:p>
    <w:p>
      <w:pPr>
        <w:pStyle w:val="49"/>
      </w:pPr>
    </w:p>
    <w:p>
      <w:pPr>
        <w:spacing w:line="360" w:lineRule="exact"/>
        <w:rPr>
          <w:rFonts w:hint="eastAsia" w:ascii="宋体" w:hAnsi="宋体" w:eastAsia="宋体" w:cs="宋体"/>
          <w:bCs/>
          <w:color w:val="000000" w:themeColor="text1"/>
          <w:sz w:val="24"/>
          <w:lang w:val="zh-CN" w:eastAsia="zh-CN"/>
          <w14:textFill>
            <w14:solidFill>
              <w14:schemeClr w14:val="tx1"/>
            </w14:solidFill>
          </w14:textFill>
        </w:rPr>
      </w:pPr>
      <w:r>
        <w:rPr>
          <w:rFonts w:hint="eastAsia" w:ascii="宋体" w:hAnsi="宋体" w:cs="宋体"/>
          <w:bCs/>
          <w:sz w:val="24"/>
          <w:lang w:val="zh-CN"/>
        </w:rPr>
        <w:t>项目编号：</w:t>
      </w:r>
      <w:r>
        <w:rPr>
          <w:rFonts w:hint="eastAsia" w:ascii="宋体" w:hAnsi="宋体" w:cs="宋体"/>
          <w:bCs/>
          <w:sz w:val="24"/>
          <w:highlight w:val="none"/>
          <w:lang w:val="zh-CN"/>
        </w:rPr>
        <w:t>XJDY(MYX)ZFCG(202</w:t>
      </w:r>
      <w:r>
        <w:rPr>
          <w:rFonts w:hint="eastAsia" w:ascii="宋体" w:hAnsi="宋体" w:cs="宋体"/>
          <w:bCs/>
          <w:sz w:val="24"/>
          <w:highlight w:val="none"/>
          <w:lang w:val="zh-CN" w:eastAsia="zh-CN"/>
        </w:rPr>
        <w:t>1</w:t>
      </w:r>
      <w:r>
        <w:rPr>
          <w:rFonts w:hint="eastAsia" w:ascii="宋体" w:hAnsi="宋体" w:cs="宋体"/>
          <w:bCs/>
          <w:sz w:val="24"/>
          <w:highlight w:val="none"/>
          <w:lang w:val="zh-CN"/>
        </w:rPr>
        <w:t>GK)00</w:t>
      </w:r>
      <w:r>
        <w:rPr>
          <w:rFonts w:hint="eastAsia" w:ascii="宋体" w:hAnsi="宋体" w:cs="宋体"/>
          <w:bCs/>
          <w:sz w:val="24"/>
          <w:highlight w:val="none"/>
          <w:lang w:val="en-US" w:eastAsia="zh-CN"/>
        </w:rPr>
        <w:t>2</w:t>
      </w:r>
      <w:r>
        <w:rPr>
          <w:rFonts w:hint="eastAsia" w:ascii="宋体" w:hAnsi="宋体" w:cs="宋体"/>
          <w:bCs/>
          <w:sz w:val="24"/>
          <w:lang w:val="zh-CN"/>
        </w:rPr>
        <w:t>号</w:t>
      </w:r>
    </w:p>
    <w:p>
      <w:pPr>
        <w:spacing w:line="360" w:lineRule="exact"/>
        <w:rPr>
          <w:rFonts w:ascii="宋体" w:hAnsi="宋体" w:cs="宋体"/>
          <w:bCs/>
          <w:sz w:val="24"/>
          <w:lang w:val="zh-CN"/>
        </w:rPr>
      </w:pPr>
    </w:p>
    <w:p>
      <w:pPr>
        <w:spacing w:line="360" w:lineRule="exact"/>
        <w:rPr>
          <w:rFonts w:ascii="宋体" w:hAnsi="宋体" w:cs="宋体"/>
          <w:bCs/>
          <w:sz w:val="24"/>
          <w:lang w:val="zh-CN"/>
        </w:rPr>
      </w:pPr>
      <w:r>
        <w:rPr>
          <w:rFonts w:hint="eastAsia" w:ascii="宋体" w:hAnsi="宋体" w:cs="宋体"/>
          <w:bCs/>
          <w:sz w:val="24"/>
          <w:lang w:val="zh-CN"/>
        </w:rPr>
        <w:t>招标人（盖章）：墨玉县农业农村局</w:t>
      </w:r>
    </w:p>
    <w:p>
      <w:pPr>
        <w:spacing w:line="800" w:lineRule="exact"/>
        <w:rPr>
          <w:rFonts w:hint="default" w:ascii="宋体" w:hAnsi="宋体" w:eastAsia="宋体" w:cs="宋体"/>
          <w:bCs/>
          <w:sz w:val="24"/>
          <w:lang w:val="en-US" w:eastAsia="zh-CN"/>
        </w:rPr>
      </w:pPr>
      <w:r>
        <w:rPr>
          <w:rFonts w:hint="eastAsia" w:ascii="宋体" w:hAnsi="宋体" w:cs="宋体"/>
          <w:bCs/>
          <w:sz w:val="24"/>
          <w:lang w:val="zh-CN"/>
        </w:rPr>
        <w:t>联 系 人</w:t>
      </w:r>
      <w:r>
        <w:rPr>
          <w:rFonts w:hint="eastAsia" w:ascii="宋体" w:hAnsi="宋体" w:cs="宋体"/>
          <w:bCs/>
          <w:sz w:val="24"/>
          <w:highlight w:val="none"/>
          <w:lang w:val="zh-CN"/>
        </w:rPr>
        <w:t>：</w:t>
      </w:r>
      <w:r>
        <w:rPr>
          <w:rFonts w:hint="eastAsia" w:ascii="宋体" w:hAnsi="宋体" w:cs="宋体"/>
          <w:bCs/>
          <w:sz w:val="24"/>
          <w:highlight w:val="none"/>
          <w:lang w:val="en-US" w:eastAsia="zh-CN"/>
        </w:rPr>
        <w:t>杨亚玲</w:t>
      </w:r>
    </w:p>
    <w:p>
      <w:pPr>
        <w:spacing w:line="800" w:lineRule="exact"/>
        <w:rPr>
          <w:rFonts w:hint="default" w:ascii="宋体" w:hAnsi="宋体" w:eastAsia="宋体" w:cs="宋体"/>
          <w:sz w:val="24"/>
          <w:lang w:val="en-US" w:eastAsia="zh-CN"/>
        </w:rPr>
      </w:pPr>
      <w:r>
        <w:rPr>
          <w:rFonts w:hint="eastAsia" w:ascii="宋体" w:hAnsi="宋体" w:cs="宋体"/>
          <w:bCs/>
          <w:sz w:val="24"/>
          <w:lang w:val="zh-CN"/>
        </w:rPr>
        <w:t xml:space="preserve">电    话： </w:t>
      </w:r>
      <w:r>
        <w:rPr>
          <w:rFonts w:ascii="宋体" w:hAnsi="宋体" w:cs="宋体"/>
          <w:bCs/>
          <w:sz w:val="24"/>
          <w:lang w:val="zh-CN"/>
        </w:rPr>
        <w:t>0903-</w:t>
      </w:r>
      <w:r>
        <w:rPr>
          <w:rFonts w:hint="eastAsia" w:ascii="宋体" w:hAnsi="宋体" w:cs="宋体"/>
          <w:bCs/>
          <w:sz w:val="24"/>
          <w:lang w:val="en-US" w:eastAsia="zh-CN"/>
        </w:rPr>
        <w:t>6512925</w:t>
      </w:r>
    </w:p>
    <w:p>
      <w:pPr>
        <w:spacing w:line="800" w:lineRule="exact"/>
        <w:rPr>
          <w:rFonts w:ascii="宋体" w:hAnsi="宋体" w:cs="宋体"/>
          <w:bCs/>
          <w:sz w:val="24"/>
          <w:lang w:val="zh-CN"/>
        </w:rPr>
      </w:pPr>
      <w:r>
        <w:rPr>
          <w:rFonts w:hint="eastAsia" w:ascii="宋体" w:hAnsi="宋体" w:cs="宋体"/>
          <w:bCs/>
          <w:sz w:val="24"/>
          <w:lang w:val="zh-CN"/>
        </w:rPr>
        <w:t>详细地址：墨玉县古则东路4号</w:t>
      </w:r>
    </w:p>
    <w:p>
      <w:pPr>
        <w:autoSpaceDE w:val="0"/>
        <w:autoSpaceDN w:val="0"/>
        <w:adjustRightInd w:val="0"/>
        <w:rPr>
          <w:rFonts w:ascii="宋体" w:hAnsi="宋体" w:cs="宋体"/>
          <w:bCs/>
          <w:sz w:val="28"/>
          <w:szCs w:val="28"/>
          <w:lang w:val="zh-CN"/>
        </w:rPr>
      </w:pPr>
    </w:p>
    <w:p>
      <w:pPr>
        <w:autoSpaceDE w:val="0"/>
        <w:autoSpaceDN w:val="0"/>
        <w:adjustRightInd w:val="0"/>
        <w:rPr>
          <w:rFonts w:ascii="宋体" w:hAnsi="宋体" w:cs="宋体"/>
          <w:bCs/>
          <w:sz w:val="30"/>
          <w:szCs w:val="30"/>
          <w:u w:val="thick"/>
          <w:lang w:val="zh-CN"/>
        </w:rPr>
      </w:pPr>
      <w:r>
        <w:rPr>
          <w:rFonts w:hint="eastAsia" w:ascii="宋体" w:hAnsi="宋体" w:cs="宋体"/>
          <w:bCs/>
          <w:sz w:val="30"/>
          <w:szCs w:val="30"/>
          <w:u w:val="thick"/>
        </w:rPr>
        <w:t>-------------------------------------------------------</w:t>
      </w:r>
    </w:p>
    <w:p>
      <w:pPr>
        <w:autoSpaceDE w:val="0"/>
        <w:autoSpaceDN w:val="0"/>
        <w:adjustRightInd w:val="0"/>
        <w:rPr>
          <w:rFonts w:ascii="宋体" w:hAnsi="宋体" w:cs="宋体"/>
          <w:bCs/>
          <w:sz w:val="28"/>
          <w:szCs w:val="28"/>
        </w:rPr>
      </w:pPr>
      <w:r>
        <w:rPr>
          <w:rFonts w:hint="eastAsia" w:ascii="宋体" w:hAnsi="宋体" w:cs="宋体"/>
          <w:bCs/>
          <w:sz w:val="28"/>
          <w:szCs w:val="28"/>
        </w:rPr>
        <w:t xml:space="preserve">    </w:t>
      </w:r>
    </w:p>
    <w:p>
      <w:pPr>
        <w:autoSpaceDE w:val="0"/>
        <w:autoSpaceDN w:val="0"/>
        <w:adjustRightInd w:val="0"/>
        <w:rPr>
          <w:rFonts w:hint="eastAsia" w:ascii="宋体" w:hAnsi="宋体" w:cs="宋体"/>
          <w:bCs/>
          <w:sz w:val="24"/>
          <w:lang w:val="en-US" w:eastAsia="zh-CN"/>
        </w:rPr>
      </w:pPr>
      <w:r>
        <w:rPr>
          <w:rFonts w:hint="eastAsia" w:ascii="宋体" w:hAnsi="宋体" w:cs="宋体"/>
          <w:bCs/>
          <w:sz w:val="24"/>
          <w:lang w:val="zh-CN"/>
        </w:rPr>
        <w:t>招标代理机构（盖章）：</w:t>
      </w:r>
      <w:r>
        <w:rPr>
          <w:rFonts w:hint="eastAsia" w:ascii="宋体" w:hAnsi="宋体" w:cs="宋体"/>
          <w:bCs/>
          <w:sz w:val="24"/>
          <w:lang w:val="en-US" w:eastAsia="zh-CN"/>
        </w:rPr>
        <w:t>新疆大源工程管理有限公司</w:t>
      </w:r>
    </w:p>
    <w:p>
      <w:pPr>
        <w:pStyle w:val="39"/>
        <w:rPr>
          <w:rFonts w:hint="eastAsia"/>
          <w:lang w:val="zh-CN"/>
        </w:rPr>
      </w:pPr>
    </w:p>
    <w:p>
      <w:pPr>
        <w:autoSpaceDE w:val="0"/>
        <w:autoSpaceDN w:val="0"/>
        <w:adjustRightInd w:val="0"/>
        <w:spacing w:line="600" w:lineRule="auto"/>
        <w:rPr>
          <w:rFonts w:ascii="宋体" w:hAnsi="宋体" w:cs="宋体"/>
          <w:bCs/>
          <w:sz w:val="24"/>
        </w:rPr>
      </w:pPr>
      <w:r>
        <w:rPr>
          <w:rFonts w:hint="eastAsia" w:ascii="宋体" w:hAnsi="宋体" w:cs="宋体"/>
          <w:bCs/>
          <w:sz w:val="24"/>
          <w:lang w:val="zh-CN"/>
        </w:rPr>
        <w:t>联 系 人：</w:t>
      </w:r>
      <w:r>
        <w:rPr>
          <w:rFonts w:hint="eastAsia" w:ascii="宋体" w:hAnsi="宋体" w:cs="宋体"/>
          <w:bCs/>
          <w:sz w:val="24"/>
          <w:lang w:val="en-US" w:eastAsia="zh-CN"/>
        </w:rPr>
        <w:t>邓涛</w:t>
      </w:r>
      <w:r>
        <w:rPr>
          <w:rFonts w:hint="eastAsia" w:ascii="宋体" w:hAnsi="宋体" w:cs="宋体"/>
          <w:bCs/>
          <w:sz w:val="24"/>
        </w:rPr>
        <w:t xml:space="preserve">  </w:t>
      </w:r>
    </w:p>
    <w:p>
      <w:pPr>
        <w:autoSpaceDE w:val="0"/>
        <w:autoSpaceDN w:val="0"/>
        <w:adjustRightInd w:val="0"/>
        <w:spacing w:line="600" w:lineRule="auto"/>
        <w:rPr>
          <w:rFonts w:hint="default" w:ascii="宋体" w:hAnsi="宋体" w:eastAsia="宋体" w:cs="宋体"/>
          <w:bCs/>
          <w:sz w:val="24"/>
          <w:lang w:val="en-US" w:eastAsia="zh-CN"/>
        </w:rPr>
      </w:pPr>
      <w:r>
        <w:rPr>
          <w:rFonts w:hint="eastAsia" w:ascii="宋体" w:hAnsi="宋体" w:cs="宋体"/>
          <w:bCs/>
          <w:sz w:val="24"/>
          <w:lang w:val="zh-CN"/>
        </w:rPr>
        <w:t>电    话：</w:t>
      </w:r>
      <w:r>
        <w:rPr>
          <w:rFonts w:hint="eastAsia" w:ascii="宋体" w:hAnsi="宋体" w:cs="宋体"/>
          <w:bCs/>
          <w:sz w:val="24"/>
          <w:lang w:val="en-US" w:eastAsia="zh-CN"/>
        </w:rPr>
        <w:t>16609977009</w:t>
      </w:r>
    </w:p>
    <w:p>
      <w:pPr>
        <w:autoSpaceDE w:val="0"/>
        <w:autoSpaceDN w:val="0"/>
        <w:adjustRightInd w:val="0"/>
        <w:spacing w:line="600" w:lineRule="auto"/>
        <w:rPr>
          <w:rFonts w:ascii="宋体" w:hAnsi="宋体" w:cs="宋体"/>
          <w:sz w:val="24"/>
        </w:rPr>
      </w:pPr>
      <w:r>
        <w:rPr>
          <w:rFonts w:hint="eastAsia" w:ascii="宋体" w:hAnsi="宋体" w:cs="宋体"/>
          <w:bCs/>
          <w:sz w:val="24"/>
          <w:lang w:val="zh-CN"/>
        </w:rPr>
        <w:t>详细地址：</w:t>
      </w:r>
      <w:r>
        <w:rPr>
          <w:rFonts w:hint="eastAsia" w:ascii="宋体" w:hAnsi="宋体" w:cs="宋体"/>
          <w:bCs/>
          <w:sz w:val="24"/>
          <w:lang w:val="zh-CN" w:eastAsia="zh-CN"/>
        </w:rPr>
        <w:t>和田市京苑街39号南苑小区物业楼3楼</w:t>
      </w:r>
      <w:r>
        <w:rPr>
          <w:rFonts w:hint="eastAsia" w:ascii="宋体" w:hAnsi="宋体" w:cs="宋体"/>
          <w:bCs/>
          <w:sz w:val="24"/>
          <w:lang w:val="zh-CN"/>
        </w:rPr>
        <w:t>　</w:t>
      </w:r>
    </w:p>
    <w:p>
      <w:pPr>
        <w:spacing w:line="360" w:lineRule="auto"/>
        <w:ind w:firstLine="551" w:firstLineChars="196"/>
        <w:rPr>
          <w:rFonts w:cs="宋体" w:asciiTheme="majorEastAsia" w:hAnsiTheme="majorEastAsia" w:eastAsiaTheme="majorEastAsia"/>
          <w:b/>
          <w:sz w:val="28"/>
          <w:szCs w:val="28"/>
        </w:rPr>
      </w:pPr>
    </w:p>
    <w:p>
      <w:pPr>
        <w:spacing w:line="360" w:lineRule="auto"/>
        <w:ind w:right="560" w:firstLine="4340" w:firstLineChars="1550"/>
        <w:rPr>
          <w:rFonts w:cs="宋体" w:asciiTheme="majorEastAsia" w:hAnsiTheme="majorEastAsia" w:eastAsiaTheme="majorEastAsia"/>
          <w:sz w:val="28"/>
          <w:szCs w:val="28"/>
        </w:rPr>
      </w:pPr>
    </w:p>
    <w:p>
      <w:pPr>
        <w:pStyle w:val="49"/>
      </w:pPr>
    </w:p>
    <w:p>
      <w:pPr>
        <w:spacing w:line="360" w:lineRule="auto"/>
        <w:jc w:val="center"/>
        <w:rPr>
          <w:rFonts w:asciiTheme="majorEastAsia" w:hAnsiTheme="majorEastAsia" w:eastAsiaTheme="majorEastAsia"/>
          <w:sz w:val="36"/>
          <w:szCs w:val="36"/>
        </w:rPr>
      </w:pPr>
    </w:p>
    <w:p>
      <w:pPr>
        <w:spacing w:line="360" w:lineRule="auto"/>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目    录</w:t>
      </w:r>
    </w:p>
    <w:p>
      <w:pPr>
        <w:spacing w:line="360" w:lineRule="auto"/>
        <w:rPr>
          <w:rFonts w:asciiTheme="majorEastAsia" w:hAnsiTheme="majorEastAsia" w:eastAsiaTheme="majorEastAsia"/>
        </w:rPr>
      </w:pPr>
    </w:p>
    <w:p>
      <w:pPr>
        <w:spacing w:line="360" w:lineRule="auto"/>
        <w:outlineLvl w:val="0"/>
        <w:rPr>
          <w:rFonts w:asciiTheme="majorEastAsia" w:hAnsiTheme="majorEastAsia" w:eastAsiaTheme="majorEastAsia"/>
          <w:sz w:val="28"/>
          <w:szCs w:val="28"/>
        </w:rPr>
      </w:pPr>
      <w:r>
        <w:rPr>
          <w:rFonts w:hint="eastAsia" w:asciiTheme="majorEastAsia" w:hAnsiTheme="majorEastAsia" w:eastAsiaTheme="majorEastAsia"/>
          <w:sz w:val="28"/>
          <w:szCs w:val="28"/>
        </w:rPr>
        <w:t>第一章 招标公告··································1</w:t>
      </w:r>
    </w:p>
    <w:p>
      <w:pPr>
        <w:spacing w:line="360" w:lineRule="auto"/>
        <w:outlineLvl w:val="0"/>
        <w:rPr>
          <w:rFonts w:asciiTheme="majorEastAsia" w:hAnsiTheme="majorEastAsia" w:eastAsiaTheme="majorEastAsia"/>
          <w:sz w:val="28"/>
          <w:szCs w:val="28"/>
        </w:rPr>
      </w:pPr>
      <w:r>
        <w:rPr>
          <w:rFonts w:hint="eastAsia" w:asciiTheme="majorEastAsia" w:hAnsiTheme="majorEastAsia" w:eastAsiaTheme="majorEastAsia"/>
          <w:sz w:val="28"/>
          <w:szCs w:val="28"/>
        </w:rPr>
        <w:t>第二章 投标人须知</w:t>
      </w:r>
      <w:r>
        <w:rPr>
          <w:rFonts w:hint="eastAsia" w:asciiTheme="majorEastAsia" w:hAnsiTheme="majorEastAsia" w:eastAsiaTheme="majorEastAsia"/>
          <w:sz w:val="28"/>
          <w:szCs w:val="28"/>
        </w:rPr>
        <w:tab/>
      </w:r>
      <w:r>
        <w:rPr>
          <w:rFonts w:hint="eastAsia" w:asciiTheme="majorEastAsia" w:hAnsiTheme="majorEastAsia" w:eastAsiaTheme="majorEastAsia"/>
          <w:sz w:val="28"/>
          <w:szCs w:val="28"/>
        </w:rPr>
        <w:t>·······························3</w:t>
      </w:r>
    </w:p>
    <w:p>
      <w:pPr>
        <w:spacing w:line="360" w:lineRule="auto"/>
        <w:outlineLvl w:val="0"/>
        <w:rPr>
          <w:rFonts w:asciiTheme="majorEastAsia" w:hAnsiTheme="majorEastAsia" w:eastAsiaTheme="majorEastAsia"/>
          <w:sz w:val="28"/>
          <w:szCs w:val="28"/>
        </w:rPr>
      </w:pPr>
      <w:r>
        <w:rPr>
          <w:rFonts w:hint="eastAsia" w:asciiTheme="majorEastAsia" w:hAnsiTheme="majorEastAsia" w:eastAsiaTheme="majorEastAsia"/>
          <w:sz w:val="28"/>
          <w:szCs w:val="28"/>
        </w:rPr>
        <w:t>投标人须知前附表</w:t>
      </w:r>
      <w:r>
        <w:rPr>
          <w:rFonts w:hint="eastAsia" w:asciiTheme="majorEastAsia" w:hAnsiTheme="majorEastAsia" w:eastAsiaTheme="majorEastAsia"/>
          <w:sz w:val="28"/>
          <w:szCs w:val="28"/>
        </w:rPr>
        <w:tab/>
      </w:r>
      <w:r>
        <w:rPr>
          <w:rFonts w:hint="eastAsia" w:asciiTheme="majorEastAsia" w:hAnsiTheme="majorEastAsia" w:eastAsiaTheme="majorEastAsia"/>
          <w:sz w:val="28"/>
          <w:szCs w:val="28"/>
        </w:rPr>
        <w:t>·······························3</w:t>
      </w:r>
    </w:p>
    <w:p>
      <w:pPr>
        <w:spacing w:line="360" w:lineRule="auto"/>
        <w:outlineLvl w:val="0"/>
        <w:rPr>
          <w:rFonts w:hint="default" w:asciiTheme="majorEastAsia" w:hAnsiTheme="majorEastAsia" w:eastAsiaTheme="majorEastAsia"/>
          <w:sz w:val="28"/>
          <w:szCs w:val="28"/>
          <w:lang w:val="en-US" w:eastAsia="zh-CN"/>
        </w:rPr>
      </w:pPr>
      <w:r>
        <w:rPr>
          <w:rFonts w:hint="eastAsia" w:asciiTheme="majorEastAsia" w:hAnsiTheme="majorEastAsia" w:eastAsiaTheme="majorEastAsia"/>
          <w:sz w:val="28"/>
          <w:szCs w:val="28"/>
        </w:rPr>
        <w:t>第三章  评标办法</w:t>
      </w:r>
      <w:r>
        <w:rPr>
          <w:rFonts w:hint="eastAsia" w:asciiTheme="majorEastAsia" w:hAnsiTheme="majorEastAsia" w:eastAsiaTheme="majorEastAsia"/>
          <w:sz w:val="28"/>
          <w:szCs w:val="28"/>
        </w:rPr>
        <w:tab/>
      </w: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lang w:val="en-US" w:eastAsia="zh-CN"/>
        </w:rPr>
        <w:t>22</w:t>
      </w:r>
    </w:p>
    <w:p>
      <w:pPr>
        <w:spacing w:line="360" w:lineRule="auto"/>
        <w:outlineLvl w:val="0"/>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rPr>
        <w:t>第四章  合同条款及格式</w:t>
      </w:r>
      <w:r>
        <w:rPr>
          <w:rFonts w:hint="eastAsia" w:asciiTheme="majorEastAsia" w:hAnsiTheme="majorEastAsia" w:eastAsiaTheme="majorEastAsia"/>
          <w:sz w:val="28"/>
          <w:szCs w:val="28"/>
        </w:rPr>
        <w:tab/>
      </w:r>
      <w:r>
        <w:rPr>
          <w:rFonts w:hint="eastAsia" w:asciiTheme="majorEastAsia" w:hAnsiTheme="majorEastAsia" w:eastAsiaTheme="majorEastAsia"/>
          <w:sz w:val="28"/>
          <w:szCs w:val="28"/>
        </w:rPr>
        <w:t>······························· 2</w:t>
      </w:r>
      <w:r>
        <w:rPr>
          <w:rFonts w:hint="eastAsia" w:asciiTheme="majorEastAsia" w:hAnsiTheme="majorEastAsia" w:eastAsiaTheme="majorEastAsia"/>
          <w:sz w:val="28"/>
          <w:szCs w:val="28"/>
          <w:lang w:val="en-US" w:eastAsia="zh-CN"/>
        </w:rPr>
        <w:t>8</w:t>
      </w:r>
    </w:p>
    <w:p>
      <w:pPr>
        <w:spacing w:line="360" w:lineRule="auto"/>
        <w:outlineLvl w:val="0"/>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rPr>
        <w:t>第五章 项目内容、服务标准和要求</w:t>
      </w:r>
      <w:r>
        <w:rPr>
          <w:rFonts w:hint="eastAsia" w:asciiTheme="majorEastAsia" w:hAnsiTheme="majorEastAsia" w:eastAsiaTheme="majorEastAsia"/>
          <w:sz w:val="28"/>
          <w:szCs w:val="28"/>
        </w:rPr>
        <w:tab/>
      </w:r>
      <w:r>
        <w:rPr>
          <w:rFonts w:hint="eastAsia" w:asciiTheme="majorEastAsia" w:hAnsiTheme="majorEastAsia" w:eastAsiaTheme="majorEastAsia"/>
          <w:sz w:val="28"/>
          <w:szCs w:val="28"/>
        </w:rPr>
        <w:t>························ 4</w:t>
      </w:r>
      <w:r>
        <w:rPr>
          <w:rFonts w:hint="eastAsia" w:asciiTheme="majorEastAsia" w:hAnsiTheme="majorEastAsia" w:eastAsiaTheme="majorEastAsia"/>
          <w:sz w:val="28"/>
          <w:szCs w:val="28"/>
          <w:lang w:val="en-US" w:eastAsia="zh-CN"/>
        </w:rPr>
        <w:t>5</w:t>
      </w:r>
    </w:p>
    <w:p>
      <w:pPr>
        <w:spacing w:line="360" w:lineRule="auto"/>
        <w:outlineLvl w:val="0"/>
        <w:rPr>
          <w:rFonts w:hint="default" w:cs="Arial" w:asciiTheme="majorEastAsia" w:hAnsiTheme="majorEastAsia" w:eastAsiaTheme="majorEastAsia"/>
          <w:sz w:val="28"/>
          <w:szCs w:val="28"/>
          <w:lang w:val="en-US" w:eastAsia="zh-CN"/>
        </w:rPr>
        <w:sectPr>
          <w:headerReference r:id="rId3" w:type="default"/>
          <w:footerReference r:id="rId4" w:type="default"/>
          <w:pgSz w:w="11906" w:h="16838"/>
          <w:pgMar w:top="1418" w:right="1134" w:bottom="1276" w:left="1843" w:header="851" w:footer="992" w:gutter="0"/>
          <w:pgNumType w:start="1"/>
          <w:cols w:space="720" w:num="1"/>
          <w:titlePg/>
          <w:docGrid w:type="lines" w:linePitch="312" w:charSpace="0"/>
        </w:sectPr>
      </w:pPr>
      <w:r>
        <w:rPr>
          <w:rFonts w:hint="eastAsia" w:asciiTheme="majorEastAsia" w:hAnsiTheme="majorEastAsia" w:eastAsiaTheme="majorEastAsia"/>
          <w:sz w:val="28"/>
          <w:szCs w:val="28"/>
        </w:rPr>
        <w:t>第六章 投标文件格式</w:t>
      </w:r>
      <w:r>
        <w:rPr>
          <w:rFonts w:hint="eastAsia" w:asciiTheme="majorEastAsia" w:hAnsiTheme="majorEastAsia" w:eastAsiaTheme="majorEastAsia"/>
          <w:sz w:val="28"/>
          <w:szCs w:val="28"/>
        </w:rPr>
        <w:tab/>
      </w: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lang w:val="en-US" w:eastAsia="zh-CN"/>
        </w:rPr>
        <w:t>68</w:t>
      </w:r>
    </w:p>
    <w:p>
      <w:pPr>
        <w:tabs>
          <w:tab w:val="left" w:pos="4230"/>
        </w:tabs>
        <w:ind w:left="411"/>
        <w:jc w:val="center"/>
        <w:outlineLvl w:val="0"/>
        <w:rPr>
          <w:rFonts w:cs="仿宋_GB2312" w:asciiTheme="majorEastAsia" w:hAnsiTheme="majorEastAsia" w:eastAsiaTheme="majorEastAsia"/>
          <w:sz w:val="44"/>
          <w:szCs w:val="44"/>
        </w:rPr>
      </w:pPr>
      <w:bookmarkStart w:id="0" w:name="_Toc4451"/>
      <w:r>
        <w:rPr>
          <w:rFonts w:cs="仿宋_GB2312" w:asciiTheme="majorEastAsia" w:hAnsiTheme="majorEastAsia" w:eastAsiaTheme="majorEastAsia"/>
          <w:sz w:val="44"/>
          <w:szCs w:val="44"/>
        </w:rPr>
        <w:t>第一章 招标公告</w:t>
      </w:r>
      <w:bookmarkEnd w:id="0"/>
    </w:p>
    <w:p>
      <w:pPr>
        <w:spacing w:line="360" w:lineRule="auto"/>
        <w:ind w:left="-420" w:leftChars="-200" w:right="29" w:rightChars="14"/>
        <w:jc w:val="center"/>
        <w:rPr>
          <w:rFonts w:ascii="宋体" w:hAnsi="宋体" w:cs="宋体"/>
          <w:b/>
          <w:sz w:val="44"/>
          <w:szCs w:val="44"/>
        </w:rPr>
      </w:pPr>
      <w:r>
        <w:rPr>
          <w:rFonts w:hint="eastAsia" w:ascii="宋体" w:hAnsi="宋体" w:cs="宋体"/>
          <w:b/>
          <w:sz w:val="44"/>
          <w:szCs w:val="44"/>
          <w:lang w:eastAsia="zh-CN"/>
        </w:rPr>
        <w:t>墨玉县福利蛋鸡养殖设备采购项目（一期）</w:t>
      </w:r>
      <w:r>
        <w:rPr>
          <w:rFonts w:hint="eastAsia" w:ascii="宋体" w:hAnsi="宋体" w:cs="宋体"/>
          <w:b/>
          <w:sz w:val="44"/>
          <w:szCs w:val="44"/>
          <w:lang w:val="en-US" w:eastAsia="zh-CN"/>
        </w:rPr>
        <w:t>包二</w:t>
      </w:r>
      <w:r>
        <w:rPr>
          <w:rFonts w:hint="eastAsia" w:ascii="宋体" w:hAnsi="宋体" w:cs="宋体"/>
          <w:b/>
          <w:sz w:val="44"/>
          <w:szCs w:val="44"/>
        </w:rPr>
        <w:t>招标公告</w:t>
      </w:r>
    </w:p>
    <w:tbl>
      <w:tblPr>
        <w:tblStyle w:val="41"/>
        <w:tblpPr w:leftFromText="180" w:rightFromText="180" w:vertAnchor="text" w:horzAnchor="page" w:tblpXSpec="center" w:tblpY="270"/>
        <w:tblOverlap w:val="never"/>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2" w:type="dxa"/>
          </w:tcPr>
          <w:p>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项目概况</w:t>
            </w:r>
          </w:p>
          <w:p>
            <w:pPr>
              <w:keepNext w:val="0"/>
              <w:keepLines w:val="0"/>
              <w:pageBreakBefore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仿宋" w:hAnsi="仿宋" w:eastAsia="仿宋" w:cs="仿宋"/>
                <w:sz w:val="21"/>
                <w:szCs w:val="21"/>
              </w:rPr>
            </w:pPr>
            <w:r>
              <w:rPr>
                <w:rFonts w:hint="eastAsia" w:ascii="仿宋" w:hAnsi="仿宋" w:eastAsia="仿宋" w:cs="仿宋"/>
                <w:kern w:val="0"/>
                <w:sz w:val="21"/>
                <w:szCs w:val="21"/>
                <w:u w:val="single"/>
                <w:lang w:eastAsia="zh-CN"/>
              </w:rPr>
              <w:t>墨玉县福利蛋鸡养殖设备采购项目（一期）</w:t>
            </w:r>
            <w:r>
              <w:rPr>
                <w:rFonts w:hint="eastAsia" w:ascii="仿宋" w:hAnsi="仿宋" w:eastAsia="仿宋" w:cs="仿宋"/>
                <w:kern w:val="0"/>
                <w:sz w:val="21"/>
                <w:szCs w:val="21"/>
                <w:u w:val="single"/>
                <w:lang w:val="en-US" w:eastAsia="zh-CN"/>
              </w:rPr>
              <w:t>包二</w:t>
            </w:r>
            <w:r>
              <w:rPr>
                <w:rFonts w:hint="eastAsia" w:ascii="仿宋" w:hAnsi="仿宋" w:eastAsia="仿宋" w:cs="仿宋"/>
                <w:kern w:val="0"/>
                <w:sz w:val="21"/>
                <w:szCs w:val="21"/>
              </w:rPr>
              <w:t>招标公告的潜在投标人应在新疆政府采购网https://www.zcygov.cn/获取（下载）招标文件，并于</w:t>
            </w:r>
            <w:r>
              <w:rPr>
                <w:rFonts w:hint="eastAsia" w:ascii="仿宋" w:hAnsi="仿宋" w:eastAsia="仿宋" w:cs="仿宋"/>
                <w:kern w:val="0"/>
                <w:sz w:val="21"/>
                <w:szCs w:val="21"/>
                <w:highlight w:val="none"/>
                <w:u w:val="single"/>
              </w:rPr>
              <w:t>2021年</w:t>
            </w:r>
            <w:r>
              <w:rPr>
                <w:rFonts w:hint="eastAsia" w:ascii="仿宋" w:hAnsi="仿宋" w:eastAsia="仿宋" w:cs="仿宋"/>
                <w:kern w:val="0"/>
                <w:sz w:val="21"/>
                <w:szCs w:val="21"/>
                <w:highlight w:val="none"/>
                <w:u w:val="single"/>
                <w:lang w:val="en-US" w:eastAsia="zh-CN"/>
              </w:rPr>
              <w:t>11</w:t>
            </w:r>
            <w:r>
              <w:rPr>
                <w:rFonts w:hint="eastAsia" w:ascii="仿宋" w:hAnsi="仿宋" w:eastAsia="仿宋" w:cs="仿宋"/>
                <w:kern w:val="0"/>
                <w:sz w:val="21"/>
                <w:szCs w:val="21"/>
                <w:highlight w:val="none"/>
                <w:u w:val="single"/>
              </w:rPr>
              <w:t>月</w:t>
            </w:r>
            <w:r>
              <w:rPr>
                <w:rFonts w:hint="eastAsia" w:ascii="仿宋" w:hAnsi="仿宋" w:eastAsia="仿宋" w:cs="仿宋"/>
                <w:kern w:val="0"/>
                <w:sz w:val="21"/>
                <w:szCs w:val="21"/>
                <w:highlight w:val="none"/>
                <w:u w:val="single"/>
                <w:lang w:val="en-US" w:eastAsia="zh-CN"/>
              </w:rPr>
              <w:t>17</w:t>
            </w:r>
            <w:r>
              <w:rPr>
                <w:rFonts w:hint="eastAsia" w:ascii="仿宋" w:hAnsi="仿宋" w:eastAsia="仿宋" w:cs="仿宋"/>
                <w:kern w:val="0"/>
                <w:sz w:val="21"/>
                <w:szCs w:val="21"/>
                <w:highlight w:val="none"/>
                <w:u w:val="single"/>
              </w:rPr>
              <w:t>日上午11点00分</w:t>
            </w:r>
            <w:r>
              <w:rPr>
                <w:rFonts w:hint="eastAsia" w:ascii="仿宋" w:hAnsi="仿宋" w:eastAsia="仿宋" w:cs="仿宋"/>
                <w:kern w:val="0"/>
                <w:sz w:val="21"/>
                <w:szCs w:val="21"/>
                <w:highlight w:val="none"/>
              </w:rPr>
              <w:t>（北京时间）前递交投标文件。</w:t>
            </w:r>
          </w:p>
        </w:tc>
      </w:tr>
    </w:tbl>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jc w:val="both"/>
        <w:textAlignment w:val="auto"/>
        <w:rPr>
          <w:rFonts w:hint="eastAsia" w:ascii="仿宋" w:hAnsi="仿宋" w:eastAsia="仿宋" w:cs="仿宋"/>
          <w:sz w:val="21"/>
          <w:szCs w:val="21"/>
        </w:rPr>
      </w:pPr>
      <w:r>
        <w:rPr>
          <w:rStyle w:val="43"/>
          <w:rFonts w:hint="eastAsia" w:ascii="仿宋" w:hAnsi="仿宋" w:eastAsia="仿宋" w:cs="仿宋"/>
          <w:sz w:val="21"/>
          <w:szCs w:val="21"/>
        </w:rPr>
        <w:t>一、项目基本情况</w:t>
      </w:r>
    </w:p>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firstLine="42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项目编号：</w:t>
      </w:r>
      <w:r>
        <w:rPr>
          <w:rFonts w:hint="eastAsia" w:ascii="仿宋" w:hAnsi="仿宋" w:eastAsia="仿宋" w:cs="仿宋"/>
          <w:color w:val="000000" w:themeColor="text1"/>
          <w:sz w:val="21"/>
          <w:szCs w:val="21"/>
          <w:highlight w:val="none"/>
          <w:lang w:val="zh-CN"/>
          <w14:textFill>
            <w14:solidFill>
              <w14:schemeClr w14:val="tx1"/>
            </w14:solidFill>
          </w14:textFill>
        </w:rPr>
        <w:t>XJDY(MYX)ZFCG(202</w:t>
      </w:r>
      <w:r>
        <w:rPr>
          <w:rFonts w:hint="eastAsia" w:ascii="仿宋" w:hAnsi="仿宋" w:eastAsia="仿宋" w:cs="仿宋"/>
          <w:color w:val="000000" w:themeColor="text1"/>
          <w:sz w:val="21"/>
          <w:szCs w:val="21"/>
          <w:highlight w:val="none"/>
          <w:lang w:val="zh-CN" w:eastAsia="zh-CN"/>
          <w14:textFill>
            <w14:solidFill>
              <w14:schemeClr w14:val="tx1"/>
            </w14:solidFill>
          </w14:textFill>
        </w:rPr>
        <w:t>1</w:t>
      </w:r>
      <w:r>
        <w:rPr>
          <w:rFonts w:hint="eastAsia" w:ascii="仿宋" w:hAnsi="仿宋" w:eastAsia="仿宋" w:cs="仿宋"/>
          <w:color w:val="000000" w:themeColor="text1"/>
          <w:sz w:val="21"/>
          <w:szCs w:val="21"/>
          <w:highlight w:val="none"/>
          <w:lang w:val="zh-CN"/>
          <w14:textFill>
            <w14:solidFill>
              <w14:schemeClr w14:val="tx1"/>
            </w14:solidFill>
          </w14:textFill>
        </w:rPr>
        <w:t>GK)00</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val="zh-CN"/>
          <w14:textFill>
            <w14:solidFill>
              <w14:schemeClr w14:val="tx1"/>
            </w14:solidFill>
          </w14:textFill>
        </w:rPr>
        <w:t>号</w:t>
      </w:r>
    </w:p>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firstLine="420"/>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项目名称：</w:t>
      </w:r>
      <w:r>
        <w:rPr>
          <w:rFonts w:hint="eastAsia" w:ascii="仿宋" w:hAnsi="仿宋" w:eastAsia="仿宋" w:cs="仿宋"/>
          <w:sz w:val="21"/>
          <w:szCs w:val="21"/>
          <w:lang w:eastAsia="zh-CN"/>
        </w:rPr>
        <w:t>墨玉县福利蛋鸡养殖设备采购项目（一期）</w:t>
      </w:r>
      <w:r>
        <w:rPr>
          <w:rFonts w:hint="eastAsia" w:ascii="仿宋" w:hAnsi="仿宋" w:eastAsia="仿宋" w:cs="仿宋"/>
          <w:sz w:val="21"/>
          <w:szCs w:val="21"/>
          <w:lang w:val="en-US" w:eastAsia="zh-CN"/>
        </w:rPr>
        <w:t>包二</w:t>
      </w:r>
    </w:p>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firstLine="420"/>
        <w:textAlignment w:val="auto"/>
        <w:rPr>
          <w:rFonts w:hint="eastAsia" w:ascii="仿宋" w:hAnsi="仿宋" w:eastAsia="仿宋" w:cs="仿宋"/>
          <w:sz w:val="21"/>
          <w:szCs w:val="21"/>
        </w:rPr>
      </w:pPr>
      <w:r>
        <w:rPr>
          <w:rFonts w:hint="eastAsia" w:ascii="仿宋" w:hAnsi="仿宋" w:eastAsia="仿宋" w:cs="仿宋"/>
          <w:sz w:val="21"/>
          <w:szCs w:val="21"/>
        </w:rPr>
        <w:t>采购方式：公开招标</w:t>
      </w:r>
    </w:p>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firstLine="420"/>
        <w:textAlignment w:val="auto"/>
        <w:rPr>
          <w:rFonts w:hint="eastAsia" w:ascii="仿宋" w:hAnsi="仿宋" w:eastAsia="仿宋" w:cs="仿宋"/>
          <w:sz w:val="21"/>
          <w:szCs w:val="21"/>
        </w:rPr>
      </w:pPr>
      <w:r>
        <w:rPr>
          <w:rFonts w:hint="eastAsia" w:ascii="仿宋" w:hAnsi="仿宋" w:eastAsia="仿宋" w:cs="仿宋"/>
          <w:sz w:val="21"/>
          <w:szCs w:val="21"/>
        </w:rPr>
        <w:t>预算金额（元）：86839674.3元</w:t>
      </w:r>
    </w:p>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firstLine="420"/>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最高限价（元）：86839674.3</w:t>
      </w:r>
      <w:r>
        <w:rPr>
          <w:rFonts w:hint="eastAsia" w:ascii="仿宋" w:hAnsi="仿宋" w:eastAsia="仿宋" w:cs="仿宋"/>
          <w:sz w:val="21"/>
          <w:szCs w:val="21"/>
          <w:lang w:val="en-US" w:eastAsia="zh-CN"/>
        </w:rPr>
        <w:t>元</w:t>
      </w:r>
    </w:p>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标项名称:墨玉县福利蛋鸡养殖设备采购项目（一期）</w:t>
      </w:r>
      <w:r>
        <w:rPr>
          <w:rFonts w:hint="eastAsia" w:ascii="仿宋" w:hAnsi="仿宋" w:eastAsia="仿宋" w:cs="仿宋"/>
          <w:sz w:val="21"/>
          <w:szCs w:val="21"/>
          <w:lang w:val="en-US" w:eastAsia="zh-CN"/>
        </w:rPr>
        <w:t>包二</w:t>
      </w:r>
      <w:r>
        <w:rPr>
          <w:rFonts w:hint="eastAsia" w:ascii="仿宋" w:hAnsi="仿宋" w:eastAsia="仿宋" w:cs="仿宋"/>
          <w:sz w:val="21"/>
          <w:szCs w:val="21"/>
        </w:rPr>
        <w:br w:type="textWrapping"/>
      </w:r>
      <w:r>
        <w:rPr>
          <w:rFonts w:hint="eastAsia" w:ascii="仿宋" w:hAnsi="仿宋" w:eastAsia="仿宋" w:cs="仿宋"/>
          <w:sz w:val="21"/>
          <w:szCs w:val="21"/>
        </w:rPr>
        <w:t>数量:1</w:t>
      </w:r>
      <w:r>
        <w:rPr>
          <w:rFonts w:hint="eastAsia" w:ascii="仿宋" w:hAnsi="仿宋" w:eastAsia="仿宋" w:cs="仿宋"/>
          <w:sz w:val="21"/>
          <w:szCs w:val="21"/>
        </w:rPr>
        <w:br w:type="textWrapping"/>
      </w:r>
      <w:r>
        <w:rPr>
          <w:rFonts w:hint="eastAsia" w:ascii="仿宋" w:hAnsi="仿宋" w:eastAsia="仿宋" w:cs="仿宋"/>
          <w:sz w:val="21"/>
          <w:szCs w:val="21"/>
        </w:rPr>
        <w:t>预算金额（元）:86839674.3</w:t>
      </w:r>
      <w:r>
        <w:rPr>
          <w:rFonts w:hint="eastAsia" w:ascii="仿宋" w:hAnsi="仿宋" w:eastAsia="仿宋" w:cs="仿宋"/>
          <w:sz w:val="21"/>
          <w:szCs w:val="21"/>
        </w:rPr>
        <w:br w:type="textWrapping"/>
      </w:r>
      <w:r>
        <w:rPr>
          <w:rFonts w:hint="eastAsia" w:ascii="仿宋" w:hAnsi="仿宋" w:eastAsia="仿宋" w:cs="仿宋"/>
          <w:sz w:val="21"/>
          <w:szCs w:val="21"/>
        </w:rPr>
        <w:t>简要规格描述或项目基本概况介绍、用途：详见招标文件</w:t>
      </w:r>
      <w:r>
        <w:rPr>
          <w:rFonts w:hint="eastAsia" w:ascii="仿宋" w:hAnsi="仿宋" w:eastAsia="仿宋" w:cs="仿宋"/>
          <w:sz w:val="21"/>
          <w:szCs w:val="21"/>
        </w:rPr>
        <w:br w:type="textWrapping"/>
      </w:r>
      <w:r>
        <w:rPr>
          <w:rFonts w:hint="eastAsia" w:ascii="仿宋" w:hAnsi="仿宋" w:eastAsia="仿宋" w:cs="仿宋"/>
          <w:sz w:val="21"/>
          <w:szCs w:val="21"/>
        </w:rPr>
        <w:t>备注：</w:t>
      </w:r>
    </w:p>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firstLine="420"/>
        <w:textAlignment w:val="auto"/>
        <w:rPr>
          <w:rFonts w:hint="eastAsia" w:ascii="仿宋" w:hAnsi="仿宋" w:eastAsia="仿宋" w:cs="仿宋"/>
          <w:sz w:val="21"/>
          <w:szCs w:val="21"/>
        </w:rPr>
      </w:pPr>
      <w:r>
        <w:rPr>
          <w:rFonts w:hint="eastAsia" w:ascii="仿宋" w:hAnsi="仿宋" w:eastAsia="仿宋" w:cs="仿宋"/>
          <w:sz w:val="21"/>
          <w:szCs w:val="21"/>
        </w:rPr>
        <w:t>合同履约期限：详见招标文件</w:t>
      </w:r>
    </w:p>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firstLine="420"/>
        <w:textAlignment w:val="auto"/>
        <w:rPr>
          <w:rFonts w:hint="eastAsia" w:ascii="仿宋" w:hAnsi="仿宋" w:eastAsia="仿宋" w:cs="仿宋"/>
          <w:sz w:val="21"/>
          <w:szCs w:val="21"/>
        </w:rPr>
      </w:pPr>
      <w:r>
        <w:rPr>
          <w:rFonts w:hint="eastAsia" w:ascii="仿宋" w:hAnsi="仿宋" w:eastAsia="仿宋" w:cs="仿宋"/>
          <w:sz w:val="21"/>
          <w:szCs w:val="21"/>
        </w:rPr>
        <w:t>本项目（否）接受联合体投标。</w:t>
      </w:r>
    </w:p>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textAlignment w:val="auto"/>
        <w:rPr>
          <w:rFonts w:hint="eastAsia" w:ascii="仿宋" w:hAnsi="仿宋" w:eastAsia="仿宋" w:cs="仿宋"/>
          <w:sz w:val="21"/>
          <w:szCs w:val="21"/>
        </w:rPr>
      </w:pPr>
      <w:r>
        <w:rPr>
          <w:rStyle w:val="43"/>
          <w:rFonts w:hint="eastAsia" w:ascii="仿宋" w:hAnsi="仿宋" w:eastAsia="仿宋" w:cs="仿宋"/>
          <w:sz w:val="21"/>
          <w:szCs w:val="21"/>
        </w:rPr>
        <w:t>二、申请人的资格要求：</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（1）具有独立承担民事责任的能力；</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（2）具有良好的商业信誉和健全的财务会计制度；</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（3）具有履行合同所必需的设备和专业技术能力；</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（4）有依法缴纳</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"http://www.so.com/s?q=%E7%A8%8E%E6%94%B6&amp;ie=utf-8&amp;src=internal_wenda_recommend_textn" \t "https://wenda.so.com/q/_blank" </w:instrText>
      </w:r>
      <w:r>
        <w:rPr>
          <w:rFonts w:hint="eastAsia" w:ascii="仿宋" w:hAnsi="仿宋" w:eastAsia="仿宋" w:cs="仿宋"/>
          <w:sz w:val="21"/>
          <w:szCs w:val="21"/>
        </w:rPr>
        <w:fldChar w:fldCharType="separate"/>
      </w:r>
      <w:r>
        <w:rPr>
          <w:rFonts w:hint="eastAsia" w:ascii="仿宋" w:hAnsi="仿宋" w:eastAsia="仿宋" w:cs="仿宋"/>
          <w:kern w:val="0"/>
          <w:sz w:val="21"/>
          <w:szCs w:val="21"/>
          <w:lang w:bidi="ar"/>
        </w:rPr>
        <w:t>税收</w:t>
      </w:r>
      <w:r>
        <w:rPr>
          <w:rFonts w:hint="eastAsia" w:ascii="仿宋" w:hAnsi="仿宋" w:eastAsia="仿宋" w:cs="仿宋"/>
          <w:kern w:val="0"/>
          <w:sz w:val="21"/>
          <w:szCs w:val="21"/>
          <w:lang w:bidi="ar"/>
        </w:rPr>
        <w:fldChar w:fldCharType="end"/>
      </w:r>
      <w:r>
        <w:rPr>
          <w:rFonts w:hint="eastAsia" w:ascii="仿宋" w:hAnsi="仿宋" w:eastAsia="仿宋" w:cs="仿宋"/>
          <w:kern w:val="0"/>
          <w:sz w:val="21"/>
          <w:szCs w:val="21"/>
          <w:lang w:bidi="ar"/>
        </w:rPr>
        <w:t>和</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"http://www.so.com/s?q=%E7%A4%BE%E4%BC%9A%E4%BF%9D%E9%9A%9C%E8%B5%84%E9%87%91&amp;ie=utf-8&amp;src=internal_wenda_recommend_textn" \t "https://wenda.so.com/q/_blank" </w:instrText>
      </w:r>
      <w:r>
        <w:rPr>
          <w:rFonts w:hint="eastAsia" w:ascii="仿宋" w:hAnsi="仿宋" w:eastAsia="仿宋" w:cs="仿宋"/>
          <w:sz w:val="21"/>
          <w:szCs w:val="21"/>
        </w:rPr>
        <w:fldChar w:fldCharType="separate"/>
      </w:r>
      <w:r>
        <w:rPr>
          <w:rFonts w:hint="eastAsia" w:ascii="仿宋" w:hAnsi="仿宋" w:eastAsia="仿宋" w:cs="仿宋"/>
          <w:kern w:val="0"/>
          <w:sz w:val="21"/>
          <w:szCs w:val="21"/>
          <w:lang w:bidi="ar"/>
        </w:rPr>
        <w:t>社会保障资金</w:t>
      </w:r>
      <w:r>
        <w:rPr>
          <w:rFonts w:hint="eastAsia" w:ascii="仿宋" w:hAnsi="仿宋" w:eastAsia="仿宋" w:cs="仿宋"/>
          <w:kern w:val="0"/>
          <w:sz w:val="21"/>
          <w:szCs w:val="21"/>
          <w:lang w:bidi="ar"/>
        </w:rPr>
        <w:fldChar w:fldCharType="end"/>
      </w:r>
      <w:r>
        <w:rPr>
          <w:rFonts w:hint="eastAsia" w:ascii="仿宋" w:hAnsi="仿宋" w:eastAsia="仿宋" w:cs="仿宋"/>
          <w:kern w:val="0"/>
          <w:sz w:val="21"/>
          <w:szCs w:val="21"/>
          <w:lang w:bidi="ar"/>
        </w:rPr>
        <w:t>的良好记录；</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（5）参加政府采购活动前三年内，在</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"http://www.so.com/s?q=%E7%BB%8F%E8%90%A5%E6%B4%BB%E5%8A%A8&amp;ie=utf-8&amp;src=internal_wenda_recommend_textn" \t "https://wenda.so.com/q/_blank" </w:instrText>
      </w:r>
      <w:r>
        <w:rPr>
          <w:rFonts w:hint="eastAsia" w:ascii="仿宋" w:hAnsi="仿宋" w:eastAsia="仿宋" w:cs="仿宋"/>
          <w:sz w:val="21"/>
          <w:szCs w:val="21"/>
        </w:rPr>
        <w:fldChar w:fldCharType="separate"/>
      </w:r>
      <w:r>
        <w:rPr>
          <w:rFonts w:hint="eastAsia" w:ascii="仿宋" w:hAnsi="仿宋" w:eastAsia="仿宋" w:cs="仿宋"/>
          <w:kern w:val="0"/>
          <w:sz w:val="21"/>
          <w:szCs w:val="21"/>
          <w:lang w:bidi="ar"/>
        </w:rPr>
        <w:t>经营活动</w:t>
      </w:r>
      <w:r>
        <w:rPr>
          <w:rFonts w:hint="eastAsia" w:ascii="仿宋" w:hAnsi="仿宋" w:eastAsia="仿宋" w:cs="仿宋"/>
          <w:kern w:val="0"/>
          <w:sz w:val="21"/>
          <w:szCs w:val="21"/>
          <w:lang w:bidi="ar"/>
        </w:rPr>
        <w:fldChar w:fldCharType="end"/>
      </w:r>
      <w:r>
        <w:rPr>
          <w:rFonts w:hint="eastAsia" w:ascii="仿宋" w:hAnsi="仿宋" w:eastAsia="仿宋" w:cs="仿宋"/>
          <w:kern w:val="0"/>
          <w:sz w:val="21"/>
          <w:szCs w:val="21"/>
          <w:lang w:bidi="ar"/>
        </w:rPr>
        <w:t>中没有重大违法记录；</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仿宋" w:hAnsi="仿宋" w:eastAsia="仿宋" w:cs="仿宋"/>
          <w:kern w:val="0"/>
          <w:sz w:val="21"/>
          <w:szCs w:val="21"/>
          <w:lang w:bidi="ar"/>
        </w:rPr>
      </w:pPr>
      <w:r>
        <w:rPr>
          <w:rFonts w:hint="eastAsia" w:ascii="仿宋" w:hAnsi="仿宋" w:eastAsia="仿宋" w:cs="仿宋"/>
          <w:kern w:val="0"/>
          <w:sz w:val="21"/>
          <w:szCs w:val="21"/>
          <w:lang w:bidi="ar"/>
        </w:rPr>
        <w:t>（6）法律、行政法规规定的其他条件。</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2.落实政府采购政策需满足的资格要求：无</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3、本项目的特定资格要求：无</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4.有效的“三证合一”的营业执照，且应具有采购需求相应的经营范围</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5、投标单位应有依法缴纳税收证明(附：近</w:t>
      </w:r>
      <w:r>
        <w:rPr>
          <w:rFonts w:hint="eastAsia" w:ascii="仿宋" w:hAnsi="仿宋" w:eastAsia="仿宋" w:cs="仿宋"/>
          <w:kern w:val="0"/>
          <w:sz w:val="21"/>
          <w:szCs w:val="21"/>
          <w:highlight w:val="none"/>
          <w:lang w:val="en-US" w:eastAsia="zh-CN" w:bidi="ar"/>
        </w:rPr>
        <w:t>三</w:t>
      </w:r>
      <w:r>
        <w:rPr>
          <w:rFonts w:hint="eastAsia" w:ascii="仿宋" w:hAnsi="仿宋" w:eastAsia="仿宋" w:cs="仿宋"/>
          <w:kern w:val="0"/>
          <w:sz w:val="21"/>
          <w:szCs w:val="21"/>
          <w:highlight w:val="none"/>
          <w:lang w:bidi="ar"/>
        </w:rPr>
        <w:t>个月的完税证明</w:t>
      </w:r>
      <w:r>
        <w:rPr>
          <w:rFonts w:hint="eastAsia" w:ascii="仿宋" w:hAnsi="仿宋" w:eastAsia="仿宋" w:cs="仿宋"/>
          <w:kern w:val="0"/>
          <w:sz w:val="21"/>
          <w:szCs w:val="21"/>
          <w:highlight w:val="none"/>
          <w:lang w:val="en-US" w:eastAsia="zh-CN" w:bidi="ar"/>
        </w:rPr>
        <w:t>或税务局出具的无欠税证明</w:t>
      </w:r>
      <w:r>
        <w:rPr>
          <w:rFonts w:hint="eastAsia" w:ascii="仿宋" w:hAnsi="仿宋" w:eastAsia="仿宋" w:cs="仿宋"/>
          <w:kern w:val="0"/>
          <w:sz w:val="21"/>
          <w:szCs w:val="21"/>
          <w:highlight w:val="none"/>
          <w:lang w:bidi="ar"/>
        </w:rPr>
        <w:t>)；</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6、投标单位应提供近</w:t>
      </w:r>
      <w:r>
        <w:rPr>
          <w:rFonts w:hint="eastAsia" w:ascii="仿宋" w:hAnsi="仿宋" w:eastAsia="仿宋" w:cs="仿宋"/>
          <w:kern w:val="0"/>
          <w:sz w:val="21"/>
          <w:szCs w:val="21"/>
          <w:highlight w:val="none"/>
          <w:lang w:val="en-US" w:eastAsia="zh-CN" w:bidi="ar"/>
        </w:rPr>
        <w:t>一</w:t>
      </w:r>
      <w:r>
        <w:rPr>
          <w:rFonts w:hint="eastAsia" w:ascii="仿宋" w:hAnsi="仿宋" w:eastAsia="仿宋" w:cs="仿宋"/>
          <w:kern w:val="0"/>
          <w:sz w:val="21"/>
          <w:szCs w:val="21"/>
          <w:highlight w:val="none"/>
          <w:lang w:bidi="ar"/>
        </w:rPr>
        <w:t>年度（2020年）财务审计报告</w:t>
      </w:r>
      <w:r>
        <w:rPr>
          <w:rFonts w:hint="eastAsia" w:ascii="仿宋" w:hAnsi="仿宋" w:eastAsia="仿宋" w:cs="仿宋"/>
          <w:kern w:val="0"/>
          <w:sz w:val="21"/>
          <w:szCs w:val="21"/>
          <w:highlight w:val="none"/>
          <w:lang w:val="en-US" w:eastAsia="zh-CN" w:bidi="ar"/>
        </w:rPr>
        <w:t>原件</w:t>
      </w:r>
      <w:r>
        <w:rPr>
          <w:rFonts w:hint="eastAsia" w:ascii="仿宋" w:hAnsi="仿宋" w:eastAsia="仿宋" w:cs="仿宋"/>
          <w:kern w:val="0"/>
          <w:sz w:val="21"/>
          <w:szCs w:val="21"/>
          <w:highlight w:val="none"/>
          <w:lang w:bidi="ar"/>
        </w:rPr>
        <w:t>(202</w:t>
      </w:r>
      <w:r>
        <w:rPr>
          <w:rFonts w:hint="eastAsia" w:ascii="仿宋" w:hAnsi="仿宋" w:eastAsia="仿宋" w:cs="仿宋"/>
          <w:kern w:val="0"/>
          <w:sz w:val="21"/>
          <w:szCs w:val="21"/>
          <w:highlight w:val="none"/>
          <w:lang w:val="en-US" w:eastAsia="zh-CN" w:bidi="ar"/>
        </w:rPr>
        <w:t>1</w:t>
      </w:r>
      <w:r>
        <w:rPr>
          <w:rFonts w:hint="eastAsia" w:ascii="仿宋" w:hAnsi="仿宋" w:eastAsia="仿宋" w:cs="仿宋"/>
          <w:kern w:val="0"/>
          <w:sz w:val="21"/>
          <w:szCs w:val="21"/>
          <w:highlight w:val="none"/>
          <w:lang w:bidi="ar"/>
        </w:rPr>
        <w:t>年</w:t>
      </w:r>
      <w:r>
        <w:rPr>
          <w:rFonts w:hint="eastAsia" w:ascii="仿宋" w:hAnsi="仿宋" w:eastAsia="仿宋" w:cs="仿宋"/>
          <w:kern w:val="0"/>
          <w:sz w:val="21"/>
          <w:szCs w:val="21"/>
          <w:highlight w:val="none"/>
          <w:lang w:val="en-US" w:eastAsia="zh-CN" w:bidi="ar"/>
        </w:rPr>
        <w:t>新</w:t>
      </w:r>
      <w:r>
        <w:rPr>
          <w:rFonts w:hint="eastAsia" w:ascii="仿宋" w:hAnsi="仿宋" w:eastAsia="仿宋" w:cs="仿宋"/>
          <w:kern w:val="0"/>
          <w:sz w:val="21"/>
          <w:szCs w:val="21"/>
          <w:highlight w:val="none"/>
          <w:lang w:bidi="ar"/>
        </w:rPr>
        <w:t>成立的公司可不提供)。</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7、凡拟参加本次招标项目的投标企业法人或委托代理人须提供近六个月的社保缴费个人明细表。</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仿宋" w:hAnsi="仿宋" w:eastAsia="仿宋" w:cs="仿宋"/>
          <w:sz w:val="21"/>
          <w:szCs w:val="21"/>
          <w:u w:val="none"/>
        </w:rPr>
      </w:pPr>
      <w:r>
        <w:rPr>
          <w:rFonts w:hint="eastAsia" w:ascii="仿宋" w:hAnsi="仿宋" w:eastAsia="仿宋" w:cs="仿宋"/>
          <w:kern w:val="0"/>
          <w:sz w:val="21"/>
          <w:szCs w:val="21"/>
          <w:u w:val="none"/>
          <w:lang w:bidi="ar"/>
        </w:rPr>
        <w:t>8、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列入经营异常名录信息、列入严重违法失信企业名单（黑名单）信息，将拒绝其参与本次采购活动。</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仿宋" w:hAnsi="仿宋" w:eastAsia="仿宋" w:cs="仿宋"/>
          <w:kern w:val="0"/>
          <w:sz w:val="21"/>
          <w:szCs w:val="21"/>
          <w:lang w:bidi="ar"/>
        </w:rPr>
      </w:pPr>
      <w:r>
        <w:rPr>
          <w:rFonts w:hint="eastAsia" w:ascii="仿宋" w:hAnsi="仿宋" w:eastAsia="仿宋" w:cs="仿宋"/>
          <w:kern w:val="0"/>
          <w:sz w:val="21"/>
          <w:szCs w:val="21"/>
          <w:lang w:bidi="ar"/>
        </w:rPr>
        <w:t>9、本项目不接受联合体投标；</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Style w:val="43"/>
          <w:rFonts w:hint="eastAsia" w:ascii="仿宋" w:hAnsi="仿宋" w:eastAsia="仿宋" w:cs="仿宋"/>
          <w:b w:val="0"/>
          <w:bCs w:val="0"/>
          <w:kern w:val="0"/>
          <w:sz w:val="21"/>
          <w:szCs w:val="21"/>
        </w:rPr>
      </w:pPr>
      <w:r>
        <w:rPr>
          <w:rStyle w:val="43"/>
          <w:rFonts w:hint="eastAsia" w:ascii="仿宋" w:hAnsi="仿宋" w:eastAsia="仿宋" w:cs="仿宋"/>
          <w:b w:val="0"/>
          <w:bCs w:val="0"/>
          <w:kern w:val="0"/>
          <w:sz w:val="21"/>
          <w:szCs w:val="21"/>
        </w:rPr>
        <w:t>三、获取招标文件</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时间</w:t>
      </w:r>
      <w:r>
        <w:rPr>
          <w:rFonts w:hint="eastAsia" w:ascii="仿宋" w:hAnsi="仿宋" w:eastAsia="仿宋" w:cs="仿宋"/>
          <w:kern w:val="0"/>
          <w:sz w:val="21"/>
          <w:szCs w:val="21"/>
          <w:highlight w:val="none"/>
          <w:lang w:bidi="ar"/>
        </w:rPr>
        <w:t>：2021年</w:t>
      </w:r>
      <w:r>
        <w:rPr>
          <w:rFonts w:hint="eastAsia" w:ascii="仿宋" w:hAnsi="仿宋" w:eastAsia="仿宋" w:cs="仿宋"/>
          <w:kern w:val="0"/>
          <w:sz w:val="21"/>
          <w:szCs w:val="21"/>
          <w:highlight w:val="none"/>
          <w:lang w:val="en-US" w:eastAsia="zh-CN" w:bidi="ar"/>
        </w:rPr>
        <w:t>10</w:t>
      </w:r>
      <w:r>
        <w:rPr>
          <w:rFonts w:hint="eastAsia" w:ascii="仿宋" w:hAnsi="仿宋" w:eastAsia="仿宋" w:cs="仿宋"/>
          <w:kern w:val="0"/>
          <w:sz w:val="21"/>
          <w:szCs w:val="21"/>
          <w:highlight w:val="none"/>
          <w:lang w:bidi="ar"/>
        </w:rPr>
        <w:t>月</w:t>
      </w:r>
      <w:r>
        <w:rPr>
          <w:rFonts w:hint="eastAsia" w:ascii="仿宋" w:hAnsi="仿宋" w:eastAsia="仿宋" w:cs="仿宋"/>
          <w:kern w:val="0"/>
          <w:sz w:val="21"/>
          <w:szCs w:val="21"/>
          <w:highlight w:val="none"/>
          <w:lang w:val="en-US" w:eastAsia="zh-CN" w:bidi="ar"/>
        </w:rPr>
        <w:t>26</w:t>
      </w:r>
      <w:r>
        <w:rPr>
          <w:rFonts w:hint="eastAsia" w:ascii="仿宋" w:hAnsi="仿宋" w:eastAsia="仿宋" w:cs="仿宋"/>
          <w:kern w:val="0"/>
          <w:sz w:val="21"/>
          <w:szCs w:val="21"/>
          <w:highlight w:val="none"/>
          <w:lang w:bidi="ar"/>
        </w:rPr>
        <w:t xml:space="preserve">日至2021年 </w:t>
      </w:r>
      <w:r>
        <w:rPr>
          <w:rFonts w:hint="eastAsia" w:ascii="仿宋" w:hAnsi="仿宋" w:eastAsia="仿宋" w:cs="仿宋"/>
          <w:kern w:val="0"/>
          <w:sz w:val="21"/>
          <w:szCs w:val="21"/>
          <w:highlight w:val="none"/>
          <w:lang w:val="en-US" w:eastAsia="zh-CN" w:bidi="ar"/>
        </w:rPr>
        <w:t>11</w:t>
      </w:r>
      <w:r>
        <w:rPr>
          <w:rFonts w:hint="eastAsia" w:ascii="仿宋" w:hAnsi="仿宋" w:eastAsia="仿宋" w:cs="仿宋"/>
          <w:kern w:val="0"/>
          <w:sz w:val="21"/>
          <w:szCs w:val="21"/>
          <w:highlight w:val="none"/>
          <w:lang w:bidi="ar"/>
        </w:rPr>
        <w:t xml:space="preserve">月 </w:t>
      </w:r>
      <w:r>
        <w:rPr>
          <w:rFonts w:hint="eastAsia" w:ascii="仿宋" w:hAnsi="仿宋" w:eastAsia="仿宋" w:cs="仿宋"/>
          <w:kern w:val="0"/>
          <w:sz w:val="21"/>
          <w:szCs w:val="21"/>
          <w:highlight w:val="none"/>
          <w:lang w:val="en-US" w:eastAsia="zh-CN" w:bidi="ar"/>
        </w:rPr>
        <w:t>16</w:t>
      </w:r>
      <w:r>
        <w:rPr>
          <w:rFonts w:hint="eastAsia" w:ascii="仿宋" w:hAnsi="仿宋" w:eastAsia="仿宋" w:cs="仿宋"/>
          <w:kern w:val="0"/>
          <w:sz w:val="21"/>
          <w:szCs w:val="21"/>
          <w:highlight w:val="none"/>
          <w:lang w:bidi="ar"/>
        </w:rPr>
        <w:t>日</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地点：在新疆政府采购网（http://www.ccgp-xinjiang.gov.cn/）自行下载招标文件</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方式：在新疆政府采购网（http://www.ccgp-xinjiang.gov.cn/）自行下载招标文件</w:t>
      </w:r>
    </w:p>
    <w:p>
      <w:pPr>
        <w:pStyle w:val="39"/>
        <w:ind w:left="0" w:leftChars="0" w:firstLine="0" w:firstLineChars="0"/>
        <w:rPr>
          <w:rFonts w:hint="default" w:eastAsia="仿宋"/>
          <w:lang w:val="en-US" w:eastAsia="zh-CN"/>
        </w:rPr>
      </w:pPr>
      <w:r>
        <w:rPr>
          <w:rFonts w:hint="eastAsia" w:ascii="仿宋" w:hAnsi="仿宋" w:eastAsia="仿宋" w:cs="仿宋"/>
          <w:kern w:val="0"/>
          <w:sz w:val="21"/>
          <w:szCs w:val="21"/>
          <w:lang w:val="en-US" w:eastAsia="zh-CN" w:bidi="ar"/>
        </w:rPr>
        <w:t>售价：0元</w:t>
      </w:r>
    </w:p>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jc w:val="both"/>
        <w:textAlignment w:val="auto"/>
        <w:rPr>
          <w:rFonts w:hint="eastAsia" w:ascii="仿宋" w:hAnsi="仿宋" w:eastAsia="仿宋" w:cs="仿宋"/>
          <w:sz w:val="21"/>
          <w:szCs w:val="21"/>
        </w:rPr>
      </w:pPr>
      <w:r>
        <w:rPr>
          <w:rStyle w:val="43"/>
          <w:rFonts w:hint="eastAsia" w:ascii="仿宋" w:hAnsi="仿宋" w:eastAsia="仿宋" w:cs="仿宋"/>
          <w:sz w:val="21"/>
          <w:szCs w:val="21"/>
        </w:rPr>
        <w:t>四、提交投标文件截止时间、开标时间和地点</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仿宋" w:hAnsi="仿宋" w:eastAsia="仿宋" w:cs="仿宋"/>
          <w:kern w:val="0"/>
          <w:sz w:val="21"/>
          <w:szCs w:val="21"/>
          <w:highlight w:val="none"/>
          <w:lang w:bidi="ar"/>
        </w:rPr>
      </w:pPr>
      <w:r>
        <w:rPr>
          <w:rFonts w:hint="eastAsia" w:ascii="仿宋" w:hAnsi="仿宋" w:eastAsia="仿宋" w:cs="仿宋"/>
          <w:kern w:val="0"/>
          <w:sz w:val="21"/>
          <w:szCs w:val="21"/>
          <w:lang w:bidi="ar"/>
        </w:rPr>
        <w:t>提交投标文件截止时间</w:t>
      </w:r>
      <w:r>
        <w:rPr>
          <w:rFonts w:hint="eastAsia" w:ascii="仿宋" w:hAnsi="仿宋" w:eastAsia="仿宋" w:cs="仿宋"/>
          <w:kern w:val="0"/>
          <w:sz w:val="21"/>
          <w:szCs w:val="21"/>
          <w:highlight w:val="none"/>
          <w:lang w:bidi="ar"/>
        </w:rPr>
        <w:t>：2021年</w:t>
      </w:r>
      <w:r>
        <w:rPr>
          <w:rFonts w:hint="eastAsia" w:ascii="仿宋" w:hAnsi="仿宋" w:eastAsia="仿宋" w:cs="仿宋"/>
          <w:kern w:val="0"/>
          <w:sz w:val="21"/>
          <w:szCs w:val="21"/>
          <w:highlight w:val="none"/>
          <w:lang w:val="en-US" w:eastAsia="zh-CN" w:bidi="ar"/>
        </w:rPr>
        <w:t>11</w:t>
      </w:r>
      <w:r>
        <w:rPr>
          <w:rFonts w:hint="eastAsia" w:ascii="仿宋" w:hAnsi="仿宋" w:eastAsia="仿宋" w:cs="仿宋"/>
          <w:kern w:val="0"/>
          <w:sz w:val="21"/>
          <w:szCs w:val="21"/>
          <w:highlight w:val="none"/>
          <w:lang w:bidi="ar"/>
        </w:rPr>
        <w:t xml:space="preserve"> 月</w:t>
      </w:r>
      <w:r>
        <w:rPr>
          <w:rFonts w:hint="eastAsia" w:ascii="仿宋" w:hAnsi="仿宋" w:eastAsia="仿宋" w:cs="仿宋"/>
          <w:kern w:val="0"/>
          <w:sz w:val="21"/>
          <w:szCs w:val="21"/>
          <w:highlight w:val="none"/>
          <w:lang w:val="en-US" w:eastAsia="zh-CN" w:bidi="ar"/>
        </w:rPr>
        <w:t>17</w:t>
      </w:r>
      <w:r>
        <w:rPr>
          <w:rFonts w:hint="eastAsia" w:ascii="仿宋" w:hAnsi="仿宋" w:eastAsia="仿宋" w:cs="仿宋"/>
          <w:kern w:val="0"/>
          <w:sz w:val="21"/>
          <w:szCs w:val="21"/>
          <w:highlight w:val="none"/>
          <w:lang w:bidi="ar"/>
        </w:rPr>
        <w:t>日11:00（北京时间）</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投标地点：墨玉县公共资源交易平台中心（墨玉县玉华社区院内）</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开标时</w:t>
      </w:r>
      <w:r>
        <w:rPr>
          <w:rFonts w:hint="eastAsia" w:ascii="仿宋" w:hAnsi="仿宋" w:eastAsia="仿宋" w:cs="仿宋"/>
          <w:kern w:val="0"/>
          <w:sz w:val="21"/>
          <w:szCs w:val="21"/>
          <w:highlight w:val="none"/>
          <w:lang w:bidi="ar"/>
        </w:rPr>
        <w:t>间：2021年</w:t>
      </w:r>
      <w:r>
        <w:rPr>
          <w:rFonts w:hint="eastAsia" w:ascii="仿宋" w:hAnsi="仿宋" w:eastAsia="仿宋" w:cs="仿宋"/>
          <w:kern w:val="0"/>
          <w:sz w:val="21"/>
          <w:szCs w:val="21"/>
          <w:highlight w:val="none"/>
          <w:lang w:val="en-US" w:eastAsia="zh-CN" w:bidi="ar"/>
        </w:rPr>
        <w:t>11</w:t>
      </w:r>
      <w:r>
        <w:rPr>
          <w:rFonts w:hint="eastAsia" w:ascii="仿宋" w:hAnsi="仿宋" w:eastAsia="仿宋" w:cs="仿宋"/>
          <w:kern w:val="0"/>
          <w:sz w:val="21"/>
          <w:szCs w:val="21"/>
          <w:highlight w:val="none"/>
          <w:lang w:bidi="ar"/>
        </w:rPr>
        <w:t>月</w:t>
      </w:r>
      <w:r>
        <w:rPr>
          <w:rFonts w:hint="eastAsia" w:ascii="仿宋" w:hAnsi="仿宋" w:eastAsia="仿宋" w:cs="仿宋"/>
          <w:kern w:val="0"/>
          <w:sz w:val="21"/>
          <w:szCs w:val="21"/>
          <w:highlight w:val="none"/>
          <w:lang w:val="en-US" w:eastAsia="zh-CN" w:bidi="ar"/>
        </w:rPr>
        <w:t>17</w:t>
      </w:r>
      <w:r>
        <w:rPr>
          <w:rFonts w:hint="eastAsia" w:ascii="仿宋" w:hAnsi="仿宋" w:eastAsia="仿宋" w:cs="仿宋"/>
          <w:kern w:val="0"/>
          <w:sz w:val="21"/>
          <w:szCs w:val="21"/>
          <w:highlight w:val="none"/>
          <w:lang w:bidi="ar"/>
        </w:rPr>
        <w:t>日11:00（北京时间）</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开标地点：墨玉县公共资源交易平台中心（墨玉县玉华社区院内）</w:t>
      </w:r>
    </w:p>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jc w:val="both"/>
        <w:textAlignment w:val="auto"/>
        <w:rPr>
          <w:rFonts w:hint="eastAsia" w:ascii="仿宋" w:hAnsi="仿宋" w:eastAsia="仿宋" w:cs="仿宋"/>
          <w:sz w:val="21"/>
          <w:szCs w:val="21"/>
          <w:lang w:bidi="ar"/>
        </w:rPr>
      </w:pPr>
      <w:r>
        <w:rPr>
          <w:rFonts w:hint="eastAsia" w:ascii="仿宋" w:hAnsi="仿宋" w:eastAsia="仿宋" w:cs="仿宋"/>
          <w:b/>
          <w:bCs/>
          <w:sz w:val="21"/>
          <w:szCs w:val="21"/>
          <w:lang w:bidi="ar"/>
        </w:rPr>
        <w:t>五、公告期限</w:t>
      </w:r>
    </w:p>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firstLine="420"/>
        <w:textAlignment w:val="auto"/>
        <w:rPr>
          <w:rFonts w:hint="eastAsia" w:ascii="仿宋" w:hAnsi="仿宋" w:eastAsia="仿宋" w:cs="仿宋"/>
          <w:sz w:val="21"/>
          <w:szCs w:val="21"/>
        </w:rPr>
      </w:pPr>
      <w:r>
        <w:rPr>
          <w:rFonts w:hint="eastAsia" w:ascii="仿宋" w:hAnsi="仿宋" w:eastAsia="仿宋" w:cs="仿宋"/>
          <w:sz w:val="21"/>
          <w:szCs w:val="21"/>
        </w:rPr>
        <w:t>自本公告发布之日起5个工作日。</w:t>
      </w:r>
    </w:p>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jc w:val="both"/>
        <w:textAlignment w:val="auto"/>
        <w:rPr>
          <w:rFonts w:hint="eastAsia" w:ascii="仿宋" w:hAnsi="仿宋" w:eastAsia="仿宋" w:cs="仿宋"/>
          <w:sz w:val="21"/>
          <w:szCs w:val="21"/>
        </w:rPr>
      </w:pPr>
      <w:r>
        <w:rPr>
          <w:rStyle w:val="43"/>
          <w:rFonts w:hint="eastAsia" w:ascii="仿宋" w:hAnsi="仿宋" w:eastAsia="仿宋" w:cs="仿宋"/>
          <w:sz w:val="21"/>
          <w:szCs w:val="21"/>
        </w:rPr>
        <w:t>六、其他补充事宜</w:t>
      </w:r>
    </w:p>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仿宋" w:hAnsi="仿宋" w:eastAsia="仿宋" w:cs="仿宋"/>
          <w:sz w:val="21"/>
          <w:szCs w:val="21"/>
          <w:lang w:bidi="ar"/>
        </w:rPr>
      </w:pPr>
      <w:r>
        <w:rPr>
          <w:rFonts w:hint="eastAsia" w:ascii="仿宋" w:hAnsi="仿宋" w:eastAsia="仿宋" w:cs="仿宋"/>
          <w:sz w:val="21"/>
          <w:szCs w:val="21"/>
          <w:lang w:bidi="ar"/>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jc w:val="both"/>
        <w:textAlignment w:val="auto"/>
        <w:rPr>
          <w:rFonts w:hint="eastAsia" w:ascii="仿宋" w:hAnsi="仿宋" w:eastAsia="仿宋" w:cs="仿宋"/>
          <w:sz w:val="21"/>
          <w:szCs w:val="21"/>
        </w:rPr>
      </w:pPr>
      <w:r>
        <w:rPr>
          <w:rStyle w:val="43"/>
          <w:rFonts w:hint="eastAsia" w:ascii="仿宋" w:hAnsi="仿宋" w:eastAsia="仿宋" w:cs="仿宋"/>
          <w:sz w:val="21"/>
          <w:szCs w:val="21"/>
        </w:rPr>
        <w:t>七、对本次采购提出询问，请按以下方式联系</w:t>
      </w:r>
    </w:p>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firstLine="420"/>
        <w:textAlignment w:val="auto"/>
        <w:rPr>
          <w:rFonts w:hint="eastAsia" w:ascii="仿宋" w:hAnsi="仿宋" w:eastAsia="仿宋" w:cs="仿宋"/>
          <w:sz w:val="21"/>
          <w:szCs w:val="21"/>
        </w:rPr>
      </w:pPr>
      <w:r>
        <w:rPr>
          <w:rFonts w:hint="eastAsia" w:ascii="仿宋" w:hAnsi="仿宋" w:eastAsia="仿宋" w:cs="仿宋"/>
          <w:sz w:val="21"/>
          <w:szCs w:val="21"/>
        </w:rPr>
        <w:t>1.采购人信息</w:t>
      </w:r>
    </w:p>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firstLine="420"/>
        <w:textAlignment w:val="auto"/>
        <w:rPr>
          <w:rFonts w:hint="eastAsia" w:ascii="仿宋" w:hAnsi="仿宋" w:eastAsia="仿宋" w:cs="仿宋"/>
          <w:sz w:val="21"/>
          <w:szCs w:val="21"/>
        </w:rPr>
      </w:pPr>
      <w:r>
        <w:rPr>
          <w:rFonts w:hint="eastAsia" w:ascii="仿宋" w:hAnsi="仿宋" w:eastAsia="仿宋" w:cs="仿宋"/>
          <w:sz w:val="21"/>
          <w:szCs w:val="21"/>
        </w:rPr>
        <w:t>名 称：墨玉县农业农村局</w:t>
      </w:r>
    </w:p>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firstLine="420"/>
        <w:textAlignment w:val="auto"/>
        <w:rPr>
          <w:rFonts w:hint="eastAsia" w:ascii="仿宋" w:hAnsi="仿宋" w:eastAsia="仿宋" w:cs="仿宋"/>
          <w:sz w:val="21"/>
          <w:szCs w:val="21"/>
        </w:rPr>
      </w:pPr>
      <w:r>
        <w:rPr>
          <w:rFonts w:hint="eastAsia" w:ascii="仿宋" w:hAnsi="仿宋" w:eastAsia="仿宋" w:cs="仿宋"/>
          <w:sz w:val="21"/>
          <w:szCs w:val="21"/>
        </w:rPr>
        <w:t>联系方式：0903-6517725</w:t>
      </w:r>
      <w:r>
        <w:rPr>
          <w:rFonts w:hint="eastAsia" w:ascii="仿宋" w:hAnsi="仿宋" w:eastAsia="仿宋" w:cs="仿宋"/>
          <w:kern w:val="2"/>
          <w:sz w:val="21"/>
          <w:szCs w:val="21"/>
          <w:lang w:val="zh-CN"/>
        </w:rPr>
        <w:t> </w:t>
      </w:r>
      <w:r>
        <w:rPr>
          <w:rFonts w:hint="eastAsia" w:ascii="仿宋" w:hAnsi="仿宋" w:eastAsia="仿宋" w:cs="仿宋"/>
          <w:sz w:val="21"/>
          <w:szCs w:val="21"/>
        </w:rPr>
        <w:t xml:space="preserve"> </w:t>
      </w:r>
    </w:p>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firstLine="420"/>
        <w:textAlignment w:val="auto"/>
        <w:rPr>
          <w:rFonts w:hint="eastAsia" w:ascii="仿宋" w:hAnsi="仿宋" w:eastAsia="仿宋" w:cs="仿宋"/>
          <w:sz w:val="21"/>
          <w:szCs w:val="21"/>
        </w:rPr>
      </w:pPr>
      <w:r>
        <w:rPr>
          <w:rFonts w:hint="eastAsia" w:ascii="仿宋" w:hAnsi="仿宋" w:eastAsia="仿宋" w:cs="仿宋"/>
          <w:sz w:val="21"/>
          <w:szCs w:val="21"/>
        </w:rPr>
        <w:t>2.采购代理机构信息</w:t>
      </w:r>
    </w:p>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firstLine="420"/>
        <w:textAlignment w:val="auto"/>
        <w:rPr>
          <w:rFonts w:hint="eastAsia" w:ascii="仿宋" w:hAnsi="仿宋" w:eastAsia="仿宋" w:cs="仿宋"/>
          <w:sz w:val="21"/>
          <w:szCs w:val="21"/>
          <w:lang w:eastAsia="zh-CN"/>
        </w:rPr>
      </w:pPr>
      <w:r>
        <w:rPr>
          <w:rFonts w:hint="eastAsia" w:ascii="仿宋" w:hAnsi="仿宋" w:eastAsia="仿宋" w:cs="仿宋"/>
          <w:sz w:val="21"/>
          <w:szCs w:val="21"/>
        </w:rPr>
        <w:t>名 称：</w:t>
      </w:r>
      <w:r>
        <w:rPr>
          <w:rFonts w:hint="eastAsia" w:ascii="仿宋" w:hAnsi="仿宋" w:eastAsia="仿宋" w:cs="仿宋"/>
          <w:sz w:val="21"/>
          <w:szCs w:val="21"/>
          <w:lang w:val="en-US" w:eastAsia="zh-CN"/>
        </w:rPr>
        <w:t>新疆大源工程管理有限公司</w:t>
      </w:r>
    </w:p>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firstLine="420"/>
        <w:textAlignment w:val="auto"/>
        <w:rPr>
          <w:rFonts w:hint="eastAsia" w:ascii="仿宋" w:hAnsi="仿宋" w:eastAsia="仿宋" w:cs="仿宋"/>
          <w:sz w:val="21"/>
          <w:szCs w:val="21"/>
          <w:lang w:eastAsia="zh-CN"/>
        </w:rPr>
      </w:pPr>
      <w:r>
        <w:rPr>
          <w:rFonts w:hint="eastAsia" w:ascii="仿宋" w:hAnsi="仿宋" w:eastAsia="仿宋" w:cs="仿宋"/>
          <w:sz w:val="21"/>
          <w:szCs w:val="21"/>
        </w:rPr>
        <w:t>地 址：</w:t>
      </w:r>
      <w:r>
        <w:rPr>
          <w:rFonts w:hint="eastAsia" w:ascii="仿宋" w:hAnsi="仿宋" w:eastAsia="仿宋" w:cs="仿宋"/>
          <w:sz w:val="21"/>
          <w:szCs w:val="21"/>
          <w:lang w:val="en-US" w:eastAsia="zh-CN"/>
        </w:rPr>
        <w:t>和田市京苑街39号南苑小区物业楼3楼</w:t>
      </w:r>
      <w:r>
        <w:rPr>
          <w:rFonts w:hint="eastAsia" w:ascii="仿宋" w:hAnsi="仿宋" w:eastAsia="仿宋" w:cs="仿宋"/>
          <w:sz w:val="21"/>
          <w:szCs w:val="21"/>
        </w:rPr>
        <w:t>　</w:t>
      </w:r>
    </w:p>
    <w:p>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exact"/>
        <w:ind w:left="0" w:leftChars="0" w:firstLine="420"/>
        <w:textAlignment w:val="auto"/>
        <w:rPr>
          <w:rFonts w:hint="eastAsia" w:ascii="仿宋" w:hAnsi="仿宋" w:eastAsia="仿宋" w:cs="仿宋"/>
          <w:sz w:val="21"/>
          <w:szCs w:val="21"/>
          <w:lang w:eastAsia="zh-CN"/>
        </w:rPr>
      </w:pPr>
      <w:r>
        <w:rPr>
          <w:rFonts w:hint="eastAsia" w:ascii="仿宋" w:hAnsi="仿宋" w:eastAsia="仿宋" w:cs="仿宋"/>
          <w:sz w:val="21"/>
          <w:szCs w:val="21"/>
        </w:rPr>
        <w:t>项目联系人：</w:t>
      </w:r>
      <w:r>
        <w:rPr>
          <w:rFonts w:hint="eastAsia" w:ascii="仿宋" w:hAnsi="仿宋" w:eastAsia="仿宋" w:cs="仿宋"/>
          <w:sz w:val="21"/>
          <w:szCs w:val="21"/>
          <w:lang w:val="en-US" w:eastAsia="zh-CN"/>
        </w:rPr>
        <w:t>邓涛</w:t>
      </w:r>
    </w:p>
    <w:p>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电 话：</w:t>
      </w:r>
      <w:r>
        <w:rPr>
          <w:rFonts w:hint="eastAsia" w:ascii="仿宋" w:hAnsi="仿宋" w:eastAsia="仿宋" w:cs="仿宋"/>
          <w:sz w:val="21"/>
          <w:szCs w:val="21"/>
          <w:lang w:val="en-US" w:eastAsia="zh-CN"/>
        </w:rPr>
        <w:t>16609977009</w:t>
      </w:r>
    </w:p>
    <w:p>
      <w:pPr>
        <w:pStyle w:val="49"/>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3、同级政府采购监督管理部门名称：墨玉县公共资源交易平台中心</w:t>
      </w:r>
    </w:p>
    <w:p>
      <w:pPr>
        <w:pStyle w:val="49"/>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联系人：王瑞江 </w:t>
      </w:r>
    </w:p>
    <w:p>
      <w:pPr>
        <w:pStyle w:val="49"/>
        <w:ind w:firstLine="420" w:firstLineChars="200"/>
        <w:rPr>
          <w:rFonts w:cs="仿宋" w:asciiTheme="majorEastAsia" w:hAnsiTheme="majorEastAsia" w:eastAsiaTheme="majorEastAsia"/>
        </w:rPr>
      </w:pPr>
      <w:r>
        <w:rPr>
          <w:rFonts w:hint="eastAsia" w:ascii="仿宋" w:hAnsi="仿宋" w:eastAsia="仿宋" w:cs="仿宋"/>
          <w:kern w:val="0"/>
          <w:sz w:val="21"/>
          <w:szCs w:val="21"/>
          <w:lang w:val="en-US" w:eastAsia="zh-CN" w:bidi="ar-SA"/>
        </w:rPr>
        <w:t>监督投诉电话：0903-7827609</w:t>
      </w:r>
    </w:p>
    <w:p>
      <w:pPr>
        <w:pStyle w:val="3"/>
        <w:numPr>
          <w:ilvl w:val="0"/>
          <w:numId w:val="1"/>
        </w:numPr>
        <w:jc w:val="center"/>
        <w:rPr>
          <w:rFonts w:cs="Arial" w:asciiTheme="majorEastAsia" w:hAnsiTheme="majorEastAsia" w:eastAsiaTheme="majorEastAsia"/>
          <w:b w:val="0"/>
          <w:sz w:val="36"/>
          <w:szCs w:val="36"/>
        </w:rPr>
      </w:pPr>
      <w:bookmarkStart w:id="1" w:name="_Toc25203"/>
      <w:bookmarkStart w:id="2" w:name="_Toc30006"/>
      <w:r>
        <w:rPr>
          <w:rFonts w:cs="Arial" w:asciiTheme="majorEastAsia" w:hAnsiTheme="majorEastAsia" w:eastAsiaTheme="majorEastAsia"/>
          <w:b w:val="0"/>
          <w:sz w:val="36"/>
          <w:szCs w:val="36"/>
        </w:rPr>
        <w:t>投标人须知</w:t>
      </w:r>
      <w:bookmarkEnd w:id="1"/>
      <w:bookmarkEnd w:id="2"/>
    </w:p>
    <w:p>
      <w:pPr>
        <w:pStyle w:val="3"/>
        <w:jc w:val="left"/>
        <w:rPr>
          <w:rFonts w:cs="Arial" w:asciiTheme="majorEastAsia" w:hAnsiTheme="majorEastAsia" w:eastAsiaTheme="majorEastAsia"/>
          <w:b w:val="0"/>
          <w:sz w:val="28"/>
          <w:szCs w:val="28"/>
        </w:rPr>
      </w:pPr>
      <w:r>
        <w:rPr>
          <w:rFonts w:hint="eastAsia" w:cs="仿宋" w:asciiTheme="majorEastAsia" w:hAnsiTheme="majorEastAsia" w:eastAsiaTheme="majorEastAsia"/>
          <w:b w:val="0"/>
          <w:sz w:val="28"/>
          <w:szCs w:val="28"/>
        </w:rPr>
        <w:t>投标人须知前附表</w:t>
      </w:r>
    </w:p>
    <w:tbl>
      <w:tblPr>
        <w:tblStyle w:val="40"/>
        <w:tblpPr w:leftFromText="180" w:rightFromText="180" w:vertAnchor="text" w:horzAnchor="margin" w:tblpY="636"/>
        <w:tblOverlap w:val="never"/>
        <w:tblW w:w="938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6"/>
        <w:gridCol w:w="939"/>
        <w:gridCol w:w="1765"/>
        <w:gridCol w:w="5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866" w:type="dxa"/>
            <w:tcBorders>
              <w:top w:val="single" w:color="auto" w:sz="4" w:space="0"/>
              <w:left w:val="single" w:color="auto" w:sz="4" w:space="0"/>
              <w:bottom w:val="single" w:color="auto" w:sz="4" w:space="0"/>
              <w:right w:val="single" w:color="auto" w:sz="4" w:space="0"/>
            </w:tcBorders>
            <w:vAlign w:val="center"/>
          </w:tcPr>
          <w:p>
            <w:pPr>
              <w:ind w:right="-358"/>
              <w:rPr>
                <w:rFonts w:cs="仿宋" w:asciiTheme="majorEastAsia" w:hAnsiTheme="majorEastAsia" w:eastAsiaTheme="majorEastAsia"/>
                <w:szCs w:val="21"/>
              </w:rPr>
            </w:pPr>
            <w:bookmarkStart w:id="3" w:name="_Toc15098"/>
            <w:bookmarkStart w:id="4" w:name="_Toc18884"/>
            <w:bookmarkStart w:id="5" w:name="_Toc440183407"/>
            <w:r>
              <w:rPr>
                <w:rFonts w:hint="eastAsia" w:cs="仿宋" w:asciiTheme="majorEastAsia" w:hAnsiTheme="majorEastAsia" w:eastAsiaTheme="majorEastAsia"/>
                <w:szCs w:val="21"/>
              </w:rPr>
              <w:t>项号</w:t>
            </w:r>
          </w:p>
        </w:tc>
        <w:tc>
          <w:tcPr>
            <w:tcW w:w="939"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szCs w:val="21"/>
              </w:rPr>
            </w:pPr>
            <w:r>
              <w:rPr>
                <w:rFonts w:hint="eastAsia" w:cs="仿宋" w:asciiTheme="majorEastAsia" w:hAnsiTheme="majorEastAsia" w:eastAsiaTheme="majorEastAsia"/>
                <w:szCs w:val="21"/>
              </w:rPr>
              <w:t>条款号</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szCs w:val="21"/>
              </w:rPr>
            </w:pPr>
            <w:r>
              <w:rPr>
                <w:rFonts w:hint="eastAsia" w:cs="仿宋" w:asciiTheme="majorEastAsia" w:hAnsiTheme="majorEastAsia" w:eastAsiaTheme="majorEastAsia"/>
                <w:szCs w:val="21"/>
              </w:rPr>
              <w:t>内    容</w:t>
            </w:r>
          </w:p>
        </w:tc>
        <w:tc>
          <w:tcPr>
            <w:tcW w:w="5813" w:type="dxa"/>
            <w:tcBorders>
              <w:top w:val="single" w:color="auto" w:sz="4" w:space="0"/>
              <w:left w:val="single" w:color="auto" w:sz="4" w:space="0"/>
              <w:bottom w:val="single" w:color="auto" w:sz="4" w:space="0"/>
              <w:right w:val="single" w:color="auto" w:sz="4" w:space="0"/>
            </w:tcBorders>
            <w:vAlign w:val="center"/>
          </w:tcPr>
          <w:p>
            <w:pPr>
              <w:tabs>
                <w:tab w:val="left" w:pos="1180"/>
              </w:tabs>
              <w:jc w:val="center"/>
              <w:rPr>
                <w:rFonts w:cs="仿宋" w:asciiTheme="majorEastAsia" w:hAnsiTheme="majorEastAsia" w:eastAsiaTheme="majorEastAsia"/>
                <w:szCs w:val="21"/>
              </w:rPr>
            </w:pPr>
            <w:r>
              <w:rPr>
                <w:rFonts w:hint="eastAsia" w:cs="仿宋" w:asciiTheme="majorEastAsia" w:hAnsiTheme="majorEastAsia" w:eastAsiaTheme="majorEastAsia"/>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szCs w:val="21"/>
              </w:rPr>
            </w:pPr>
            <w:r>
              <w:rPr>
                <w:rFonts w:hint="eastAsia" w:cs="仿宋" w:asciiTheme="majorEastAsia" w:hAnsiTheme="majorEastAsia" w:eastAsiaTheme="majorEastAsia"/>
                <w:szCs w:val="21"/>
              </w:rPr>
              <w:t>项目名称</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hint="default" w:cs="仿宋" w:asciiTheme="majorEastAsia" w:hAnsiTheme="majorEastAsia" w:eastAsiaTheme="majorEastAsia"/>
                <w:szCs w:val="21"/>
                <w:lang w:val="en-US" w:eastAsia="zh-CN"/>
              </w:rPr>
            </w:pPr>
            <w:r>
              <w:rPr>
                <w:rFonts w:hint="eastAsia" w:eastAsiaTheme="majorEastAsia"/>
                <w:bCs/>
                <w:szCs w:val="21"/>
                <w:lang w:eastAsia="zh-CN"/>
              </w:rPr>
              <w:t>墨玉县福利蛋鸡养殖设备采购项目（一期）</w:t>
            </w:r>
            <w:r>
              <w:rPr>
                <w:rFonts w:hint="eastAsia" w:eastAsiaTheme="majorEastAsia"/>
                <w:bCs/>
                <w:szCs w:val="21"/>
                <w:lang w:val="en-US" w:eastAsia="zh-CN"/>
              </w:rPr>
              <w:t>包二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hint="eastAsia" w:cs="仿宋" w:asciiTheme="majorEastAsia" w:hAnsiTheme="majorEastAsia" w:eastAsiaTheme="majorEastAsia"/>
                <w:szCs w:val="21"/>
                <w:lang w:val="en-US" w:eastAsia="zh-CN"/>
              </w:rPr>
            </w:pPr>
            <w:r>
              <w:rPr>
                <w:rFonts w:hint="eastAsia" w:cs="仿宋" w:asciiTheme="majorEastAsia" w:hAnsiTheme="majorEastAsia" w:eastAsiaTheme="majorEastAsia"/>
                <w:szCs w:val="21"/>
                <w:lang w:val="en-US" w:eastAsia="zh-CN"/>
              </w:rPr>
              <w:t>项目所在地及交货地点</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hint="eastAsia"/>
                <w:lang w:eastAsia="zh-CN"/>
              </w:rPr>
            </w:pPr>
            <w:r>
              <w:rPr>
                <w:rFonts w:hint="eastAsia"/>
                <w:lang w:eastAsia="zh-CN"/>
              </w:rPr>
              <w:t>项目所在地：和田地区墨玉县</w:t>
            </w:r>
          </w:p>
          <w:p>
            <w:pPr>
              <w:pStyle w:val="49"/>
              <w:rPr>
                <w:rFonts w:hint="eastAsia"/>
                <w:lang w:eastAsia="zh-CN"/>
              </w:rPr>
            </w:pPr>
            <w:r>
              <w:rPr>
                <w:rFonts w:hint="eastAsia" w:cs="仿宋" w:asciiTheme="majorEastAsia" w:hAnsiTheme="majorEastAsia" w:eastAsiaTheme="majorEastAsia"/>
                <w:szCs w:val="21"/>
                <w:lang w:eastAsia="zh-CN"/>
              </w:rPr>
              <w:t>交货地点：业主指定地点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3</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szCs w:val="21"/>
              </w:rPr>
            </w:pPr>
            <w:r>
              <w:rPr>
                <w:rFonts w:hint="eastAsia" w:cs="仿宋" w:asciiTheme="majorEastAsia" w:hAnsiTheme="majorEastAsia" w:eastAsiaTheme="majorEastAsia"/>
                <w:szCs w:val="21"/>
              </w:rPr>
              <w:t>资金来源及总投资额</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hint="default" w:cs="仿宋" w:asciiTheme="majorEastAsia" w:hAnsiTheme="majorEastAsia" w:eastAsiaTheme="majorEastAsia"/>
                <w:szCs w:val="21"/>
                <w:highlight w:val="none"/>
                <w:lang w:val="en-US" w:eastAsia="zh-CN"/>
              </w:rPr>
            </w:pPr>
            <w:r>
              <w:rPr>
                <w:rFonts w:hint="eastAsia" w:cs="仿宋" w:asciiTheme="majorEastAsia" w:hAnsiTheme="majorEastAsia" w:eastAsiaTheme="majorEastAsia"/>
                <w:szCs w:val="21"/>
                <w:highlight w:val="none"/>
              </w:rPr>
              <w:t>资金来源：乡村振兴衔接资金</w:t>
            </w:r>
          </w:p>
          <w:p>
            <w:pPr>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总投资额：86839674.3元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仿宋" w:asciiTheme="majorEastAsia" w:hAnsiTheme="majorEastAsia" w:eastAsiaTheme="majorEastAsia"/>
                <w:bCs/>
                <w:kern w:val="0"/>
                <w:szCs w:val="21"/>
              </w:rPr>
              <w:t>4</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ascii="宋体"/>
                <w:bCs/>
                <w:szCs w:val="21"/>
              </w:rPr>
            </w:pPr>
            <w:r>
              <w:rPr>
                <w:rFonts w:hint="eastAsia" w:cs="仿宋" w:asciiTheme="majorEastAsia" w:hAnsiTheme="majorEastAsia" w:eastAsiaTheme="majorEastAsia"/>
                <w:szCs w:val="21"/>
              </w:rPr>
              <w:t>采购内容</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ascii="宋体"/>
                <w:bCs/>
                <w:szCs w:val="21"/>
                <w:highlight w:val="none"/>
              </w:rPr>
            </w:pPr>
            <w:r>
              <w:rPr>
                <w:rFonts w:hint="eastAsia" w:ascii="宋体"/>
                <w:bCs/>
                <w:szCs w:val="21"/>
                <w:highlight w:val="none"/>
              </w:rPr>
              <w:t>（具体参数详见本招标文件第</w:t>
            </w:r>
            <w:r>
              <w:rPr>
                <w:rFonts w:hint="eastAsia" w:ascii="宋体"/>
                <w:bCs/>
                <w:szCs w:val="21"/>
                <w:highlight w:val="none"/>
                <w:lang w:val="en-US" w:eastAsia="zh-CN"/>
              </w:rPr>
              <w:t>五</w:t>
            </w:r>
            <w:r>
              <w:rPr>
                <w:rFonts w:hint="eastAsia" w:ascii="宋体"/>
                <w:bCs/>
                <w:szCs w:val="21"/>
                <w:highlight w:val="none"/>
              </w:rPr>
              <w:t>章</w:t>
            </w:r>
            <w:r>
              <w:rPr>
                <w:rFonts w:hint="eastAsia" w:ascii="宋体"/>
                <w:bCs/>
                <w:szCs w:val="21"/>
                <w:highlight w:val="none"/>
                <w:lang w:val="en-US" w:eastAsia="zh-CN"/>
              </w:rPr>
              <w:t>设备</w:t>
            </w:r>
            <w:r>
              <w:rPr>
                <w:rFonts w:hint="eastAsia" w:ascii="宋体"/>
                <w:bCs/>
                <w:szCs w:val="21"/>
                <w:highlight w:val="none"/>
              </w:rPr>
              <w:t>参数表）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5</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szCs w:val="21"/>
              </w:rPr>
            </w:pPr>
            <w:r>
              <w:rPr>
                <w:rFonts w:hint="eastAsia" w:cs="仿宋" w:asciiTheme="majorEastAsia" w:hAnsiTheme="majorEastAsia" w:eastAsiaTheme="majorEastAsia"/>
                <w:szCs w:val="21"/>
                <w:lang w:val="en-US" w:eastAsia="zh-CN"/>
              </w:rPr>
              <w:t>供货周期</w:t>
            </w:r>
            <w:r>
              <w:rPr>
                <w:rFonts w:hint="eastAsia" w:cs="仿宋" w:asciiTheme="majorEastAsia" w:hAnsiTheme="majorEastAsia" w:eastAsiaTheme="majorEastAsia"/>
                <w:szCs w:val="21"/>
              </w:rPr>
              <w:t>及地点</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hint="default" w:cs="仿宋" w:asciiTheme="majorEastAsia" w:hAnsiTheme="majorEastAsia" w:eastAsiaTheme="majorEastAsia"/>
                <w:szCs w:val="21"/>
                <w:highlight w:val="none"/>
                <w:lang w:val="en-US" w:eastAsia="zh-CN"/>
              </w:rPr>
            </w:pPr>
            <w:r>
              <w:rPr>
                <w:rFonts w:hint="eastAsia" w:cs="仿宋" w:asciiTheme="majorEastAsia" w:hAnsiTheme="majorEastAsia" w:eastAsiaTheme="majorEastAsia"/>
                <w:szCs w:val="21"/>
                <w:highlight w:val="none"/>
              </w:rPr>
              <w:t>交货时间：</w:t>
            </w:r>
            <w:r>
              <w:rPr>
                <w:rFonts w:hint="eastAsia" w:cs="仿宋" w:asciiTheme="majorEastAsia" w:hAnsiTheme="majorEastAsia" w:eastAsiaTheme="majorEastAsia"/>
                <w:szCs w:val="21"/>
                <w:highlight w:val="none"/>
                <w:lang w:val="en-US" w:eastAsia="zh-CN"/>
              </w:rPr>
              <w:t>合同签订后45日历天</w:t>
            </w:r>
          </w:p>
          <w:p>
            <w:pPr>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交货地点：</w:t>
            </w:r>
            <w:r>
              <w:rPr>
                <w:rFonts w:hint="eastAsia" w:cs="仿宋" w:asciiTheme="majorEastAsia" w:hAnsiTheme="majorEastAsia" w:eastAsiaTheme="majorEastAsia"/>
                <w:szCs w:val="21"/>
                <w:highlight w:val="none"/>
                <w:lang w:val="en-US" w:eastAsia="zh-CN"/>
              </w:rPr>
              <w:t>墨玉县内</w:t>
            </w:r>
            <w:r>
              <w:rPr>
                <w:rFonts w:hint="eastAsia" w:cs="仿宋" w:asciiTheme="majorEastAsia" w:hAnsiTheme="majorEastAsia" w:eastAsiaTheme="majorEastAsia"/>
                <w:szCs w:val="21"/>
                <w:highlight w:val="none"/>
              </w:rPr>
              <w:t>采购方指定地点。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6</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szCs w:val="21"/>
              </w:rPr>
            </w:pPr>
            <w:r>
              <w:rPr>
                <w:rFonts w:hint="eastAsia" w:cs="仿宋" w:asciiTheme="majorEastAsia" w:hAnsiTheme="majorEastAsia" w:eastAsiaTheme="majorEastAsia"/>
                <w:szCs w:val="21"/>
              </w:rPr>
              <w:t>招标范围</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szCs w:val="21"/>
              </w:rPr>
            </w:pPr>
            <w:r>
              <w:rPr>
                <w:rFonts w:hint="eastAsia" w:ascii="宋体"/>
                <w:bCs/>
                <w:szCs w:val="21"/>
                <w:highlight w:val="none"/>
              </w:rPr>
              <w:t>采购验收合格、移交前维护、交付使用以及技术支持和售后服务。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866" w:type="dxa"/>
            <w:vMerge w:val="restart"/>
            <w:tcBorders>
              <w:top w:val="single" w:color="auto" w:sz="4" w:space="0"/>
              <w:left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7</w:t>
            </w:r>
          </w:p>
        </w:tc>
        <w:tc>
          <w:tcPr>
            <w:tcW w:w="939" w:type="dxa"/>
            <w:vMerge w:val="restart"/>
            <w:tcBorders>
              <w:top w:val="single" w:color="auto" w:sz="4" w:space="0"/>
              <w:left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1.2</w:t>
            </w:r>
          </w:p>
        </w:tc>
        <w:tc>
          <w:tcPr>
            <w:tcW w:w="17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质量要求</w:t>
            </w:r>
          </w:p>
        </w:tc>
        <w:tc>
          <w:tcPr>
            <w:tcW w:w="5813" w:type="dxa"/>
            <w:tcBorders>
              <w:top w:val="single" w:color="auto" w:sz="4" w:space="0"/>
              <w:left w:val="single" w:color="auto" w:sz="4" w:space="0"/>
              <w:bottom w:val="single" w:color="auto" w:sz="4" w:space="0"/>
              <w:right w:val="single" w:color="auto" w:sz="4" w:space="0"/>
            </w:tcBorders>
            <w:vAlign w:val="center"/>
          </w:tcPr>
          <w:p>
            <w:pPr>
              <w:spacing w:line="400" w:lineRule="exact"/>
            </w:pPr>
            <w:r>
              <w:rPr>
                <w:rFonts w:hint="eastAsia"/>
              </w:rPr>
              <w:t>合格，必须达到国家和行业规定标准及招标文件中规定的标准。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866" w:type="dxa"/>
            <w:vMerge w:val="continue"/>
            <w:tcBorders>
              <w:left w:val="single" w:color="auto" w:sz="4" w:space="0"/>
              <w:bottom w:val="single" w:color="auto" w:sz="4" w:space="0"/>
              <w:right w:val="single" w:color="auto" w:sz="4" w:space="0"/>
            </w:tcBorders>
            <w:vAlign w:val="center"/>
          </w:tcPr>
          <w:p>
            <w:pPr>
              <w:jc w:val="center"/>
              <w:rPr>
                <w:rFonts w:hint="eastAsia" w:cs="仿宋" w:asciiTheme="majorEastAsia" w:hAnsiTheme="majorEastAsia" w:eastAsiaTheme="majorEastAsia"/>
                <w:bCs/>
                <w:kern w:val="0"/>
                <w:szCs w:val="21"/>
              </w:rPr>
            </w:pPr>
          </w:p>
        </w:tc>
        <w:tc>
          <w:tcPr>
            <w:tcW w:w="939" w:type="dxa"/>
            <w:vMerge w:val="continue"/>
            <w:tcBorders>
              <w:left w:val="single" w:color="auto" w:sz="4" w:space="0"/>
              <w:bottom w:val="single" w:color="auto" w:sz="4" w:space="0"/>
              <w:right w:val="single" w:color="auto" w:sz="4" w:space="0"/>
            </w:tcBorders>
            <w:vAlign w:val="center"/>
          </w:tcPr>
          <w:p>
            <w:pPr>
              <w:jc w:val="center"/>
              <w:rPr>
                <w:rFonts w:hint="eastAsia" w:cs="仿宋" w:asciiTheme="majorEastAsia" w:hAnsiTheme="majorEastAsia" w:eastAsiaTheme="majorEastAsia"/>
                <w:bCs/>
                <w:kern w:val="0"/>
                <w:szCs w:val="21"/>
              </w:rPr>
            </w:pPr>
          </w:p>
        </w:tc>
        <w:tc>
          <w:tcPr>
            <w:tcW w:w="17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宋体"/>
                <w:lang w:val="en-US" w:eastAsia="zh-CN"/>
              </w:rPr>
            </w:pPr>
            <w:r>
              <w:rPr>
                <w:rFonts w:hint="eastAsia"/>
                <w:lang w:val="en-US" w:eastAsia="zh-CN"/>
              </w:rPr>
              <w:t>质保期</w:t>
            </w:r>
          </w:p>
        </w:tc>
        <w:tc>
          <w:tcPr>
            <w:tcW w:w="58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lang w:val="en-US" w:eastAsia="zh-CN"/>
              </w:rPr>
            </w:pPr>
            <w:r>
              <w:rPr>
                <w:rFonts w:hint="eastAsia"/>
                <w:lang w:val="en-US" w:eastAsia="zh-CN"/>
              </w:rPr>
              <w:t>质保期</w:t>
            </w:r>
            <w:r>
              <w:rPr>
                <w:rFonts w:hint="eastAsia"/>
                <w:highlight w:val="none"/>
                <w:lang w:val="en-US" w:eastAsia="zh-CN"/>
              </w:rPr>
              <w:t>：3年。</w:t>
            </w:r>
          </w:p>
          <w:p>
            <w:pPr>
              <w:spacing w:line="400" w:lineRule="exact"/>
              <w:rPr>
                <w:rFonts w:hint="default" w:eastAsia="宋体"/>
                <w:lang w:val="en-US" w:eastAsia="zh-CN"/>
              </w:rPr>
            </w:pPr>
            <w:r>
              <w:rPr>
                <w:rFonts w:hint="eastAsia"/>
                <w:lang w:val="en-US" w:eastAsia="zh-CN"/>
              </w:rPr>
              <w:t>质保期间设备因质量问题、非人为损坏而导致无法正常运作，承诺免费更换该设施设备。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8</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1.3</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联系方式</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招标人名称：墨玉县农业农村局</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地址：墨玉县古则东路4号</w:t>
            </w:r>
          </w:p>
          <w:p>
            <w:pPr>
              <w:rPr>
                <w:rFonts w:hint="eastAsia" w:cs="仿宋" w:asciiTheme="majorEastAsia" w:hAnsiTheme="majorEastAsia" w:eastAsiaTheme="majorEastAsia"/>
                <w:bCs/>
                <w:kern w:val="0"/>
                <w:szCs w:val="21"/>
                <w:lang w:eastAsia="zh-CN"/>
              </w:rPr>
            </w:pPr>
            <w:r>
              <w:rPr>
                <w:rFonts w:hint="eastAsia" w:cs="仿宋" w:asciiTheme="majorEastAsia" w:hAnsiTheme="majorEastAsia" w:eastAsiaTheme="majorEastAsia"/>
                <w:bCs/>
                <w:kern w:val="0"/>
                <w:szCs w:val="21"/>
              </w:rPr>
              <w:t>联系人</w:t>
            </w:r>
            <w:r>
              <w:rPr>
                <w:rFonts w:hint="eastAsia" w:cs="仿宋" w:asciiTheme="majorEastAsia" w:hAnsiTheme="majorEastAsia" w:eastAsiaTheme="majorEastAsia"/>
                <w:bCs/>
                <w:kern w:val="0"/>
                <w:szCs w:val="21"/>
                <w:highlight w:val="none"/>
              </w:rPr>
              <w:t>：</w:t>
            </w:r>
            <w:r>
              <w:rPr>
                <w:rFonts w:hint="eastAsia" w:cs="仿宋" w:asciiTheme="majorEastAsia" w:hAnsiTheme="majorEastAsia" w:eastAsiaTheme="majorEastAsia"/>
                <w:bCs/>
                <w:kern w:val="0"/>
                <w:szCs w:val="21"/>
                <w:highlight w:val="none"/>
                <w:lang w:eastAsia="zh-CN"/>
              </w:rPr>
              <w:t>杨亚玲</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电话：</w:t>
            </w:r>
            <w:r>
              <w:rPr>
                <w:rFonts w:hint="eastAsia" w:cs="仿宋" w:asciiTheme="majorEastAsia" w:hAnsiTheme="majorEastAsia" w:eastAsiaTheme="majorEastAsia"/>
                <w:bCs/>
                <w:kern w:val="0"/>
                <w:szCs w:val="21"/>
                <w:lang w:val="zh-CN"/>
              </w:rPr>
              <w:t>0903-</w:t>
            </w:r>
            <w:r>
              <w:rPr>
                <w:rFonts w:hint="eastAsia" w:cs="仿宋" w:asciiTheme="majorEastAsia" w:hAnsiTheme="majorEastAsia" w:eastAsiaTheme="majorEastAsia"/>
                <w:bCs/>
                <w:kern w:val="0"/>
                <w:szCs w:val="21"/>
                <w:lang w:val="en-US" w:eastAsia="zh-CN"/>
              </w:rPr>
              <w:t>6512925</w:t>
            </w:r>
          </w:p>
          <w:p>
            <w:pPr>
              <w:pStyle w:val="49"/>
              <w:rPr>
                <w:rFonts w:hint="eastAsia"/>
                <w:bCs/>
                <w:lang w:eastAsia="zh-CN"/>
              </w:rPr>
            </w:pPr>
            <w:r>
              <w:rPr>
                <w:rFonts w:hint="eastAsia"/>
                <w:bCs/>
              </w:rPr>
              <w:t>招标代理名称：</w:t>
            </w:r>
            <w:r>
              <w:rPr>
                <w:rFonts w:hint="eastAsia"/>
                <w:bCs/>
                <w:lang w:val="en-US" w:eastAsia="zh-CN"/>
              </w:rPr>
              <w:t>新疆大源工程管理有限公司</w:t>
            </w:r>
          </w:p>
          <w:p>
            <w:pPr>
              <w:pStyle w:val="49"/>
              <w:rPr>
                <w:rFonts w:hint="eastAsia" w:eastAsia="宋体"/>
                <w:bCs/>
                <w:lang w:eastAsia="zh-CN"/>
              </w:rPr>
            </w:pPr>
            <w:r>
              <w:rPr>
                <w:rFonts w:hint="eastAsia"/>
                <w:bCs/>
              </w:rPr>
              <w:t>地 址：</w:t>
            </w:r>
            <w:r>
              <w:rPr>
                <w:rFonts w:hint="eastAsia"/>
                <w:bCs/>
                <w:lang w:val="en-US" w:eastAsia="zh-CN"/>
              </w:rPr>
              <w:t>和田市京苑街39号南苑小区物业楼3楼</w:t>
            </w:r>
          </w:p>
          <w:p>
            <w:pPr>
              <w:pStyle w:val="49"/>
              <w:rPr>
                <w:rFonts w:hint="eastAsia" w:eastAsia="宋体"/>
                <w:bCs/>
                <w:lang w:eastAsia="zh-CN"/>
              </w:rPr>
            </w:pPr>
            <w:r>
              <w:rPr>
                <w:rFonts w:hint="eastAsia"/>
                <w:bCs/>
              </w:rPr>
              <w:t>联系人：</w:t>
            </w:r>
            <w:r>
              <w:rPr>
                <w:rFonts w:hint="eastAsia"/>
                <w:bCs/>
                <w:lang w:val="en-US" w:eastAsia="zh-CN"/>
              </w:rPr>
              <w:t>邓涛</w:t>
            </w:r>
          </w:p>
          <w:p>
            <w:pPr>
              <w:pStyle w:val="49"/>
              <w:rPr>
                <w:rFonts w:hint="eastAsia" w:eastAsia="宋体"/>
                <w:lang w:eastAsia="zh-CN"/>
              </w:rPr>
            </w:pPr>
            <w:r>
              <w:rPr>
                <w:rFonts w:hint="eastAsia"/>
                <w:bCs/>
              </w:rPr>
              <w:t>电话：</w:t>
            </w:r>
            <w:r>
              <w:rPr>
                <w:rFonts w:hint="eastAsia"/>
                <w:bCs/>
                <w:lang w:val="en-US" w:eastAsia="zh-CN"/>
              </w:rPr>
              <w:t>16609977009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9</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投标人资格条件、能力和信誉</w:t>
            </w:r>
          </w:p>
        </w:tc>
        <w:tc>
          <w:tcPr>
            <w:tcW w:w="5813" w:type="dxa"/>
            <w:tcBorders>
              <w:top w:val="single" w:color="auto" w:sz="4" w:space="0"/>
              <w:left w:val="single" w:color="auto" w:sz="4" w:space="0"/>
              <w:bottom w:val="single" w:color="auto" w:sz="4" w:space="0"/>
              <w:right w:val="single" w:color="auto" w:sz="4" w:space="0"/>
            </w:tcBorders>
            <w:vAlign w:val="center"/>
          </w:tcPr>
          <w:p>
            <w:r>
              <w:rPr>
                <w:rFonts w:hint="eastAsia"/>
              </w:rPr>
              <w:t>1、供应商必须符合《中华人民共和国政府采购法》第二十二条规定：（1）具有独立承担民事责任的能力；（2）具有良好的商业信誉和健全的财务会计制度；（3）具有履行合同所必需的设备和专业技术能力；（4）有依法缴纳</w:t>
            </w:r>
            <w:r>
              <w:fldChar w:fldCharType="begin"/>
            </w:r>
            <w:r>
              <w:instrText xml:space="preserve"> HYPERLINK "http://www.so.com/s?q=%E7%A8%8E%E6%94%B6&amp;ie=utf-8&amp;src=internal_wenda_recommend_textn" \t "https://wenda.so.com/q/_blank" </w:instrText>
            </w:r>
            <w:r>
              <w:fldChar w:fldCharType="separate"/>
            </w:r>
            <w:r>
              <w:rPr>
                <w:rFonts w:hint="eastAsia"/>
              </w:rPr>
              <w:t>税收</w:t>
            </w:r>
            <w:r>
              <w:rPr>
                <w:rFonts w:hint="eastAsia"/>
              </w:rPr>
              <w:fldChar w:fldCharType="end"/>
            </w:r>
            <w:r>
              <w:rPr>
                <w:rFonts w:hint="eastAsia"/>
              </w:rPr>
              <w:t>和</w:t>
            </w:r>
            <w:r>
              <w:fldChar w:fldCharType="begin"/>
            </w:r>
            <w:r>
              <w:instrText xml:space="preserve"> HYPERLINK "http://www.so.com/s?q=%E7%A4%BE%E4%BC%9A%E4%BF%9D%E9%9A%9C%E8%B5%84%E9%87%91&amp;ie=utf-8&amp;src=internal_wenda_recommend_textn" \t "https://wenda.so.com/q/_blank" </w:instrText>
            </w:r>
            <w:r>
              <w:fldChar w:fldCharType="separate"/>
            </w:r>
            <w:r>
              <w:rPr>
                <w:rFonts w:hint="eastAsia"/>
              </w:rPr>
              <w:t>社会保障资金</w:t>
            </w:r>
            <w:r>
              <w:rPr>
                <w:rFonts w:hint="eastAsia"/>
              </w:rPr>
              <w:fldChar w:fldCharType="end"/>
            </w:r>
            <w:r>
              <w:rPr>
                <w:rFonts w:hint="eastAsia"/>
              </w:rPr>
              <w:t>的良好记录；（5）参加政府采购活动前三年内，在</w:t>
            </w:r>
            <w:r>
              <w:fldChar w:fldCharType="begin"/>
            </w:r>
            <w:r>
              <w:instrText xml:space="preserve"> HYPERLINK "http://www.so.com/s?q=%E7%BB%8F%E8%90%A5%E6%B4%BB%E5%8A%A8&amp;ie=utf-8&amp;src=internal_wenda_recommend_textn" \t "https://wenda.so.com/q/_blank" </w:instrText>
            </w:r>
            <w:r>
              <w:fldChar w:fldCharType="separate"/>
            </w:r>
            <w:r>
              <w:rPr>
                <w:rFonts w:hint="eastAsia"/>
              </w:rPr>
              <w:t>经营活动</w:t>
            </w:r>
            <w:r>
              <w:rPr>
                <w:rFonts w:hint="eastAsia"/>
              </w:rPr>
              <w:fldChar w:fldCharType="end"/>
            </w:r>
            <w:r>
              <w:rPr>
                <w:rFonts w:hint="eastAsia"/>
              </w:rPr>
              <w:t>中没有重大违法记录；（6）法律、行政法规规定的其他条件。</w:t>
            </w:r>
          </w:p>
          <w:p>
            <w:r>
              <w:rPr>
                <w:rFonts w:hint="eastAsia"/>
              </w:rPr>
              <w:t>2.本项目的特定资格要求：</w:t>
            </w:r>
          </w:p>
          <w:p>
            <w:r>
              <w:rPr>
                <w:rFonts w:hint="eastAsia"/>
              </w:rPr>
              <w:t>（1）有效的“三证合一”的营业执照，且应具有采购需求相应的经营范围</w:t>
            </w:r>
          </w:p>
          <w:p>
            <w:pPr>
              <w:rPr>
                <w:highlight w:val="none"/>
              </w:rPr>
            </w:pPr>
            <w:r>
              <w:rPr>
                <w:rFonts w:hint="eastAsia"/>
                <w:highlight w:val="none"/>
              </w:rPr>
              <w:t>（2）投标单位应有依法缴纳税收证明(附：</w:t>
            </w:r>
            <w:r>
              <w:rPr>
                <w:rFonts w:hint="eastAsia" w:cs="仿宋" w:asciiTheme="majorEastAsia" w:hAnsiTheme="majorEastAsia" w:eastAsiaTheme="majorEastAsia"/>
                <w:bCs/>
                <w:color w:val="000000" w:themeColor="text1"/>
                <w:kern w:val="0"/>
                <w:szCs w:val="21"/>
                <w:highlight w:val="none"/>
                <w14:textFill>
                  <w14:solidFill>
                    <w14:schemeClr w14:val="tx1"/>
                  </w14:solidFill>
                </w14:textFill>
              </w:rPr>
              <w:t>近</w:t>
            </w:r>
            <w:r>
              <w:rPr>
                <w:rFonts w:hint="eastAsia" w:cs="仿宋" w:asciiTheme="majorEastAsia" w:hAnsiTheme="majorEastAsia" w:eastAsiaTheme="majorEastAsia"/>
                <w:bCs/>
                <w:color w:val="000000" w:themeColor="text1"/>
                <w:kern w:val="0"/>
                <w:szCs w:val="21"/>
                <w:highlight w:val="none"/>
                <w:lang w:val="en-US" w:eastAsia="zh-CN"/>
                <w14:textFill>
                  <w14:solidFill>
                    <w14:schemeClr w14:val="tx1"/>
                  </w14:solidFill>
                </w14:textFill>
              </w:rPr>
              <w:t>三</w:t>
            </w:r>
            <w:r>
              <w:rPr>
                <w:rFonts w:hint="eastAsia" w:cs="仿宋" w:asciiTheme="majorEastAsia" w:hAnsiTheme="majorEastAsia" w:eastAsiaTheme="majorEastAsia"/>
                <w:bCs/>
                <w:color w:val="000000" w:themeColor="text1"/>
                <w:kern w:val="0"/>
                <w:szCs w:val="21"/>
                <w:highlight w:val="none"/>
                <w14:textFill>
                  <w14:solidFill>
                    <w14:schemeClr w14:val="tx1"/>
                  </w14:solidFill>
                </w14:textFill>
              </w:rPr>
              <w:t>个月的完税证明</w:t>
            </w:r>
            <w:r>
              <w:rPr>
                <w:rFonts w:hint="eastAsia" w:cs="仿宋" w:asciiTheme="majorEastAsia" w:hAnsiTheme="majorEastAsia" w:eastAsiaTheme="majorEastAsia"/>
                <w:bCs/>
                <w:color w:val="000000" w:themeColor="text1"/>
                <w:kern w:val="0"/>
                <w:szCs w:val="21"/>
                <w:highlight w:val="none"/>
                <w:lang w:val="en-US" w:eastAsia="zh-CN"/>
                <w14:textFill>
                  <w14:solidFill>
                    <w14:schemeClr w14:val="tx1"/>
                  </w14:solidFill>
                </w14:textFill>
              </w:rPr>
              <w:t>或税务局出具的无欠税证明</w:t>
            </w:r>
            <w:r>
              <w:rPr>
                <w:rFonts w:hint="eastAsia" w:cs="仿宋" w:asciiTheme="majorEastAsia" w:hAnsiTheme="majorEastAsia" w:eastAsiaTheme="majorEastAsia"/>
                <w:bCs/>
                <w:color w:val="000000" w:themeColor="text1"/>
                <w:kern w:val="0"/>
                <w:szCs w:val="21"/>
                <w:highlight w:val="none"/>
                <w:lang w:eastAsia="zh-CN"/>
                <w14:textFill>
                  <w14:solidFill>
                    <w14:schemeClr w14:val="tx1"/>
                  </w14:solidFill>
                </w14:textFill>
              </w:rPr>
              <w:t>）</w:t>
            </w:r>
            <w:r>
              <w:rPr>
                <w:rFonts w:hint="eastAsia"/>
                <w:highlight w:val="none"/>
              </w:rPr>
              <w:t>；</w:t>
            </w:r>
          </w:p>
          <w:p>
            <w:pPr>
              <w:rPr>
                <w:highlight w:val="none"/>
              </w:rPr>
            </w:pPr>
            <w:r>
              <w:rPr>
                <w:rFonts w:hint="eastAsia"/>
                <w:highlight w:val="none"/>
              </w:rPr>
              <w:t>（3）投标单位应提供近一年度（2020年）财务审计报告</w:t>
            </w:r>
            <w:r>
              <w:rPr>
                <w:rFonts w:hint="eastAsia"/>
                <w:highlight w:val="none"/>
                <w:lang w:val="en-US" w:eastAsia="zh-CN"/>
              </w:rPr>
              <w:t>原件</w:t>
            </w:r>
            <w:r>
              <w:rPr>
                <w:rFonts w:hint="eastAsia"/>
                <w:highlight w:val="none"/>
              </w:rPr>
              <w:t>(</w:t>
            </w:r>
            <w:r>
              <w:rPr>
                <w:rFonts w:hint="eastAsia"/>
                <w:highlight w:val="none"/>
                <w:lang w:eastAsia="zh-CN"/>
              </w:rPr>
              <w:t>新成立公司可不提供财务审计报告但必须</w:t>
            </w:r>
            <w:r>
              <w:rPr>
                <w:rFonts w:hint="eastAsia"/>
                <w:highlight w:val="none"/>
                <w:lang w:val="en-US" w:eastAsia="zh-CN"/>
              </w:rPr>
              <w:t>提供</w:t>
            </w:r>
            <w:r>
              <w:rPr>
                <w:rFonts w:hint="eastAsia"/>
                <w:highlight w:val="none"/>
                <w:lang w:eastAsia="zh-CN"/>
              </w:rPr>
              <w:t>健全的财务会计制度</w:t>
            </w:r>
            <w:r>
              <w:rPr>
                <w:rFonts w:hint="eastAsia"/>
                <w:highlight w:val="none"/>
                <w:lang w:val="en-US" w:eastAsia="zh-CN"/>
              </w:rPr>
              <w:t>并加盖鲜章</w:t>
            </w:r>
            <w:r>
              <w:rPr>
                <w:rFonts w:hint="eastAsia"/>
                <w:highlight w:val="none"/>
              </w:rPr>
              <w:t>)</w:t>
            </w:r>
          </w:p>
          <w:p>
            <w:pPr>
              <w:rPr>
                <w:rFonts w:hint="eastAsia" w:eastAsia="宋体"/>
                <w:highlight w:val="none"/>
                <w:lang w:eastAsia="zh-CN"/>
              </w:rPr>
            </w:pPr>
            <w:r>
              <w:rPr>
                <w:rFonts w:hint="eastAsia"/>
                <w:highlight w:val="none"/>
              </w:rPr>
              <w:t>（4）凡拟参加本次招标项目的投标企业法人或委托代理人须提供近六个月的社保个人明细表；</w:t>
            </w:r>
            <w:r>
              <w:rPr>
                <w:rFonts w:hint="eastAsia"/>
                <w:highlight w:val="none"/>
                <w:lang w:eastAsia="zh-CN"/>
              </w:rPr>
              <w:t>（</w:t>
            </w:r>
            <w:r>
              <w:rPr>
                <w:rFonts w:hint="eastAsia"/>
                <w:highlight w:val="none"/>
                <w:lang w:val="en-US" w:eastAsia="zh-CN"/>
              </w:rPr>
              <w:t>不足六个月的公司按实际发生</w:t>
            </w:r>
            <w:r>
              <w:rPr>
                <w:rFonts w:hint="eastAsia"/>
                <w:highlight w:val="none"/>
                <w:lang w:eastAsia="zh-CN"/>
              </w:rPr>
              <w:t>）</w:t>
            </w:r>
          </w:p>
          <w:p>
            <w:r>
              <w:rPr>
                <w:rFonts w:hint="eastAsia"/>
              </w:rPr>
              <w:t>（5）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列入经营异常名录信息、列入严重违法失信企业名单（黑名单）信息，将拒绝其参与本次采购活动（</w:t>
            </w:r>
            <w:r>
              <w:rPr>
                <w:rFonts w:hint="eastAsia" w:cs="仿宋" w:asciiTheme="majorEastAsia" w:hAnsiTheme="majorEastAsia" w:eastAsiaTheme="majorEastAsia"/>
                <w:szCs w:val="21"/>
              </w:rPr>
              <w:t>现场由招标代理查询</w:t>
            </w:r>
            <w:r>
              <w:rPr>
                <w:rFonts w:hint="eastAsia"/>
              </w:rPr>
              <w:t>）。</w:t>
            </w:r>
          </w:p>
          <w:p>
            <w:r>
              <w:rPr>
                <w:rFonts w:hint="eastAsia"/>
              </w:rPr>
              <w:t>（6）本项目不接受联合体投标；</w:t>
            </w:r>
          </w:p>
          <w:p>
            <w:pPr>
              <w:rPr>
                <w:rFonts w:cs="仿宋" w:asciiTheme="majorEastAsia" w:hAnsiTheme="majorEastAsia" w:eastAsiaTheme="majorEastAsia"/>
                <w:bCs/>
                <w:kern w:val="0"/>
                <w:szCs w:val="21"/>
              </w:rPr>
            </w:pPr>
            <w:r>
              <w:rPr>
                <w:rFonts w:hint="eastAsia"/>
              </w:rPr>
              <w:t>（7）保证金缴纳票据（墨玉县公共资源平台交易中心开具的投标保证金收据）。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10</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信用情况</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kern w:val="0"/>
                <w:szCs w:val="21"/>
              </w:rPr>
            </w:pPr>
            <w:r>
              <w:rPr>
                <w:rFonts w:cs="仿宋" w:asciiTheme="majorEastAsia" w:hAnsiTheme="majorEastAsia" w:eastAsiaTheme="majorEastAsia"/>
                <w:bCs/>
                <w:kern w:val="0"/>
                <w:szCs w:val="21"/>
              </w:rPr>
              <w:t>1</w:t>
            </w:r>
            <w:r>
              <w:rPr>
                <w:rFonts w:hint="eastAsia" w:cs="仿宋" w:asciiTheme="majorEastAsia" w:hAnsiTheme="majorEastAsia" w:eastAsiaTheme="majorEastAsia"/>
                <w:bCs/>
                <w:kern w:val="0"/>
                <w:szCs w:val="21"/>
              </w:rPr>
              <w:t>、信用记录查询时间及方式：</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w:t>
            </w:r>
            <w:r>
              <w:rPr>
                <w:rFonts w:cs="仿宋" w:asciiTheme="majorEastAsia" w:hAnsiTheme="majorEastAsia" w:eastAsiaTheme="majorEastAsia"/>
                <w:bCs/>
                <w:kern w:val="0"/>
                <w:szCs w:val="21"/>
              </w:rPr>
              <w:t>1</w:t>
            </w:r>
            <w:r>
              <w:rPr>
                <w:rFonts w:hint="eastAsia" w:cs="仿宋" w:asciiTheme="majorEastAsia" w:hAnsiTheme="majorEastAsia" w:eastAsiaTheme="majorEastAsia"/>
                <w:bCs/>
                <w:kern w:val="0"/>
                <w:szCs w:val="21"/>
              </w:rPr>
              <w:t>）查询时间：自招标公告发布日期起至开标日期止，超出此时间范围将被视为无效投标。</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w:t>
            </w:r>
            <w:r>
              <w:rPr>
                <w:rFonts w:cs="仿宋" w:asciiTheme="majorEastAsia" w:hAnsiTheme="majorEastAsia" w:eastAsiaTheme="majorEastAsia"/>
                <w:bCs/>
                <w:kern w:val="0"/>
                <w:szCs w:val="21"/>
              </w:rPr>
              <w:t>2</w:t>
            </w:r>
            <w:r>
              <w:rPr>
                <w:rFonts w:hint="eastAsia" w:cs="仿宋" w:asciiTheme="majorEastAsia" w:hAnsiTheme="majorEastAsia" w:eastAsiaTheme="majorEastAsia"/>
                <w:bCs/>
                <w:kern w:val="0"/>
                <w:szCs w:val="21"/>
              </w:rPr>
              <w:t>）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w:t>
            </w:r>
            <w:r>
              <w:rPr>
                <w:rFonts w:cs="仿宋" w:asciiTheme="majorEastAsia" w:hAnsiTheme="majorEastAsia" w:eastAsiaTheme="majorEastAsia"/>
                <w:bCs/>
                <w:kern w:val="0"/>
                <w:szCs w:val="21"/>
              </w:rPr>
              <w:t>3</w:t>
            </w:r>
            <w:r>
              <w:rPr>
                <w:rFonts w:hint="eastAsia" w:cs="仿宋" w:asciiTheme="majorEastAsia" w:hAnsiTheme="majorEastAsia" w:eastAsiaTheme="majorEastAsia"/>
                <w:bCs/>
                <w:kern w:val="0"/>
                <w:szCs w:val="21"/>
              </w:rPr>
              <w:t>）供应商参加政府采购活动时，应当就自己的诚信情况在响应性文件中进行承诺。</w:t>
            </w:r>
          </w:p>
          <w:p>
            <w:pPr>
              <w:rPr>
                <w:rFonts w:ascii="宋体" w:hAnsi="宋体" w:cs="宋体"/>
                <w:b/>
                <w:sz w:val="24"/>
              </w:rPr>
            </w:pPr>
            <w:r>
              <w:rPr>
                <w:rFonts w:hint="eastAsia" w:cs="仿宋" w:asciiTheme="majorEastAsia" w:hAnsiTheme="majorEastAsia" w:eastAsiaTheme="majorEastAsia"/>
                <w:b/>
                <w:bCs/>
                <w:kern w:val="0"/>
                <w:szCs w:val="21"/>
              </w:rPr>
              <w:t>本项目不接受失信企业投标。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11</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审查方式</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12</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2.4</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是否接受联合体投标</w:t>
            </w:r>
          </w:p>
        </w:tc>
        <w:tc>
          <w:tcPr>
            <w:tcW w:w="5813" w:type="dxa"/>
            <w:tcBorders>
              <w:top w:val="single" w:color="auto" w:sz="4" w:space="0"/>
              <w:left w:val="single" w:color="auto" w:sz="4" w:space="0"/>
              <w:bottom w:val="single" w:color="auto" w:sz="4" w:space="0"/>
              <w:right w:val="single" w:color="auto" w:sz="4" w:space="0"/>
            </w:tcBorders>
            <w:vAlign w:val="center"/>
          </w:tcPr>
          <w:p>
            <w:pPr>
              <w:snapToGrid w:val="0"/>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13</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3.1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投标预备会议</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不召开。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14</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 xml:space="preserve">5.1   </w:t>
            </w:r>
          </w:p>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6.2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投标人疑问及</w:t>
            </w:r>
          </w:p>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澄清</w:t>
            </w:r>
          </w:p>
        </w:tc>
        <w:tc>
          <w:tcPr>
            <w:tcW w:w="5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180"/>
              </w:tabs>
              <w:kinsoku/>
              <w:wordWrap/>
              <w:overflowPunct/>
              <w:topLinePunct w:val="0"/>
              <w:autoSpaceDE/>
              <w:autoSpaceDN/>
              <w:bidi w:val="0"/>
              <w:adjustRightInd/>
              <w:snapToGrid/>
              <w:jc w:val="left"/>
              <w:textAlignment w:val="auto"/>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投标截止时间1</w:t>
            </w:r>
            <w:r>
              <w:rPr>
                <w:rFonts w:hint="eastAsia" w:cs="仿宋" w:asciiTheme="majorEastAsia" w:hAnsiTheme="majorEastAsia" w:eastAsiaTheme="majorEastAsia"/>
                <w:bCs/>
                <w:kern w:val="0"/>
                <w:szCs w:val="21"/>
                <w:lang w:val="en-US" w:eastAsia="zh-CN"/>
              </w:rPr>
              <w:t>0</w:t>
            </w:r>
            <w:r>
              <w:rPr>
                <w:rFonts w:hint="eastAsia" w:cs="仿宋" w:asciiTheme="majorEastAsia" w:hAnsiTheme="majorEastAsia" w:eastAsiaTheme="majorEastAsia"/>
                <w:bCs/>
                <w:kern w:val="0"/>
                <w:szCs w:val="21"/>
              </w:rPr>
              <w:t>日前。</w:t>
            </w:r>
          </w:p>
          <w:p>
            <w:pPr>
              <w:keepNext w:val="0"/>
              <w:keepLines w:val="0"/>
              <w:pageBreakBefore w:val="0"/>
              <w:widowControl w:val="0"/>
              <w:tabs>
                <w:tab w:val="left" w:pos="1180"/>
              </w:tabs>
              <w:kinsoku/>
              <w:wordWrap/>
              <w:overflowPunct/>
              <w:topLinePunct w:val="0"/>
              <w:autoSpaceDE/>
              <w:autoSpaceDN/>
              <w:bidi w:val="0"/>
              <w:adjustRightInd/>
              <w:snapToGrid/>
              <w:jc w:val="left"/>
              <w:textAlignment w:val="auto"/>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招标人或招标代理机构在收到投标人提出的疑问或澄清文件后</w:t>
            </w:r>
            <w:r>
              <w:rPr>
                <w:rFonts w:hint="eastAsia" w:cs="仿宋" w:asciiTheme="majorEastAsia" w:hAnsiTheme="majorEastAsia" w:eastAsiaTheme="majorEastAsia"/>
                <w:bCs/>
                <w:kern w:val="0"/>
                <w:szCs w:val="21"/>
                <w:lang w:val="en-US" w:eastAsia="zh-CN"/>
              </w:rPr>
              <w:t>1</w:t>
            </w:r>
            <w:r>
              <w:rPr>
                <w:rFonts w:hint="eastAsia" w:cs="仿宋" w:asciiTheme="majorEastAsia" w:hAnsiTheme="majorEastAsia" w:eastAsiaTheme="majorEastAsia"/>
                <w:bCs/>
                <w:kern w:val="0"/>
                <w:szCs w:val="21"/>
              </w:rPr>
              <w:t>日内进行答复。</w:t>
            </w:r>
          </w:p>
          <w:p>
            <w:pPr>
              <w:keepNext w:val="0"/>
              <w:keepLines w:val="0"/>
              <w:pageBreakBefore w:val="0"/>
              <w:widowControl w:val="0"/>
              <w:tabs>
                <w:tab w:val="left" w:pos="1180"/>
              </w:tabs>
              <w:kinsoku/>
              <w:wordWrap/>
              <w:overflowPunct/>
              <w:topLinePunct w:val="0"/>
              <w:autoSpaceDE/>
              <w:autoSpaceDN/>
              <w:bidi w:val="0"/>
              <w:adjustRightInd/>
              <w:snapToGrid/>
              <w:jc w:val="left"/>
              <w:textAlignment w:val="auto"/>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投标人收到答复后应在24小时内加盖单位公章回传确认。</w:t>
            </w:r>
          </w:p>
          <w:p>
            <w:pPr>
              <w:pStyle w:val="49"/>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接收质疑函的方式：将PDF格式电子版质疑文件加盖公章扫描发送至369287078@qq.com邮箱。</w:t>
            </w:r>
          </w:p>
          <w:p>
            <w:pPr>
              <w:pStyle w:val="49"/>
              <w:keepNext w:val="0"/>
              <w:keepLines w:val="0"/>
              <w:pageBreakBefore w:val="0"/>
              <w:widowControl w:val="0"/>
              <w:kinsoku/>
              <w:wordWrap/>
              <w:overflowPunct/>
              <w:topLinePunct w:val="0"/>
              <w:autoSpaceDE/>
              <w:autoSpaceDN/>
              <w:bidi w:val="0"/>
              <w:adjustRightInd/>
              <w:snapToGrid/>
              <w:textAlignment w:val="auto"/>
              <w:rPr>
                <w:rFonts w:hint="eastAsia" w:eastAsia="宋体"/>
                <w:lang w:eastAsia="zh-CN"/>
              </w:rPr>
            </w:pPr>
            <w:r>
              <w:rPr>
                <w:rFonts w:hint="eastAsia"/>
              </w:rPr>
              <w:t>接受质疑的单位：</w:t>
            </w:r>
            <w:r>
              <w:rPr>
                <w:rFonts w:hint="eastAsia"/>
                <w:lang w:val="en-US" w:eastAsia="zh-CN"/>
              </w:rPr>
              <w:t>新疆大源工程管理有限公司</w:t>
            </w:r>
          </w:p>
          <w:p>
            <w:pPr>
              <w:pStyle w:val="49"/>
              <w:keepNext w:val="0"/>
              <w:keepLines w:val="0"/>
              <w:pageBreakBefore w:val="0"/>
              <w:widowControl w:val="0"/>
              <w:kinsoku/>
              <w:wordWrap/>
              <w:overflowPunct/>
              <w:topLinePunct w:val="0"/>
              <w:autoSpaceDE/>
              <w:autoSpaceDN/>
              <w:bidi w:val="0"/>
              <w:adjustRightInd/>
              <w:snapToGrid/>
              <w:textAlignment w:val="auto"/>
            </w:pPr>
            <w:r>
              <w:rPr>
                <w:rFonts w:hint="eastAsia"/>
              </w:rPr>
              <w:t>联系电话：</w:t>
            </w:r>
            <w:r>
              <w:rPr>
                <w:rFonts w:hint="eastAsia"/>
                <w:lang w:val="en-US" w:eastAsia="zh-CN"/>
              </w:rPr>
              <w:t>16609977009</w:t>
            </w:r>
            <w:r>
              <w:rPr>
                <w:rFonts w:hint="eastAsia"/>
              </w:rPr>
              <w:t xml:space="preserve">  </w:t>
            </w:r>
          </w:p>
          <w:p>
            <w:pPr>
              <w:pStyle w:val="49"/>
              <w:keepNext w:val="0"/>
              <w:keepLines w:val="0"/>
              <w:pageBreakBefore w:val="0"/>
              <w:widowControl w:val="0"/>
              <w:kinsoku/>
              <w:wordWrap/>
              <w:overflowPunct/>
              <w:topLinePunct w:val="0"/>
              <w:autoSpaceDE/>
              <w:autoSpaceDN/>
              <w:bidi w:val="0"/>
              <w:adjustRightInd/>
              <w:snapToGrid/>
              <w:textAlignment w:val="auto"/>
              <w:rPr>
                <w:rFonts w:hint="eastAsia" w:eastAsia="宋体"/>
                <w:lang w:eastAsia="zh-CN"/>
              </w:rPr>
            </w:pPr>
            <w:r>
              <w:rPr>
                <w:rFonts w:hint="eastAsia"/>
              </w:rPr>
              <w:t>地址：</w:t>
            </w:r>
            <w:r>
              <w:rPr>
                <w:rFonts w:hint="eastAsia"/>
                <w:lang w:val="en-US" w:eastAsia="zh-CN"/>
              </w:rPr>
              <w:t>和田市京苑街39号南苑小区物业楼3楼</w:t>
            </w:r>
            <w:r>
              <w:rPr>
                <w:rFonts w:hint="eastAsia"/>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15</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投标报价</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（1）投标报价（不接受多个报价）。</w:t>
            </w:r>
            <w:r>
              <w:rPr>
                <w:rFonts w:hint="eastAsia" w:cs="仿宋" w:asciiTheme="majorEastAsia" w:hAnsiTheme="majorEastAsia" w:eastAsiaTheme="majorEastAsia"/>
                <w:b/>
                <w:bCs/>
                <w:kern w:val="0"/>
                <w:szCs w:val="21"/>
              </w:rPr>
              <w:t>投标报价</w:t>
            </w:r>
            <w:r>
              <w:rPr>
                <w:rFonts w:hint="eastAsia" w:cs="仿宋" w:asciiTheme="majorEastAsia" w:hAnsiTheme="majorEastAsia" w:eastAsiaTheme="majorEastAsia"/>
                <w:bCs/>
                <w:kern w:val="0"/>
                <w:szCs w:val="21"/>
              </w:rPr>
              <w:t>为本次招标的设备，从采购、运输、卸货至指定地点、安装、验收合格、交付使</w:t>
            </w:r>
            <w:r>
              <w:rPr>
                <w:rFonts w:hint="eastAsia" w:cs="仿宋" w:asciiTheme="majorEastAsia" w:hAnsiTheme="majorEastAsia" w:eastAsiaTheme="majorEastAsia"/>
                <w:bCs/>
                <w:color w:val="auto"/>
                <w:kern w:val="0"/>
                <w:szCs w:val="21"/>
                <w:highlight w:val="none"/>
              </w:rPr>
              <w:t>用及</w:t>
            </w:r>
            <w:r>
              <w:rPr>
                <w:rFonts w:hint="eastAsia" w:cs="仿宋" w:asciiTheme="majorEastAsia" w:hAnsiTheme="majorEastAsia" w:eastAsiaTheme="majorEastAsia"/>
                <w:bCs/>
                <w:color w:val="auto"/>
                <w:kern w:val="0"/>
                <w:szCs w:val="21"/>
                <w:highlight w:val="none"/>
                <w:lang w:val="en-US" w:eastAsia="zh-CN"/>
              </w:rPr>
              <w:t>3</w:t>
            </w:r>
            <w:r>
              <w:rPr>
                <w:rFonts w:hint="eastAsia" w:cs="仿宋" w:asciiTheme="majorEastAsia" w:hAnsiTheme="majorEastAsia" w:eastAsiaTheme="majorEastAsia"/>
                <w:bCs/>
                <w:color w:val="auto"/>
                <w:kern w:val="0"/>
                <w:szCs w:val="21"/>
                <w:highlight w:val="none"/>
              </w:rPr>
              <w:t>年</w:t>
            </w:r>
            <w:r>
              <w:rPr>
                <w:rFonts w:hint="eastAsia" w:cs="仿宋" w:asciiTheme="majorEastAsia" w:hAnsiTheme="majorEastAsia" w:eastAsiaTheme="majorEastAsia"/>
                <w:bCs/>
                <w:color w:val="auto"/>
                <w:kern w:val="0"/>
                <w:szCs w:val="21"/>
                <w:highlight w:val="none"/>
                <w:lang w:val="en-US" w:eastAsia="zh-CN"/>
              </w:rPr>
              <w:t>设备质保期</w:t>
            </w:r>
            <w:r>
              <w:rPr>
                <w:rFonts w:cs="仿宋" w:asciiTheme="majorEastAsia" w:hAnsiTheme="majorEastAsia" w:eastAsiaTheme="majorEastAsia"/>
                <w:bCs/>
                <w:color w:val="auto"/>
                <w:kern w:val="0"/>
                <w:szCs w:val="21"/>
                <w:highlight w:val="none"/>
              </w:rPr>
              <w:t>(</w:t>
            </w:r>
            <w:r>
              <w:rPr>
                <w:rFonts w:hint="eastAsia" w:cs="仿宋" w:asciiTheme="majorEastAsia" w:hAnsiTheme="majorEastAsia" w:eastAsiaTheme="majorEastAsia"/>
                <w:bCs/>
                <w:color w:val="auto"/>
                <w:kern w:val="0"/>
                <w:szCs w:val="21"/>
                <w:highlight w:val="none"/>
              </w:rPr>
              <w:t>售</w:t>
            </w:r>
            <w:r>
              <w:rPr>
                <w:rFonts w:hint="eastAsia" w:cs="仿宋" w:asciiTheme="majorEastAsia" w:hAnsiTheme="majorEastAsia" w:eastAsiaTheme="majorEastAsia"/>
                <w:bCs/>
                <w:kern w:val="0"/>
                <w:szCs w:val="21"/>
              </w:rPr>
              <w:t>后服务等</w:t>
            </w:r>
            <w:r>
              <w:rPr>
                <w:rFonts w:cs="仿宋" w:asciiTheme="majorEastAsia" w:hAnsiTheme="majorEastAsia" w:eastAsiaTheme="majorEastAsia"/>
                <w:bCs/>
                <w:kern w:val="0"/>
                <w:szCs w:val="21"/>
              </w:rPr>
              <w:t>)</w:t>
            </w:r>
            <w:r>
              <w:rPr>
                <w:rFonts w:hint="eastAsia" w:cs="仿宋" w:asciiTheme="majorEastAsia" w:hAnsiTheme="majorEastAsia" w:eastAsiaTheme="majorEastAsia"/>
                <w:bCs/>
                <w:kern w:val="0"/>
                <w:szCs w:val="21"/>
              </w:rPr>
              <w:t>的人民币报价。综合单价包括了设备采购、安装，包括常规配件、易损件的采购、运输、现场施工、检验试验，因质量问题引起的维修和更换、技术指导和培训、成品保护、投标人的利润、税金、政策性文件的规定以及包括原材料涨价等合同明示或暗示的所有一切风险、责任和义务的费用。以及根据所提供图纸、资料结合现场踏勘情况，投标人认为施工现场现有预留、预埋需要增加工作内容的，本次报价必须考虑。投标人按照服务内容作完整唯一的报价，投标报价必须包含项目所有的费用（包含但不限于工作人员差旅费、税金及其他所有成本费用的总和）。</w:t>
            </w:r>
          </w:p>
          <w:p>
            <w:pPr>
              <w:spacing w:line="360" w:lineRule="exact"/>
              <w:rPr>
                <w:rFonts w:cs="仿宋" w:asciiTheme="majorEastAsia" w:hAnsiTheme="majorEastAsia" w:eastAsiaTheme="majorEastAsia"/>
                <w:bCs/>
                <w:kern w:val="0"/>
                <w:szCs w:val="21"/>
                <w:highlight w:val="none"/>
              </w:rPr>
            </w:pPr>
            <w:r>
              <w:rPr>
                <w:rFonts w:hint="eastAsia" w:cs="仿宋" w:asciiTheme="majorEastAsia" w:hAnsiTheme="majorEastAsia" w:eastAsiaTheme="majorEastAsia"/>
                <w:bCs/>
                <w:kern w:val="0"/>
                <w:szCs w:val="21"/>
              </w:rPr>
              <w:t>（2）投标人应充分考虑本项目可能出现的任何报价风险，并</w:t>
            </w:r>
            <w:r>
              <w:rPr>
                <w:rFonts w:hint="eastAsia" w:cs="仿宋" w:asciiTheme="majorEastAsia" w:hAnsiTheme="majorEastAsia" w:eastAsiaTheme="majorEastAsia"/>
                <w:bCs/>
                <w:kern w:val="0"/>
                <w:szCs w:val="21"/>
                <w:highlight w:val="none"/>
              </w:rPr>
              <w:t>承担由此造成的报价风险后果。</w:t>
            </w:r>
          </w:p>
          <w:p>
            <w:pPr>
              <w:spacing w:line="360" w:lineRule="exact"/>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highlight w:val="none"/>
              </w:rPr>
              <w:t>（3）</w:t>
            </w:r>
            <w:r>
              <w:rPr>
                <w:rFonts w:hint="eastAsia" w:cs="仿宋" w:asciiTheme="majorEastAsia" w:hAnsiTheme="majorEastAsia" w:eastAsiaTheme="majorEastAsia"/>
                <w:bCs/>
                <w:color w:val="000000" w:themeColor="text1"/>
                <w:kern w:val="0"/>
                <w:szCs w:val="21"/>
                <w:highlight w:val="none"/>
                <w14:textFill>
                  <w14:solidFill>
                    <w14:schemeClr w14:val="tx1"/>
                  </w14:solidFill>
                </w14:textFill>
              </w:rPr>
              <w:t>本项目最高限价：86839674.3元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16</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12.1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报价采用的币种</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17</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13.1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投标有效期</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auto"/>
                <w:kern w:val="0"/>
                <w:szCs w:val="21"/>
              </w:rPr>
            </w:pPr>
            <w:r>
              <w:rPr>
                <w:rFonts w:hint="eastAsia" w:cs="仿宋" w:asciiTheme="majorEastAsia" w:hAnsiTheme="majorEastAsia" w:eastAsiaTheme="majorEastAsia"/>
                <w:bCs/>
                <w:color w:val="auto"/>
                <w:kern w:val="0"/>
                <w:szCs w:val="21"/>
              </w:rPr>
              <w:t xml:space="preserve">从投标截止之日起 </w:t>
            </w:r>
            <w:r>
              <w:rPr>
                <w:rFonts w:hint="eastAsia" w:cs="仿宋" w:asciiTheme="majorEastAsia" w:hAnsiTheme="majorEastAsia" w:eastAsiaTheme="majorEastAsia"/>
                <w:bCs/>
                <w:color w:val="auto"/>
                <w:kern w:val="0"/>
                <w:szCs w:val="21"/>
                <w:lang w:val="en-US" w:eastAsia="zh-CN"/>
              </w:rPr>
              <w:t>45</w:t>
            </w:r>
            <w:r>
              <w:rPr>
                <w:rFonts w:hint="eastAsia" w:cs="仿宋" w:asciiTheme="majorEastAsia" w:hAnsiTheme="majorEastAsia" w:eastAsiaTheme="majorEastAsia"/>
                <w:bCs/>
                <w:color w:val="auto"/>
                <w:kern w:val="0"/>
                <w:szCs w:val="21"/>
              </w:rPr>
              <w:t>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18</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14.1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投标保证金</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auto"/>
                <w:kern w:val="0"/>
                <w:szCs w:val="21"/>
              </w:rPr>
            </w:pPr>
            <w:r>
              <w:rPr>
                <w:rFonts w:hint="eastAsia" w:cs="仿宋" w:asciiTheme="majorEastAsia" w:hAnsiTheme="majorEastAsia" w:eastAsiaTheme="majorEastAsia"/>
                <w:bCs/>
                <w:color w:val="auto"/>
                <w:kern w:val="0"/>
                <w:szCs w:val="21"/>
              </w:rPr>
              <w:t>投标保证金金额：</w:t>
            </w:r>
            <w:r>
              <w:rPr>
                <w:rFonts w:hint="eastAsia" w:cs="仿宋" w:asciiTheme="majorEastAsia" w:hAnsiTheme="majorEastAsia" w:eastAsiaTheme="majorEastAsia"/>
                <w:bCs/>
                <w:color w:val="auto"/>
                <w:kern w:val="0"/>
                <w:szCs w:val="21"/>
                <w:lang w:val="en-US" w:eastAsia="zh-CN"/>
              </w:rPr>
              <w:t>80</w:t>
            </w:r>
            <w:r>
              <w:rPr>
                <w:rFonts w:cs="仿宋" w:asciiTheme="majorEastAsia" w:hAnsiTheme="majorEastAsia" w:eastAsiaTheme="majorEastAsia"/>
                <w:bCs/>
                <w:color w:val="auto"/>
                <w:kern w:val="0"/>
                <w:szCs w:val="21"/>
              </w:rPr>
              <w:t>0000</w:t>
            </w:r>
            <w:r>
              <w:rPr>
                <w:rFonts w:hint="eastAsia" w:cs="仿宋" w:asciiTheme="majorEastAsia" w:hAnsiTheme="majorEastAsia" w:eastAsiaTheme="majorEastAsia"/>
                <w:bCs/>
                <w:color w:val="auto"/>
                <w:kern w:val="0"/>
                <w:szCs w:val="21"/>
              </w:rPr>
              <w:t>元（大写：</w:t>
            </w:r>
            <w:r>
              <w:rPr>
                <w:rFonts w:hint="eastAsia" w:cs="仿宋" w:asciiTheme="majorEastAsia" w:hAnsiTheme="majorEastAsia" w:eastAsiaTheme="majorEastAsia"/>
                <w:bCs/>
                <w:color w:val="auto"/>
                <w:kern w:val="0"/>
                <w:szCs w:val="21"/>
                <w:lang w:val="en-US" w:eastAsia="zh-CN"/>
              </w:rPr>
              <w:t>捌拾万</w:t>
            </w:r>
            <w:r>
              <w:rPr>
                <w:rFonts w:cs="仿宋" w:asciiTheme="majorEastAsia" w:hAnsiTheme="majorEastAsia" w:eastAsiaTheme="majorEastAsia"/>
                <w:bCs/>
                <w:color w:val="auto"/>
                <w:kern w:val="0"/>
                <w:szCs w:val="21"/>
              </w:rPr>
              <w:t>元整</w:t>
            </w:r>
            <w:r>
              <w:rPr>
                <w:rFonts w:hint="eastAsia" w:cs="仿宋" w:asciiTheme="majorEastAsia" w:hAnsiTheme="majorEastAsia" w:eastAsiaTheme="majorEastAsia"/>
                <w:bCs/>
                <w:color w:val="auto"/>
                <w:kern w:val="0"/>
                <w:szCs w:val="21"/>
              </w:rPr>
              <w:t>）</w:t>
            </w:r>
          </w:p>
          <w:p>
            <w:pPr>
              <w:rPr>
                <w:rFonts w:cs="仿宋" w:asciiTheme="majorEastAsia" w:hAnsiTheme="majorEastAsia" w:eastAsiaTheme="majorEastAsia"/>
                <w:bCs/>
                <w:color w:val="auto"/>
                <w:kern w:val="0"/>
                <w:szCs w:val="21"/>
              </w:rPr>
            </w:pPr>
            <w:r>
              <w:rPr>
                <w:rFonts w:hint="eastAsia" w:cs="仿宋" w:asciiTheme="majorEastAsia" w:hAnsiTheme="majorEastAsia" w:eastAsiaTheme="majorEastAsia"/>
                <w:bCs/>
                <w:color w:val="auto"/>
                <w:kern w:val="0"/>
                <w:szCs w:val="21"/>
              </w:rPr>
              <w:t>投标保证金缴纳账户：</w:t>
            </w:r>
          </w:p>
          <w:p>
            <w:pPr>
              <w:rPr>
                <w:rFonts w:cs="仿宋" w:asciiTheme="majorEastAsia" w:hAnsiTheme="majorEastAsia" w:eastAsiaTheme="majorEastAsia"/>
                <w:bCs/>
                <w:color w:val="auto"/>
                <w:kern w:val="0"/>
                <w:szCs w:val="21"/>
              </w:rPr>
            </w:pPr>
            <w:r>
              <w:rPr>
                <w:rFonts w:hint="eastAsia" w:cs="仿宋" w:asciiTheme="majorEastAsia" w:hAnsiTheme="majorEastAsia" w:eastAsiaTheme="majorEastAsia"/>
                <w:bCs/>
                <w:color w:val="auto"/>
                <w:kern w:val="0"/>
                <w:szCs w:val="21"/>
              </w:rPr>
              <w:t>开户银行：墨玉县农村信用合作联社</w:t>
            </w:r>
          </w:p>
          <w:p>
            <w:pPr>
              <w:rPr>
                <w:rFonts w:cs="仿宋" w:asciiTheme="majorEastAsia" w:hAnsiTheme="majorEastAsia" w:eastAsiaTheme="majorEastAsia"/>
                <w:bCs/>
                <w:color w:val="auto"/>
                <w:kern w:val="0"/>
                <w:szCs w:val="21"/>
              </w:rPr>
            </w:pPr>
            <w:r>
              <w:rPr>
                <w:rFonts w:hint="eastAsia" w:cs="仿宋" w:asciiTheme="majorEastAsia" w:hAnsiTheme="majorEastAsia" w:eastAsiaTheme="majorEastAsia"/>
                <w:bCs/>
                <w:color w:val="auto"/>
                <w:kern w:val="0"/>
                <w:szCs w:val="21"/>
              </w:rPr>
              <w:t>户名：墨玉县公共资源交易平台中心</w:t>
            </w:r>
          </w:p>
          <w:p>
            <w:pPr>
              <w:rPr>
                <w:rFonts w:hint="eastAsia" w:cs="仿宋" w:asciiTheme="majorEastAsia" w:hAnsiTheme="majorEastAsia" w:eastAsiaTheme="majorEastAsia"/>
                <w:bCs/>
                <w:color w:val="auto"/>
                <w:kern w:val="0"/>
                <w:szCs w:val="21"/>
              </w:rPr>
            </w:pPr>
            <w:r>
              <w:rPr>
                <w:rFonts w:hint="eastAsia" w:cs="仿宋" w:asciiTheme="majorEastAsia" w:hAnsiTheme="majorEastAsia" w:eastAsiaTheme="majorEastAsia"/>
                <w:bCs/>
                <w:color w:val="auto"/>
                <w:kern w:val="0"/>
                <w:szCs w:val="21"/>
                <w:lang w:eastAsia="zh-CN"/>
              </w:rPr>
              <w:t>银行账号</w:t>
            </w:r>
            <w:r>
              <w:rPr>
                <w:rFonts w:hint="eastAsia" w:cs="仿宋" w:asciiTheme="majorEastAsia" w:hAnsiTheme="majorEastAsia" w:eastAsiaTheme="majorEastAsia"/>
                <w:bCs/>
                <w:color w:val="auto"/>
                <w:kern w:val="0"/>
                <w:szCs w:val="21"/>
              </w:rPr>
              <w:t xml:space="preserve">：879010012010178915451 </w:t>
            </w:r>
          </w:p>
          <w:p>
            <w:pPr>
              <w:pStyle w:val="49"/>
              <w:rPr>
                <w:rFonts w:hint="eastAsia"/>
                <w:color w:val="auto"/>
              </w:rPr>
            </w:pPr>
            <w:r>
              <w:rPr>
                <w:rFonts w:hint="eastAsia"/>
                <w:color w:val="auto"/>
              </w:rPr>
              <w:t xml:space="preserve">行  </w:t>
            </w:r>
            <w:r>
              <w:rPr>
                <w:rFonts w:hint="eastAsia"/>
                <w:color w:val="auto"/>
                <w:lang w:val="en-US" w:eastAsia="zh-CN"/>
              </w:rPr>
              <w:t xml:space="preserve">  </w:t>
            </w:r>
            <w:r>
              <w:rPr>
                <w:rFonts w:hint="eastAsia"/>
                <w:color w:val="auto"/>
              </w:rPr>
              <w:t xml:space="preserve">号：402896300016 </w:t>
            </w:r>
          </w:p>
          <w:p>
            <w:pPr>
              <w:rPr>
                <w:rFonts w:hint="default" w:cs="仿宋" w:asciiTheme="majorEastAsia" w:hAnsiTheme="majorEastAsia" w:eastAsiaTheme="majorEastAsia"/>
                <w:bCs/>
                <w:color w:val="auto"/>
                <w:kern w:val="0"/>
                <w:szCs w:val="21"/>
                <w:lang w:val="en-US" w:eastAsia="zh-CN"/>
              </w:rPr>
            </w:pPr>
            <w:r>
              <w:rPr>
                <w:rFonts w:hint="eastAsia" w:cs="仿宋" w:asciiTheme="majorEastAsia" w:hAnsiTheme="majorEastAsia" w:eastAsiaTheme="majorEastAsia"/>
                <w:bCs/>
                <w:color w:val="auto"/>
                <w:kern w:val="0"/>
                <w:szCs w:val="21"/>
              </w:rPr>
              <w:t>注：</w:t>
            </w:r>
            <w:r>
              <w:rPr>
                <w:rFonts w:hint="eastAsia" w:cs="仿宋" w:asciiTheme="majorEastAsia" w:hAnsiTheme="majorEastAsia" w:eastAsiaTheme="majorEastAsia"/>
                <w:bCs/>
                <w:color w:val="auto"/>
                <w:kern w:val="0"/>
                <w:szCs w:val="21"/>
                <w:lang w:val="en-US" w:eastAsia="zh-CN"/>
              </w:rPr>
              <w:t>1.由招标人委托</w:t>
            </w:r>
            <w:r>
              <w:rPr>
                <w:rFonts w:hint="eastAsia" w:cs="仿宋" w:asciiTheme="majorEastAsia" w:hAnsiTheme="majorEastAsia" w:eastAsiaTheme="majorEastAsia"/>
                <w:bCs/>
                <w:color w:val="auto"/>
                <w:kern w:val="0"/>
                <w:szCs w:val="21"/>
              </w:rPr>
              <w:t>墨玉县公共资源交易平台中心</w:t>
            </w:r>
            <w:r>
              <w:rPr>
                <w:rFonts w:hint="eastAsia" w:cs="仿宋" w:asciiTheme="majorEastAsia" w:hAnsiTheme="majorEastAsia" w:eastAsiaTheme="majorEastAsia"/>
                <w:bCs/>
                <w:color w:val="auto"/>
                <w:kern w:val="0"/>
                <w:szCs w:val="21"/>
                <w:lang w:val="en-US" w:eastAsia="zh-CN"/>
              </w:rPr>
              <w:t>代为收取。</w:t>
            </w:r>
          </w:p>
          <w:p>
            <w:pPr>
              <w:rPr>
                <w:rFonts w:cs="仿宋" w:asciiTheme="majorEastAsia" w:hAnsiTheme="majorEastAsia" w:eastAsiaTheme="majorEastAsia"/>
                <w:bCs/>
                <w:color w:val="auto"/>
                <w:kern w:val="0"/>
                <w:szCs w:val="21"/>
              </w:rPr>
            </w:pPr>
            <w:r>
              <w:rPr>
                <w:rFonts w:hint="eastAsia" w:cs="仿宋" w:asciiTheme="majorEastAsia" w:hAnsiTheme="majorEastAsia" w:eastAsiaTheme="majorEastAsia"/>
                <w:bCs/>
                <w:color w:val="auto"/>
                <w:kern w:val="0"/>
                <w:szCs w:val="21"/>
                <w:lang w:val="en-US" w:eastAsia="zh-CN"/>
              </w:rPr>
              <w:t>2.</w:t>
            </w:r>
            <w:r>
              <w:rPr>
                <w:rFonts w:hint="eastAsia" w:cs="仿宋" w:asciiTheme="majorEastAsia" w:hAnsiTheme="majorEastAsia" w:eastAsiaTheme="majorEastAsia"/>
                <w:bCs/>
                <w:color w:val="auto"/>
                <w:kern w:val="0"/>
                <w:szCs w:val="21"/>
              </w:rPr>
              <w:t>投标保证金</w:t>
            </w:r>
            <w:r>
              <w:rPr>
                <w:rFonts w:hint="eastAsia" w:cs="仿宋" w:asciiTheme="majorEastAsia" w:hAnsiTheme="majorEastAsia" w:eastAsiaTheme="majorEastAsia"/>
                <w:bCs/>
                <w:color w:val="auto"/>
                <w:kern w:val="0"/>
                <w:szCs w:val="21"/>
                <w:highlight w:val="none"/>
              </w:rPr>
              <w:t>请于2021年</w:t>
            </w:r>
            <w:r>
              <w:rPr>
                <w:rFonts w:hint="eastAsia" w:cs="仿宋" w:asciiTheme="majorEastAsia" w:hAnsiTheme="majorEastAsia" w:eastAsiaTheme="majorEastAsia"/>
                <w:bCs/>
                <w:color w:val="auto"/>
                <w:kern w:val="0"/>
                <w:szCs w:val="21"/>
                <w:highlight w:val="none"/>
                <w:lang w:val="en-US" w:eastAsia="zh-CN"/>
              </w:rPr>
              <w:t>11</w:t>
            </w:r>
            <w:r>
              <w:rPr>
                <w:rFonts w:hint="eastAsia" w:cs="仿宋" w:asciiTheme="majorEastAsia" w:hAnsiTheme="majorEastAsia" w:eastAsiaTheme="majorEastAsia"/>
                <w:bCs/>
                <w:color w:val="auto"/>
                <w:kern w:val="0"/>
                <w:szCs w:val="21"/>
                <w:highlight w:val="none"/>
              </w:rPr>
              <w:t>月</w:t>
            </w:r>
            <w:r>
              <w:rPr>
                <w:rFonts w:hint="eastAsia" w:cs="仿宋" w:asciiTheme="majorEastAsia" w:hAnsiTheme="majorEastAsia" w:eastAsiaTheme="majorEastAsia"/>
                <w:bCs/>
                <w:color w:val="auto"/>
                <w:kern w:val="0"/>
                <w:szCs w:val="21"/>
                <w:highlight w:val="none"/>
                <w:lang w:val="en-US" w:eastAsia="zh-CN"/>
              </w:rPr>
              <w:t>17</w:t>
            </w:r>
            <w:r>
              <w:rPr>
                <w:rFonts w:hint="eastAsia" w:cs="仿宋" w:asciiTheme="majorEastAsia" w:hAnsiTheme="majorEastAsia" w:eastAsiaTheme="majorEastAsia"/>
                <w:bCs/>
                <w:color w:val="auto"/>
                <w:kern w:val="0"/>
                <w:szCs w:val="21"/>
                <w:highlight w:val="none"/>
              </w:rPr>
              <w:t>日11:00之前（</w:t>
            </w:r>
            <w:r>
              <w:rPr>
                <w:rFonts w:hint="eastAsia" w:cs="仿宋" w:asciiTheme="majorEastAsia" w:hAnsiTheme="majorEastAsia" w:eastAsiaTheme="majorEastAsia"/>
                <w:bCs/>
                <w:color w:val="auto"/>
                <w:kern w:val="0"/>
                <w:szCs w:val="21"/>
              </w:rPr>
              <w:t>北京时间）缴入指定账户，投标人必须以投标单位名义交纳投标保证金，由投标单位基本</w:t>
            </w:r>
            <w:r>
              <w:rPr>
                <w:rFonts w:hint="eastAsia" w:cs="仿宋" w:asciiTheme="majorEastAsia" w:hAnsiTheme="majorEastAsia" w:eastAsiaTheme="majorEastAsia"/>
                <w:bCs/>
                <w:color w:val="auto"/>
                <w:kern w:val="0"/>
                <w:szCs w:val="21"/>
                <w:lang w:eastAsia="zh-CN"/>
              </w:rPr>
              <w:t>账户</w:t>
            </w:r>
            <w:r>
              <w:rPr>
                <w:rFonts w:hint="eastAsia" w:cs="仿宋" w:asciiTheme="majorEastAsia" w:hAnsiTheme="majorEastAsia" w:eastAsiaTheme="majorEastAsia"/>
                <w:bCs/>
                <w:color w:val="auto"/>
                <w:kern w:val="0"/>
                <w:szCs w:val="21"/>
              </w:rPr>
              <w:t>存入下述指定专用账户，金额以到账为准，不得以分公司、办事处或其他机构名义缴纳，投标人在缴纳投标保证金时，需在</w:t>
            </w:r>
            <w:r>
              <w:rPr>
                <w:rFonts w:hint="eastAsia" w:cs="仿宋" w:asciiTheme="majorEastAsia" w:hAnsiTheme="majorEastAsia" w:eastAsiaTheme="majorEastAsia"/>
                <w:bCs/>
                <w:color w:val="auto"/>
                <w:kern w:val="0"/>
                <w:szCs w:val="21"/>
                <w:lang w:eastAsia="zh-CN"/>
              </w:rPr>
              <w:t>进账</w:t>
            </w:r>
            <w:r>
              <w:rPr>
                <w:rFonts w:hint="eastAsia" w:cs="仿宋" w:asciiTheme="majorEastAsia" w:hAnsiTheme="majorEastAsia" w:eastAsiaTheme="majorEastAsia"/>
                <w:bCs/>
                <w:color w:val="auto"/>
                <w:kern w:val="0"/>
                <w:szCs w:val="21"/>
              </w:rPr>
              <w:t>凭证上明确资金用途、投标项目名称或标项编号；投标人须考虑投标保证金</w:t>
            </w:r>
            <w:r>
              <w:rPr>
                <w:rFonts w:hint="eastAsia" w:cs="仿宋" w:asciiTheme="majorEastAsia" w:hAnsiTheme="majorEastAsia" w:eastAsiaTheme="majorEastAsia"/>
                <w:bCs/>
                <w:color w:val="auto"/>
                <w:kern w:val="0"/>
                <w:szCs w:val="21"/>
                <w:lang w:eastAsia="zh-CN"/>
              </w:rPr>
              <w:t>到账</w:t>
            </w:r>
            <w:r>
              <w:rPr>
                <w:rFonts w:hint="eastAsia" w:cs="仿宋" w:asciiTheme="majorEastAsia" w:hAnsiTheme="majorEastAsia" w:eastAsiaTheme="majorEastAsia"/>
                <w:bCs/>
                <w:color w:val="auto"/>
                <w:kern w:val="0"/>
                <w:szCs w:val="21"/>
              </w:rPr>
              <w:t xml:space="preserve">的时间，未按以上规定转入投标保证金的按废标处理；投标保证金需在规定时间内到账，到墨玉县公共资源平台交易中心换投标保证金收据；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19</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15.1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是否允许提交备选方案</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20</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16.1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投标文件份数</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kern w:val="0"/>
                <w:szCs w:val="21"/>
              </w:rPr>
            </w:pPr>
            <w:r>
              <w:rPr>
                <w:rFonts w:hint="eastAsia" w:cs="仿宋" w:asciiTheme="majorEastAsia" w:hAnsiTheme="majorEastAsia" w:eastAsiaTheme="majorEastAsia"/>
                <w:szCs w:val="21"/>
              </w:rPr>
              <w:t>投标文件由商务部分、技术部分和开标一览表三部分组成</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正本1套，副本</w:t>
            </w:r>
            <w:r>
              <w:rPr>
                <w:rFonts w:hint="eastAsia" w:cs="仿宋" w:asciiTheme="majorEastAsia" w:hAnsiTheme="majorEastAsia" w:eastAsiaTheme="majorEastAsia"/>
                <w:bCs/>
                <w:kern w:val="0"/>
                <w:szCs w:val="21"/>
                <w:lang w:val="en-US" w:eastAsia="zh-CN"/>
              </w:rPr>
              <w:t>2</w:t>
            </w:r>
            <w:r>
              <w:rPr>
                <w:rFonts w:hint="eastAsia" w:cs="仿宋" w:asciiTheme="majorEastAsia" w:hAnsiTheme="majorEastAsia" w:eastAsiaTheme="majorEastAsia"/>
                <w:bCs/>
                <w:kern w:val="0"/>
                <w:szCs w:val="21"/>
              </w:rPr>
              <w:t>套，开标一览表1份。</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投标文件电子版：1份。  提供形式：U盘。</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投标文件电子版必须与纸质投标文件一致，内容必须包括：</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①投标文件所有页面的扫描件（含所有签字及盖章部分）电子版，为保证电子版不可编辑，格式必须为PDF或JPEG（电子版可以将签字盖章部分扫描后插入投标文件电子文档后以PDF或JPEG格式输出生成）。</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②投标报价明细表电子版，格式为Word或Excel。</w:t>
            </w:r>
          </w:p>
          <w:p>
            <w:pPr>
              <w:pStyle w:val="49"/>
            </w:pPr>
            <w:r>
              <w:rPr>
                <w:rFonts w:cs="仿宋" w:asciiTheme="majorEastAsia" w:hAnsiTheme="majorEastAsia" w:eastAsiaTheme="majorEastAsia"/>
                <w:bCs/>
                <w:kern w:val="0"/>
                <w:szCs w:val="21"/>
              </w:rPr>
              <w:t>③</w:t>
            </w:r>
            <w:r>
              <w:rPr>
                <w:rFonts w:hint="eastAsia"/>
              </w:rPr>
              <w:t>凡进入开标、唱标程序的投标文件概不退还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21</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17.1</w:t>
            </w:r>
          </w:p>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17.2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装订及密封要求</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投标文件可分为三册：技术部分、商务部分和开标一览表。</w:t>
            </w:r>
          </w:p>
          <w:p>
            <w:pPr>
              <w:pStyle w:val="11"/>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除明确要求单独提交的材料外，投标文件需在封面上清楚地标明“正本”或“副本”；</w:t>
            </w:r>
            <w:r>
              <w:rPr>
                <w:rFonts w:hint="eastAsia" w:cs="仿宋" w:asciiTheme="majorEastAsia" w:hAnsiTheme="majorEastAsia" w:eastAsiaTheme="majorEastAsia"/>
                <w:szCs w:val="21"/>
              </w:rPr>
              <w:t>投标文件每册装订应牢固、不易拆散和换页，不得采用活页装订。</w:t>
            </w:r>
            <w:r>
              <w:rPr>
                <w:rFonts w:hint="eastAsia" w:cs="仿宋" w:asciiTheme="majorEastAsia" w:hAnsiTheme="majorEastAsia" w:eastAsiaTheme="majorEastAsia"/>
                <w:bCs/>
                <w:kern w:val="0"/>
                <w:szCs w:val="21"/>
              </w:rPr>
              <w:t>投标文件中大于A3的彩图应需要另外裱装。</w:t>
            </w:r>
          </w:p>
          <w:p>
            <w:pPr>
              <w:pStyle w:val="11"/>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文件的技术和商务部分应分别独立包封（正、副本放在一个包内），并在包封上标注“技术”或“商务”字样，投标人应将所有的独立包封的部分、电子文档一起密封在同一个外层封套中，加贴“密封”字样封条，并在封套的封口处骑缝盖章。</w:t>
            </w:r>
          </w:p>
          <w:p>
            <w:pPr>
              <w:pStyle w:val="11"/>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为方便开标唱标，投标人应将开标一览表单独密封提交，并在信封上标明“开标一览表”字样，加贴“密封”字样封条，并在封套的封口处骑缝盖章。并且按照投标人须知前附表的要求在封套上写明标记。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22</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17.7</w:t>
            </w:r>
          </w:p>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17.8</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技术部分编制要求及其他要求</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投标文件技术部分不采用“暗标”做法。</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所有打印文件应统一装订在投标文件中。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23</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18.1</w:t>
            </w:r>
          </w:p>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18.2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投标文件提交地点及截止时间</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auto"/>
                <w:kern w:val="0"/>
                <w:szCs w:val="21"/>
                <w:highlight w:val="none"/>
              </w:rPr>
            </w:pPr>
            <w:r>
              <w:rPr>
                <w:rFonts w:hint="eastAsia" w:cs="仿宋" w:asciiTheme="majorEastAsia" w:hAnsiTheme="majorEastAsia" w:eastAsiaTheme="majorEastAsia"/>
                <w:bCs/>
                <w:kern w:val="0"/>
                <w:szCs w:val="21"/>
              </w:rPr>
              <w:t>提交地点：墨玉县公共资源交易平台中心（墨玉县玉华社区院内）</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color w:val="auto"/>
                <w:kern w:val="0"/>
                <w:szCs w:val="21"/>
                <w:highlight w:val="none"/>
              </w:rPr>
              <w:t>投标截止时间：2021年</w:t>
            </w:r>
            <w:r>
              <w:rPr>
                <w:rFonts w:hint="eastAsia" w:cs="仿宋" w:asciiTheme="majorEastAsia" w:hAnsiTheme="majorEastAsia" w:eastAsiaTheme="majorEastAsia"/>
                <w:bCs/>
                <w:color w:val="auto"/>
                <w:kern w:val="0"/>
                <w:szCs w:val="21"/>
                <w:highlight w:val="none"/>
                <w:lang w:val="en-US" w:eastAsia="zh-CN"/>
              </w:rPr>
              <w:t>11</w:t>
            </w:r>
            <w:r>
              <w:rPr>
                <w:rFonts w:hint="eastAsia" w:cs="仿宋" w:asciiTheme="majorEastAsia" w:hAnsiTheme="majorEastAsia" w:eastAsiaTheme="majorEastAsia"/>
                <w:bCs/>
                <w:color w:val="auto"/>
                <w:kern w:val="0"/>
                <w:szCs w:val="21"/>
                <w:highlight w:val="none"/>
              </w:rPr>
              <w:t>月</w:t>
            </w:r>
            <w:r>
              <w:rPr>
                <w:rFonts w:hint="eastAsia" w:cs="仿宋" w:asciiTheme="majorEastAsia" w:hAnsiTheme="majorEastAsia" w:eastAsiaTheme="majorEastAsia"/>
                <w:bCs/>
                <w:color w:val="auto"/>
                <w:kern w:val="0"/>
                <w:szCs w:val="21"/>
                <w:highlight w:val="none"/>
                <w:lang w:val="en-US" w:eastAsia="zh-CN"/>
              </w:rPr>
              <w:t>17</w:t>
            </w:r>
            <w:r>
              <w:rPr>
                <w:rFonts w:hint="eastAsia" w:cs="仿宋" w:asciiTheme="majorEastAsia" w:hAnsiTheme="majorEastAsia" w:eastAsiaTheme="majorEastAsia"/>
                <w:bCs/>
                <w:color w:val="auto"/>
                <w:kern w:val="0"/>
                <w:szCs w:val="21"/>
                <w:highlight w:val="none"/>
              </w:rPr>
              <w:t>日11 时00分（北京</w:t>
            </w:r>
            <w:r>
              <w:rPr>
                <w:rFonts w:hint="eastAsia" w:cs="仿宋" w:asciiTheme="majorEastAsia" w:hAnsiTheme="majorEastAsia" w:eastAsiaTheme="majorEastAsia"/>
                <w:bCs/>
                <w:kern w:val="0"/>
                <w:szCs w:val="21"/>
              </w:rPr>
              <w:t>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24</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20.1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开   标</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14:textFill>
                  <w14:solidFill>
                    <w14:schemeClr w14:val="tx1"/>
                  </w14:solidFill>
                </w14:textFill>
              </w:rPr>
            </w:pPr>
            <w:r>
              <w:rPr>
                <w:rFonts w:hint="eastAsia" w:cs="仿宋" w:asciiTheme="majorEastAsia" w:hAnsiTheme="majorEastAsia" w:eastAsiaTheme="majorEastAsia"/>
                <w:bCs/>
                <w:color w:val="000000" w:themeColor="text1"/>
                <w:kern w:val="0"/>
                <w:szCs w:val="21"/>
                <w14:textFill>
                  <w14:solidFill>
                    <w14:schemeClr w14:val="tx1"/>
                  </w14:solidFill>
                </w14:textFill>
              </w:rPr>
              <w:t>开标时间：同投标截止时间</w:t>
            </w:r>
          </w:p>
          <w:p>
            <w:pPr>
              <w:rPr>
                <w:rFonts w:cs="仿宋" w:asciiTheme="majorEastAsia" w:hAnsiTheme="majorEastAsia" w:eastAsiaTheme="majorEastAsia"/>
                <w:bCs/>
                <w:color w:val="000000" w:themeColor="text1"/>
                <w:kern w:val="0"/>
                <w:szCs w:val="21"/>
                <w14:textFill>
                  <w14:solidFill>
                    <w14:schemeClr w14:val="tx1"/>
                  </w14:solidFill>
                </w14:textFill>
              </w:rPr>
            </w:pPr>
            <w:r>
              <w:rPr>
                <w:rFonts w:hint="eastAsia" w:cs="仿宋" w:asciiTheme="majorEastAsia" w:hAnsiTheme="majorEastAsia" w:eastAsiaTheme="majorEastAsia"/>
                <w:bCs/>
                <w:color w:val="000000" w:themeColor="text1"/>
                <w:kern w:val="0"/>
                <w:szCs w:val="21"/>
                <w14:textFill>
                  <w14:solidFill>
                    <w14:schemeClr w14:val="tx1"/>
                  </w14:solidFill>
                </w14:textFill>
              </w:rPr>
              <w:t>地    点：同投标文件递交地点</w:t>
            </w:r>
          </w:p>
          <w:p>
            <w:pPr>
              <w:numPr>
                <w:ilvl w:val="0"/>
                <w:numId w:val="2"/>
              </w:numPr>
              <w:rPr>
                <w:rFonts w:cs="仿宋" w:asciiTheme="majorEastAsia" w:hAnsiTheme="majorEastAsia" w:eastAsiaTheme="majorEastAsia"/>
                <w:bCs/>
                <w:color w:val="000000" w:themeColor="text1"/>
                <w:kern w:val="0"/>
                <w:szCs w:val="21"/>
                <w14:textFill>
                  <w14:solidFill>
                    <w14:schemeClr w14:val="tx1"/>
                  </w14:solidFill>
                </w14:textFill>
              </w:rPr>
            </w:pPr>
            <w:r>
              <w:rPr>
                <w:rFonts w:hint="eastAsia" w:cs="仿宋" w:asciiTheme="majorEastAsia" w:hAnsiTheme="majorEastAsia" w:eastAsiaTheme="majorEastAsia"/>
                <w:bCs/>
                <w:color w:val="000000" w:themeColor="text1"/>
                <w:kern w:val="0"/>
                <w:szCs w:val="21"/>
                <w14:textFill>
                  <w14:solidFill>
                    <w14:schemeClr w14:val="tx1"/>
                  </w14:solidFill>
                </w14:textFill>
              </w:rPr>
              <w:t>开标后首先由招标人代表和监标人员一同查验参加开标会各投标人的到会情况，检查的资料如下：</w:t>
            </w:r>
          </w:p>
          <w:p>
            <w:pPr>
              <w:numPr>
                <w:ilvl w:val="0"/>
                <w:numId w:val="2"/>
              </w:numPr>
              <w:rPr>
                <w:rFonts w:cs="仿宋" w:asciiTheme="majorEastAsia" w:hAnsiTheme="majorEastAsia" w:eastAsiaTheme="majorEastAsia"/>
                <w:bCs/>
                <w:color w:val="000000" w:themeColor="text1"/>
                <w:kern w:val="0"/>
                <w:szCs w:val="21"/>
                <w14:textFill>
                  <w14:solidFill>
                    <w14:schemeClr w14:val="tx1"/>
                  </w14:solidFill>
                </w14:textFill>
              </w:rPr>
            </w:pPr>
            <w:r>
              <w:rPr>
                <w:rFonts w:hint="eastAsia" w:cs="仿宋" w:asciiTheme="majorEastAsia" w:hAnsiTheme="majorEastAsia" w:eastAsiaTheme="majorEastAsia"/>
                <w:bCs/>
                <w:color w:val="000000" w:themeColor="text1"/>
                <w:kern w:val="0"/>
                <w:szCs w:val="21"/>
                <w14:textFill>
                  <w14:solidFill>
                    <w14:schemeClr w14:val="tx1"/>
                  </w14:solidFill>
                </w14:textFill>
              </w:rPr>
              <w:t>（1）</w:t>
            </w:r>
            <w:r>
              <w:rPr>
                <w:rFonts w:hint="eastAsia" w:cs="仿宋" w:asciiTheme="majorEastAsia" w:hAnsiTheme="majorEastAsia" w:eastAsiaTheme="majorEastAsia"/>
                <w:bCs/>
                <w:color w:val="000000" w:themeColor="text1"/>
                <w:kern w:val="0"/>
                <w:szCs w:val="21"/>
                <w:lang w:val="en-US" w:eastAsia="zh-CN"/>
                <w14:textFill>
                  <w14:solidFill>
                    <w14:schemeClr w14:val="tx1"/>
                  </w14:solidFill>
                </w14:textFill>
              </w:rPr>
              <w:t>法定代表人身份证明或</w:t>
            </w:r>
            <w:r>
              <w:rPr>
                <w:rFonts w:hint="eastAsia" w:cs="仿宋" w:asciiTheme="majorEastAsia" w:hAnsiTheme="majorEastAsia" w:eastAsiaTheme="majorEastAsia"/>
                <w:bCs/>
                <w:color w:val="000000" w:themeColor="text1"/>
                <w:kern w:val="0"/>
                <w:szCs w:val="21"/>
                <w14:textFill>
                  <w14:solidFill>
                    <w14:schemeClr w14:val="tx1"/>
                  </w14:solidFill>
                </w14:textFill>
              </w:rPr>
              <w:t>委托代理人的授权委托书原件</w:t>
            </w:r>
          </w:p>
          <w:p>
            <w:pPr>
              <w:rPr>
                <w:rFonts w:cs="仿宋" w:asciiTheme="majorEastAsia" w:hAnsiTheme="majorEastAsia" w:eastAsiaTheme="majorEastAsia"/>
                <w:bCs/>
                <w:color w:val="000000" w:themeColor="text1"/>
                <w:kern w:val="0"/>
                <w:szCs w:val="21"/>
                <w14:textFill>
                  <w14:solidFill>
                    <w14:schemeClr w14:val="tx1"/>
                  </w14:solidFill>
                </w14:textFill>
              </w:rPr>
            </w:pPr>
            <w:r>
              <w:rPr>
                <w:rFonts w:hint="eastAsia" w:cs="仿宋" w:asciiTheme="majorEastAsia" w:hAnsiTheme="majorEastAsia" w:eastAsiaTheme="majorEastAsia"/>
                <w:bCs/>
                <w:color w:val="000000" w:themeColor="text1"/>
                <w:kern w:val="0"/>
                <w:szCs w:val="21"/>
                <w14:textFill>
                  <w14:solidFill>
                    <w14:schemeClr w14:val="tx1"/>
                  </w14:solidFill>
                </w14:textFill>
              </w:rPr>
              <w:t>（2）法定代表人或其委托代理人身份证件原件（身份证）；</w:t>
            </w:r>
          </w:p>
          <w:p>
            <w:pPr>
              <w:rPr>
                <w:rFonts w:cs="仿宋" w:asciiTheme="majorEastAsia" w:hAnsiTheme="majorEastAsia" w:eastAsiaTheme="majorEastAsia"/>
                <w:bCs/>
                <w:color w:val="000000" w:themeColor="text1"/>
                <w:kern w:val="0"/>
                <w:szCs w:val="21"/>
                <w14:textFill>
                  <w14:solidFill>
                    <w14:schemeClr w14:val="tx1"/>
                  </w14:solidFill>
                </w14:textFill>
              </w:rPr>
            </w:pPr>
            <w:r>
              <w:rPr>
                <w:rFonts w:hint="eastAsia" w:cs="仿宋" w:asciiTheme="majorEastAsia" w:hAnsiTheme="majorEastAsia" w:eastAsiaTheme="majorEastAsia"/>
                <w:bCs/>
                <w:color w:val="000000" w:themeColor="text1"/>
                <w:kern w:val="0"/>
                <w:szCs w:val="21"/>
                <w14:textFill>
                  <w14:solidFill>
                    <w14:schemeClr w14:val="tx1"/>
                  </w14:solidFill>
                </w14:textFill>
              </w:rPr>
              <w:t>（3）有效的“三证合一”的营业执照，且应具有采购需求相应的经营范围；</w:t>
            </w:r>
          </w:p>
          <w:p>
            <w:pPr>
              <w:rPr>
                <w:rFonts w:cs="仿宋" w:asciiTheme="majorEastAsia" w:hAnsiTheme="majorEastAsia" w:eastAsiaTheme="majorEastAsia"/>
                <w:bCs/>
                <w:color w:val="000000" w:themeColor="text1"/>
                <w:kern w:val="0"/>
                <w:szCs w:val="21"/>
                <w:highlight w:val="none"/>
                <w14:textFill>
                  <w14:solidFill>
                    <w14:schemeClr w14:val="tx1"/>
                  </w14:solidFill>
                </w14:textFill>
              </w:rPr>
            </w:pPr>
            <w:r>
              <w:rPr>
                <w:rFonts w:hint="eastAsia" w:cs="仿宋" w:asciiTheme="majorEastAsia" w:hAnsiTheme="majorEastAsia" w:eastAsiaTheme="majorEastAsia"/>
                <w:bCs/>
                <w:color w:val="000000" w:themeColor="text1"/>
                <w:kern w:val="0"/>
                <w:szCs w:val="21"/>
                <w14:textFill>
                  <w14:solidFill>
                    <w14:schemeClr w14:val="tx1"/>
                  </w14:solidFill>
                </w14:textFill>
              </w:rPr>
              <w:t>（4）</w:t>
            </w:r>
            <w:r>
              <w:rPr>
                <w:rFonts w:hint="eastAsia"/>
                <w:highlight w:val="none"/>
              </w:rPr>
              <w:t>投标单位应有依法缴纳税收证明(附：</w:t>
            </w:r>
            <w:r>
              <w:rPr>
                <w:rFonts w:hint="eastAsia" w:cs="仿宋" w:asciiTheme="majorEastAsia" w:hAnsiTheme="majorEastAsia" w:eastAsiaTheme="majorEastAsia"/>
                <w:bCs/>
                <w:color w:val="000000" w:themeColor="text1"/>
                <w:kern w:val="0"/>
                <w:szCs w:val="21"/>
                <w:highlight w:val="none"/>
                <w14:textFill>
                  <w14:solidFill>
                    <w14:schemeClr w14:val="tx1"/>
                  </w14:solidFill>
                </w14:textFill>
              </w:rPr>
              <w:t>近</w:t>
            </w:r>
            <w:r>
              <w:rPr>
                <w:rFonts w:hint="eastAsia" w:cs="仿宋" w:asciiTheme="majorEastAsia" w:hAnsiTheme="majorEastAsia" w:eastAsiaTheme="majorEastAsia"/>
                <w:bCs/>
                <w:color w:val="000000" w:themeColor="text1"/>
                <w:kern w:val="0"/>
                <w:szCs w:val="21"/>
                <w:highlight w:val="none"/>
                <w:lang w:val="en-US" w:eastAsia="zh-CN"/>
                <w14:textFill>
                  <w14:solidFill>
                    <w14:schemeClr w14:val="tx1"/>
                  </w14:solidFill>
                </w14:textFill>
              </w:rPr>
              <w:t>三</w:t>
            </w:r>
            <w:r>
              <w:rPr>
                <w:rFonts w:hint="eastAsia" w:cs="仿宋" w:asciiTheme="majorEastAsia" w:hAnsiTheme="majorEastAsia" w:eastAsiaTheme="majorEastAsia"/>
                <w:bCs/>
                <w:color w:val="000000" w:themeColor="text1"/>
                <w:kern w:val="0"/>
                <w:szCs w:val="21"/>
                <w:highlight w:val="none"/>
                <w14:textFill>
                  <w14:solidFill>
                    <w14:schemeClr w14:val="tx1"/>
                  </w14:solidFill>
                </w14:textFill>
              </w:rPr>
              <w:t>个月的完税证明</w:t>
            </w:r>
            <w:r>
              <w:rPr>
                <w:rFonts w:hint="eastAsia" w:cs="仿宋" w:asciiTheme="majorEastAsia" w:hAnsiTheme="majorEastAsia" w:eastAsiaTheme="majorEastAsia"/>
                <w:bCs/>
                <w:color w:val="000000" w:themeColor="text1"/>
                <w:kern w:val="0"/>
                <w:szCs w:val="21"/>
                <w:highlight w:val="none"/>
                <w:lang w:val="en-US" w:eastAsia="zh-CN"/>
                <w14:textFill>
                  <w14:solidFill>
                    <w14:schemeClr w14:val="tx1"/>
                  </w14:solidFill>
                </w14:textFill>
              </w:rPr>
              <w:t>或税务局出具的无欠税证明</w:t>
            </w:r>
            <w:r>
              <w:rPr>
                <w:rFonts w:hint="eastAsia" w:cs="仿宋" w:asciiTheme="majorEastAsia" w:hAnsiTheme="majorEastAsia" w:eastAsiaTheme="majorEastAsia"/>
                <w:bCs/>
                <w:color w:val="000000" w:themeColor="text1"/>
                <w:kern w:val="0"/>
                <w:szCs w:val="21"/>
                <w:highlight w:val="none"/>
                <w:lang w:eastAsia="zh-CN"/>
                <w14:textFill>
                  <w14:solidFill>
                    <w14:schemeClr w14:val="tx1"/>
                  </w14:solidFill>
                </w14:textFill>
              </w:rPr>
              <w:t>）</w:t>
            </w:r>
            <w:r>
              <w:rPr>
                <w:rFonts w:hint="eastAsia"/>
                <w:highlight w:val="none"/>
              </w:rPr>
              <w:t>；</w:t>
            </w:r>
          </w:p>
          <w:p>
            <w:pPr>
              <w:rPr>
                <w:rFonts w:cs="仿宋" w:asciiTheme="majorEastAsia" w:hAnsiTheme="majorEastAsia" w:eastAsiaTheme="majorEastAsia"/>
                <w:bCs/>
                <w:color w:val="000000" w:themeColor="text1"/>
                <w:kern w:val="0"/>
                <w:szCs w:val="21"/>
                <w:highlight w:val="none"/>
                <w14:textFill>
                  <w14:solidFill>
                    <w14:schemeClr w14:val="tx1"/>
                  </w14:solidFill>
                </w14:textFill>
              </w:rPr>
            </w:pPr>
            <w:r>
              <w:rPr>
                <w:rFonts w:hint="eastAsia" w:cs="仿宋" w:asciiTheme="majorEastAsia" w:hAnsiTheme="majorEastAsia" w:eastAsiaTheme="majorEastAsia"/>
                <w:bCs/>
                <w:color w:val="000000" w:themeColor="text1"/>
                <w:kern w:val="0"/>
                <w:szCs w:val="21"/>
                <w:highlight w:val="none"/>
                <w14:textFill>
                  <w14:solidFill>
                    <w14:schemeClr w14:val="tx1"/>
                  </w14:solidFill>
                </w14:textFill>
              </w:rPr>
              <w:t>（5）</w:t>
            </w:r>
            <w:r>
              <w:rPr>
                <w:rFonts w:hint="eastAsia"/>
                <w:highlight w:val="none"/>
              </w:rPr>
              <w:t>投标单位应提供近一年度（2020年）财务审计报告</w:t>
            </w:r>
            <w:r>
              <w:rPr>
                <w:rFonts w:hint="eastAsia"/>
                <w:highlight w:val="none"/>
                <w:lang w:val="en-US" w:eastAsia="zh-CN"/>
              </w:rPr>
              <w:t>原件</w:t>
            </w:r>
            <w:r>
              <w:rPr>
                <w:rFonts w:hint="eastAsia"/>
                <w:highlight w:val="none"/>
              </w:rPr>
              <w:t>(</w:t>
            </w:r>
            <w:r>
              <w:rPr>
                <w:rFonts w:hint="eastAsia"/>
                <w:highlight w:val="none"/>
                <w:lang w:eastAsia="zh-CN"/>
              </w:rPr>
              <w:t>新成立公司可不提供财务审计报告但必须</w:t>
            </w:r>
            <w:r>
              <w:rPr>
                <w:rFonts w:hint="eastAsia"/>
                <w:highlight w:val="none"/>
                <w:lang w:val="en-US" w:eastAsia="zh-CN"/>
              </w:rPr>
              <w:t>提供</w:t>
            </w:r>
            <w:r>
              <w:rPr>
                <w:rFonts w:hint="eastAsia"/>
                <w:highlight w:val="none"/>
                <w:lang w:eastAsia="zh-CN"/>
              </w:rPr>
              <w:t>健全的财务会计制度</w:t>
            </w:r>
            <w:r>
              <w:rPr>
                <w:rFonts w:hint="eastAsia"/>
                <w:highlight w:val="none"/>
                <w:lang w:val="en-US" w:eastAsia="zh-CN"/>
              </w:rPr>
              <w:t>并加盖鲜章</w:t>
            </w:r>
            <w:r>
              <w:rPr>
                <w:rFonts w:hint="eastAsia"/>
                <w:highlight w:val="none"/>
              </w:rPr>
              <w:t>)</w:t>
            </w:r>
          </w:p>
          <w:p>
            <w:pPr>
              <w:rPr>
                <w:rFonts w:cs="仿宋" w:asciiTheme="majorEastAsia" w:hAnsiTheme="majorEastAsia" w:eastAsiaTheme="majorEastAsia"/>
                <w:bCs/>
                <w:color w:val="000000" w:themeColor="text1"/>
                <w:kern w:val="0"/>
                <w:szCs w:val="21"/>
                <w:highlight w:val="none"/>
                <w14:textFill>
                  <w14:solidFill>
                    <w14:schemeClr w14:val="tx1"/>
                  </w14:solidFill>
                </w14:textFill>
              </w:rPr>
            </w:pPr>
            <w:r>
              <w:rPr>
                <w:rFonts w:hint="eastAsia" w:cs="仿宋" w:asciiTheme="majorEastAsia" w:hAnsiTheme="majorEastAsia" w:eastAsiaTheme="majorEastAsia"/>
                <w:bCs/>
                <w:color w:val="000000" w:themeColor="text1"/>
                <w:kern w:val="0"/>
                <w:szCs w:val="21"/>
                <w:highlight w:val="none"/>
                <w14:textFill>
                  <w14:solidFill>
                    <w14:schemeClr w14:val="tx1"/>
                  </w14:solidFill>
                </w14:textFill>
              </w:rPr>
              <w:t>（6）</w:t>
            </w:r>
            <w:r>
              <w:rPr>
                <w:rFonts w:hint="eastAsia"/>
                <w:highlight w:val="none"/>
              </w:rPr>
              <w:t>凡拟参加本次招标项目的投标企业法人或委托代理人须提供近六个月的社保个人明细表；</w:t>
            </w:r>
            <w:r>
              <w:rPr>
                <w:rFonts w:hint="eastAsia"/>
                <w:highlight w:val="none"/>
                <w:lang w:eastAsia="zh-CN"/>
              </w:rPr>
              <w:t>（</w:t>
            </w:r>
            <w:r>
              <w:rPr>
                <w:rFonts w:hint="eastAsia"/>
                <w:highlight w:val="none"/>
                <w:lang w:val="en-US" w:eastAsia="zh-CN"/>
              </w:rPr>
              <w:t>不足六个月的公司按实际发生</w:t>
            </w:r>
            <w:r>
              <w:rPr>
                <w:rFonts w:hint="eastAsia"/>
                <w:highlight w:val="none"/>
                <w:lang w:eastAsia="zh-CN"/>
              </w:rPr>
              <w:t>）</w:t>
            </w:r>
          </w:p>
          <w:p>
            <w:pPr>
              <w:rPr>
                <w:rFonts w:hint="default" w:cs="仿宋" w:asciiTheme="majorEastAsia" w:hAnsiTheme="majorEastAsia" w:eastAsiaTheme="majorEastAsia"/>
                <w:bCs/>
                <w:color w:val="000000" w:themeColor="text1"/>
                <w:kern w:val="0"/>
                <w:szCs w:val="21"/>
                <w:lang w:val="en-US" w:eastAsia="zh-CN"/>
                <w14:textFill>
                  <w14:solidFill>
                    <w14:schemeClr w14:val="tx1"/>
                  </w14:solidFill>
                </w14:textFill>
              </w:rPr>
            </w:pPr>
            <w:r>
              <w:rPr>
                <w:rFonts w:hint="eastAsia" w:cs="仿宋" w:asciiTheme="majorEastAsia" w:hAnsiTheme="majorEastAsia" w:eastAsiaTheme="majorEastAsia"/>
                <w:bCs/>
                <w:color w:val="000000" w:themeColor="text1"/>
                <w:kern w:val="0"/>
                <w:szCs w:val="21"/>
                <w14:textFill>
                  <w14:solidFill>
                    <w14:schemeClr w14:val="tx1"/>
                  </w14:solidFill>
                </w14:textFill>
              </w:rPr>
              <w:t>（7）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列入经营异常名录信息、列入严重违法失信企业名单（黑名单）信息，将拒绝其参与本次采购活动；</w:t>
            </w:r>
            <w:r>
              <w:rPr>
                <w:rFonts w:hint="eastAsia" w:cs="仿宋" w:asciiTheme="majorEastAsia" w:hAnsiTheme="majorEastAsia" w:eastAsiaTheme="majorEastAsia"/>
                <w:bCs/>
                <w:color w:val="000000" w:themeColor="text1"/>
                <w:kern w:val="0"/>
                <w:szCs w:val="21"/>
                <w:lang w:val="en-US" w:eastAsia="zh-CN"/>
                <w14:textFill>
                  <w14:solidFill>
                    <w14:schemeClr w14:val="tx1"/>
                  </w14:solidFill>
                </w14:textFill>
              </w:rPr>
              <w:t>提供带有日期的截图并加盖鲜章，截图日期需为公告发出日至开标截止日之间。</w:t>
            </w:r>
          </w:p>
          <w:p>
            <w:pPr>
              <w:rPr>
                <w:rFonts w:cs="仿宋" w:asciiTheme="majorEastAsia" w:hAnsiTheme="majorEastAsia" w:eastAsiaTheme="majorEastAsia"/>
                <w:bCs/>
                <w:color w:val="000000" w:themeColor="text1"/>
                <w:kern w:val="0"/>
                <w:szCs w:val="21"/>
                <w14:textFill>
                  <w14:solidFill>
                    <w14:schemeClr w14:val="tx1"/>
                  </w14:solidFill>
                </w14:textFill>
              </w:rPr>
            </w:pPr>
            <w:r>
              <w:rPr>
                <w:rFonts w:hint="eastAsia" w:cs="仿宋" w:asciiTheme="majorEastAsia" w:hAnsiTheme="majorEastAsia" w:eastAsiaTheme="majorEastAsia"/>
                <w:bCs/>
                <w:color w:val="000000" w:themeColor="text1"/>
                <w:kern w:val="0"/>
                <w:szCs w:val="21"/>
                <w14:textFill>
                  <w14:solidFill>
                    <w14:schemeClr w14:val="tx1"/>
                  </w14:solidFill>
                </w14:textFill>
              </w:rPr>
              <w:t>（8）保证金缴纳票据（墨玉县公共资源平台交易中心开具的投标保证金收据）；</w:t>
            </w:r>
          </w:p>
          <w:p>
            <w:pPr>
              <w:rPr>
                <w:rFonts w:cs="仿宋" w:asciiTheme="majorEastAsia" w:hAnsiTheme="majorEastAsia" w:eastAsiaTheme="majorEastAsia"/>
                <w:bCs/>
                <w:color w:val="000000" w:themeColor="text1"/>
                <w:kern w:val="0"/>
                <w:szCs w:val="21"/>
                <w14:textFill>
                  <w14:solidFill>
                    <w14:schemeClr w14:val="tx1"/>
                  </w14:solidFill>
                </w14:textFill>
              </w:rPr>
            </w:pPr>
            <w:r>
              <w:rPr>
                <w:rFonts w:hint="eastAsia" w:cs="仿宋" w:asciiTheme="majorEastAsia" w:hAnsiTheme="majorEastAsia" w:eastAsiaTheme="majorEastAsia"/>
                <w:bCs/>
                <w:color w:val="000000" w:themeColor="text1"/>
                <w:kern w:val="0"/>
                <w:szCs w:val="21"/>
                <w14:textFill>
                  <w14:solidFill>
                    <w14:schemeClr w14:val="tx1"/>
                  </w14:solidFill>
                </w14:textFill>
              </w:rPr>
              <w:t>3、由投标人代表（有效投标人自行推荐）检查投标文件密封性。</w:t>
            </w:r>
          </w:p>
          <w:p>
            <w:pPr>
              <w:rPr>
                <w:rFonts w:cs="仿宋" w:asciiTheme="majorEastAsia" w:hAnsiTheme="majorEastAsia" w:eastAsiaTheme="majorEastAsia"/>
                <w:bCs/>
                <w:color w:val="000000" w:themeColor="text1"/>
                <w:kern w:val="0"/>
                <w:szCs w:val="21"/>
                <w14:textFill>
                  <w14:solidFill>
                    <w14:schemeClr w14:val="tx1"/>
                  </w14:solidFill>
                </w14:textFill>
              </w:rPr>
            </w:pPr>
            <w:r>
              <w:rPr>
                <w:rFonts w:hint="eastAsia" w:cs="仿宋" w:asciiTheme="majorEastAsia" w:hAnsiTheme="majorEastAsia" w:eastAsiaTheme="majorEastAsia"/>
                <w:bCs/>
                <w:color w:val="000000" w:themeColor="text1"/>
                <w:kern w:val="0"/>
                <w:szCs w:val="21"/>
                <w14:textFill>
                  <w14:solidFill>
                    <w14:schemeClr w14:val="tx1"/>
                  </w14:solidFill>
                </w14:textFill>
              </w:rPr>
              <w:t>4、投标人对开标记录及唱标结果签字确认。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25</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评标委员会</w:t>
            </w:r>
          </w:p>
        </w:tc>
        <w:tc>
          <w:tcPr>
            <w:tcW w:w="581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cs="仿宋" w:asciiTheme="majorEastAsia" w:hAnsiTheme="majorEastAsia" w:eastAsiaTheme="majorEastAsia"/>
                <w:bCs/>
                <w:color w:val="FF0000"/>
                <w:kern w:val="0"/>
                <w:szCs w:val="21"/>
              </w:rPr>
            </w:pPr>
            <w:r>
              <w:rPr>
                <w:rFonts w:hint="eastAsia" w:cs="仿宋" w:asciiTheme="majorEastAsia" w:hAnsiTheme="majorEastAsia" w:eastAsiaTheme="majorEastAsia"/>
                <w:bCs/>
                <w:color w:val="auto"/>
                <w:kern w:val="0"/>
                <w:szCs w:val="21"/>
              </w:rPr>
              <w:t>评标委员会构成：</w:t>
            </w:r>
            <w:r>
              <w:rPr>
                <w:rFonts w:hint="eastAsia" w:cs="仿宋" w:asciiTheme="majorEastAsia" w:hAnsiTheme="majorEastAsia" w:eastAsiaTheme="majorEastAsia"/>
                <w:bCs/>
                <w:color w:val="auto"/>
                <w:kern w:val="0"/>
                <w:szCs w:val="21"/>
                <w:lang w:val="en-US" w:eastAsia="zh-CN"/>
              </w:rPr>
              <w:t>7</w:t>
            </w:r>
            <w:r>
              <w:rPr>
                <w:rFonts w:hint="eastAsia" w:cs="仿宋" w:asciiTheme="majorEastAsia" w:hAnsiTheme="majorEastAsia" w:eastAsiaTheme="majorEastAsia"/>
                <w:bCs/>
                <w:color w:val="auto"/>
                <w:kern w:val="0"/>
                <w:szCs w:val="21"/>
              </w:rPr>
              <w:t>人，评标专家确定方式：</w:t>
            </w:r>
            <w:r>
              <w:rPr>
                <w:rFonts w:hint="eastAsia" w:cs="仿宋" w:asciiTheme="majorEastAsia" w:hAnsiTheme="majorEastAsia" w:eastAsiaTheme="majorEastAsia"/>
                <w:bCs/>
                <w:color w:val="auto"/>
                <w:kern w:val="0"/>
                <w:szCs w:val="21"/>
                <w:lang w:val="en-US" w:eastAsia="zh-CN"/>
              </w:rPr>
              <w:t>和田地区政府采购专家库中</w:t>
            </w:r>
            <w:r>
              <w:rPr>
                <w:rFonts w:hint="eastAsia" w:cs="仿宋" w:asciiTheme="majorEastAsia" w:hAnsiTheme="majorEastAsia" w:eastAsiaTheme="majorEastAsia"/>
                <w:bCs/>
                <w:color w:val="auto"/>
                <w:kern w:val="0"/>
                <w:szCs w:val="21"/>
              </w:rPr>
              <w:t>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26</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26.3</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是否授权评标委员会确定中标人</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szCs w:val="21"/>
              </w:rPr>
            </w:pPr>
            <w:r>
              <w:rPr>
                <w:rFonts w:hint="eastAsia" w:cs="仿宋" w:asciiTheme="majorEastAsia" w:hAnsiTheme="majorEastAsia" w:eastAsiaTheme="majorEastAsia"/>
                <w:szCs w:val="21"/>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27</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29.1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中标公示和通知</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在依法确定中标人后，招标代理机构将在发布招标公告的媒体公示评标结果，公示期为</w:t>
            </w:r>
            <w:r>
              <w:rPr>
                <w:rFonts w:hint="eastAsia" w:cs="仿宋" w:asciiTheme="majorEastAsia" w:hAnsiTheme="majorEastAsia" w:eastAsiaTheme="majorEastAsia"/>
                <w:bCs/>
                <w:kern w:val="0"/>
                <w:szCs w:val="21"/>
                <w:lang w:val="en-US" w:eastAsia="zh-CN"/>
              </w:rPr>
              <w:t>3</w:t>
            </w:r>
            <w:r>
              <w:rPr>
                <w:rFonts w:hint="eastAsia" w:cs="仿宋" w:asciiTheme="majorEastAsia" w:hAnsiTheme="majorEastAsia" w:eastAsiaTheme="majorEastAsia"/>
                <w:bCs/>
                <w:kern w:val="0"/>
                <w:szCs w:val="21"/>
              </w:rPr>
              <w:t>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28</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31.1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是否退还投标文件</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 xml:space="preserve">否，所有响应招标文件要求合格投标人的投标文件包括随文件同时递交的图纸、U盘等附件均不予退回。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29</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32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ascii="宋体" w:hAnsi="宋体"/>
                <w:bCs/>
                <w:szCs w:val="21"/>
              </w:rPr>
              <w:t>投标人不得存在的其他情形</w:t>
            </w:r>
          </w:p>
        </w:tc>
        <w:tc>
          <w:tcPr>
            <w:tcW w:w="5813" w:type="dxa"/>
            <w:tcBorders>
              <w:top w:val="single" w:color="auto" w:sz="4" w:space="0"/>
              <w:left w:val="single" w:color="auto" w:sz="4" w:space="0"/>
              <w:bottom w:val="single" w:color="auto" w:sz="4" w:space="0"/>
              <w:right w:val="single" w:color="auto" w:sz="4" w:space="0"/>
            </w:tcBorders>
            <w:vAlign w:val="center"/>
          </w:tcPr>
          <w:p>
            <w:r>
              <w:rPr>
                <w:rFonts w:hint="eastAsia"/>
              </w:rPr>
              <w:t>一、不得存串通投标。有下列情形之一的，视为投标人串通投标，其投标无效：</w:t>
            </w:r>
          </w:p>
          <w:p>
            <w:r>
              <w:rPr>
                <w:rFonts w:hint="eastAsia"/>
              </w:rPr>
              <w:t>　　（一）不同投标人的投标文件由同一单位或者个人编制；</w:t>
            </w:r>
          </w:p>
          <w:p>
            <w:r>
              <w:rPr>
                <w:rFonts w:hint="eastAsia"/>
              </w:rPr>
              <w:t>　　（二）不同投标人委托同一单位或者个人办理投标事宜；</w:t>
            </w:r>
          </w:p>
          <w:p>
            <w:r>
              <w:rPr>
                <w:rFonts w:hint="eastAsia"/>
              </w:rPr>
              <w:t>　　（三）不同投标人的投标文件载明的项目管理成员或者联系人员为同一人；</w:t>
            </w:r>
          </w:p>
          <w:p>
            <w:r>
              <w:rPr>
                <w:rFonts w:hint="eastAsia"/>
              </w:rPr>
              <w:t>　　（四）不同投标人的投标文件异常一致或者投标报价呈规律性差异；</w:t>
            </w:r>
          </w:p>
          <w:p>
            <w:r>
              <w:rPr>
                <w:rFonts w:hint="eastAsia"/>
              </w:rPr>
              <w:t>　　（五）不同投标人的投标文件相互混装；</w:t>
            </w:r>
          </w:p>
          <w:p>
            <w:pPr>
              <w:ind w:firstLine="405"/>
            </w:pPr>
            <w:r>
              <w:rPr>
                <w:rFonts w:hint="eastAsia"/>
              </w:rPr>
              <w:t>（六）不同投标人的投标保证金从同一单位或者个人的账户转出；</w:t>
            </w:r>
          </w:p>
          <w:p>
            <w:pPr>
              <w:pStyle w:val="49"/>
              <w:ind w:firstLine="420" w:firstLineChars="200"/>
            </w:pPr>
            <w:r>
              <w:rPr>
                <w:rFonts w:hint="eastAsia"/>
              </w:rPr>
              <w:t>（七）其他法律法规规定的情形。</w:t>
            </w:r>
          </w:p>
          <w:p>
            <w:r>
              <w:rPr>
                <w:rFonts w:hint="eastAsia"/>
              </w:rPr>
              <w:t>二、投标人与投标人之间不得存在任何关联关系，关联关系的认定依据国家税务总局发布《关于完善关联申报和同期资料管理有关事项的公告》第二条，有下列情形之一的，视为有关联关系，其投标无效：</w:t>
            </w:r>
          </w:p>
          <w:p>
            <w:pPr>
              <w:ind w:firstLine="405"/>
            </w:pPr>
            <w:r>
              <w:rPr>
                <w:rFonts w:hint="eastAsia"/>
              </w:rPr>
              <w:t>（一）一方直接或者间接持有另一方的股份总和达到25%以上；双方直接或者间接同为第三方所持有的股份达到25%以上。</w:t>
            </w:r>
          </w:p>
          <w:p>
            <w:pPr>
              <w:ind w:firstLine="405"/>
            </w:pPr>
            <w:r>
              <w:rPr>
                <w:rFonts w:hint="eastAsia"/>
              </w:rPr>
              <w:t>如果一方通过中间方对另一方间接持有股份，只要其对中间方持股比例达到25%以上，则其对另一方的持股比例按照中间方对另一方的持股比例计算。</w:t>
            </w:r>
          </w:p>
          <w:p>
            <w:pPr>
              <w:ind w:firstLine="405"/>
            </w:pPr>
            <w:r>
              <w:rPr>
                <w:rFonts w:hint="eastAsia"/>
              </w:rPr>
              <w:t>两个以上具有夫妻、直系血亲、兄弟姐妹以及其他抚养、赡养关系的自然人共同持股同一企业，在判定关联关系时持股比例合并计算。</w:t>
            </w:r>
          </w:p>
          <w:p>
            <w:pPr>
              <w:ind w:firstLine="405"/>
            </w:pPr>
            <w:r>
              <w:rPr>
                <w:rFonts w:hint="eastAsia"/>
              </w:rPr>
              <w:t>（二）双方存在持股关系或者同为第三方持股，虽持股比例未达到本条第（一）项规定，但双方之间借贷资金总额占任一方实收资本比例达到50%以上，或者一方全部借贷资金总额的10%以上由另一方担保（与独立金融机构之间的借贷或者担保除外）。</w:t>
            </w:r>
          </w:p>
          <w:p>
            <w:pPr>
              <w:ind w:firstLine="405"/>
            </w:pPr>
            <w:r>
              <w:rPr>
                <w:rFonts w:hint="eastAsia"/>
              </w:rPr>
              <w:t>借贷资金总额占实收资本比例=年度加权平均借贷资金/年度加权平均实收资本，其中：</w:t>
            </w:r>
          </w:p>
          <w:p>
            <w:pPr>
              <w:ind w:firstLine="405"/>
            </w:pPr>
            <w:r>
              <w:rPr>
                <w:rFonts w:hint="eastAsia"/>
              </w:rPr>
              <w:t>年度加权平均借贷资金= i笔借入或者贷出资金账面金额×i笔借入或者贷出资金年度实际占用天数/365。</w:t>
            </w:r>
          </w:p>
          <w:p>
            <w:pPr>
              <w:ind w:firstLine="405"/>
            </w:pPr>
            <w:r>
              <w:rPr>
                <w:rFonts w:hint="eastAsia"/>
              </w:rPr>
              <w:t>年度加权平均实收资本= i笔实收资本账面金额×i笔实收资本年度实际占用天数/365</w:t>
            </w:r>
          </w:p>
          <w:p>
            <w:pPr>
              <w:ind w:firstLine="405"/>
            </w:pPr>
            <w:r>
              <w:rPr>
                <w:rFonts w:hint="eastAsia"/>
              </w:rPr>
              <w:t>（三）双方存在持股关系或者同为第三方持股，虽持股比例未达到本条第（一）项规定，但一方的生产经营活动必须由另一方提供专利权、非专利技术、商标权、著作权等特许权才能正常进行。</w:t>
            </w:r>
          </w:p>
          <w:p>
            <w:pPr>
              <w:ind w:firstLine="405"/>
            </w:pPr>
            <w:r>
              <w:rPr>
                <w:rFonts w:hint="eastAsia"/>
              </w:rPr>
              <w:t>（四）双方存在持股关系或者同为第三方持股，虽持股比例未达到本条第（一）项规定，但一方的购买、销售、接受劳务、提供劳务等经营活动由另一方控制。</w:t>
            </w:r>
          </w:p>
          <w:p>
            <w:pPr>
              <w:ind w:firstLine="405"/>
            </w:pPr>
            <w:r>
              <w:rPr>
                <w:rFonts w:hint="eastAsia"/>
              </w:rPr>
              <w:t>上述控制是指一方有权决定另一方的财务和经营政策，并能据以从另一方的经营活动中获取利益。</w:t>
            </w:r>
          </w:p>
          <w:p>
            <w:pPr>
              <w:ind w:firstLine="405"/>
            </w:pPr>
            <w:r>
              <w:rPr>
                <w:rFonts w:hint="eastAsia"/>
              </w:rPr>
              <w:t>（五）一方半数以上董事或者半数以上高级管理人员（包括上市公司董事会秘书、经理、副经理、财务负责人和公司章程规定的其他人员）由另一方任命或者委派，或者同时担任另一方的董事或者高级管理人员；或者双方各自半数以上董事或者半数以上高级管理人员同为第三方任命或者委派。</w:t>
            </w:r>
          </w:p>
          <w:p>
            <w:pPr>
              <w:ind w:firstLine="405"/>
            </w:pPr>
            <w:r>
              <w:rPr>
                <w:rFonts w:hint="eastAsia"/>
              </w:rPr>
              <w:t>（六）具有夫妻、直系血亲、兄弟姐妹以及其他抚养、赡养关系的两个自然人分别与双方具有本条第（一）至（五）项关系之一。</w:t>
            </w:r>
          </w:p>
          <w:p>
            <w:pPr>
              <w:ind w:firstLine="315" w:firstLineChars="150"/>
              <w:rPr>
                <w:rFonts w:cs="仿宋" w:asciiTheme="majorEastAsia" w:hAnsiTheme="majorEastAsia" w:eastAsiaTheme="majorEastAsia"/>
                <w:bCs/>
                <w:kern w:val="0"/>
                <w:szCs w:val="21"/>
              </w:rPr>
            </w:pPr>
            <w:r>
              <w:rPr>
                <w:rFonts w:hint="eastAsia"/>
              </w:rPr>
              <w:t>（七）双方在实质上具有其他共同利益。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30</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hint="default" w:cs="仿宋" w:asciiTheme="majorEastAsia" w:hAnsiTheme="majorEastAsia" w:eastAsiaTheme="majorEastAsia"/>
                <w:bCs/>
                <w:kern w:val="0"/>
                <w:szCs w:val="21"/>
                <w:lang w:val="en-US" w:eastAsia="zh-CN"/>
              </w:rPr>
            </w:pPr>
            <w:r>
              <w:rPr>
                <w:rFonts w:hint="eastAsia" w:cs="仿宋" w:asciiTheme="majorEastAsia" w:hAnsiTheme="majorEastAsia" w:eastAsiaTheme="majorEastAsia"/>
                <w:bCs/>
                <w:kern w:val="0"/>
                <w:szCs w:val="21"/>
                <w:lang w:val="en-US" w:eastAsia="zh-CN"/>
              </w:rPr>
              <w:t>33</w:t>
            </w:r>
          </w:p>
        </w:tc>
        <w:tc>
          <w:tcPr>
            <w:tcW w:w="17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4"/>
              </w:rPr>
            </w:pPr>
            <w:r>
              <w:rPr>
                <w:rFonts w:hint="eastAsia"/>
              </w:rPr>
              <w:t>低于成本价不正当竞争预防措施</w:t>
            </w:r>
          </w:p>
        </w:tc>
        <w:tc>
          <w:tcPr>
            <w:tcW w:w="5813" w:type="dxa"/>
            <w:tcBorders>
              <w:top w:val="single" w:color="auto" w:sz="4" w:space="0"/>
              <w:left w:val="single" w:color="auto" w:sz="4" w:space="0"/>
              <w:bottom w:val="single" w:color="auto" w:sz="4" w:space="0"/>
              <w:right w:val="single" w:color="auto" w:sz="4" w:space="0"/>
            </w:tcBorders>
            <w:vAlign w:val="center"/>
          </w:tcPr>
          <w:p>
            <w:pPr>
              <w:ind w:firstLine="405"/>
            </w:pPr>
            <w:r>
              <w:rPr>
                <w:rFonts w:hint="eastAsia"/>
              </w:rPr>
              <w:t>在评标过程中，投标人报价低于市场平均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ind w:firstLine="405"/>
            </w:pPr>
            <w:r>
              <w:rPr>
                <w:rFonts w:hint="eastAsi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ind w:firstLine="405"/>
            </w:pPr>
            <w:r>
              <w:rPr>
                <w:rFonts w:hint="eastAsia"/>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383" w:type="dxa"/>
            <w:gridSpan w:val="4"/>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color w:val="auto"/>
                <w:kern w:val="0"/>
                <w:szCs w:val="21"/>
                <w:lang w:val="en-US" w:eastAsia="zh-CN"/>
              </w:rPr>
              <w:t>34.</w:t>
            </w:r>
            <w:r>
              <w:rPr>
                <w:rFonts w:hint="eastAsia" w:cs="仿宋" w:asciiTheme="majorEastAsia" w:hAnsiTheme="majorEastAsia" w:eastAsiaTheme="majorEastAsia"/>
                <w:bCs/>
                <w:kern w:val="0"/>
                <w:szCs w:val="21"/>
              </w:rPr>
              <w:t>需要补充的其他内容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66" w:type="dxa"/>
            <w:vMerge w:val="restart"/>
            <w:tcBorders>
              <w:top w:val="single" w:color="auto" w:sz="4" w:space="0"/>
              <w:left w:val="single" w:color="auto" w:sz="4" w:space="0"/>
              <w:right w:val="single" w:color="auto" w:sz="4" w:space="0"/>
            </w:tcBorders>
            <w:vAlign w:val="center"/>
          </w:tcPr>
          <w:p>
            <w:pPr>
              <w:jc w:val="center"/>
              <w:rPr>
                <w:rFonts w:hint="default" w:cs="仿宋" w:asciiTheme="majorEastAsia" w:hAnsiTheme="majorEastAsia" w:eastAsiaTheme="majorEastAsia"/>
                <w:bCs/>
                <w:kern w:val="0"/>
                <w:szCs w:val="21"/>
                <w:lang w:val="en-US" w:eastAsia="zh-CN"/>
              </w:rPr>
            </w:pPr>
            <w:r>
              <w:rPr>
                <w:rFonts w:hint="eastAsia" w:cs="仿宋" w:asciiTheme="majorEastAsia" w:hAnsiTheme="majorEastAsia" w:eastAsiaTheme="majorEastAsia"/>
                <w:bCs/>
                <w:kern w:val="0"/>
                <w:szCs w:val="21"/>
                <w:lang w:val="en-US" w:eastAsia="zh-CN"/>
              </w:rPr>
              <w:t>31</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cs="仿宋" w:asciiTheme="majorEastAsia" w:hAnsiTheme="majorEastAsia" w:eastAsiaTheme="majorEastAsia"/>
                <w:bCs/>
                <w:color w:val="auto"/>
                <w:kern w:val="0"/>
                <w:szCs w:val="21"/>
                <w:lang w:val="en-US" w:eastAsia="zh-CN"/>
              </w:rPr>
            </w:pPr>
            <w:r>
              <w:rPr>
                <w:rFonts w:hint="eastAsia" w:cs="仿宋" w:asciiTheme="majorEastAsia" w:hAnsiTheme="majorEastAsia" w:eastAsiaTheme="majorEastAsia"/>
                <w:bCs/>
                <w:color w:val="auto"/>
                <w:kern w:val="0"/>
                <w:szCs w:val="21"/>
                <w:lang w:val="en-US" w:eastAsia="zh-CN"/>
              </w:rPr>
              <w:t>34.1</w:t>
            </w: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auto"/>
                <w:kern w:val="0"/>
                <w:szCs w:val="21"/>
              </w:rPr>
            </w:pPr>
            <w:r>
              <w:rPr>
                <w:rFonts w:hint="eastAsia" w:ascii="宋体" w:hAnsi="宋体" w:cs="仿宋"/>
                <w:color w:val="auto"/>
              </w:rPr>
              <w:t>付款方式：签订合同时双方协商确定。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66"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bCs/>
                <w:kern w:val="0"/>
                <w:szCs w:val="21"/>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auto"/>
                <w:kern w:val="0"/>
                <w:szCs w:val="21"/>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auto"/>
                <w:kern w:val="0"/>
                <w:szCs w:val="21"/>
              </w:rPr>
            </w:pPr>
            <w:r>
              <w:rPr>
                <w:rFonts w:hint="eastAsia" w:cs="仿宋" w:asciiTheme="majorEastAsia" w:hAnsiTheme="majorEastAsia" w:eastAsiaTheme="majorEastAsia"/>
                <w:bCs/>
                <w:color w:val="auto"/>
                <w:kern w:val="0"/>
                <w:szCs w:val="21"/>
              </w:rPr>
              <w:t>履</w:t>
            </w:r>
            <w:r>
              <w:rPr>
                <w:rFonts w:hint="eastAsia" w:cs="仿宋" w:asciiTheme="majorEastAsia" w:hAnsiTheme="majorEastAsia" w:eastAsiaTheme="majorEastAsia"/>
                <w:bCs/>
                <w:color w:val="auto"/>
                <w:kern w:val="0"/>
                <w:szCs w:val="21"/>
                <w:highlight w:val="none"/>
              </w:rPr>
              <w:t>约保证金的金额：</w:t>
            </w:r>
            <w:r>
              <w:rPr>
                <w:rFonts w:hint="eastAsia" w:cs="仿宋" w:asciiTheme="majorEastAsia" w:hAnsiTheme="majorEastAsia" w:eastAsiaTheme="majorEastAsia"/>
                <w:b/>
                <w:bCs/>
                <w:color w:val="auto"/>
                <w:szCs w:val="21"/>
                <w:highlight w:val="none"/>
                <w:u w:val="single"/>
              </w:rPr>
              <w:t xml:space="preserve"> </w:t>
            </w:r>
            <w:r>
              <w:rPr>
                <w:rFonts w:hint="eastAsia" w:cs="仿宋" w:asciiTheme="majorEastAsia" w:hAnsiTheme="majorEastAsia" w:eastAsiaTheme="majorEastAsia"/>
                <w:bCs/>
                <w:color w:val="auto"/>
                <w:szCs w:val="21"/>
                <w:highlight w:val="none"/>
                <w:u w:val="single"/>
              </w:rPr>
              <w:t>中标价的</w:t>
            </w:r>
            <w:r>
              <w:rPr>
                <w:rFonts w:hint="eastAsia" w:cs="仿宋" w:asciiTheme="majorEastAsia" w:hAnsiTheme="majorEastAsia" w:eastAsiaTheme="majorEastAsia"/>
                <w:bCs/>
                <w:color w:val="auto"/>
                <w:szCs w:val="21"/>
                <w:highlight w:val="none"/>
                <w:u w:val="single"/>
                <w:lang w:val="en-US" w:eastAsia="zh-CN"/>
              </w:rPr>
              <w:t>3</w:t>
            </w:r>
            <w:r>
              <w:rPr>
                <w:rFonts w:hint="eastAsia" w:cs="仿宋" w:asciiTheme="majorEastAsia" w:hAnsiTheme="majorEastAsia" w:eastAsiaTheme="majorEastAsia"/>
                <w:bCs/>
                <w:color w:val="auto"/>
                <w:szCs w:val="21"/>
                <w:highlight w:val="none"/>
                <w:u w:val="single"/>
              </w:rPr>
              <w:t>%</w:t>
            </w:r>
            <w:r>
              <w:rPr>
                <w:rFonts w:hint="eastAsia" w:cs="仿宋" w:asciiTheme="majorEastAsia" w:hAnsiTheme="majorEastAsia" w:eastAsiaTheme="majorEastAsia"/>
                <w:bCs/>
                <w:color w:val="auto"/>
                <w:szCs w:val="21"/>
                <w:highlight w:val="none"/>
                <w:u w:val="single"/>
                <w:lang w:val="en-US" w:eastAsia="zh-CN"/>
              </w:rPr>
              <w:t>-10%</w:t>
            </w:r>
            <w:r>
              <w:rPr>
                <w:rFonts w:cs="仿宋" w:asciiTheme="majorEastAsia" w:hAnsiTheme="majorEastAsia" w:eastAsiaTheme="majorEastAsia"/>
                <w:bCs/>
                <w:color w:val="auto"/>
                <w:szCs w:val="21"/>
                <w:highlight w:val="none"/>
              </w:rPr>
              <w:t>(</w:t>
            </w:r>
            <w:r>
              <w:rPr>
                <w:rFonts w:hint="eastAsia" w:cs="仿宋" w:asciiTheme="majorEastAsia" w:hAnsiTheme="majorEastAsia" w:eastAsiaTheme="majorEastAsia"/>
                <w:bCs/>
                <w:color w:val="auto"/>
                <w:szCs w:val="21"/>
              </w:rPr>
              <w:t>具体</w:t>
            </w:r>
            <w:r>
              <w:rPr>
                <w:rFonts w:hint="eastAsia" w:cs="仿宋" w:asciiTheme="majorEastAsia" w:hAnsiTheme="majorEastAsia" w:eastAsiaTheme="majorEastAsia"/>
                <w:bCs/>
                <w:color w:val="auto"/>
                <w:szCs w:val="21"/>
                <w:lang w:val="en-US" w:eastAsia="zh-CN"/>
              </w:rPr>
              <w:t>金额</w:t>
            </w:r>
            <w:r>
              <w:rPr>
                <w:rFonts w:cs="仿宋" w:asciiTheme="majorEastAsia" w:hAnsiTheme="majorEastAsia" w:eastAsiaTheme="majorEastAsia"/>
                <w:bCs/>
                <w:color w:val="auto"/>
                <w:szCs w:val="21"/>
              </w:rPr>
              <w:t>由双方签订合同</w:t>
            </w:r>
            <w:r>
              <w:rPr>
                <w:rFonts w:hint="eastAsia" w:cs="仿宋" w:asciiTheme="majorEastAsia" w:hAnsiTheme="majorEastAsia" w:eastAsiaTheme="majorEastAsia"/>
                <w:bCs/>
                <w:color w:val="auto"/>
                <w:szCs w:val="21"/>
              </w:rPr>
              <w:t>时</w:t>
            </w:r>
            <w:r>
              <w:rPr>
                <w:rFonts w:cs="仿宋" w:asciiTheme="majorEastAsia" w:hAnsiTheme="majorEastAsia" w:eastAsiaTheme="majorEastAsia"/>
                <w:bCs/>
                <w:color w:val="auto"/>
                <w:szCs w:val="21"/>
              </w:rPr>
              <w:t>约定</w:t>
            </w:r>
            <w:r>
              <w:rPr>
                <w:rFonts w:hint="eastAsia" w:cs="仿宋" w:asciiTheme="majorEastAsia" w:hAnsiTheme="majorEastAsia" w:eastAsiaTheme="majorEastAsia"/>
                <w:bCs/>
                <w:color w:val="auto"/>
                <w:szCs w:val="21"/>
              </w:rPr>
              <w:t xml:space="preserve">) </w:t>
            </w:r>
            <w:r>
              <w:rPr>
                <w:rFonts w:hint="eastAsia" w:cs="仿宋" w:asciiTheme="majorEastAsia" w:hAnsiTheme="majorEastAsia" w:eastAsiaTheme="majorEastAsia"/>
                <w:b/>
                <w:bCs/>
                <w:color w:val="auto"/>
                <w:szCs w:val="21"/>
              </w:rPr>
              <w:t xml:space="preserve"> </w:t>
            </w:r>
          </w:p>
          <w:p>
            <w:pPr>
              <w:rPr>
                <w:rFonts w:cs="仿宋" w:asciiTheme="majorEastAsia" w:hAnsiTheme="majorEastAsia" w:eastAsiaTheme="majorEastAsia"/>
                <w:bCs/>
                <w:color w:val="auto"/>
                <w:kern w:val="0"/>
                <w:szCs w:val="21"/>
              </w:rPr>
            </w:pPr>
            <w:r>
              <w:rPr>
                <w:rFonts w:hint="eastAsia" w:cs="仿宋" w:asciiTheme="majorEastAsia" w:hAnsiTheme="majorEastAsia" w:eastAsiaTheme="majorEastAsia"/>
                <w:bCs/>
                <w:color w:val="auto"/>
                <w:kern w:val="0"/>
                <w:szCs w:val="21"/>
              </w:rPr>
              <w:t>履约保证金的形式：转账</w:t>
            </w:r>
          </w:p>
          <w:p>
            <w:pPr>
              <w:rPr>
                <w:rFonts w:cs="仿宋" w:asciiTheme="majorEastAsia" w:hAnsiTheme="majorEastAsia" w:eastAsiaTheme="majorEastAsia"/>
                <w:bCs/>
                <w:color w:val="auto"/>
                <w:kern w:val="0"/>
                <w:szCs w:val="21"/>
              </w:rPr>
            </w:pPr>
            <w:r>
              <w:rPr>
                <w:rFonts w:hint="eastAsia" w:cs="仿宋" w:asciiTheme="majorEastAsia" w:hAnsiTheme="majorEastAsia" w:eastAsiaTheme="majorEastAsia"/>
                <w:bCs/>
                <w:color w:val="auto"/>
                <w:kern w:val="0"/>
                <w:szCs w:val="21"/>
              </w:rPr>
              <w:t>保证金的缴纳方式：在收到中标通知书后，中标人须在 10 个工作日内以转账的方式向招标人提交履约保证金，否则招标人将取消其中标资格。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bCs/>
                <w:kern w:val="0"/>
                <w:szCs w:val="21"/>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招标代理服务费的计算与收取：</w:t>
            </w:r>
            <w:r>
              <w:rPr>
                <w:rFonts w:hint="eastAsia" w:ascii="宋体"/>
                <w:bCs/>
                <w:szCs w:val="21"/>
              </w:rPr>
              <w:t>经与建设单位约定，本项目招标代理费由中标单位支付，取费标准参考国家发展改革委下发的《关于降低部分建设项目收费标准规范收费行为等有关问题的通知》[2011]534号文件执行。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bCs/>
                <w:kern w:val="0"/>
                <w:szCs w:val="21"/>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本前附表与《投标人须知》中对应的条款内容如有矛盾，应以本前附表为准。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vMerge w:val="continue"/>
            <w:tcBorders>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b/>
              </w:rPr>
            </w:pPr>
            <w:r>
              <w:rPr>
                <w:rFonts w:hint="eastAsia" w:cs="仿宋" w:asciiTheme="majorEastAsia" w:hAnsiTheme="majorEastAsia" w:eastAsiaTheme="majorEastAsia"/>
                <w:b/>
                <w:bCs/>
                <w:kern w:val="0"/>
                <w:szCs w:val="21"/>
              </w:rPr>
              <w:t>开标现场除携带相关原件外，还须单独手持法人授权委托书、身份证明备查，否则作否决投标处理；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hint="default" w:cs="仿宋" w:asciiTheme="majorEastAsia" w:hAnsiTheme="majorEastAsia" w:eastAsiaTheme="majorEastAsia"/>
                <w:bCs/>
                <w:kern w:val="0"/>
                <w:szCs w:val="21"/>
                <w:lang w:val="en-US" w:eastAsia="zh-CN"/>
              </w:rPr>
            </w:pPr>
            <w:r>
              <w:rPr>
                <w:rFonts w:hint="eastAsia" w:cs="仿宋" w:asciiTheme="majorEastAsia" w:hAnsiTheme="majorEastAsia" w:eastAsiaTheme="majorEastAsia"/>
                <w:bCs/>
                <w:kern w:val="0"/>
                <w:szCs w:val="21"/>
                <w:lang w:val="en-US" w:eastAsia="zh-CN"/>
              </w:rPr>
              <w:t>32</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hint="default" w:cs="仿宋" w:asciiTheme="majorEastAsia" w:hAnsiTheme="majorEastAsia" w:eastAsiaTheme="majorEastAsia"/>
                <w:bCs/>
                <w:kern w:val="0"/>
                <w:szCs w:val="21"/>
                <w:lang w:val="en-US" w:eastAsia="zh-CN"/>
              </w:rPr>
            </w:pPr>
            <w:r>
              <w:rPr>
                <w:rFonts w:hint="eastAsia" w:cs="仿宋" w:asciiTheme="majorEastAsia" w:hAnsiTheme="majorEastAsia" w:eastAsiaTheme="majorEastAsia"/>
                <w:bCs/>
                <w:kern w:val="0"/>
                <w:szCs w:val="21"/>
                <w:lang w:val="en-US" w:eastAsia="zh-CN"/>
              </w:rPr>
              <w:t>34.2</w:t>
            </w: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政府采购政策支持</w:t>
            </w:r>
            <w:r>
              <w:rPr>
                <w:rFonts w:hint="eastAsia" w:cs="仿宋" w:asciiTheme="majorEastAsia" w:hAnsiTheme="majorEastAsia" w:eastAsiaTheme="majorEastAsia"/>
                <w:bCs/>
                <w:kern w:val="0"/>
                <w:szCs w:val="21"/>
                <w:lang w:eastAsia="zh-CN"/>
              </w:rPr>
              <w:t>：</w:t>
            </w:r>
            <w:r>
              <w:rPr>
                <w:rFonts w:hint="eastAsia" w:cs="仿宋" w:asciiTheme="majorEastAsia" w:hAnsiTheme="majorEastAsia" w:eastAsiaTheme="majorEastAsia"/>
                <w:bCs/>
                <w:kern w:val="0"/>
                <w:szCs w:val="21"/>
              </w:rPr>
              <w:t>（1）根据财政部发布的《政府采购促进中小企业发展暂行办法》（财库[2011]181 号）的规定，本项目对满足价格扣除条件且在投标文件中提交了《投标人企业类型声明函》，并满足相关规定的投标人，其投标报价扣除 6%后参与评审。</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根据财政部发布的《关于政府采购支持监狱企业发展有关问题的通知》（财库[2014]68号）的规定，本项目对满足价格扣除条件且在投标文件中提交了《投标人企业类型声明函》，并满足相关规定的投标人，其投标报价扣除 6%后参与评审。</w:t>
            </w:r>
          </w:p>
          <w:p>
            <w:pPr>
              <w:rPr>
                <w:rFonts w:cs="仿宋" w:asciiTheme="majorEastAsia" w:hAnsiTheme="majorEastAsia" w:eastAsiaTheme="majorEastAsia"/>
                <w:b/>
                <w:bCs/>
                <w:kern w:val="0"/>
                <w:szCs w:val="21"/>
              </w:rPr>
            </w:pPr>
            <w:r>
              <w:rPr>
                <w:rFonts w:hint="eastAsia" w:cs="仿宋" w:asciiTheme="majorEastAsia" w:hAnsiTheme="majorEastAsia" w:eastAsiaTheme="majorEastAsia"/>
                <w:bCs/>
                <w:kern w:val="0"/>
                <w:szCs w:val="21"/>
              </w:rPr>
              <w:t>（3）根据《财政部、民政部、中国残疾人联合会关于促进残疾人就业政府采购政策的通知》(财库[2017]141 号)的规定，对满足价格扣除条件且在投标文件中提交了《残疾人福利性单位声明函》，并满足相关规定的投标人，其投标报价扣除6%后参与评审。残疾人福利性单位属于小型、微型企业的，不重复享受政策。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hint="default" w:cs="仿宋" w:asciiTheme="majorEastAsia" w:hAnsiTheme="majorEastAsia" w:eastAsiaTheme="majorEastAsia"/>
                <w:bCs/>
                <w:kern w:val="0"/>
                <w:szCs w:val="21"/>
                <w:lang w:val="en-US" w:eastAsia="zh-CN"/>
              </w:rPr>
            </w:pPr>
            <w:r>
              <w:rPr>
                <w:rFonts w:hint="eastAsia" w:cs="仿宋" w:asciiTheme="majorEastAsia" w:hAnsiTheme="majorEastAsia" w:eastAsiaTheme="majorEastAsia"/>
                <w:bCs/>
                <w:kern w:val="0"/>
                <w:szCs w:val="21"/>
                <w:lang w:val="en-US" w:eastAsia="zh-CN"/>
              </w:rPr>
              <w:t>33</w:t>
            </w:r>
          </w:p>
        </w:tc>
        <w:tc>
          <w:tcPr>
            <w:tcW w:w="939"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jc w:val="center"/>
              <w:rPr>
                <w:rFonts w:hint="default" w:ascii="宋体" w:hAnsi="宋体" w:eastAsia="宋体"/>
                <w:sz w:val="24"/>
                <w:szCs w:val="22"/>
                <w:lang w:val="en-US" w:eastAsia="zh-CN"/>
              </w:rPr>
            </w:pPr>
            <w:r>
              <w:rPr>
                <w:rFonts w:hint="eastAsia" w:cs="仿宋" w:asciiTheme="majorEastAsia" w:hAnsiTheme="majorEastAsia" w:eastAsiaTheme="majorEastAsia"/>
                <w:bCs/>
                <w:kern w:val="0"/>
                <w:szCs w:val="21"/>
                <w:lang w:val="en-US" w:eastAsia="zh-CN"/>
              </w:rPr>
              <w:t>34.3</w:t>
            </w: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kern w:val="0"/>
                <w:szCs w:val="21"/>
              </w:rPr>
            </w:pPr>
            <w:r>
              <w:rPr>
                <w:rFonts w:hint="eastAsia" w:ascii="宋体" w:hAnsi="宋体"/>
                <w:b/>
                <w:sz w:val="24"/>
              </w:rPr>
              <w:t>特别注意</w:t>
            </w:r>
            <w:r>
              <w:rPr>
                <w:rFonts w:hint="eastAsia" w:ascii="宋体" w:hAnsi="宋体"/>
                <w:b/>
                <w:sz w:val="24"/>
                <w:lang w:eastAsia="zh-CN"/>
              </w:rPr>
              <w:t>：</w:t>
            </w:r>
            <w:r>
              <w:rPr>
                <w:rFonts w:hint="eastAsia" w:cs="仿宋" w:asciiTheme="majorEastAsia" w:hAnsiTheme="majorEastAsia" w:eastAsiaTheme="majorEastAsia"/>
                <w:bCs/>
                <w:kern w:val="0"/>
                <w:szCs w:val="21"/>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3、所有投标人的报价高于采购预算额度视为无效报价（即作否决投</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标处理）。</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4、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rPr>
                <w:b/>
                <w:szCs w:val="21"/>
              </w:rPr>
            </w:pPr>
            <w:r>
              <w:rPr>
                <w:rFonts w:hint="eastAsia" w:cs="仿宋" w:asciiTheme="majorEastAsia" w:hAnsiTheme="majorEastAsia" w:eastAsiaTheme="majorEastAsia"/>
                <w:bCs/>
                <w:kern w:val="0"/>
                <w:szCs w:val="21"/>
              </w:rPr>
              <w:t>5、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383" w:type="dxa"/>
            <w:gridSpan w:val="4"/>
            <w:tcBorders>
              <w:top w:val="single" w:color="auto" w:sz="4" w:space="0"/>
              <w:left w:val="single" w:color="auto" w:sz="4" w:space="0"/>
              <w:bottom w:val="single" w:color="auto" w:sz="4" w:space="0"/>
              <w:right w:val="single" w:color="auto" w:sz="4" w:space="0"/>
            </w:tcBorders>
            <w:vAlign w:val="center"/>
          </w:tcPr>
          <w:p>
            <w:pPr>
              <w:pStyle w:val="127"/>
              <w:tabs>
                <w:tab w:val="left" w:pos="3750"/>
              </w:tabs>
              <w:spacing w:line="440" w:lineRule="exact"/>
              <w:jc w:val="both"/>
              <w:rPr>
                <w:rFonts w:cs="Times New Roman"/>
                <w:color w:val="000000"/>
                <w:kern w:val="2"/>
                <w:sz w:val="21"/>
                <w:szCs w:val="21"/>
              </w:rPr>
            </w:pPr>
            <w:r>
              <w:rPr>
                <w:rFonts w:hint="eastAsia" w:cs="Times New Roman"/>
                <w:color w:val="000000"/>
                <w:kern w:val="2"/>
                <w:sz w:val="21"/>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383" w:type="dxa"/>
            <w:gridSpan w:val="4"/>
            <w:tcBorders>
              <w:top w:val="single" w:color="auto" w:sz="4" w:space="0"/>
              <w:left w:val="single" w:color="auto" w:sz="4" w:space="0"/>
              <w:bottom w:val="single" w:color="auto" w:sz="4" w:space="0"/>
              <w:right w:val="single" w:color="auto" w:sz="4" w:space="0"/>
            </w:tcBorders>
            <w:vAlign w:val="center"/>
          </w:tcPr>
          <w:p>
            <w:pPr>
              <w:pStyle w:val="127"/>
              <w:tabs>
                <w:tab w:val="left" w:pos="3750"/>
              </w:tabs>
              <w:spacing w:line="440" w:lineRule="exact"/>
              <w:jc w:val="both"/>
              <w:rPr>
                <w:rFonts w:cs="Times New Roman"/>
                <w:color w:val="000000"/>
                <w:kern w:val="2"/>
                <w:sz w:val="21"/>
                <w:szCs w:val="21"/>
              </w:rPr>
            </w:pPr>
            <w:r>
              <w:rPr>
                <w:rFonts w:hint="eastAsia" w:cs="Times New Roman"/>
                <w:color w:val="000000"/>
                <w:kern w:val="2"/>
                <w:sz w:val="21"/>
                <w:szCs w:val="21"/>
              </w:rPr>
              <w:t>提示：（1）供应商认为采购文件使自己的权益受到损害的，可以自获取采购文件之日或者采购公告期限届满之日（公告期限届满后获取采购文件的，以公告期限届满之日为准）起7个工作日内，以书面形式向采购人和采购代理机构提出质疑。对未按上述方式获取招标文件的供应商对该文件提出的质疑，采购人或采购代理机构将不予处理。</w:t>
            </w:r>
          </w:p>
          <w:p>
            <w:pPr>
              <w:pStyle w:val="127"/>
              <w:tabs>
                <w:tab w:val="left" w:pos="3750"/>
              </w:tabs>
              <w:spacing w:line="440" w:lineRule="exact"/>
              <w:jc w:val="both"/>
              <w:rPr>
                <w:rFonts w:cs="Times New Roman"/>
                <w:color w:val="000000"/>
                <w:kern w:val="2"/>
                <w:sz w:val="21"/>
                <w:szCs w:val="21"/>
              </w:rPr>
            </w:pPr>
            <w:r>
              <w:rPr>
                <w:rFonts w:hint="eastAsia" w:cs="Times New Roman"/>
                <w:color w:val="000000"/>
                <w:kern w:val="2"/>
                <w:sz w:val="21"/>
                <w:szCs w:val="21"/>
              </w:rPr>
              <w:t>（2）更正补充公告请自行登录新疆政府采购网查看下载。</w:t>
            </w:r>
          </w:p>
        </w:tc>
      </w:tr>
      <w:bookmarkEnd w:id="3"/>
      <w:bookmarkEnd w:id="4"/>
      <w:bookmarkEnd w:id="5"/>
    </w:tbl>
    <w:p>
      <w:pPr>
        <w:pStyle w:val="4"/>
        <w:rPr>
          <w:rFonts w:hint="default" w:cs="仿宋" w:asciiTheme="majorEastAsia" w:hAnsiTheme="majorEastAsia" w:eastAsiaTheme="majorEastAsia"/>
          <w:b w:val="0"/>
          <w:sz w:val="21"/>
          <w:szCs w:val="21"/>
          <w:lang w:val="en-US" w:eastAsia="zh-CN"/>
        </w:rPr>
      </w:pPr>
      <w:bookmarkStart w:id="6" w:name="_Toc440183408"/>
    </w:p>
    <w:p>
      <w:pPr>
        <w:pStyle w:val="4"/>
        <w:rPr>
          <w:rFonts w:cs="仿宋" w:asciiTheme="majorEastAsia" w:hAnsiTheme="majorEastAsia" w:eastAsiaTheme="majorEastAsia"/>
          <w:b w:val="0"/>
          <w:sz w:val="21"/>
          <w:szCs w:val="21"/>
        </w:rPr>
      </w:pPr>
    </w:p>
    <w:p/>
    <w:p>
      <w:pPr>
        <w:pStyle w:val="49"/>
      </w:pPr>
    </w:p>
    <w:p>
      <w:pPr>
        <w:pStyle w:val="49"/>
      </w:pPr>
    </w:p>
    <w:p>
      <w:pPr>
        <w:pStyle w:val="49"/>
      </w:pPr>
    </w:p>
    <w:p>
      <w:pPr>
        <w:pStyle w:val="49"/>
      </w:pPr>
    </w:p>
    <w:p>
      <w:pPr>
        <w:pStyle w:val="49"/>
      </w:pPr>
    </w:p>
    <w:p>
      <w:pPr>
        <w:pStyle w:val="49"/>
      </w:pPr>
    </w:p>
    <w:p>
      <w:pPr>
        <w:pStyle w:val="4"/>
        <w:rPr>
          <w:rFonts w:cs="仿宋" w:asciiTheme="majorEastAsia" w:hAnsiTheme="majorEastAsia" w:eastAsiaTheme="majorEastAsia"/>
          <w:b w:val="0"/>
          <w:sz w:val="21"/>
          <w:szCs w:val="21"/>
        </w:rPr>
      </w:pPr>
    </w:p>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bookmarkEnd w:id="6"/>
    <w:p>
      <w:pPr>
        <w:pStyle w:val="4"/>
        <w:rPr>
          <w:rFonts w:cs="仿宋" w:asciiTheme="majorEastAsia" w:hAnsiTheme="majorEastAsia" w:eastAsiaTheme="majorEastAsia"/>
          <w:b w:val="0"/>
          <w:color w:val="FF0000"/>
          <w:sz w:val="21"/>
          <w:szCs w:val="21"/>
        </w:rPr>
      </w:pPr>
      <w:r>
        <w:rPr>
          <w:rFonts w:hint="eastAsia" w:cs="仿宋" w:asciiTheme="majorEastAsia" w:hAnsiTheme="majorEastAsia" w:eastAsiaTheme="majorEastAsia"/>
          <w:b w:val="0"/>
          <w:color w:val="FF0000"/>
          <w:sz w:val="21"/>
          <w:szCs w:val="21"/>
        </w:rPr>
        <w:t>（一） 总则</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1．项目概况及招标范围</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1.1 项目概况</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根据《中华人民共和国政府采购法》等有关法律、法规和规章的规定，本招标项目已具备招标条件，现对本项目流程再造及多项目组合综合咨询服务进行招标。</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1.2 招标范围</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本次招标的范围见投标人须知前附表第6项。</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1.3 联系方式</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本次招标的招标人或招标代理机构联系方式见投标人须知前附表第8项。</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2．合格的投标人</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2.1满足《中华人民共和国政府采购法》第二十二条规定；（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2.2</w:t>
      </w:r>
      <w:r>
        <w:rPr>
          <w:rFonts w:hint="eastAsia"/>
        </w:rPr>
        <w:t>有效的“三证合一”的营业执照，且应具有采购需求相应的经营范围</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w:t>
      </w:r>
      <w:r>
        <w:rPr>
          <w:rFonts w:hint="eastAsia"/>
          <w:highlight w:val="none"/>
        </w:rPr>
        <w:t>投标单位应有依法缴纳税收证明(附：</w:t>
      </w:r>
      <w:r>
        <w:rPr>
          <w:rFonts w:hint="eastAsia" w:cs="仿宋" w:asciiTheme="majorEastAsia" w:hAnsiTheme="majorEastAsia" w:eastAsiaTheme="majorEastAsia"/>
          <w:bCs/>
          <w:color w:val="000000" w:themeColor="text1"/>
          <w:kern w:val="0"/>
          <w:szCs w:val="21"/>
          <w:highlight w:val="none"/>
          <w14:textFill>
            <w14:solidFill>
              <w14:schemeClr w14:val="tx1"/>
            </w14:solidFill>
          </w14:textFill>
        </w:rPr>
        <w:t>近</w:t>
      </w:r>
      <w:r>
        <w:rPr>
          <w:rFonts w:hint="eastAsia" w:cs="仿宋" w:asciiTheme="majorEastAsia" w:hAnsiTheme="majorEastAsia" w:eastAsiaTheme="majorEastAsia"/>
          <w:bCs/>
          <w:color w:val="000000" w:themeColor="text1"/>
          <w:kern w:val="0"/>
          <w:szCs w:val="21"/>
          <w:highlight w:val="none"/>
          <w:lang w:val="en-US" w:eastAsia="zh-CN"/>
          <w14:textFill>
            <w14:solidFill>
              <w14:schemeClr w14:val="tx1"/>
            </w14:solidFill>
          </w14:textFill>
        </w:rPr>
        <w:t>三</w:t>
      </w:r>
      <w:r>
        <w:rPr>
          <w:rFonts w:hint="eastAsia" w:cs="仿宋" w:asciiTheme="majorEastAsia" w:hAnsiTheme="majorEastAsia" w:eastAsiaTheme="majorEastAsia"/>
          <w:bCs/>
          <w:color w:val="000000" w:themeColor="text1"/>
          <w:kern w:val="0"/>
          <w:szCs w:val="21"/>
          <w:highlight w:val="none"/>
          <w14:textFill>
            <w14:solidFill>
              <w14:schemeClr w14:val="tx1"/>
            </w14:solidFill>
          </w14:textFill>
        </w:rPr>
        <w:t>个月的完税证明</w:t>
      </w:r>
      <w:r>
        <w:rPr>
          <w:rFonts w:hint="eastAsia" w:cs="仿宋" w:asciiTheme="majorEastAsia" w:hAnsiTheme="majorEastAsia" w:eastAsiaTheme="majorEastAsia"/>
          <w:bCs/>
          <w:color w:val="000000" w:themeColor="text1"/>
          <w:kern w:val="0"/>
          <w:szCs w:val="21"/>
          <w:highlight w:val="none"/>
          <w:lang w:val="en-US" w:eastAsia="zh-CN"/>
          <w14:textFill>
            <w14:solidFill>
              <w14:schemeClr w14:val="tx1"/>
            </w14:solidFill>
          </w14:textFill>
        </w:rPr>
        <w:t>或税务局出具的无欠税证明</w:t>
      </w:r>
      <w:r>
        <w:rPr>
          <w:rFonts w:hint="eastAsia" w:cs="仿宋" w:asciiTheme="majorEastAsia" w:hAnsiTheme="majorEastAsia" w:eastAsiaTheme="majorEastAsia"/>
          <w:bCs/>
          <w:color w:val="000000" w:themeColor="text1"/>
          <w:kern w:val="0"/>
          <w:szCs w:val="21"/>
          <w:highlight w:val="none"/>
          <w:lang w:eastAsia="zh-CN"/>
          <w14:textFill>
            <w14:solidFill>
              <w14:schemeClr w14:val="tx1"/>
            </w14:solidFill>
          </w14:textFill>
        </w:rPr>
        <w:t>）</w:t>
      </w:r>
      <w:r>
        <w:rPr>
          <w:rFonts w:hint="eastAsia"/>
          <w:highlight w:val="none"/>
        </w:rPr>
        <w:t>；</w:t>
      </w:r>
    </w:p>
    <w:p>
      <w:pPr>
        <w:spacing w:line="360" w:lineRule="auto"/>
        <w:ind w:firstLine="420" w:firstLineChars="20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2.4</w:t>
      </w:r>
      <w:r>
        <w:rPr>
          <w:rFonts w:hint="eastAsia"/>
          <w:highlight w:val="none"/>
        </w:rPr>
        <w:t>投标单位应提供近一年度（2020年）财务审计报告</w:t>
      </w:r>
      <w:r>
        <w:rPr>
          <w:rFonts w:hint="eastAsia"/>
          <w:highlight w:val="none"/>
          <w:lang w:val="en-US" w:eastAsia="zh-CN"/>
        </w:rPr>
        <w:t>原件</w:t>
      </w:r>
      <w:r>
        <w:rPr>
          <w:rFonts w:hint="eastAsia"/>
          <w:highlight w:val="none"/>
        </w:rPr>
        <w:t>(</w:t>
      </w:r>
      <w:r>
        <w:rPr>
          <w:rFonts w:hint="eastAsia"/>
          <w:highlight w:val="none"/>
          <w:lang w:eastAsia="zh-CN"/>
        </w:rPr>
        <w:t>新成立公司可不提供财务审计报告但必须</w:t>
      </w:r>
      <w:r>
        <w:rPr>
          <w:rFonts w:hint="eastAsia"/>
          <w:highlight w:val="none"/>
          <w:lang w:val="en-US" w:eastAsia="zh-CN"/>
        </w:rPr>
        <w:t>提供</w:t>
      </w:r>
      <w:r>
        <w:rPr>
          <w:rFonts w:hint="eastAsia"/>
          <w:highlight w:val="none"/>
          <w:lang w:eastAsia="zh-CN"/>
        </w:rPr>
        <w:t>健全的财务会计制度</w:t>
      </w:r>
      <w:r>
        <w:rPr>
          <w:rFonts w:hint="eastAsia"/>
          <w:highlight w:val="none"/>
          <w:lang w:val="en-US" w:eastAsia="zh-CN"/>
        </w:rPr>
        <w:t>并加盖鲜章</w:t>
      </w:r>
      <w:r>
        <w:rPr>
          <w:rFonts w:hint="eastAsia"/>
          <w:highlight w:val="none"/>
        </w:rPr>
        <w:t>)</w:t>
      </w:r>
    </w:p>
    <w:p>
      <w:pPr>
        <w:pStyle w:val="39"/>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2.5</w:t>
      </w:r>
      <w:r>
        <w:rPr>
          <w:rFonts w:hint="eastAsia"/>
          <w:highlight w:val="none"/>
        </w:rPr>
        <w:t>凡拟参加本次招标项目的投标企业法人或委托代理人须提供近六个月的社保个人明细表；</w:t>
      </w:r>
      <w:r>
        <w:rPr>
          <w:rFonts w:hint="eastAsia"/>
          <w:highlight w:val="none"/>
          <w:lang w:eastAsia="zh-CN"/>
        </w:rPr>
        <w:t>（</w:t>
      </w:r>
      <w:r>
        <w:rPr>
          <w:rFonts w:hint="eastAsia"/>
          <w:highlight w:val="none"/>
          <w:lang w:val="en-US" w:eastAsia="zh-CN"/>
        </w:rPr>
        <w:t>不足六个月的公司按实际发生</w:t>
      </w:r>
      <w:r>
        <w:rPr>
          <w:rFonts w:hint="eastAsia"/>
          <w:highlight w:val="none"/>
          <w:lang w:eastAsia="zh-CN"/>
        </w:rPr>
        <w:t>）</w:t>
      </w:r>
    </w:p>
    <w:p>
      <w:pPr>
        <w:pStyle w:val="39"/>
        <w:rPr>
          <w:rFonts w:hint="eastAsia" w:cs="仿宋" w:asciiTheme="majorEastAsia" w:hAnsiTheme="majorEastAsia" w:eastAsiaTheme="majorEastAsia"/>
          <w:szCs w:val="21"/>
        </w:rPr>
      </w:pPr>
      <w:r>
        <w:rPr>
          <w:rFonts w:hint="eastAsia" w:cs="仿宋" w:asciiTheme="majorEastAsia" w:hAnsiTheme="majorEastAsia" w:eastAsiaTheme="majorEastAsia"/>
          <w:szCs w:val="21"/>
        </w:rPr>
        <w:t>2.6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列入经营异常名录信息、列入严重违法失信企业名单（黑名单）信息，将拒绝其参与本次采购活动（开标现场由招标代理查询）；</w:t>
      </w:r>
    </w:p>
    <w:p>
      <w:pPr>
        <w:pStyle w:val="39"/>
        <w:rPr>
          <w:rFonts w:hint="default" w:cs="仿宋" w:asciiTheme="majorEastAsia" w:hAnsiTheme="majorEastAsia" w:eastAsiaTheme="majorEastAsia"/>
          <w:szCs w:val="21"/>
          <w:lang w:val="en-US" w:eastAsia="zh-CN"/>
        </w:rPr>
      </w:pPr>
      <w:r>
        <w:rPr>
          <w:rFonts w:hint="eastAsia" w:cs="仿宋" w:asciiTheme="majorEastAsia" w:hAnsiTheme="majorEastAsia" w:eastAsiaTheme="majorEastAsia"/>
          <w:szCs w:val="21"/>
          <w:lang w:val="en-US" w:eastAsia="zh-CN"/>
        </w:rPr>
        <w:t>2.7</w:t>
      </w:r>
      <w:r>
        <w:rPr>
          <w:rFonts w:hint="eastAsia"/>
        </w:rPr>
        <w:t>保证金缴纳票据（墨玉县公共资源平台交易中心开具的投标保证金收据）。</w:t>
      </w:r>
    </w:p>
    <w:p>
      <w:pPr>
        <w:pStyle w:val="39"/>
        <w:rPr>
          <w:rFonts w:cs="仿宋" w:asciiTheme="majorEastAsia" w:hAnsiTheme="majorEastAsia" w:eastAsiaTheme="majorEastAsia"/>
          <w:szCs w:val="21"/>
        </w:rPr>
      </w:pPr>
      <w:r>
        <w:rPr>
          <w:rFonts w:hint="eastAsia" w:cs="仿宋" w:asciiTheme="majorEastAsia" w:hAnsiTheme="majorEastAsia" w:eastAsiaTheme="majorEastAsia"/>
          <w:szCs w:val="21"/>
        </w:rPr>
        <w:t>2.</w:t>
      </w:r>
      <w:r>
        <w:rPr>
          <w:rFonts w:hint="eastAsia" w:cs="仿宋" w:asciiTheme="majorEastAsia" w:hAnsiTheme="majorEastAsia" w:eastAsiaTheme="majorEastAsia"/>
          <w:szCs w:val="21"/>
          <w:lang w:val="en-US" w:eastAsia="zh-CN"/>
        </w:rPr>
        <w:t>8</w:t>
      </w:r>
      <w:r>
        <w:rPr>
          <w:rFonts w:hint="eastAsia" w:cs="仿宋" w:asciiTheme="majorEastAsia" w:hAnsiTheme="majorEastAsia" w:eastAsiaTheme="majorEastAsia"/>
          <w:szCs w:val="21"/>
        </w:rPr>
        <w:t>资格审查方式见投标人须知前附表第11项。</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w:t>
      </w:r>
      <w:r>
        <w:rPr>
          <w:rFonts w:hint="eastAsia" w:cs="仿宋" w:asciiTheme="majorEastAsia" w:hAnsiTheme="majorEastAsia" w:eastAsiaTheme="majorEastAsia"/>
          <w:szCs w:val="21"/>
          <w:lang w:val="en-US" w:eastAsia="zh-CN"/>
        </w:rPr>
        <w:t>9</w:t>
      </w:r>
      <w:r>
        <w:rPr>
          <w:rFonts w:hint="eastAsia" w:cs="仿宋" w:asciiTheme="majorEastAsia" w:hAnsiTheme="majorEastAsia" w:eastAsiaTheme="majorEastAsia"/>
          <w:szCs w:val="21"/>
        </w:rPr>
        <w:t>当采用资格后审方式时，投标人在提交的投标文件中须包括资格审查资料。只有最终通过资格审查的投标人才有可能成为本项目的中标人。</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3．投标预备会议</w:t>
      </w:r>
    </w:p>
    <w:p>
      <w:pPr>
        <w:spacing w:line="360" w:lineRule="auto"/>
        <w:ind w:firstLine="420" w:firstLineChars="200"/>
        <w:rPr>
          <w:rFonts w:cs="仿宋" w:asciiTheme="majorEastAsia" w:hAnsiTheme="majorEastAsia" w:eastAsiaTheme="majorEastAsia"/>
          <w:szCs w:val="21"/>
        </w:rPr>
      </w:pPr>
      <w:bookmarkStart w:id="7" w:name="_Toc440183409"/>
      <w:r>
        <w:rPr>
          <w:rFonts w:hint="eastAsia" w:cs="仿宋" w:asciiTheme="majorEastAsia" w:hAnsiTheme="majorEastAsia" w:eastAsiaTheme="majorEastAsia"/>
          <w:szCs w:val="21"/>
        </w:rPr>
        <w:t>3.1 招标代理机构将按照投标人须知前附表第13项规定的时间、地点组织投标预备会议。会议的目的是澄清疑问，解答投标人提出的与本次招标有关的问题。投标人应派代表准时参加。会议提出并解答的问题，招标代理机构应以书面的形式提供给所有投标人，并为招标文件组成的一部分。</w:t>
      </w:r>
    </w:p>
    <w:p>
      <w:pPr>
        <w:pStyle w:val="49"/>
      </w:pPr>
      <w:r>
        <w:rPr>
          <w:rFonts w:hint="eastAsia"/>
        </w:rPr>
        <w:t>（二）招标文件说明</w:t>
      </w:r>
    </w:p>
    <w:bookmarkEnd w:id="7"/>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4．招标文件的组成</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4.1 本招标文件包括以下内容：</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第一章  招标公告</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第二章  投标人须知</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第三章  评标办法</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第四章  合同条款及格式</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第五章  技术要求</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第六章  投标文件格式</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4.2  除4.1内容外，招标人在投标截止时间15天前，以书面形式发出的对招标文件的澄清或修改内容，均为招标文件的组成部分，对招标人和投标人起约束作用。</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4.3  投标人获取招标文件后，应仔细检查招标文件的所有内容，如有残缺等问题应及时向招标代理机构提出，否则，由此引起的损失由投标人自己承担。投标人同时应认真审阅招标文件中所有的事项、格式、条款和规范要求等，若投标人的投标文件没有按招标文件的要求提交全部资料，或投标文件没有对招标文件做出实质性响应，其风险由投标人自行承担，并根据有关条款规定，该投标有可能被拒绝。</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5．招标文件的澄清</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5.1 投标人若对招标文件有任何疑问，应按照投标人须知前附表第14项规定的截止时间前以书面形式向招标代理机构提出澄清要求。无论是招标人或招标代理机构根据需要主动对招标文件进行必要的澄清，或是根据投标人的要求对招标文件做出澄清，招标代理机构都将于投标截止时间15日前以书面形式予以澄清，同时将书面澄清文件向所有投标人发送。投标人在收到该澄清文件后应于投标人须知前附表第1</w:t>
      </w:r>
      <w:r>
        <w:rPr>
          <w:rFonts w:hint="eastAsia" w:cs="仿宋" w:asciiTheme="majorEastAsia" w:hAnsiTheme="majorEastAsia" w:eastAsiaTheme="majorEastAsia"/>
          <w:szCs w:val="21"/>
          <w:lang w:val="en-US" w:eastAsia="zh-CN"/>
        </w:rPr>
        <w:t>4</w:t>
      </w:r>
      <w:r>
        <w:rPr>
          <w:rFonts w:hint="eastAsia" w:cs="仿宋" w:asciiTheme="majorEastAsia" w:hAnsiTheme="majorEastAsia" w:eastAsiaTheme="majorEastAsia"/>
          <w:szCs w:val="21"/>
        </w:rPr>
        <w:t>项规定的时间内，以书面形式给予确认，该澄清作为招标文件的组成部分，具有约束作用。</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6．招标文件的修改</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6.1 招标文件发出后，在提交投标文件截止时间15日前，招标人或招标代理机构可对招标文件进行必要的澄清或修改。</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6.2 招标文件的修改将以书面形式发送给所有投标人，投标人应于收到该修改文件后按投标人须知前附表第14项规定的时间内，以书面形式给予确认。招标文件的修改内容作为招标文件的组成部分，具有约束作用。</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6.3 招标文件的澄清、修改、补充等内容均以书面形式明确的内容为准。当招标文件、招标文件的澄清、修改、补充等在同一内容的表述上不一致时，以最后发出的书面文件为准。</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6.4 为使投标人在编制投标文件时有充分的时间对招标文件的澄清、修改、补充等内容进行研究，招标人或招标代理机构将酌情延长提交投标文件的截止时间，具体时间将在招标文件的修改、补充通知中予以明确。</w:t>
      </w:r>
    </w:p>
    <w:p>
      <w:pPr>
        <w:pStyle w:val="4"/>
        <w:rPr>
          <w:rFonts w:cs="仿宋" w:asciiTheme="majorEastAsia" w:hAnsiTheme="majorEastAsia" w:eastAsiaTheme="majorEastAsia"/>
          <w:b w:val="0"/>
          <w:sz w:val="21"/>
          <w:szCs w:val="21"/>
        </w:rPr>
      </w:pPr>
      <w:bookmarkStart w:id="8" w:name="_Toc440183410"/>
      <w:r>
        <w:rPr>
          <w:rFonts w:hint="eastAsia" w:cs="仿宋" w:asciiTheme="majorEastAsia" w:hAnsiTheme="majorEastAsia" w:eastAsiaTheme="majorEastAsia"/>
          <w:b w:val="0"/>
          <w:sz w:val="21"/>
          <w:szCs w:val="21"/>
        </w:rPr>
        <w:t>（三） 投标文件的编写</w:t>
      </w:r>
      <w:bookmarkEnd w:id="8"/>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7．投标语言</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投标文件、与投标有关的一切文件和往来信件应以中文书写。</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8．计量单位</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除工程规范中另有规定外，投标文件使用的度量衡单位，均应使用中华人民共和国法定计量单位。</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9．投标文件的组成</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9.1 投标文件由商务部分、技术部分和开标一览表三部分组成。</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9.2 各组成部分包括内容详见投标人须知前附表及招标文件第六章“投标文件格式”。</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10．投标文件格式</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10.1投标文件包括本须知第9条中的全部内容。投标人提交的投标文件应当使用招标文件第六章“投标文件格式”所提供的投标文件全部格式（表格可以按同样格式扩展）。</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11．投标报价</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11.1本项目的投标报价采用投标人须知前附表第15项所规定的方式进行报价。</w:t>
      </w:r>
    </w:p>
    <w:p>
      <w:pPr>
        <w:spacing w:line="360" w:lineRule="auto"/>
        <w:ind w:firstLine="420" w:firstLineChars="200"/>
        <w:rPr>
          <w:rFonts w:cs="仿宋" w:asciiTheme="majorEastAsia" w:hAnsiTheme="majorEastAsia" w:eastAsiaTheme="majorEastAsia"/>
          <w:szCs w:val="21"/>
        </w:rPr>
      </w:pPr>
      <w:r>
        <w:rPr>
          <w:rFonts w:hint="eastAsia"/>
        </w:rPr>
        <w:t xml:space="preserve">    </w:t>
      </w:r>
      <w:r>
        <w:rPr>
          <w:rFonts w:hint="eastAsia" w:cs="仿宋" w:asciiTheme="majorEastAsia" w:hAnsiTheme="majorEastAsia" w:eastAsiaTheme="majorEastAsia"/>
          <w:szCs w:val="21"/>
        </w:rPr>
        <w:t>11.1.1供应商应在投标的</w:t>
      </w:r>
      <w:r>
        <w:rPr>
          <w:rFonts w:hint="eastAsia" w:cs="仿宋" w:asciiTheme="majorEastAsia" w:hAnsiTheme="majorEastAsia" w:eastAsiaTheme="majorEastAsia"/>
          <w:szCs w:val="21"/>
          <w:lang w:eastAsia="zh-CN"/>
        </w:rPr>
        <w:t>报价表</w:t>
      </w:r>
      <w:r>
        <w:rPr>
          <w:rFonts w:hint="eastAsia" w:cs="仿宋" w:asciiTheme="majorEastAsia" w:hAnsiTheme="majorEastAsia" w:eastAsiaTheme="majorEastAsia"/>
          <w:szCs w:val="21"/>
        </w:rPr>
        <w:t>上标明单价和总价。（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供应商应在投标报价表中标明其提供的所有货物及其相关工作范围内所在费用的总价。</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11.2 投标人的投标报价，应是完成招标文件及附件中的要求和合同条款上所列招标范围的全部，不得以任何理由予以重复，作为投标人计算单价或总价的依据。除非招标人对招标文件予以修改，投标人应按本招标文件及招标人提供的技术资料进行报价。任何有选择的报价将不予接受。</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11.3 投标报价应包括所有流程再造及多项目组合综合咨询服务费用，不仅限流程再造及多项目组合综合咨询服务的劳务、管理、咨询联络、交通、维护、保险、利润、税金、政策性文件规定及合同包含的所有风险、责任等各项所有费用。</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12．投标货币</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12.1本工程投标报价采用的币种见投标人须知前附表第16项规定。</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13．投标有效期</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13.1 投标有效期见投标人须知前附表第17项所规定的期限，在此期限内，凡符合本招标文件要求的投标文件均保持有效。</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13.2 在特殊情况下，招标人或招标代理机构在原定投标有效期内，可以根据需要以书面形式向投标人提出延长投标有效期的要求，对此要求投标人须以书面形式予以答复。投标人可以拒绝这种要求，而不被没收投标保证金。同意延长投标有效期的投标人既不能要求也不允许修改其投标文件，但需要相应的延长投标担保的有效期，在延长的投标有效期内，本须知第14条关于投标保证金的退还与没收的规定仍然适用。</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14．投标保证金</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14.1投标人在递交投标文件的同时，应按投标人须知前附表第18项规定的金额、形式的规定递交投标保证金，并作为其投标文件的组成部分。联合体投标的，其投标保证金由牵头人递交，并应符合投标人须知前附表第18项的规定。</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14.2 投标人不按本章第14.1 项要求提交投标保证金的，其投标文件作废标处理。</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14.3 有下列情形之一的，投标保证金将不予退还：</w:t>
      </w:r>
    </w:p>
    <w:p>
      <w:pPr>
        <w:spacing w:line="360" w:lineRule="auto"/>
        <w:ind w:firstLine="630" w:firstLineChars="300"/>
        <w:rPr>
          <w:rFonts w:cs="仿宋" w:asciiTheme="majorEastAsia" w:hAnsiTheme="majorEastAsia" w:eastAsiaTheme="majorEastAsia"/>
          <w:szCs w:val="21"/>
        </w:rPr>
      </w:pPr>
      <w:r>
        <w:rPr>
          <w:rFonts w:hint="eastAsia" w:cs="仿宋" w:asciiTheme="majorEastAsia" w:hAnsiTheme="majorEastAsia" w:eastAsiaTheme="majorEastAsia"/>
          <w:szCs w:val="21"/>
        </w:rPr>
        <w:t>(1) 中标人因自身原因未能在规定期限内与招标人签订服务合同；</w:t>
      </w:r>
    </w:p>
    <w:p>
      <w:pPr>
        <w:spacing w:line="360" w:lineRule="auto"/>
        <w:ind w:firstLine="630" w:firstLineChars="300"/>
        <w:rPr>
          <w:rFonts w:cs="仿宋" w:asciiTheme="majorEastAsia" w:hAnsiTheme="majorEastAsia" w:eastAsiaTheme="majorEastAsia"/>
          <w:szCs w:val="21"/>
        </w:rPr>
      </w:pPr>
      <w:r>
        <w:rPr>
          <w:rFonts w:hint="eastAsia" w:cs="仿宋" w:asciiTheme="majorEastAsia" w:hAnsiTheme="majorEastAsia" w:eastAsiaTheme="majorEastAsia"/>
          <w:szCs w:val="21"/>
        </w:rPr>
        <w:t>(2) 中标人应提交责任保险而未能提交；</w:t>
      </w:r>
    </w:p>
    <w:p>
      <w:pPr>
        <w:spacing w:line="360" w:lineRule="auto"/>
        <w:ind w:firstLine="630" w:firstLineChars="300"/>
        <w:rPr>
          <w:rFonts w:cs="仿宋" w:asciiTheme="majorEastAsia" w:hAnsiTheme="majorEastAsia" w:eastAsiaTheme="majorEastAsia"/>
          <w:szCs w:val="21"/>
        </w:rPr>
      </w:pPr>
      <w:r>
        <w:rPr>
          <w:rFonts w:hint="eastAsia" w:cs="仿宋" w:asciiTheme="majorEastAsia" w:hAnsiTheme="majorEastAsia" w:eastAsiaTheme="majorEastAsia"/>
          <w:szCs w:val="21"/>
        </w:rPr>
        <w:t>(3) 投标人在投标有效期满前撤回投标。</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14.4招标人与中标人签订合同后5个工作日内，由公共资源交易中心向未中标的投标人和中标人退还投标保证金。详见投标人须知前附表第18项规定。</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15．投标人的备选方案</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15.1 投标人所提交的投标文件应满足招标文件的要求，除非投标人须知前附表第19项中不允许投标人提交备选方案，否则备选方案将不予考虑。如果允许投标人提交备选方案，则执行本须知第15.2款的规定。</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15.2 如果投标人须知前附表第18项中允许投标人提交备选方案，则投标人除提交正式投标文件外，还应按照招标文件要求提交备选方案。备选方案应包括服务方案、图纸、投资估算表、备选方案报价书等满足评标需要的全部资料。</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16．投标文件的份数和签署</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16.1 投标人应按投标人须知前附表第20项要求提供投标文件的份数。</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16.2 投标文件的正本和副本均需打印或使用不褪色的蓝、黑墨水笔书写，字迹应清晰易于辨认，并应在投标文件封面的右上角清楚地注明“正本”或“副本”。正本和副本如有不一致之处，以正本为准。</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16.3 投标文件封面、投标函均应加盖投标人印章并经法定代表人或其授权代表签字或盖章。由授权代表签字或盖章的在投标文件中须同时提交投标文件签署授权委托书。投标文件签署授权委托书格式、签字、盖章及内容均应符合要求，否则投标文件签署授权委托书无效。</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16.4 投标人如对投标文件有修改，修改处应由投标人加盖投标人的印章或由法定代表人或其授权代表签字或盖章。</w:t>
      </w:r>
    </w:p>
    <w:p>
      <w:pPr>
        <w:pStyle w:val="4"/>
        <w:rPr>
          <w:rFonts w:cs="仿宋" w:asciiTheme="majorEastAsia" w:hAnsiTheme="majorEastAsia" w:eastAsiaTheme="majorEastAsia"/>
          <w:b w:val="0"/>
          <w:sz w:val="21"/>
          <w:szCs w:val="21"/>
        </w:rPr>
      </w:pPr>
      <w:bookmarkStart w:id="9" w:name="_Toc440183411"/>
      <w:r>
        <w:rPr>
          <w:rFonts w:hint="eastAsia" w:cs="仿宋" w:asciiTheme="majorEastAsia" w:hAnsiTheme="majorEastAsia" w:eastAsiaTheme="majorEastAsia"/>
          <w:b w:val="0"/>
          <w:sz w:val="21"/>
          <w:szCs w:val="21"/>
        </w:rPr>
        <w:t>（四） 投标文件的提交</w:t>
      </w:r>
      <w:bookmarkEnd w:id="9"/>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17．投标文件的装订、密封和标记</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17.1 投标文件的装订要求按投标人须知前附表第21项规定执行。</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17.2 投标文件的密封要求按投标人须知前附表第21项规定执行。</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17.3 在内层和外层投标文件密封袋上均应：</w:t>
      </w:r>
    </w:p>
    <w:p>
      <w:pPr>
        <w:spacing w:line="360" w:lineRule="auto"/>
        <w:ind w:firstLine="630" w:firstLineChars="300"/>
        <w:rPr>
          <w:rFonts w:cs="仿宋" w:asciiTheme="majorEastAsia" w:hAnsiTheme="majorEastAsia" w:eastAsiaTheme="majorEastAsia"/>
          <w:szCs w:val="21"/>
        </w:rPr>
      </w:pPr>
      <w:r>
        <w:rPr>
          <w:rFonts w:hint="eastAsia" w:cs="仿宋" w:asciiTheme="majorEastAsia" w:hAnsiTheme="majorEastAsia" w:eastAsiaTheme="majorEastAsia"/>
          <w:szCs w:val="21"/>
        </w:rPr>
        <w:t>17.3.1 写明招标人的名称和地址；</w:t>
      </w:r>
    </w:p>
    <w:p>
      <w:pPr>
        <w:spacing w:line="360" w:lineRule="auto"/>
        <w:ind w:firstLine="630" w:firstLineChars="300"/>
        <w:rPr>
          <w:rFonts w:cs="仿宋" w:asciiTheme="majorEastAsia" w:hAnsiTheme="majorEastAsia" w:eastAsiaTheme="majorEastAsia"/>
          <w:szCs w:val="21"/>
        </w:rPr>
      </w:pPr>
      <w:r>
        <w:rPr>
          <w:rFonts w:hint="eastAsia" w:cs="仿宋" w:asciiTheme="majorEastAsia" w:hAnsiTheme="majorEastAsia" w:eastAsiaTheme="majorEastAsia"/>
          <w:szCs w:val="21"/>
        </w:rPr>
        <w:t>17.3.2 注明下列识别标记：</w:t>
      </w:r>
    </w:p>
    <w:p>
      <w:pPr>
        <w:spacing w:line="360" w:lineRule="auto"/>
        <w:ind w:firstLine="840" w:firstLineChars="400"/>
        <w:rPr>
          <w:rFonts w:cs="仿宋" w:asciiTheme="majorEastAsia" w:hAnsiTheme="majorEastAsia" w:eastAsiaTheme="majorEastAsia"/>
          <w:szCs w:val="21"/>
        </w:rPr>
      </w:pPr>
      <w:r>
        <w:rPr>
          <w:rFonts w:hint="eastAsia" w:cs="仿宋" w:asciiTheme="majorEastAsia" w:hAnsiTheme="majorEastAsia" w:eastAsiaTheme="majorEastAsia"/>
          <w:szCs w:val="21"/>
        </w:rPr>
        <w:t>（1） 项目编号；</w:t>
      </w:r>
    </w:p>
    <w:p>
      <w:pPr>
        <w:spacing w:line="360" w:lineRule="auto"/>
        <w:ind w:firstLine="840" w:firstLineChars="400"/>
        <w:rPr>
          <w:rFonts w:cs="仿宋" w:asciiTheme="majorEastAsia" w:hAnsiTheme="majorEastAsia" w:eastAsiaTheme="majorEastAsia"/>
          <w:szCs w:val="21"/>
        </w:rPr>
      </w:pPr>
      <w:r>
        <w:rPr>
          <w:rFonts w:hint="eastAsia" w:cs="仿宋" w:asciiTheme="majorEastAsia" w:hAnsiTheme="majorEastAsia" w:eastAsiaTheme="majorEastAsia"/>
          <w:szCs w:val="21"/>
        </w:rPr>
        <w:t>（2） 项目名称；</w:t>
      </w:r>
    </w:p>
    <w:p>
      <w:pPr>
        <w:spacing w:line="360" w:lineRule="auto"/>
        <w:ind w:firstLine="840" w:firstLineChars="400"/>
        <w:rPr>
          <w:rFonts w:cs="仿宋" w:asciiTheme="majorEastAsia" w:hAnsiTheme="majorEastAsia" w:eastAsiaTheme="majorEastAsia"/>
          <w:szCs w:val="21"/>
        </w:rPr>
      </w:pPr>
      <w:r>
        <w:rPr>
          <w:rFonts w:hint="eastAsia" w:cs="仿宋" w:asciiTheme="majorEastAsia" w:hAnsiTheme="majorEastAsia" w:eastAsiaTheme="majorEastAsia"/>
          <w:szCs w:val="21"/>
        </w:rPr>
        <w:t>（3）</w:t>
      </w:r>
      <w:r>
        <w:rPr>
          <w:rFonts w:hint="eastAsia" w:cs="仿宋" w:asciiTheme="majorEastAsia" w:hAnsiTheme="majorEastAsia" w:eastAsiaTheme="majorEastAsia"/>
          <w:szCs w:val="21"/>
          <w:u w:val="single"/>
        </w:rPr>
        <w:t xml:space="preserve">      </w:t>
      </w:r>
      <w:r>
        <w:rPr>
          <w:rFonts w:hint="eastAsia" w:cs="仿宋" w:asciiTheme="majorEastAsia" w:hAnsiTheme="majorEastAsia" w:eastAsiaTheme="majorEastAsia"/>
          <w:szCs w:val="21"/>
        </w:rPr>
        <w:t>年</w:t>
      </w:r>
      <w:r>
        <w:rPr>
          <w:rFonts w:hint="eastAsia" w:cs="仿宋" w:asciiTheme="majorEastAsia" w:hAnsiTheme="majorEastAsia" w:eastAsiaTheme="majorEastAsia"/>
          <w:szCs w:val="21"/>
          <w:u w:val="single"/>
        </w:rPr>
        <w:t xml:space="preserve">    </w:t>
      </w:r>
      <w:r>
        <w:rPr>
          <w:rFonts w:hint="eastAsia" w:cs="仿宋" w:asciiTheme="majorEastAsia" w:hAnsiTheme="majorEastAsia" w:eastAsiaTheme="majorEastAsia"/>
          <w:szCs w:val="21"/>
        </w:rPr>
        <w:t>月</w:t>
      </w:r>
      <w:r>
        <w:rPr>
          <w:rFonts w:hint="eastAsia" w:cs="仿宋" w:asciiTheme="majorEastAsia" w:hAnsiTheme="majorEastAsia" w:eastAsiaTheme="majorEastAsia"/>
          <w:szCs w:val="21"/>
          <w:u w:val="single"/>
        </w:rPr>
        <w:t xml:space="preserve">    </w:t>
      </w:r>
      <w:r>
        <w:rPr>
          <w:rFonts w:hint="eastAsia" w:cs="仿宋" w:asciiTheme="majorEastAsia" w:hAnsiTheme="majorEastAsia" w:eastAsiaTheme="majorEastAsia"/>
          <w:szCs w:val="21"/>
        </w:rPr>
        <w:t>日</w:t>
      </w:r>
      <w:r>
        <w:rPr>
          <w:rFonts w:hint="eastAsia" w:cs="仿宋" w:asciiTheme="majorEastAsia" w:hAnsiTheme="majorEastAsia" w:eastAsiaTheme="majorEastAsia"/>
          <w:szCs w:val="21"/>
          <w:u w:val="single"/>
        </w:rPr>
        <w:t xml:space="preserve">    </w:t>
      </w:r>
      <w:r>
        <w:rPr>
          <w:rFonts w:hint="eastAsia" w:cs="仿宋" w:asciiTheme="majorEastAsia" w:hAnsiTheme="majorEastAsia" w:eastAsiaTheme="majorEastAsia"/>
          <w:szCs w:val="21"/>
        </w:rPr>
        <w:t>时</w:t>
      </w:r>
      <w:r>
        <w:rPr>
          <w:rFonts w:hint="eastAsia" w:cs="仿宋" w:asciiTheme="majorEastAsia" w:hAnsiTheme="majorEastAsia" w:eastAsiaTheme="majorEastAsia"/>
          <w:szCs w:val="21"/>
          <w:u w:val="single"/>
        </w:rPr>
        <w:t xml:space="preserve">    </w:t>
      </w:r>
      <w:r>
        <w:rPr>
          <w:rFonts w:hint="eastAsia" w:cs="仿宋" w:asciiTheme="majorEastAsia" w:hAnsiTheme="majorEastAsia" w:eastAsiaTheme="majorEastAsia"/>
          <w:szCs w:val="21"/>
        </w:rPr>
        <w:t>分开标，此时间以前不得开封。</w:t>
      </w:r>
    </w:p>
    <w:p>
      <w:pPr>
        <w:spacing w:line="360" w:lineRule="auto"/>
        <w:ind w:firstLine="420" w:firstLineChars="200"/>
      </w:pPr>
      <w:r>
        <w:rPr>
          <w:rFonts w:hint="eastAsia" w:cs="仿宋" w:asciiTheme="majorEastAsia" w:hAnsiTheme="majorEastAsia" w:eastAsiaTheme="majorEastAsia"/>
          <w:szCs w:val="21"/>
        </w:rPr>
        <w:t>17.4 除了按本须知第17.2款和第17.3款所要求的识别字样外，在内层投标文件密封袋上还应写明投标人的名称与地址、邮政编码，以便本须知第18.2条规定情况发生时，招标代理机构可按内层密封袋上标明的投标人地址将投标文件原封退回。</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17.5 如果投标文件没有按本投标须知第17.1款、第17.2款和第17.3款的规定装订和注明标记及密封，招标代理机构将不承担投标文件提前开封的责任。对由此造成提前开封的投标文件将予以拒绝，并退还给投标人。</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17.6所有投标文件的内层密封袋的封口处应加盖投标人印章，所有投标文件的外层密封袋的封口处应加盖投标人印章或密封章。</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17.7投标文件的技术部分编制应按投标人须知前附表第</w:t>
      </w:r>
      <w:r>
        <w:rPr>
          <w:rFonts w:hint="eastAsia" w:cs="仿宋" w:asciiTheme="majorEastAsia" w:hAnsiTheme="majorEastAsia" w:eastAsiaTheme="majorEastAsia"/>
          <w:szCs w:val="21"/>
          <w:lang w:val="en-US" w:eastAsia="zh-CN"/>
        </w:rPr>
        <w:t>22</w:t>
      </w:r>
      <w:r>
        <w:rPr>
          <w:rFonts w:hint="eastAsia" w:cs="仿宋" w:asciiTheme="majorEastAsia" w:hAnsiTheme="majorEastAsia" w:eastAsiaTheme="majorEastAsia"/>
          <w:szCs w:val="21"/>
        </w:rPr>
        <w:t>项所规定的有关格式及要求填报，否则按无效标处理。</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17.8 对</w:t>
      </w:r>
      <w:r>
        <w:rPr>
          <w:rFonts w:hint="eastAsia" w:cs="仿宋" w:asciiTheme="majorEastAsia" w:hAnsiTheme="majorEastAsia" w:eastAsiaTheme="majorEastAsia"/>
          <w:szCs w:val="21"/>
          <w:lang w:val="en-US" w:eastAsia="zh-CN"/>
        </w:rPr>
        <w:t>投</w:t>
      </w:r>
      <w:r>
        <w:rPr>
          <w:rFonts w:hint="eastAsia" w:cs="仿宋" w:asciiTheme="majorEastAsia" w:hAnsiTheme="majorEastAsia" w:eastAsiaTheme="majorEastAsia"/>
          <w:szCs w:val="21"/>
        </w:rPr>
        <w:t>标文件的打印格式、制作要求按招标人或招标代理机构在投标人须知前附表第22项中规定。</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18．投标文件的提交</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18.1 投标人应按投标人须知前附表第23项所规定的地点，于投标截止时间前提交投标文件。</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18.2 投标文件的截止时间见投标人须知前附表第23项规定，招标代理机构在投标截止时间以后收到的投标文件，将拒绝并退回给投标人。</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18.3 招标代理机构可按本须知第6条规定以修改补充通知的方式，酌情延长提交投标文件的截止时间。在此情况下，投标人的所有权利和义务以及投标人受制约的截止时间，均以延长后新的投标截止时间为准。</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18.4 到投标截止时间止，招标人收到的投标文件少于3个的，招标人将依法重新组织招标。</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19．投标文件的补充、修改与撤回</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19.1 投标人在提交投标文件以后，在规定的投标截止时间之前，可以书面形式补充修改或撤回已提交的投标文件，并以书面形式通知招标代理机构。补充、修改的内容为投标文件的组成部分。</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19.2 投标人对投标文件的补充、修改，应按本须知第17条有关规定密封、标记和提交，并在内外层投标文件密封袋上清楚标明“补充、修改”或“撤回”字样。</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19.3 在投标截止时间之后，投标人不得补充、修改投标文件。</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19.4 在投标截止时间至投标有效期满之前，投标人不得撤回其投标文件，否则其投标保证金将被没收。</w:t>
      </w:r>
    </w:p>
    <w:p>
      <w:pPr>
        <w:pStyle w:val="4"/>
        <w:rPr>
          <w:rFonts w:cs="仿宋" w:asciiTheme="majorEastAsia" w:hAnsiTheme="majorEastAsia" w:eastAsiaTheme="majorEastAsia"/>
          <w:b w:val="0"/>
          <w:sz w:val="21"/>
          <w:szCs w:val="21"/>
        </w:rPr>
      </w:pPr>
      <w:bookmarkStart w:id="10" w:name="_Toc440183412"/>
      <w:r>
        <w:rPr>
          <w:rFonts w:hint="eastAsia" w:cs="仿宋" w:asciiTheme="majorEastAsia" w:hAnsiTheme="majorEastAsia" w:eastAsiaTheme="majorEastAsia"/>
          <w:b w:val="0"/>
          <w:sz w:val="21"/>
          <w:szCs w:val="21"/>
        </w:rPr>
        <w:t>（五） 开标</w:t>
      </w:r>
      <w:bookmarkEnd w:id="10"/>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20．开标</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20.1 招标代理机构按投标人须知前附表第24项所规定的时间和地点公开开标，并邀请所有投标人参加。投标人不参加开标的，不得对开标结果提出异议。</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20.2 按规定提交合格的撤回通知的投标文件不予开封，并退回给投标人。</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投标文件有下列情况之一的投标将不予接受：</w:t>
      </w:r>
    </w:p>
    <w:p>
      <w:pPr>
        <w:spacing w:line="360" w:lineRule="auto"/>
        <w:ind w:firstLine="850" w:firstLineChars="405"/>
        <w:rPr>
          <w:rFonts w:cs="仿宋" w:asciiTheme="majorEastAsia" w:hAnsiTheme="majorEastAsia" w:eastAsiaTheme="majorEastAsia"/>
          <w:szCs w:val="21"/>
        </w:rPr>
      </w:pPr>
      <w:r>
        <w:rPr>
          <w:rFonts w:hint="eastAsia" w:cs="仿宋" w:asciiTheme="majorEastAsia" w:hAnsiTheme="majorEastAsia" w:eastAsiaTheme="majorEastAsia"/>
          <w:szCs w:val="21"/>
        </w:rPr>
        <w:t>a)</w:t>
      </w:r>
      <w:r>
        <w:rPr>
          <w:rFonts w:hint="eastAsia" w:cs="仿宋" w:asciiTheme="majorEastAsia" w:hAnsiTheme="majorEastAsia" w:eastAsiaTheme="majorEastAsia"/>
          <w:szCs w:val="21"/>
        </w:rPr>
        <w:tab/>
      </w:r>
      <w:r>
        <w:rPr>
          <w:rFonts w:hint="eastAsia" w:cs="仿宋" w:asciiTheme="majorEastAsia" w:hAnsiTheme="majorEastAsia" w:eastAsiaTheme="majorEastAsia"/>
          <w:szCs w:val="21"/>
        </w:rPr>
        <w:t>逾期送达的；</w:t>
      </w:r>
    </w:p>
    <w:p>
      <w:pPr>
        <w:spacing w:line="360" w:lineRule="auto"/>
        <w:ind w:firstLine="850" w:firstLineChars="405"/>
        <w:rPr>
          <w:rFonts w:cs="仿宋" w:asciiTheme="majorEastAsia" w:hAnsiTheme="majorEastAsia" w:eastAsiaTheme="majorEastAsia"/>
          <w:szCs w:val="21"/>
        </w:rPr>
      </w:pPr>
      <w:r>
        <w:rPr>
          <w:rFonts w:hint="eastAsia" w:cs="仿宋" w:asciiTheme="majorEastAsia" w:hAnsiTheme="majorEastAsia" w:eastAsiaTheme="majorEastAsia"/>
          <w:szCs w:val="21"/>
        </w:rPr>
        <w:t>b)</w:t>
      </w:r>
      <w:r>
        <w:rPr>
          <w:rFonts w:hint="eastAsia" w:cs="仿宋" w:asciiTheme="majorEastAsia" w:hAnsiTheme="majorEastAsia" w:eastAsiaTheme="majorEastAsia"/>
          <w:szCs w:val="21"/>
        </w:rPr>
        <w:tab/>
      </w:r>
      <w:r>
        <w:rPr>
          <w:rFonts w:hint="eastAsia" w:cs="仿宋" w:asciiTheme="majorEastAsia" w:hAnsiTheme="majorEastAsia" w:eastAsiaTheme="majorEastAsia"/>
          <w:szCs w:val="21"/>
        </w:rPr>
        <w:t>未按招标文件要求密封的。</w:t>
      </w:r>
    </w:p>
    <w:p>
      <w:pPr>
        <w:spacing w:line="360" w:lineRule="auto"/>
        <w:ind w:firstLine="850" w:firstLineChars="405"/>
        <w:rPr>
          <w:rFonts w:cs="仿宋" w:asciiTheme="majorEastAsia" w:hAnsiTheme="majorEastAsia" w:eastAsiaTheme="majorEastAsia"/>
          <w:szCs w:val="21"/>
        </w:rPr>
      </w:pPr>
      <w:r>
        <w:rPr>
          <w:rFonts w:hint="eastAsia" w:cs="仿宋" w:asciiTheme="majorEastAsia" w:hAnsiTheme="majorEastAsia" w:eastAsiaTheme="majorEastAsia"/>
          <w:szCs w:val="21"/>
        </w:rPr>
        <w:t>c)</w:t>
      </w:r>
      <w:r>
        <w:rPr>
          <w:rFonts w:hint="eastAsia" w:cs="仿宋" w:asciiTheme="majorEastAsia" w:hAnsiTheme="majorEastAsia" w:eastAsiaTheme="majorEastAsia"/>
          <w:szCs w:val="21"/>
        </w:rPr>
        <w:tab/>
      </w:r>
      <w:r>
        <w:rPr>
          <w:rFonts w:hint="eastAsia" w:cs="仿宋" w:asciiTheme="majorEastAsia" w:hAnsiTheme="majorEastAsia" w:eastAsiaTheme="majorEastAsia"/>
          <w:szCs w:val="21"/>
        </w:rPr>
        <w:t>违反有关规定的其他形式。</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20.3 开标程序</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主持人按以下程序进行开标</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（1）宣布开标纪律</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（2）公布在投标截止时间前递交投标文件的投标人名称，点名确认投标人是否派人到场，并核验投标人相关合法有效证件，并制作记录；</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（3）宣布开标人、唱标人、记录人、监标人等有关人员姓名；</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（4）监督人检验投标人如下材料：</w:t>
      </w:r>
      <w:r>
        <w:rPr>
          <w:rFonts w:hint="eastAsia" w:cs="仿宋" w:asciiTheme="majorEastAsia" w:hAnsiTheme="majorEastAsia" w:eastAsiaTheme="majorEastAsia"/>
          <w:szCs w:val="21"/>
        </w:rPr>
        <w:fldChar w:fldCharType="begin"/>
      </w:r>
      <w:r>
        <w:rPr>
          <w:rFonts w:hint="eastAsia" w:cs="仿宋" w:asciiTheme="majorEastAsia" w:hAnsiTheme="majorEastAsia" w:eastAsiaTheme="majorEastAsia"/>
          <w:szCs w:val="21"/>
        </w:rPr>
        <w:instrText xml:space="preserve"> = 1 \* GB3 </w:instrText>
      </w:r>
      <w:r>
        <w:rPr>
          <w:rFonts w:hint="eastAsia" w:cs="仿宋" w:asciiTheme="majorEastAsia" w:hAnsiTheme="majorEastAsia" w:eastAsiaTheme="majorEastAsia"/>
          <w:szCs w:val="21"/>
        </w:rPr>
        <w:fldChar w:fldCharType="separate"/>
      </w:r>
      <w:r>
        <w:rPr>
          <w:rFonts w:hint="eastAsia" w:cs="仿宋" w:asciiTheme="majorEastAsia" w:hAnsiTheme="majorEastAsia" w:eastAsiaTheme="majorEastAsia"/>
          <w:szCs w:val="21"/>
        </w:rPr>
        <w:t>①</w:t>
      </w:r>
      <w:r>
        <w:rPr>
          <w:rFonts w:hint="eastAsia" w:cs="仿宋" w:asciiTheme="majorEastAsia" w:hAnsiTheme="majorEastAsia" w:eastAsiaTheme="majorEastAsia"/>
          <w:szCs w:val="21"/>
        </w:rPr>
        <w:fldChar w:fldCharType="end"/>
      </w:r>
      <w:r>
        <w:rPr>
          <w:rFonts w:hint="eastAsia" w:cs="仿宋" w:asciiTheme="majorEastAsia" w:hAnsiTheme="majorEastAsia" w:eastAsiaTheme="majorEastAsia"/>
          <w:szCs w:val="21"/>
        </w:rPr>
        <w:t>委托代理人的授权委托书原件（非法定代表人出席开标会时）；</w:t>
      </w:r>
      <w:r>
        <w:rPr>
          <w:rFonts w:hint="eastAsia" w:cs="仿宋" w:asciiTheme="majorEastAsia" w:hAnsiTheme="majorEastAsia" w:eastAsiaTheme="majorEastAsia"/>
          <w:szCs w:val="21"/>
        </w:rPr>
        <w:fldChar w:fldCharType="begin"/>
      </w:r>
      <w:r>
        <w:rPr>
          <w:rFonts w:hint="eastAsia" w:cs="仿宋" w:asciiTheme="majorEastAsia" w:hAnsiTheme="majorEastAsia" w:eastAsiaTheme="majorEastAsia"/>
          <w:szCs w:val="21"/>
        </w:rPr>
        <w:instrText xml:space="preserve"> = 2 \* GB3 </w:instrText>
      </w:r>
      <w:r>
        <w:rPr>
          <w:rFonts w:hint="eastAsia" w:cs="仿宋" w:asciiTheme="majorEastAsia" w:hAnsiTheme="majorEastAsia" w:eastAsiaTheme="majorEastAsia"/>
          <w:szCs w:val="21"/>
        </w:rPr>
        <w:fldChar w:fldCharType="separate"/>
      </w:r>
      <w:r>
        <w:rPr>
          <w:rFonts w:hint="eastAsia" w:cs="仿宋" w:asciiTheme="majorEastAsia" w:hAnsiTheme="majorEastAsia" w:eastAsiaTheme="majorEastAsia"/>
          <w:szCs w:val="21"/>
        </w:rPr>
        <w:t>②</w:t>
      </w:r>
      <w:r>
        <w:rPr>
          <w:rFonts w:hint="eastAsia" w:cs="仿宋" w:asciiTheme="majorEastAsia" w:hAnsiTheme="majorEastAsia" w:eastAsiaTheme="majorEastAsia"/>
          <w:szCs w:val="21"/>
        </w:rPr>
        <w:fldChar w:fldCharType="end"/>
      </w:r>
      <w:r>
        <w:rPr>
          <w:rFonts w:hint="eastAsia" w:cs="仿宋" w:asciiTheme="majorEastAsia" w:hAnsiTheme="majorEastAsia" w:eastAsiaTheme="majorEastAsia"/>
          <w:szCs w:val="21"/>
        </w:rPr>
        <w:t>法定代表人或其委托代理人身份证件原件（身份证）；</w:t>
      </w:r>
      <w:r>
        <w:rPr>
          <w:rFonts w:hint="eastAsia" w:cs="仿宋" w:asciiTheme="majorEastAsia" w:hAnsiTheme="majorEastAsia" w:eastAsiaTheme="majorEastAsia"/>
          <w:szCs w:val="21"/>
        </w:rPr>
        <w:fldChar w:fldCharType="begin"/>
      </w:r>
      <w:r>
        <w:rPr>
          <w:rFonts w:hint="eastAsia" w:cs="仿宋" w:asciiTheme="majorEastAsia" w:hAnsiTheme="majorEastAsia" w:eastAsiaTheme="majorEastAsia"/>
          <w:szCs w:val="21"/>
        </w:rPr>
        <w:instrText xml:space="preserve"> = 3 \* GB3 </w:instrText>
      </w:r>
      <w:r>
        <w:rPr>
          <w:rFonts w:hint="eastAsia" w:cs="仿宋" w:asciiTheme="majorEastAsia" w:hAnsiTheme="majorEastAsia" w:eastAsiaTheme="majorEastAsia"/>
          <w:szCs w:val="21"/>
        </w:rPr>
        <w:fldChar w:fldCharType="separate"/>
      </w:r>
      <w:r>
        <w:rPr>
          <w:rFonts w:hint="eastAsia" w:cs="仿宋" w:asciiTheme="majorEastAsia" w:hAnsiTheme="majorEastAsia" w:eastAsiaTheme="majorEastAsia"/>
          <w:szCs w:val="21"/>
        </w:rPr>
        <w:t>③</w:t>
      </w:r>
      <w:r>
        <w:rPr>
          <w:rFonts w:hint="eastAsia" w:cs="仿宋" w:asciiTheme="majorEastAsia" w:hAnsiTheme="majorEastAsia" w:eastAsiaTheme="majorEastAsia"/>
          <w:szCs w:val="21"/>
        </w:rPr>
        <w:fldChar w:fldCharType="end"/>
      </w:r>
      <w:r>
        <w:rPr>
          <w:rFonts w:hint="eastAsia" w:cs="仿宋" w:asciiTheme="majorEastAsia" w:hAnsiTheme="majorEastAsia" w:eastAsiaTheme="majorEastAsia"/>
          <w:szCs w:val="21"/>
        </w:rPr>
        <w:t>营业执照原件；</w:t>
      </w:r>
      <w:r>
        <w:rPr>
          <w:rFonts w:hint="eastAsia" w:cs="仿宋" w:asciiTheme="majorEastAsia" w:hAnsiTheme="majorEastAsia" w:eastAsiaTheme="majorEastAsia"/>
          <w:szCs w:val="21"/>
        </w:rPr>
        <w:fldChar w:fldCharType="begin"/>
      </w:r>
      <w:r>
        <w:rPr>
          <w:rFonts w:hint="eastAsia" w:cs="仿宋" w:asciiTheme="majorEastAsia" w:hAnsiTheme="majorEastAsia" w:eastAsiaTheme="majorEastAsia"/>
          <w:szCs w:val="21"/>
        </w:rPr>
        <w:instrText xml:space="preserve"> = 4 \* GB3 </w:instrText>
      </w:r>
      <w:r>
        <w:rPr>
          <w:rFonts w:hint="eastAsia" w:cs="仿宋" w:asciiTheme="majorEastAsia" w:hAnsiTheme="majorEastAsia" w:eastAsiaTheme="majorEastAsia"/>
          <w:szCs w:val="21"/>
        </w:rPr>
        <w:fldChar w:fldCharType="separate"/>
      </w:r>
      <w:r>
        <w:rPr>
          <w:rFonts w:hint="eastAsia" w:cs="仿宋" w:asciiTheme="majorEastAsia" w:hAnsiTheme="majorEastAsia" w:eastAsiaTheme="majorEastAsia"/>
          <w:szCs w:val="21"/>
        </w:rPr>
        <w:t>④</w:t>
      </w:r>
      <w:r>
        <w:rPr>
          <w:rFonts w:hint="eastAsia" w:cs="仿宋" w:asciiTheme="majorEastAsia" w:hAnsiTheme="majorEastAsia" w:eastAsiaTheme="majorEastAsia"/>
          <w:szCs w:val="21"/>
        </w:rPr>
        <w:fldChar w:fldCharType="end"/>
      </w:r>
      <w:r>
        <w:rPr>
          <w:rFonts w:hint="eastAsia" w:cs="仿宋" w:asciiTheme="majorEastAsia" w:hAnsiTheme="majorEastAsia" w:eastAsiaTheme="majorEastAsia"/>
          <w:szCs w:val="21"/>
        </w:rPr>
        <w:t>完税证明；</w:t>
      </w:r>
      <w:r>
        <w:rPr>
          <w:rFonts w:hint="eastAsia" w:cs="仿宋" w:asciiTheme="majorEastAsia" w:hAnsiTheme="majorEastAsia" w:eastAsiaTheme="majorEastAsia"/>
          <w:szCs w:val="21"/>
        </w:rPr>
        <w:fldChar w:fldCharType="begin"/>
      </w:r>
      <w:r>
        <w:rPr>
          <w:rFonts w:hint="eastAsia" w:cs="仿宋" w:asciiTheme="majorEastAsia" w:hAnsiTheme="majorEastAsia" w:eastAsiaTheme="majorEastAsia"/>
          <w:szCs w:val="21"/>
        </w:rPr>
        <w:instrText xml:space="preserve"> = 5 \* GB3 \* MERGEFORMAT </w:instrText>
      </w:r>
      <w:r>
        <w:rPr>
          <w:rFonts w:hint="eastAsia" w:cs="仿宋" w:asciiTheme="majorEastAsia" w:hAnsiTheme="majorEastAsia" w:eastAsiaTheme="majorEastAsia"/>
          <w:szCs w:val="21"/>
        </w:rPr>
        <w:fldChar w:fldCharType="separate"/>
      </w:r>
      <w:r>
        <w:t>⑤</w:t>
      </w:r>
      <w:r>
        <w:rPr>
          <w:rFonts w:hint="eastAsia" w:cs="仿宋" w:asciiTheme="majorEastAsia" w:hAnsiTheme="majorEastAsia" w:eastAsiaTheme="majorEastAsia"/>
          <w:szCs w:val="21"/>
        </w:rPr>
        <w:fldChar w:fldCharType="end"/>
      </w:r>
      <w:r>
        <w:rPr>
          <w:rFonts w:hint="eastAsia" w:cs="仿宋" w:asciiTheme="majorEastAsia" w:hAnsiTheme="majorEastAsia" w:eastAsiaTheme="majorEastAsia"/>
          <w:szCs w:val="21"/>
        </w:rPr>
        <w:t>审计报告（</w:t>
      </w:r>
      <w:r>
        <w:rPr>
          <w:rFonts w:hint="eastAsia" w:cs="仿宋" w:asciiTheme="majorEastAsia" w:hAnsiTheme="majorEastAsia" w:eastAsiaTheme="majorEastAsia"/>
          <w:szCs w:val="21"/>
          <w:lang w:val="en-US" w:eastAsia="zh-CN"/>
        </w:rPr>
        <w:t>原件</w:t>
      </w:r>
      <w:r>
        <w:rPr>
          <w:rFonts w:hint="eastAsia" w:cs="仿宋" w:asciiTheme="majorEastAsia" w:hAnsiTheme="majorEastAsia" w:eastAsiaTheme="majorEastAsia"/>
          <w:szCs w:val="21"/>
        </w:rPr>
        <w:t>）；</w:t>
      </w:r>
      <w:r>
        <w:rPr>
          <w:rFonts w:hint="eastAsia" w:cs="仿宋" w:asciiTheme="majorEastAsia" w:hAnsiTheme="majorEastAsia" w:eastAsiaTheme="majorEastAsia"/>
          <w:szCs w:val="21"/>
        </w:rPr>
        <w:fldChar w:fldCharType="begin"/>
      </w:r>
      <w:r>
        <w:rPr>
          <w:rFonts w:hint="eastAsia" w:cs="仿宋" w:asciiTheme="majorEastAsia" w:hAnsiTheme="majorEastAsia" w:eastAsiaTheme="majorEastAsia"/>
          <w:szCs w:val="21"/>
        </w:rPr>
        <w:instrText xml:space="preserve"> = 6 \* GB3 \* MERGEFORMAT </w:instrText>
      </w:r>
      <w:r>
        <w:rPr>
          <w:rFonts w:hint="eastAsia" w:cs="仿宋" w:asciiTheme="majorEastAsia" w:hAnsiTheme="majorEastAsia" w:eastAsiaTheme="majorEastAsia"/>
          <w:szCs w:val="21"/>
        </w:rPr>
        <w:fldChar w:fldCharType="separate"/>
      </w:r>
      <w:r>
        <w:t>⑥</w:t>
      </w:r>
      <w:r>
        <w:rPr>
          <w:rFonts w:hint="eastAsia" w:cs="仿宋" w:asciiTheme="majorEastAsia" w:hAnsiTheme="majorEastAsia" w:eastAsiaTheme="majorEastAsia"/>
          <w:szCs w:val="21"/>
        </w:rPr>
        <w:fldChar w:fldCharType="end"/>
      </w:r>
      <w:r>
        <w:rPr>
          <w:rFonts w:hint="eastAsia" w:cs="仿宋" w:asciiTheme="majorEastAsia" w:hAnsiTheme="majorEastAsia" w:eastAsiaTheme="majorEastAsia"/>
          <w:szCs w:val="21"/>
        </w:rPr>
        <w:t>社保证明；</w:t>
      </w:r>
      <w:r>
        <w:rPr>
          <w:rFonts w:hint="eastAsia" w:cs="仿宋" w:asciiTheme="majorEastAsia" w:hAnsiTheme="majorEastAsia" w:eastAsiaTheme="majorEastAsia"/>
          <w:szCs w:val="21"/>
        </w:rPr>
        <w:fldChar w:fldCharType="begin"/>
      </w:r>
      <w:r>
        <w:rPr>
          <w:rFonts w:hint="eastAsia" w:cs="仿宋" w:asciiTheme="majorEastAsia" w:hAnsiTheme="majorEastAsia" w:eastAsiaTheme="majorEastAsia"/>
          <w:szCs w:val="21"/>
        </w:rPr>
        <w:instrText xml:space="preserve"> = 7 \* GB3 \* MERGEFORMAT </w:instrText>
      </w:r>
      <w:r>
        <w:rPr>
          <w:rFonts w:hint="eastAsia" w:cs="仿宋" w:asciiTheme="majorEastAsia" w:hAnsiTheme="majorEastAsia" w:eastAsiaTheme="majorEastAsia"/>
          <w:szCs w:val="21"/>
        </w:rPr>
        <w:fldChar w:fldCharType="separate"/>
      </w:r>
      <w:r>
        <w:t>⑦</w:t>
      </w:r>
      <w:r>
        <w:rPr>
          <w:rFonts w:hint="eastAsia" w:cs="仿宋" w:asciiTheme="majorEastAsia" w:hAnsiTheme="majorEastAsia" w:eastAsiaTheme="majorEastAsia"/>
          <w:szCs w:val="21"/>
        </w:rPr>
        <w:fldChar w:fldCharType="end"/>
      </w:r>
      <w:r>
        <w:rPr>
          <w:rFonts w:hint="eastAsia" w:cs="仿宋" w:asciiTheme="majorEastAsia" w:hAnsiTheme="majorEastAsia" w:eastAsiaTheme="majorEastAsia"/>
          <w:bCs/>
          <w:szCs w:val="21"/>
        </w:rPr>
        <w:t>投标保证金收据</w:t>
      </w:r>
      <w:r>
        <w:rPr>
          <w:rFonts w:hint="eastAsia" w:cs="仿宋" w:asciiTheme="majorEastAsia" w:hAnsiTheme="majorEastAsia" w:eastAsiaTheme="majorEastAsia"/>
          <w:szCs w:val="21"/>
        </w:rPr>
        <w:t>；</w:t>
      </w:r>
      <w:r>
        <w:rPr>
          <w:rFonts w:hint="eastAsia" w:cs="仿宋" w:asciiTheme="majorEastAsia" w:hAnsiTheme="majorEastAsia" w:eastAsiaTheme="majorEastAsia"/>
          <w:szCs w:val="21"/>
        </w:rPr>
        <w:fldChar w:fldCharType="begin"/>
      </w:r>
      <w:r>
        <w:rPr>
          <w:rFonts w:hint="eastAsia" w:cs="仿宋" w:asciiTheme="majorEastAsia" w:hAnsiTheme="majorEastAsia" w:eastAsiaTheme="majorEastAsia"/>
          <w:szCs w:val="21"/>
        </w:rPr>
        <w:instrText xml:space="preserve"> = 8 \* GB3 \* MERGEFORMAT </w:instrText>
      </w:r>
      <w:r>
        <w:rPr>
          <w:rFonts w:hint="eastAsia" w:cs="仿宋" w:asciiTheme="majorEastAsia" w:hAnsiTheme="majorEastAsia" w:eastAsiaTheme="majorEastAsia"/>
          <w:szCs w:val="21"/>
        </w:rPr>
        <w:fldChar w:fldCharType="separate"/>
      </w:r>
      <w:r>
        <w:t>⑧</w:t>
      </w:r>
      <w:r>
        <w:rPr>
          <w:rFonts w:hint="eastAsia" w:cs="仿宋" w:asciiTheme="majorEastAsia" w:hAnsiTheme="majorEastAsia" w:eastAsiaTheme="majorEastAsia"/>
          <w:szCs w:val="21"/>
        </w:rPr>
        <w:fldChar w:fldCharType="end"/>
      </w:r>
      <w:r>
        <w:rPr>
          <w:rFonts w:hint="eastAsia" w:cs="仿宋" w:asciiTheme="majorEastAsia" w:hAnsiTheme="majorEastAsia" w:eastAsiaTheme="majorEastAsia"/>
          <w:szCs w:val="21"/>
        </w:rPr>
        <w:t>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列入经营异常名录信息、列入严重违法失信企业名单（黑名单）信息，将拒绝其参与本次采购活动</w:t>
      </w:r>
      <w:r>
        <w:rPr>
          <w:rFonts w:hint="eastAsia" w:cs="仿宋" w:asciiTheme="majorEastAsia" w:hAnsiTheme="majorEastAsia" w:eastAsiaTheme="majorEastAsia"/>
          <w:szCs w:val="21"/>
          <w:lang w:eastAsia="zh-CN"/>
        </w:rPr>
        <w:t>，</w:t>
      </w:r>
      <w:r>
        <w:rPr>
          <w:rFonts w:hint="eastAsia" w:cs="仿宋" w:asciiTheme="majorEastAsia" w:hAnsiTheme="majorEastAsia" w:eastAsiaTheme="majorEastAsia"/>
          <w:szCs w:val="21"/>
          <w:lang w:val="en-US" w:eastAsia="zh-CN"/>
        </w:rPr>
        <w:t>网页截图</w:t>
      </w:r>
      <w:r>
        <w:rPr>
          <w:rFonts w:hint="eastAsia" w:cs="仿宋" w:asciiTheme="majorEastAsia" w:hAnsiTheme="majorEastAsia" w:eastAsiaTheme="majorEastAsia"/>
          <w:szCs w:val="21"/>
        </w:rPr>
        <w:t>；（以上材料须在开启投标文件前提供，不能提供以上有效材料的其投标文件被招标人拒绝）</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（5）投标人代表（有效投标人自行推荐）检查投标文件的完整性及密封性；</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（6）按照宣布的开标顺序对资格证齐全、密封完好并已缴纳投标保证金的投标人的投标文件进行启封，公布投标人名称、投标报价、服务期限及其他内容，并记录在案；</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（7）投标人代表、招标人代表、记录人等有关人员在开标记录上签字确认；</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（8）开标结束，投标人代表退场。</w:t>
      </w:r>
    </w:p>
    <w:p>
      <w:pPr>
        <w:pStyle w:val="4"/>
        <w:rPr>
          <w:rFonts w:cs="仿宋" w:asciiTheme="majorEastAsia" w:hAnsiTheme="majorEastAsia" w:eastAsiaTheme="majorEastAsia"/>
          <w:b w:val="0"/>
          <w:sz w:val="21"/>
          <w:szCs w:val="21"/>
        </w:rPr>
      </w:pPr>
      <w:bookmarkStart w:id="11" w:name="_Toc440183413"/>
      <w:r>
        <w:rPr>
          <w:rFonts w:hint="eastAsia" w:cs="仿宋" w:asciiTheme="majorEastAsia" w:hAnsiTheme="majorEastAsia" w:eastAsiaTheme="majorEastAsia"/>
          <w:b w:val="0"/>
          <w:sz w:val="21"/>
          <w:szCs w:val="21"/>
        </w:rPr>
        <w:t>（六） 评标</w:t>
      </w:r>
      <w:bookmarkEnd w:id="11"/>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21．评标委员会与评标</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21.1招标人依法组建评标委员会。评标委员会由招标人和有关技术、经济专家组成，成员人数</w:t>
      </w:r>
      <w:r>
        <w:rPr>
          <w:rFonts w:hint="eastAsia" w:cs="仿宋" w:asciiTheme="majorEastAsia" w:hAnsiTheme="majorEastAsia" w:eastAsiaTheme="majorEastAsia"/>
          <w:color w:val="FF0000"/>
          <w:szCs w:val="21"/>
        </w:rPr>
        <w:t>为</w:t>
      </w:r>
      <w:r>
        <w:rPr>
          <w:rFonts w:hint="eastAsia" w:cs="仿宋" w:asciiTheme="majorEastAsia" w:hAnsiTheme="majorEastAsia" w:eastAsiaTheme="majorEastAsia"/>
          <w:color w:val="FF0000"/>
          <w:szCs w:val="21"/>
          <w:lang w:val="en-US" w:eastAsia="zh-CN"/>
        </w:rPr>
        <w:t>7</w:t>
      </w:r>
      <w:r>
        <w:rPr>
          <w:rFonts w:hint="eastAsia" w:cs="仿宋" w:asciiTheme="majorEastAsia" w:hAnsiTheme="majorEastAsia" w:eastAsiaTheme="majorEastAsia"/>
          <w:color w:val="FF0000"/>
          <w:szCs w:val="21"/>
        </w:rPr>
        <w:t>人,</w:t>
      </w:r>
      <w:r>
        <w:rPr>
          <w:rFonts w:hint="eastAsia" w:cs="仿宋" w:asciiTheme="majorEastAsia" w:hAnsiTheme="majorEastAsia" w:eastAsiaTheme="majorEastAsia"/>
          <w:szCs w:val="21"/>
        </w:rPr>
        <w:t>其中随机抽取专家人数不少于评标专家总人数的2/3。具体规定见投标人须知前附表第</w:t>
      </w:r>
      <w:r>
        <w:rPr>
          <w:rFonts w:hint="eastAsia" w:cs="仿宋" w:asciiTheme="majorEastAsia" w:hAnsiTheme="majorEastAsia" w:eastAsiaTheme="majorEastAsia"/>
          <w:szCs w:val="21"/>
          <w:lang w:val="en-US" w:eastAsia="zh-CN"/>
        </w:rPr>
        <w:t>25</w:t>
      </w:r>
      <w:r>
        <w:rPr>
          <w:rFonts w:hint="eastAsia" w:cs="仿宋" w:asciiTheme="majorEastAsia" w:hAnsiTheme="majorEastAsia" w:eastAsiaTheme="majorEastAsia"/>
          <w:szCs w:val="21"/>
        </w:rPr>
        <w:t>项。</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21.2评标委员会负责对投标文件进行审查、质疑、评估和比较。</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22．评标的内容与程序</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22.1 评标的内容包括对资格审查部分、技术部分和商务部分的评审和比较。</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22.2 评标程序按评标程序按资格评审——符合性评审——详细评审的步骤进行，具体详见招标文件第三章“评标办法”。</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23．投标及投标文件的有效性</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23.1 评标过程中，投标文件出现下列情形之一的，将作为无效投标文件（废标），不再进入详细评标：</w:t>
      </w:r>
    </w:p>
    <w:p>
      <w:pPr>
        <w:spacing w:line="360" w:lineRule="auto"/>
        <w:ind w:firstLine="630" w:firstLineChars="300"/>
        <w:rPr>
          <w:rFonts w:cs="仿宋" w:asciiTheme="majorEastAsia" w:hAnsiTheme="majorEastAsia" w:eastAsiaTheme="majorEastAsia"/>
          <w:szCs w:val="21"/>
        </w:rPr>
      </w:pPr>
      <w:r>
        <w:rPr>
          <w:rFonts w:hint="eastAsia" w:cs="仿宋" w:asciiTheme="majorEastAsia" w:hAnsiTheme="majorEastAsia" w:eastAsiaTheme="majorEastAsia"/>
          <w:szCs w:val="21"/>
        </w:rPr>
        <w:t>23.1.1 投标文件未按照本须知第17条的要求装订、密封和标记的；</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23.1.2 投标文件有关内容未按规定加盖投标人印章或未经法定代表人或其授权代表签字或盖章的，或有授权代表签字或盖章的，但未随投标文件一起提交有效的“授权委托书”原件的；</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23.1.3未响应招标文件的实质性要求和条件；</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23.1.4 投标文件的关键内容字迹模糊、无法辨认的；</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23.1.5 投标报价不符合国家颁布的咨询服务收费标准，或超过</w:t>
      </w:r>
      <w:r>
        <w:rPr>
          <w:rFonts w:hint="eastAsia" w:cs="仿宋" w:asciiTheme="majorEastAsia" w:hAnsiTheme="majorEastAsia" w:eastAsiaTheme="majorEastAsia"/>
          <w:bCs/>
          <w:kern w:val="0"/>
          <w:szCs w:val="21"/>
        </w:rPr>
        <w:t>项目招标控制价，</w:t>
      </w:r>
      <w:r>
        <w:rPr>
          <w:rFonts w:hint="eastAsia" w:cs="仿宋" w:asciiTheme="majorEastAsia" w:hAnsiTheme="majorEastAsia" w:eastAsiaTheme="majorEastAsia"/>
          <w:szCs w:val="21"/>
        </w:rPr>
        <w:t>或低于成本恶性竞争的；</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23.1.6组成联合体投标的，投标文件未附联合体各方联合投标协议的；</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23.2 投标人有下列情况之一的，其投标将作废标处理或被否决：</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23.2.1投标人未按照招标文件的要求提供投标保证金或者投标保函的；</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23.2.2 与其他投标人相互串通报价，或者与招标人串通投标的；</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23.2.3 以向招标人或评标委员会成员行贿的手段谋取中标的；</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23.2.4 以他人名义投标，或者以其他方式弄虚作假；</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23.2.5 联合体通过资格预审后在组成上发生变化，含有未经过资格预审或者资格预审不合格的法人或者其他组织；</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23.2.6投标文件中标明的投标人与资格预审的申请人在名称和组织结构上存在实质性差别的；</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23.2.7 投标文件规格不符合规定，或规定“暗标”的部分不符合“暗标”要求，出现了投标人的名称或其他可识别投标人身份的字符、图案、照片、徽标等；</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23.2.8资格后审时投标人未能通过资格审查的。</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24．对投标文件的审查和响应性的确定</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24.1 评标委员会将组织审查投标文件是否完整，规定的服务方案是否提交，要求的投标保证金是否已有效提供，文件是否恰当地签署。</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24.2 评标委员会将确定每一投标人是否对招标文件的要求做出了实质性的响应，而没有重大偏离。实质性响应的投标是指投标符合招标文件的所有条款、条件和规定且没有重大偏离或保留。或影响到招标文件规定的服务范围、服务周期和要求，或限制了招标人的权利和投标人的义务的规定，而纠正这些偏离将影响到提交实质性响应投标的投标人的公平竞争地位。</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24.3 评标委员会判断投标文件的响应性仅基于投标文件本身而不靠外部证据。</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24.4评标委员会有权拒绝被确定为非实质性响应的投标，投标人不能通过修正或撤回不符合之处而使其投标成为实质性响应的投标。</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25．投标文件的澄清</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25.1 如投标人须知前附表第14项规定采用方案陈述，评标委员会可以要求投标人分别对其技术方案等技术文件的技术方案思想、理念进行介绍和说明，投标人介绍时间和评标委员会成员提问时间按表中规定的时间执行。如招标文件规定以“暗标”方式投标，投标人在对其技术方案等技术文件介绍时，不得介绍企业名称、技术人员的项目等内容。评标委员会成员提问时，不得提出带有暗示性或诱导性的问题，也不得明确指出其投标文件中的遗漏和错误。</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25.2 如评标委员会对投标文件有疑问，可以向投标人发出澄清函。投标人应对澄清函中的问题进行逐一书面解答，并由投标人授权代表签字，按照评标委员会要求的时间提交。如投标人不提交对澄清函的书面解答或其书面解答不为评标委员会接受，其投标有可能被拒绝。</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26．投标文件的评估和比较</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26.1对所有实质性响应招标文件要求的投标文件，评标委员会将采用相同的程序和标准，遵循公平、公正、科学和择优的原则，按综合评估法进行评审，确定投标人的排名。</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26.2 评标标准和方法详见本招标文件第三章“评标办法”。评标委员会根据其中的规定，对投标文件进行评审和比较，向招标人提出书面评标报告。</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26.3 除投标人须知前附表第26项规定评标委员会直接确定中标人外，招标人依据评标委员会推荐的中标候选人确定中标人，评标委员会推荐中标候选人的人数见投标人须知前附表第26项。</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26.4评标委员会经评审，认为所有投标都不符合招标文件要求的，可以否决所有投标。所有投标被否决后，招标人将依法重新招标。</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27．评标过程的保密</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27.1开标后直至授予中标人合同为止，评标委员会成员和与评标工作有关的工作人员不得透露对投标文件的评审和比较、中标候选人的推荐情况以及与评标有关的其他情况。</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27.2 在投标文件的评审和比较、中标候选人推荐以及授予合同的过程中，投标人向招标人和评标委员会施加影响的任何行为，都将会导致其投标被拒绝。</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27.3中标人确定后，招标人与招标代理机构不对未中标人就评标过程以及未能中标原因做出任何解释。未中标人不得向评标委员会组成人员或其他有关人员索问评标过程的情况和材料。</w:t>
      </w:r>
    </w:p>
    <w:p>
      <w:pPr>
        <w:pStyle w:val="4"/>
        <w:rPr>
          <w:rFonts w:cs="仿宋" w:asciiTheme="majorEastAsia" w:hAnsiTheme="majorEastAsia" w:eastAsiaTheme="majorEastAsia"/>
          <w:b w:val="0"/>
          <w:sz w:val="21"/>
          <w:szCs w:val="21"/>
        </w:rPr>
      </w:pPr>
      <w:bookmarkStart w:id="12" w:name="_Toc440183414"/>
      <w:r>
        <w:rPr>
          <w:rFonts w:hint="eastAsia" w:cs="仿宋" w:asciiTheme="majorEastAsia" w:hAnsiTheme="majorEastAsia" w:eastAsiaTheme="majorEastAsia"/>
          <w:b w:val="0"/>
          <w:sz w:val="21"/>
          <w:szCs w:val="21"/>
        </w:rPr>
        <w:t>（七） 授予合同</w:t>
      </w:r>
      <w:bookmarkEnd w:id="12"/>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28．招标人拒绝投标的权力</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28.1招标人不承诺将合同授予报价最低的投标人。招标人在发出中标通知书前，有权依据评标委员会的评标报告拒绝不合格的投标。</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29．中标公示和通知</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29.1 中标人确定后，招标人或招标代理机构将投标人须知前附表第27项规定公示评标结果。</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29.2 公示期没有投标人提出疑议的，招标人或招标代理机构可向中标人发出中标通知书，同时发布中标公告。对未中标的投标人不再另行发放未中标通知。</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30．合同的签订</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30.1 招标人与中标人将于中标通知书发出之日起30日内，按照招标文件和中标人的投标文件订立书面合同。</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30.2 中标人如因自身原因不按本投标须知第30.1款的规定与招标人订立合同，则招标人将取消其中标资格，投标保证金不予退还，给招标人造成的损失超过投标保证金数额的，还应当对超过部分予以赔偿，同时依法承担相应法律责任。</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30.3 中标人应当按照合同约定履行义务，完成中标项目的服务任务，不得将中标项目全部或部分非法转让（转包）给他人。</w:t>
      </w:r>
    </w:p>
    <w:p>
      <w:pPr>
        <w:pStyle w:val="4"/>
        <w:rPr>
          <w:rFonts w:cs="仿宋" w:asciiTheme="majorEastAsia" w:hAnsiTheme="majorEastAsia" w:eastAsiaTheme="majorEastAsia"/>
          <w:b w:val="0"/>
          <w:sz w:val="21"/>
          <w:szCs w:val="21"/>
        </w:rPr>
      </w:pPr>
      <w:bookmarkStart w:id="13" w:name="_Toc440183415"/>
      <w:r>
        <w:rPr>
          <w:rFonts w:hint="eastAsia" w:cs="仿宋" w:asciiTheme="majorEastAsia" w:hAnsiTheme="majorEastAsia" w:eastAsiaTheme="majorEastAsia"/>
          <w:b w:val="0"/>
          <w:sz w:val="21"/>
          <w:szCs w:val="21"/>
        </w:rPr>
        <w:t>（八） 其他</w:t>
      </w:r>
      <w:bookmarkEnd w:id="13"/>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31．未中标投标文件的返还</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投标文件的退还方式见投标人须知前附表第28项规定。</w:t>
      </w:r>
    </w:p>
    <w:p>
      <w:pPr>
        <w:spacing w:line="360" w:lineRule="auto"/>
        <w:rPr>
          <w:rFonts w:cs="仿宋" w:asciiTheme="majorEastAsia" w:hAnsiTheme="majorEastAsia" w:eastAsiaTheme="majorEastAsia"/>
          <w:szCs w:val="21"/>
        </w:rPr>
      </w:pPr>
      <w:r>
        <w:rPr>
          <w:rFonts w:hint="eastAsia" w:cs="仿宋" w:asciiTheme="majorEastAsia" w:hAnsiTheme="majorEastAsia" w:eastAsiaTheme="majorEastAsia"/>
          <w:szCs w:val="21"/>
        </w:rPr>
        <w:t>32.投标人不得存在的其他情形</w:t>
      </w:r>
    </w:p>
    <w:p>
      <w:pPr>
        <w:spacing w:line="360" w:lineRule="auto"/>
        <w:rPr>
          <w:rFonts w:cs="仿宋" w:asciiTheme="majorEastAsia" w:hAnsiTheme="majorEastAsia" w:eastAsiaTheme="majorEastAsia"/>
          <w:szCs w:val="21"/>
        </w:rPr>
      </w:pPr>
      <w:r>
        <w:rPr>
          <w:rFonts w:hint="eastAsia" w:cs="仿宋" w:asciiTheme="majorEastAsia" w:hAnsiTheme="majorEastAsia" w:eastAsiaTheme="majorEastAsia"/>
          <w:szCs w:val="21"/>
        </w:rPr>
        <w:t>32.1、不得存串通投标。有下列情形之一的，视为投标人串通投标，其投标无效：</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　　（一）不同投标人的投标文件由同一单位或者个人编制；</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　　（二）不同投标人委托同一单位或者个人办理投标事宜；</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　　（三）不同投标人的投标文件载明的项目管理成员或者联系人员为同一人；</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　　（四）不同投标人的投标文件异常一致或者投标报价呈规律性差异；</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　　（五）不同投标人的投标文件相互混装；</w:t>
      </w:r>
    </w:p>
    <w:p>
      <w:pPr>
        <w:spacing w:line="360" w:lineRule="auto"/>
        <w:ind w:firstLine="840" w:firstLineChars="400"/>
        <w:rPr>
          <w:rFonts w:cs="仿宋" w:asciiTheme="majorEastAsia" w:hAnsiTheme="majorEastAsia" w:eastAsiaTheme="majorEastAsia"/>
          <w:szCs w:val="21"/>
        </w:rPr>
      </w:pPr>
      <w:r>
        <w:rPr>
          <w:rFonts w:hint="eastAsia" w:cs="仿宋" w:asciiTheme="majorEastAsia" w:hAnsiTheme="majorEastAsia" w:eastAsiaTheme="majorEastAsia"/>
          <w:szCs w:val="21"/>
        </w:rPr>
        <w:t>（六）不同投标人的投标保证金从同一单位或者个人的账户转出；</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 xml:space="preserve">    （七）其他法律法规规定的情形。</w:t>
      </w:r>
    </w:p>
    <w:p>
      <w:pPr>
        <w:pStyle w:val="5"/>
        <w:rPr>
          <w:rFonts w:hint="eastAsia"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33.  低于成本价不正当竞争预防措施</w:t>
      </w:r>
    </w:p>
    <w:p>
      <w:pPr>
        <w:pStyle w:val="5"/>
        <w:rPr>
          <w:rFonts w:cs="仿宋" w:asciiTheme="majorEastAsia" w:hAnsiTheme="majorEastAsia" w:eastAsiaTheme="majorEastAsia"/>
          <w:szCs w:val="21"/>
        </w:rPr>
      </w:pPr>
      <w:r>
        <w:rPr>
          <w:rFonts w:hint="eastAsia" w:cs="仿宋" w:asciiTheme="majorEastAsia" w:hAnsiTheme="majorEastAsia" w:eastAsiaTheme="majorEastAsia"/>
          <w:b w:val="0"/>
          <w:sz w:val="21"/>
          <w:szCs w:val="21"/>
          <w:lang w:val="en-US" w:eastAsia="zh-CN"/>
        </w:rPr>
        <w:t xml:space="preserve">34.  </w:t>
      </w:r>
      <w:r>
        <w:rPr>
          <w:rFonts w:hint="eastAsia" w:cs="仿宋" w:asciiTheme="majorEastAsia" w:hAnsiTheme="majorEastAsia" w:eastAsiaTheme="majorEastAsia"/>
          <w:b w:val="0"/>
          <w:sz w:val="21"/>
          <w:szCs w:val="21"/>
        </w:rPr>
        <w:t>需要补充的其他内容</w:t>
      </w:r>
      <w:r>
        <w:rPr>
          <w:rFonts w:hint="eastAsia" w:cs="仿宋" w:asciiTheme="majorEastAsia" w:hAnsiTheme="majorEastAsia" w:eastAsiaTheme="majorEastAsia"/>
          <w:szCs w:val="21"/>
        </w:rPr>
        <w:t>详见投标人须知前附表。</w:t>
      </w:r>
    </w:p>
    <w:p>
      <w:pPr>
        <w:spacing w:line="360" w:lineRule="auto"/>
        <w:ind w:firstLine="420" w:firstLineChars="200"/>
        <w:rPr>
          <w:rFonts w:cs="Arial" w:asciiTheme="majorEastAsia" w:hAnsiTheme="majorEastAsia" w:eastAsiaTheme="majorEastAsia"/>
        </w:rPr>
      </w:pPr>
    </w:p>
    <w:p>
      <w:pPr>
        <w:spacing w:line="360" w:lineRule="auto"/>
        <w:ind w:firstLine="420" w:firstLineChars="200"/>
        <w:rPr>
          <w:rFonts w:cs="Arial" w:asciiTheme="majorEastAsia" w:hAnsiTheme="majorEastAsia" w:eastAsiaTheme="majorEastAsia"/>
          <w:szCs w:val="21"/>
        </w:rPr>
      </w:pPr>
    </w:p>
    <w:p>
      <w:pPr>
        <w:pStyle w:val="49"/>
        <w:sectPr>
          <w:headerReference r:id="rId5" w:type="default"/>
          <w:footerReference r:id="rId6" w:type="default"/>
          <w:pgSz w:w="11906" w:h="16838"/>
          <w:pgMar w:top="1418" w:right="1134" w:bottom="1418" w:left="1701" w:header="851" w:footer="992" w:gutter="0"/>
          <w:pgNumType w:fmt="decimal" w:start="1"/>
          <w:cols w:space="720" w:num="1"/>
          <w:docGrid w:type="lines" w:linePitch="312" w:charSpace="0"/>
        </w:sectPr>
      </w:pPr>
    </w:p>
    <w:p>
      <w:pPr>
        <w:pStyle w:val="4"/>
        <w:spacing w:line="300" w:lineRule="auto"/>
        <w:jc w:val="center"/>
        <w:rPr>
          <w:rFonts w:ascii="宋体" w:hAnsi="宋体" w:cs="宋体"/>
        </w:rPr>
      </w:pPr>
      <w:bookmarkStart w:id="14" w:name="_Toc7151"/>
      <w:bookmarkStart w:id="15" w:name="_Toc247815569"/>
      <w:bookmarkStart w:id="16" w:name="_Toc182891057"/>
      <w:bookmarkStart w:id="17" w:name="_Toc13805"/>
      <w:bookmarkStart w:id="18" w:name="_Toc176257397"/>
      <w:bookmarkStart w:id="19" w:name="_Toc247815566"/>
      <w:bookmarkStart w:id="20" w:name="_Toc225356383"/>
      <w:bookmarkStart w:id="21" w:name="_Toc176257387"/>
      <w:r>
        <w:rPr>
          <w:rFonts w:hint="eastAsia" w:cs="仿宋" w:asciiTheme="majorEastAsia" w:hAnsiTheme="majorEastAsia" w:eastAsiaTheme="majorEastAsia"/>
          <w:b w:val="0"/>
          <w:sz w:val="36"/>
          <w:szCs w:val="36"/>
        </w:rPr>
        <w:t xml:space="preserve">第三章  </w:t>
      </w:r>
      <w:bookmarkEnd w:id="14"/>
      <w:bookmarkEnd w:id="15"/>
      <w:bookmarkEnd w:id="16"/>
      <w:bookmarkEnd w:id="17"/>
      <w:bookmarkEnd w:id="18"/>
      <w:r>
        <w:rPr>
          <w:rFonts w:hint="eastAsia" w:ascii="宋体" w:hAnsi="宋体" w:cs="宋体"/>
        </w:rPr>
        <w:t>评标办法（综合评分法）</w:t>
      </w:r>
    </w:p>
    <w:p>
      <w:pPr>
        <w:pStyle w:val="5"/>
        <w:spacing w:line="300" w:lineRule="auto"/>
        <w:rPr>
          <w:rFonts w:ascii="宋体" w:hAnsi="宋体" w:cs="宋体"/>
        </w:rPr>
      </w:pPr>
      <w:bookmarkStart w:id="22" w:name="_Toc6327"/>
      <w:bookmarkStart w:id="23" w:name="_Toc26365"/>
      <w:bookmarkStart w:id="24" w:name="_Toc725"/>
      <w:bookmarkStart w:id="25" w:name="_Toc17604"/>
      <w:r>
        <w:rPr>
          <w:rFonts w:hint="eastAsia" w:ascii="宋体" w:hAnsi="宋体" w:cs="宋体"/>
        </w:rPr>
        <w:t>评标办法前附表</w:t>
      </w:r>
      <w:bookmarkEnd w:id="22"/>
      <w:bookmarkEnd w:id="23"/>
      <w:bookmarkEnd w:id="24"/>
      <w:bookmarkEnd w:id="25"/>
    </w:p>
    <w:p>
      <w:pPr>
        <w:spacing w:line="300" w:lineRule="auto"/>
        <w:jc w:val="center"/>
        <w:rPr>
          <w:rFonts w:ascii="宋体" w:hAnsi="宋体" w:cs="宋体"/>
          <w:sz w:val="28"/>
          <w:szCs w:val="32"/>
        </w:rPr>
      </w:pPr>
      <w:bookmarkStart w:id="26" w:name="_Toc27324"/>
      <w:bookmarkStart w:id="27" w:name="_Toc25664"/>
      <w:r>
        <w:rPr>
          <w:rFonts w:hint="eastAsia" w:ascii="宋体" w:hAnsi="宋体" w:cs="宋体"/>
          <w:sz w:val="28"/>
          <w:szCs w:val="32"/>
        </w:rPr>
        <w:t>初步评审—资格性审查表</w:t>
      </w:r>
    </w:p>
    <w:tbl>
      <w:tblPr>
        <w:tblStyle w:val="40"/>
        <w:tblpPr w:leftFromText="180" w:rightFromText="180" w:vertAnchor="text" w:horzAnchor="page" w:tblpXSpec="center" w:tblpY="116"/>
        <w:tblOverlap w:val="never"/>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6597"/>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12" w:type="dxa"/>
            <w:vMerge w:val="restart"/>
            <w:vAlign w:val="center"/>
          </w:tcPr>
          <w:p>
            <w:pPr>
              <w:spacing w:line="300" w:lineRule="auto"/>
              <w:jc w:val="center"/>
              <w:rPr>
                <w:rFonts w:ascii="宋体" w:hAnsi="宋体" w:cs="宋体"/>
                <w:szCs w:val="21"/>
              </w:rPr>
            </w:pPr>
            <w:r>
              <w:rPr>
                <w:rFonts w:hint="eastAsia" w:ascii="宋体" w:hAnsi="宋体" w:cs="宋体"/>
                <w:szCs w:val="21"/>
              </w:rPr>
              <w:t>序号</w:t>
            </w:r>
          </w:p>
        </w:tc>
        <w:tc>
          <w:tcPr>
            <w:tcW w:w="6597" w:type="dxa"/>
            <w:vMerge w:val="restart"/>
            <w:vAlign w:val="center"/>
          </w:tcPr>
          <w:p>
            <w:pPr>
              <w:spacing w:line="300" w:lineRule="auto"/>
              <w:jc w:val="center"/>
              <w:rPr>
                <w:rFonts w:ascii="宋体" w:hAnsi="宋体" w:cs="宋体"/>
                <w:szCs w:val="21"/>
              </w:rPr>
            </w:pPr>
            <w:r>
              <w:rPr>
                <w:rFonts w:hint="eastAsia" w:ascii="宋体" w:hAnsi="宋体" w:cs="宋体"/>
                <w:szCs w:val="21"/>
              </w:rPr>
              <w:t>评审内容</w:t>
            </w:r>
          </w:p>
        </w:tc>
        <w:tc>
          <w:tcPr>
            <w:tcW w:w="2081" w:type="dxa"/>
            <w:vAlign w:val="center"/>
          </w:tcPr>
          <w:p>
            <w:pPr>
              <w:spacing w:line="300" w:lineRule="auto"/>
              <w:jc w:val="center"/>
              <w:rPr>
                <w:rFonts w:ascii="宋体" w:hAnsi="宋体" w:cs="宋体"/>
                <w:szCs w:val="21"/>
              </w:rPr>
            </w:pPr>
            <w:r>
              <w:rPr>
                <w:rFonts w:hint="eastAsia" w:ascii="宋体" w:hAnsi="宋体" w:cs="宋体"/>
                <w:szCs w:val="21"/>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12" w:type="dxa"/>
            <w:vMerge w:val="continue"/>
            <w:vAlign w:val="center"/>
          </w:tcPr>
          <w:p>
            <w:pPr>
              <w:spacing w:line="300" w:lineRule="auto"/>
              <w:jc w:val="center"/>
              <w:rPr>
                <w:rFonts w:ascii="宋体" w:hAnsi="宋体" w:cs="宋体"/>
                <w:szCs w:val="21"/>
              </w:rPr>
            </w:pPr>
          </w:p>
        </w:tc>
        <w:tc>
          <w:tcPr>
            <w:tcW w:w="6597" w:type="dxa"/>
            <w:vMerge w:val="continue"/>
            <w:vAlign w:val="center"/>
          </w:tcPr>
          <w:p>
            <w:pPr>
              <w:spacing w:line="300" w:lineRule="auto"/>
              <w:jc w:val="center"/>
              <w:rPr>
                <w:rFonts w:ascii="宋体" w:hAnsi="宋体" w:cs="宋体"/>
                <w:szCs w:val="21"/>
              </w:rPr>
            </w:pPr>
          </w:p>
        </w:tc>
        <w:tc>
          <w:tcPr>
            <w:tcW w:w="2081" w:type="dxa"/>
            <w:vAlign w:val="center"/>
          </w:tcPr>
          <w:p>
            <w:pPr>
              <w:spacing w:line="30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12" w:type="dxa"/>
            <w:vAlign w:val="center"/>
          </w:tcPr>
          <w:p>
            <w:pPr>
              <w:spacing w:line="300" w:lineRule="auto"/>
              <w:jc w:val="center"/>
              <w:rPr>
                <w:rFonts w:ascii="宋体" w:hAnsi="宋体" w:cs="宋体"/>
                <w:szCs w:val="21"/>
              </w:rPr>
            </w:pPr>
            <w:r>
              <w:rPr>
                <w:rFonts w:hint="eastAsia" w:ascii="宋体" w:hAnsi="宋体" w:cs="宋体"/>
                <w:szCs w:val="21"/>
              </w:rPr>
              <w:t>1</w:t>
            </w:r>
          </w:p>
        </w:tc>
        <w:tc>
          <w:tcPr>
            <w:tcW w:w="6597" w:type="dxa"/>
            <w:vAlign w:val="center"/>
          </w:tcPr>
          <w:p>
            <w:pPr>
              <w:spacing w:line="300" w:lineRule="auto"/>
              <w:rPr>
                <w:rFonts w:ascii="宋体" w:hAnsi="宋体" w:cs="宋体"/>
                <w:szCs w:val="21"/>
              </w:rPr>
            </w:pPr>
            <w:r>
              <w:rPr>
                <w:rFonts w:hint="eastAsia"/>
              </w:rPr>
              <w:t>有效的“三证合一”的营业执照，且应具有采购需求相应的经营范围</w:t>
            </w:r>
          </w:p>
        </w:tc>
        <w:tc>
          <w:tcPr>
            <w:tcW w:w="2081" w:type="dxa"/>
          </w:tcPr>
          <w:p>
            <w:pPr>
              <w:spacing w:line="30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12" w:type="dxa"/>
            <w:vAlign w:val="center"/>
          </w:tcPr>
          <w:p>
            <w:pPr>
              <w:spacing w:line="300" w:lineRule="auto"/>
              <w:jc w:val="center"/>
              <w:rPr>
                <w:rFonts w:hint="default" w:ascii="宋体" w:hAnsi="宋体" w:cs="宋体"/>
                <w:szCs w:val="21"/>
                <w:lang w:val="en-US" w:eastAsia="zh-CN"/>
              </w:rPr>
            </w:pPr>
            <w:r>
              <w:rPr>
                <w:rFonts w:hint="eastAsia" w:ascii="宋体" w:hAnsi="宋体" w:cs="宋体"/>
                <w:szCs w:val="21"/>
                <w:lang w:val="en-US" w:eastAsia="zh-CN"/>
              </w:rPr>
              <w:t>2</w:t>
            </w:r>
          </w:p>
        </w:tc>
        <w:tc>
          <w:tcPr>
            <w:tcW w:w="6597" w:type="dxa"/>
            <w:vAlign w:val="center"/>
          </w:tcPr>
          <w:p>
            <w:pPr>
              <w:spacing w:line="300" w:lineRule="auto"/>
              <w:rPr>
                <w:rFonts w:hint="eastAsia" w:ascii="宋体" w:hAnsi="宋体" w:eastAsia="宋体" w:cs="宋体"/>
                <w:spacing w:val="6"/>
                <w:sz w:val="21"/>
                <w:highlight w:val="none"/>
              </w:rPr>
            </w:pPr>
            <w:r>
              <w:rPr>
                <w:rFonts w:hint="eastAsia" w:cs="仿宋" w:asciiTheme="majorEastAsia" w:hAnsiTheme="majorEastAsia" w:eastAsiaTheme="majorEastAsia"/>
                <w:bCs/>
                <w:color w:val="000000" w:themeColor="text1"/>
                <w:kern w:val="0"/>
                <w:szCs w:val="21"/>
                <w:lang w:val="en-US" w:eastAsia="zh-CN"/>
                <w14:textFill>
                  <w14:solidFill>
                    <w14:schemeClr w14:val="tx1"/>
                  </w14:solidFill>
                </w14:textFill>
              </w:rPr>
              <w:t>法定代表人身份证明或</w:t>
            </w:r>
            <w:r>
              <w:rPr>
                <w:rFonts w:hint="eastAsia" w:cs="仿宋" w:asciiTheme="majorEastAsia" w:hAnsiTheme="majorEastAsia" w:eastAsiaTheme="majorEastAsia"/>
                <w:bCs/>
                <w:color w:val="000000" w:themeColor="text1"/>
                <w:kern w:val="0"/>
                <w:szCs w:val="21"/>
                <w14:textFill>
                  <w14:solidFill>
                    <w14:schemeClr w14:val="tx1"/>
                  </w14:solidFill>
                </w14:textFill>
              </w:rPr>
              <w:t>委托代理人的授权委托书</w:t>
            </w:r>
          </w:p>
        </w:tc>
        <w:tc>
          <w:tcPr>
            <w:tcW w:w="2081" w:type="dxa"/>
          </w:tcPr>
          <w:p>
            <w:pPr>
              <w:spacing w:line="30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12" w:type="dxa"/>
            <w:vAlign w:val="center"/>
          </w:tcPr>
          <w:p>
            <w:pPr>
              <w:spacing w:line="300" w:lineRule="auto"/>
              <w:jc w:val="center"/>
              <w:rPr>
                <w:rFonts w:hint="default" w:ascii="宋体" w:hAnsi="宋体" w:cs="宋体"/>
                <w:szCs w:val="21"/>
                <w:lang w:val="en-US" w:eastAsia="zh-CN"/>
              </w:rPr>
            </w:pPr>
            <w:r>
              <w:rPr>
                <w:rFonts w:hint="eastAsia" w:ascii="宋体" w:hAnsi="宋体" w:cs="宋体"/>
                <w:szCs w:val="21"/>
                <w:lang w:val="en-US" w:eastAsia="zh-CN"/>
              </w:rPr>
              <w:t>3</w:t>
            </w:r>
          </w:p>
        </w:tc>
        <w:tc>
          <w:tcPr>
            <w:tcW w:w="6597" w:type="dxa"/>
            <w:vAlign w:val="center"/>
          </w:tcPr>
          <w:p>
            <w:pPr>
              <w:spacing w:line="300" w:lineRule="auto"/>
              <w:rPr>
                <w:rFonts w:hint="eastAsia" w:ascii="宋体" w:hAnsi="宋体" w:eastAsia="宋体" w:cs="宋体"/>
                <w:spacing w:val="6"/>
                <w:sz w:val="21"/>
                <w:highlight w:val="none"/>
              </w:rPr>
            </w:pPr>
            <w:r>
              <w:rPr>
                <w:rFonts w:hint="eastAsia"/>
              </w:rPr>
              <w:t>保证金缴纳票据</w:t>
            </w:r>
            <w:r>
              <w:rPr>
                <w:rFonts w:hint="eastAsia"/>
                <w:lang w:eastAsia="zh-CN"/>
              </w:rPr>
              <w:t>，</w:t>
            </w:r>
            <w:r>
              <w:rPr>
                <w:rFonts w:hint="eastAsia" w:ascii="宋体" w:hAnsi="宋体" w:cs="宋体"/>
                <w:bCs/>
                <w:kern w:val="0"/>
                <w:szCs w:val="21"/>
                <w:shd w:val="clear" w:color="auto" w:fill="FFFFFF"/>
              </w:rPr>
              <w:t>投标保证金的缴纳主体与投标人是否一致，</w:t>
            </w:r>
          </w:p>
        </w:tc>
        <w:tc>
          <w:tcPr>
            <w:tcW w:w="2081" w:type="dxa"/>
          </w:tcPr>
          <w:p>
            <w:pPr>
              <w:spacing w:line="30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12" w:type="dxa"/>
            <w:vAlign w:val="center"/>
          </w:tcPr>
          <w:p>
            <w:pPr>
              <w:spacing w:line="300" w:lineRule="auto"/>
              <w:jc w:val="center"/>
              <w:rPr>
                <w:rFonts w:hint="default" w:ascii="宋体" w:hAnsi="宋体" w:eastAsia="宋体" w:cs="宋体"/>
                <w:szCs w:val="21"/>
                <w:lang w:val="en-US" w:eastAsia="zh-CN"/>
              </w:rPr>
            </w:pPr>
            <w:r>
              <w:rPr>
                <w:rFonts w:hint="eastAsia" w:ascii="宋体" w:hAnsi="宋体" w:cs="宋体"/>
                <w:szCs w:val="21"/>
                <w:lang w:val="en-US" w:eastAsia="zh-CN"/>
              </w:rPr>
              <w:t>4</w:t>
            </w:r>
          </w:p>
        </w:tc>
        <w:tc>
          <w:tcPr>
            <w:tcW w:w="6597" w:type="dxa"/>
            <w:vAlign w:val="center"/>
          </w:tcPr>
          <w:p>
            <w:pPr>
              <w:spacing w:line="300" w:lineRule="auto"/>
              <w:rPr>
                <w:rFonts w:hint="eastAsia" w:ascii="宋体" w:hAnsi="宋体" w:cs="宋体"/>
                <w:bCs/>
                <w:kern w:val="0"/>
                <w:szCs w:val="21"/>
                <w:shd w:val="clear" w:color="auto" w:fill="FFFFFF"/>
              </w:rPr>
            </w:pPr>
            <w:r>
              <w:rPr>
                <w:rFonts w:hint="eastAsia" w:ascii="宋体" w:hAnsi="宋体" w:eastAsia="宋体" w:cs="宋体"/>
                <w:spacing w:val="6"/>
                <w:sz w:val="21"/>
                <w:highlight w:val="none"/>
              </w:rPr>
              <w:t>投标单位应有依法缴纳税收证明(附：</w:t>
            </w:r>
            <w:r>
              <w:rPr>
                <w:rFonts w:hint="eastAsia" w:ascii="宋体" w:hAnsi="宋体" w:eastAsia="宋体" w:cs="宋体"/>
                <w:bCs/>
                <w:color w:val="000000" w:themeColor="text1"/>
                <w:spacing w:val="6"/>
                <w:kern w:val="0"/>
                <w:sz w:val="21"/>
                <w:szCs w:val="21"/>
                <w:highlight w:val="none"/>
                <w14:textFill>
                  <w14:solidFill>
                    <w14:schemeClr w14:val="tx1"/>
                  </w14:solidFill>
                </w14:textFill>
              </w:rPr>
              <w:t>近</w:t>
            </w:r>
            <w:r>
              <w:rPr>
                <w:rFonts w:hint="eastAsia" w:ascii="宋体" w:hAnsi="宋体" w:eastAsia="宋体" w:cs="宋体"/>
                <w:bCs/>
                <w:color w:val="000000" w:themeColor="text1"/>
                <w:spacing w:val="6"/>
                <w:kern w:val="0"/>
                <w:sz w:val="21"/>
                <w:szCs w:val="21"/>
                <w:highlight w:val="none"/>
                <w:lang w:val="en-US" w:eastAsia="zh-CN"/>
                <w14:textFill>
                  <w14:solidFill>
                    <w14:schemeClr w14:val="tx1"/>
                  </w14:solidFill>
                </w14:textFill>
              </w:rPr>
              <w:t>三</w:t>
            </w:r>
            <w:r>
              <w:rPr>
                <w:rFonts w:hint="eastAsia" w:ascii="宋体" w:hAnsi="宋体" w:eastAsia="宋体" w:cs="宋体"/>
                <w:bCs/>
                <w:color w:val="000000" w:themeColor="text1"/>
                <w:spacing w:val="6"/>
                <w:kern w:val="0"/>
                <w:sz w:val="21"/>
                <w:szCs w:val="21"/>
                <w:highlight w:val="none"/>
                <w14:textFill>
                  <w14:solidFill>
                    <w14:schemeClr w14:val="tx1"/>
                  </w14:solidFill>
                </w14:textFill>
              </w:rPr>
              <w:t>个月的完税证明</w:t>
            </w:r>
            <w:r>
              <w:rPr>
                <w:rFonts w:hint="eastAsia" w:ascii="宋体" w:hAnsi="宋体" w:eastAsia="宋体" w:cs="宋体"/>
                <w:bCs/>
                <w:color w:val="000000" w:themeColor="text1"/>
                <w:spacing w:val="6"/>
                <w:kern w:val="0"/>
                <w:sz w:val="21"/>
                <w:szCs w:val="21"/>
                <w:highlight w:val="none"/>
                <w:lang w:val="en-US" w:eastAsia="zh-CN"/>
                <w14:textFill>
                  <w14:solidFill>
                    <w14:schemeClr w14:val="tx1"/>
                  </w14:solidFill>
                </w14:textFill>
              </w:rPr>
              <w:t>或税务局出具的无欠税证明</w:t>
            </w:r>
            <w:r>
              <w:rPr>
                <w:rFonts w:hint="eastAsia" w:ascii="宋体" w:hAnsi="宋体" w:eastAsia="宋体" w:cs="宋体"/>
                <w:bCs/>
                <w:color w:val="000000" w:themeColor="text1"/>
                <w:spacing w:val="6"/>
                <w:kern w:val="0"/>
                <w:sz w:val="21"/>
                <w:szCs w:val="21"/>
                <w:highlight w:val="none"/>
                <w:lang w:eastAsia="zh-CN"/>
                <w14:textFill>
                  <w14:solidFill>
                    <w14:schemeClr w14:val="tx1"/>
                  </w14:solidFill>
                </w14:textFill>
              </w:rPr>
              <w:t>）</w:t>
            </w:r>
            <w:r>
              <w:rPr>
                <w:rFonts w:hint="eastAsia" w:ascii="宋体" w:hAnsi="宋体" w:eastAsia="宋体" w:cs="宋体"/>
                <w:spacing w:val="6"/>
                <w:sz w:val="21"/>
                <w:highlight w:val="none"/>
              </w:rPr>
              <w:t>；</w:t>
            </w:r>
          </w:p>
        </w:tc>
        <w:tc>
          <w:tcPr>
            <w:tcW w:w="2081" w:type="dxa"/>
          </w:tcPr>
          <w:p>
            <w:pPr>
              <w:spacing w:line="30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12" w:type="dxa"/>
            <w:vAlign w:val="center"/>
          </w:tcPr>
          <w:p>
            <w:pPr>
              <w:spacing w:line="300" w:lineRule="auto"/>
              <w:jc w:val="center"/>
              <w:rPr>
                <w:rFonts w:hint="default" w:ascii="宋体" w:hAnsi="宋体" w:eastAsia="宋体" w:cs="宋体"/>
                <w:szCs w:val="21"/>
                <w:lang w:val="en-US" w:eastAsia="zh-CN"/>
              </w:rPr>
            </w:pPr>
            <w:r>
              <w:rPr>
                <w:rFonts w:hint="eastAsia" w:ascii="宋体" w:hAnsi="宋体" w:cs="宋体"/>
                <w:szCs w:val="21"/>
                <w:lang w:val="en-US" w:eastAsia="zh-CN"/>
              </w:rPr>
              <w:t>5</w:t>
            </w:r>
          </w:p>
        </w:tc>
        <w:tc>
          <w:tcPr>
            <w:tcW w:w="6597" w:type="dxa"/>
            <w:vAlign w:val="center"/>
          </w:tcPr>
          <w:p>
            <w:pPr>
              <w:spacing w:line="300" w:lineRule="auto"/>
              <w:rPr>
                <w:rFonts w:hint="eastAsia" w:ascii="宋体" w:hAnsi="宋体" w:cs="宋体"/>
                <w:bCs/>
                <w:kern w:val="0"/>
                <w:szCs w:val="21"/>
                <w:shd w:val="clear" w:color="auto" w:fill="FFFFFF"/>
              </w:rPr>
            </w:pPr>
            <w:r>
              <w:rPr>
                <w:rFonts w:hint="eastAsia"/>
                <w:highlight w:val="none"/>
              </w:rPr>
              <w:t>投标单位应提供近一年度（2020年）财务审计报告</w:t>
            </w:r>
            <w:r>
              <w:rPr>
                <w:rFonts w:hint="eastAsia"/>
                <w:highlight w:val="none"/>
                <w:lang w:val="en-US" w:eastAsia="zh-CN"/>
              </w:rPr>
              <w:t>原件</w:t>
            </w:r>
            <w:r>
              <w:rPr>
                <w:rFonts w:hint="eastAsia"/>
                <w:highlight w:val="none"/>
              </w:rPr>
              <w:t>(</w:t>
            </w:r>
            <w:r>
              <w:rPr>
                <w:rFonts w:hint="eastAsia"/>
                <w:highlight w:val="none"/>
                <w:lang w:eastAsia="zh-CN"/>
              </w:rPr>
              <w:t>新成立公司可不提供财务审计报告但必须</w:t>
            </w:r>
            <w:r>
              <w:rPr>
                <w:rFonts w:hint="eastAsia"/>
                <w:highlight w:val="none"/>
                <w:lang w:val="en-US" w:eastAsia="zh-CN"/>
              </w:rPr>
              <w:t>提供</w:t>
            </w:r>
            <w:r>
              <w:rPr>
                <w:rFonts w:hint="eastAsia"/>
                <w:highlight w:val="none"/>
                <w:lang w:eastAsia="zh-CN"/>
              </w:rPr>
              <w:t>健全的财务会计制度</w:t>
            </w:r>
            <w:r>
              <w:rPr>
                <w:rFonts w:hint="eastAsia"/>
                <w:highlight w:val="none"/>
                <w:lang w:val="en-US" w:eastAsia="zh-CN"/>
              </w:rPr>
              <w:t>并加盖鲜章</w:t>
            </w:r>
            <w:r>
              <w:rPr>
                <w:rFonts w:hint="eastAsia"/>
                <w:highlight w:val="none"/>
              </w:rPr>
              <w:t>)。</w:t>
            </w:r>
          </w:p>
        </w:tc>
        <w:tc>
          <w:tcPr>
            <w:tcW w:w="2081" w:type="dxa"/>
          </w:tcPr>
          <w:p>
            <w:pPr>
              <w:spacing w:line="30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12" w:type="dxa"/>
            <w:vAlign w:val="center"/>
          </w:tcPr>
          <w:p>
            <w:pPr>
              <w:spacing w:line="300" w:lineRule="auto"/>
              <w:jc w:val="center"/>
              <w:rPr>
                <w:rFonts w:hint="default" w:ascii="宋体" w:hAnsi="宋体" w:eastAsia="宋体" w:cs="宋体"/>
                <w:szCs w:val="21"/>
                <w:lang w:val="en-US" w:eastAsia="zh-CN"/>
              </w:rPr>
            </w:pPr>
            <w:r>
              <w:rPr>
                <w:rFonts w:hint="eastAsia" w:ascii="宋体" w:hAnsi="宋体" w:cs="宋体"/>
                <w:szCs w:val="21"/>
                <w:lang w:val="en-US" w:eastAsia="zh-CN"/>
              </w:rPr>
              <w:t>6</w:t>
            </w:r>
          </w:p>
        </w:tc>
        <w:tc>
          <w:tcPr>
            <w:tcW w:w="6597" w:type="dxa"/>
            <w:vAlign w:val="center"/>
          </w:tcPr>
          <w:p>
            <w:pPr>
              <w:spacing w:line="300" w:lineRule="auto"/>
              <w:rPr>
                <w:rFonts w:hint="eastAsia" w:ascii="宋体" w:hAnsi="宋体" w:cs="宋体"/>
                <w:bCs/>
                <w:kern w:val="0"/>
                <w:szCs w:val="21"/>
                <w:shd w:val="clear" w:color="auto" w:fill="FFFFFF"/>
              </w:rPr>
            </w:pPr>
            <w:r>
              <w:rPr>
                <w:rFonts w:hint="eastAsia"/>
                <w:highlight w:val="none"/>
              </w:rPr>
              <w:t>凡拟参加本次招标项目的投标企业法人或委托代理人须提供近六个月的社保个人明细表；</w:t>
            </w:r>
            <w:r>
              <w:rPr>
                <w:rFonts w:hint="eastAsia"/>
                <w:highlight w:val="none"/>
                <w:lang w:eastAsia="zh-CN"/>
              </w:rPr>
              <w:t>（</w:t>
            </w:r>
            <w:r>
              <w:rPr>
                <w:rFonts w:hint="eastAsia"/>
                <w:highlight w:val="none"/>
                <w:lang w:val="en-US" w:eastAsia="zh-CN"/>
              </w:rPr>
              <w:t>不足六个月的公司按实际发生</w:t>
            </w:r>
            <w:r>
              <w:rPr>
                <w:rFonts w:hint="eastAsia"/>
                <w:highlight w:val="none"/>
                <w:lang w:eastAsia="zh-CN"/>
              </w:rPr>
              <w:t>）</w:t>
            </w:r>
          </w:p>
        </w:tc>
        <w:tc>
          <w:tcPr>
            <w:tcW w:w="2081" w:type="dxa"/>
          </w:tcPr>
          <w:p>
            <w:pPr>
              <w:spacing w:line="30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12" w:type="dxa"/>
            <w:vAlign w:val="center"/>
          </w:tcPr>
          <w:p>
            <w:pPr>
              <w:spacing w:line="300" w:lineRule="auto"/>
              <w:jc w:val="center"/>
              <w:rPr>
                <w:rFonts w:hint="default" w:ascii="宋体" w:hAnsi="宋体" w:eastAsia="宋体" w:cs="宋体"/>
                <w:szCs w:val="21"/>
                <w:lang w:val="en-US" w:eastAsia="zh-CN"/>
              </w:rPr>
            </w:pPr>
            <w:r>
              <w:rPr>
                <w:rFonts w:hint="eastAsia" w:ascii="宋体" w:hAnsi="宋体" w:cs="宋体"/>
                <w:szCs w:val="21"/>
                <w:lang w:val="en-US" w:eastAsia="zh-CN"/>
              </w:rPr>
              <w:t>7</w:t>
            </w:r>
          </w:p>
        </w:tc>
        <w:tc>
          <w:tcPr>
            <w:tcW w:w="6597" w:type="dxa"/>
            <w:vAlign w:val="center"/>
          </w:tcPr>
          <w:p>
            <w:pPr>
              <w:spacing w:line="300" w:lineRule="auto"/>
              <w:rPr>
                <w:rFonts w:hint="eastAsia" w:ascii="宋体" w:hAnsi="宋体" w:eastAsia="宋体" w:cs="宋体"/>
                <w:bCs/>
                <w:kern w:val="0"/>
                <w:szCs w:val="21"/>
                <w:shd w:val="clear" w:color="auto" w:fill="FFFFFF"/>
                <w:lang w:val="en-US" w:eastAsia="zh-CN"/>
              </w:rPr>
            </w:pPr>
            <w:r>
              <w:rPr>
                <w:rFonts w:hint="eastAsia"/>
              </w:rPr>
              <w:t>在</w:t>
            </w:r>
            <w:r>
              <w:rPr>
                <w:rFonts w:hint="eastAsia"/>
                <w:lang w:eastAsia="zh-CN"/>
              </w:rPr>
              <w:t>、</w:t>
            </w:r>
            <w:r>
              <w:rPr>
                <w:rFonts w:hint="eastAsia"/>
              </w:rPr>
              <w:t>“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列入经营异常名录信息、列入严重违法失信企业名单（黑名单）信息，</w:t>
            </w:r>
            <w:r>
              <w:rPr>
                <w:rFonts w:hint="eastAsia" w:cs="仿宋" w:asciiTheme="majorEastAsia" w:hAnsiTheme="majorEastAsia" w:eastAsiaTheme="majorEastAsia"/>
                <w:bCs/>
                <w:color w:val="000000" w:themeColor="text1"/>
                <w:kern w:val="0"/>
                <w:szCs w:val="21"/>
                <w:lang w:val="en-US" w:eastAsia="zh-CN"/>
                <w14:textFill>
                  <w14:solidFill>
                    <w14:schemeClr w14:val="tx1"/>
                  </w14:solidFill>
                </w14:textFill>
              </w:rPr>
              <w:t>提供带有日期的截图并加盖鲜章，截图日期需为公告发出日至开标截止日之间。</w:t>
            </w:r>
          </w:p>
        </w:tc>
        <w:tc>
          <w:tcPr>
            <w:tcW w:w="2081" w:type="dxa"/>
          </w:tcPr>
          <w:p>
            <w:pPr>
              <w:spacing w:line="30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12" w:type="dxa"/>
            <w:vAlign w:val="center"/>
          </w:tcPr>
          <w:p>
            <w:pPr>
              <w:spacing w:line="300" w:lineRule="auto"/>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6597" w:type="dxa"/>
            <w:vAlign w:val="center"/>
          </w:tcPr>
          <w:p>
            <w:pPr>
              <w:spacing w:line="300" w:lineRule="auto"/>
              <w:jc w:val="center"/>
              <w:rPr>
                <w:rFonts w:hint="eastAsia" w:ascii="宋体" w:hAnsi="宋体" w:eastAsia="宋体" w:cs="宋体"/>
                <w:szCs w:val="21"/>
                <w:lang w:eastAsia="zh-CN"/>
              </w:rPr>
            </w:pPr>
            <w:r>
              <w:rPr>
                <w:rFonts w:hint="eastAsia" w:ascii="宋体" w:hAnsi="宋体" w:eastAsia="宋体" w:cs="仿宋"/>
                <w:szCs w:val="21"/>
              </w:rPr>
              <w:t>以他人名义投标，或者以其他方式弄虚作假</w:t>
            </w:r>
            <w:r>
              <w:rPr>
                <w:rFonts w:hint="eastAsia" w:ascii="宋体" w:hAnsi="宋体" w:eastAsia="宋体" w:cs="仿宋"/>
                <w:szCs w:val="21"/>
                <w:lang w:eastAsia="zh-CN"/>
              </w:rPr>
              <w:t>，</w:t>
            </w:r>
            <w:r>
              <w:rPr>
                <w:rFonts w:hint="eastAsia" w:ascii="宋体" w:hAnsi="宋体" w:eastAsia="宋体" w:cs="仿宋"/>
                <w:bCs/>
                <w:szCs w:val="21"/>
              </w:rPr>
              <w:t>不存在串标围标的情形</w:t>
            </w:r>
          </w:p>
        </w:tc>
        <w:tc>
          <w:tcPr>
            <w:tcW w:w="2081" w:type="dxa"/>
          </w:tcPr>
          <w:p>
            <w:pPr>
              <w:spacing w:line="30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12" w:type="dxa"/>
            <w:vAlign w:val="center"/>
          </w:tcPr>
          <w:p>
            <w:pPr>
              <w:spacing w:line="300" w:lineRule="auto"/>
              <w:jc w:val="center"/>
              <w:rPr>
                <w:rFonts w:ascii="宋体" w:hAnsi="宋体" w:cs="宋体"/>
                <w:szCs w:val="21"/>
              </w:rPr>
            </w:pPr>
          </w:p>
        </w:tc>
        <w:tc>
          <w:tcPr>
            <w:tcW w:w="6597" w:type="dxa"/>
            <w:vAlign w:val="center"/>
          </w:tcPr>
          <w:p>
            <w:pPr>
              <w:spacing w:line="300" w:lineRule="auto"/>
              <w:jc w:val="center"/>
              <w:rPr>
                <w:rFonts w:ascii="宋体" w:hAnsi="宋体" w:cs="宋体"/>
                <w:szCs w:val="21"/>
              </w:rPr>
            </w:pPr>
            <w:r>
              <w:rPr>
                <w:rFonts w:hint="eastAsia" w:ascii="宋体" w:hAnsi="宋体" w:cs="宋体"/>
                <w:szCs w:val="21"/>
              </w:rPr>
              <w:t>结论</w:t>
            </w:r>
          </w:p>
        </w:tc>
        <w:tc>
          <w:tcPr>
            <w:tcW w:w="2081" w:type="dxa"/>
          </w:tcPr>
          <w:p>
            <w:pPr>
              <w:spacing w:line="300" w:lineRule="auto"/>
              <w:rPr>
                <w:rFonts w:ascii="宋体" w:hAnsi="宋体" w:cs="宋体"/>
                <w:szCs w:val="21"/>
              </w:rPr>
            </w:pPr>
          </w:p>
        </w:tc>
      </w:tr>
    </w:tbl>
    <w:p>
      <w:pPr>
        <w:spacing w:line="300" w:lineRule="auto"/>
        <w:ind w:left="60"/>
        <w:rPr>
          <w:rFonts w:ascii="宋体" w:hAnsi="宋体" w:cs="宋体"/>
          <w:szCs w:val="21"/>
        </w:rPr>
      </w:pPr>
      <w:r>
        <w:rPr>
          <w:rFonts w:hint="eastAsia" w:ascii="宋体" w:hAnsi="宋体" w:cs="宋体"/>
          <w:szCs w:val="21"/>
        </w:rPr>
        <w:t>说明：（1）上述各项中用“√”表示通过，“×”表示不通过；</w:t>
      </w:r>
    </w:p>
    <w:p>
      <w:pPr>
        <w:spacing w:line="300" w:lineRule="auto"/>
        <w:rPr>
          <w:rFonts w:ascii="宋体" w:hAnsi="宋体" w:cs="宋体"/>
          <w:szCs w:val="21"/>
        </w:rPr>
      </w:pPr>
      <w:r>
        <w:rPr>
          <w:rFonts w:hint="eastAsia" w:ascii="宋体" w:hAnsi="宋体" w:cs="宋体"/>
          <w:szCs w:val="21"/>
        </w:rPr>
        <w:t>（2）上述各项中如有一项为“×”，则结论为“×”，表示该投标文件中存在重大偏差，不能通过初步评审；评委对某一分项评审认为不合格时，必须要写明原因。</w:t>
      </w:r>
    </w:p>
    <w:p>
      <w:pPr>
        <w:spacing w:line="300" w:lineRule="auto"/>
        <w:ind w:left="60"/>
        <w:rPr>
          <w:rFonts w:ascii="宋体" w:hAnsi="宋体" w:cs="宋体"/>
          <w:szCs w:val="21"/>
        </w:rPr>
      </w:pPr>
      <w:r>
        <w:rPr>
          <w:rFonts w:hint="eastAsia" w:ascii="宋体" w:hAnsi="宋体" w:cs="宋体"/>
          <w:szCs w:val="21"/>
        </w:rPr>
        <w:t>（3）投标文件最终合格与否，以所有评委的评审意见中少数服从多数为原则定论。</w:t>
      </w:r>
    </w:p>
    <w:p>
      <w:pPr>
        <w:spacing w:line="300" w:lineRule="auto"/>
        <w:jc w:val="center"/>
        <w:rPr>
          <w:rFonts w:ascii="宋体" w:hAnsi="宋体" w:cs="宋体"/>
          <w:b/>
          <w:bCs/>
          <w:sz w:val="24"/>
        </w:rPr>
      </w:pPr>
    </w:p>
    <w:p>
      <w:pPr>
        <w:pStyle w:val="2"/>
        <w:spacing w:line="300" w:lineRule="auto"/>
        <w:ind w:firstLine="0"/>
        <w:rPr>
          <w:rFonts w:ascii="宋体" w:hAnsi="宋体" w:cs="宋体"/>
          <w:b/>
          <w:bCs/>
          <w:sz w:val="24"/>
        </w:rPr>
        <w:sectPr>
          <w:pgSz w:w="11906" w:h="16838"/>
          <w:pgMar w:top="1418" w:right="946" w:bottom="567" w:left="1500" w:header="851" w:footer="992" w:gutter="0"/>
          <w:pgNumType w:fmt="decimal"/>
          <w:cols w:space="720" w:num="1"/>
          <w:docGrid w:type="lines" w:linePitch="312" w:charSpace="0"/>
        </w:sectPr>
      </w:pPr>
    </w:p>
    <w:p>
      <w:pPr>
        <w:pStyle w:val="2"/>
        <w:spacing w:line="300" w:lineRule="auto"/>
        <w:ind w:firstLine="0"/>
        <w:jc w:val="center"/>
        <w:rPr>
          <w:rFonts w:ascii="宋体" w:hAnsi="宋体" w:cs="宋体"/>
          <w:b/>
          <w:bCs/>
          <w:sz w:val="24"/>
        </w:rPr>
      </w:pPr>
      <w:r>
        <w:rPr>
          <w:rFonts w:hint="eastAsia" w:ascii="宋体" w:hAnsi="宋体" w:cs="宋体"/>
          <w:b/>
          <w:bCs/>
          <w:sz w:val="24"/>
        </w:rPr>
        <w:t>初步评审—符合性审查表</w:t>
      </w:r>
    </w:p>
    <w:tbl>
      <w:tblPr>
        <w:tblStyle w:val="40"/>
        <w:tblpPr w:leftFromText="180" w:rightFromText="180" w:vertAnchor="text" w:horzAnchor="page" w:tblpXSpec="center" w:tblpY="262"/>
        <w:tblOverlap w:val="never"/>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17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000" w:type="dxa"/>
            <w:gridSpan w:val="2"/>
            <w:vAlign w:val="center"/>
          </w:tcPr>
          <w:p>
            <w:pPr>
              <w:spacing w:line="300" w:lineRule="auto"/>
              <w:jc w:val="center"/>
              <w:rPr>
                <w:rFonts w:ascii="宋体" w:hAnsi="宋体" w:cs="宋体"/>
                <w:spacing w:val="-2"/>
                <w:szCs w:val="21"/>
              </w:rPr>
            </w:pPr>
            <w:r>
              <w:rPr>
                <w:rFonts w:hint="eastAsia" w:ascii="宋体" w:hAnsi="宋体" w:cs="宋体"/>
                <w:spacing w:val="-2"/>
                <w:szCs w:val="21"/>
              </w:rPr>
              <w:t>评审内容</w:t>
            </w:r>
          </w:p>
        </w:tc>
        <w:tc>
          <w:tcPr>
            <w:tcW w:w="2020" w:type="dxa"/>
            <w:vAlign w:val="center"/>
          </w:tcPr>
          <w:p>
            <w:pPr>
              <w:spacing w:line="300" w:lineRule="auto"/>
              <w:jc w:val="center"/>
              <w:rPr>
                <w:rFonts w:ascii="宋体" w:hAnsi="宋体" w:cs="宋体"/>
                <w:spacing w:val="-2"/>
                <w:szCs w:val="21"/>
              </w:rPr>
            </w:pPr>
            <w:r>
              <w:rPr>
                <w:rFonts w:hint="eastAsia" w:ascii="宋体" w:hAnsi="宋体"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vAlign w:val="center"/>
          </w:tcPr>
          <w:p>
            <w:pPr>
              <w:spacing w:line="300" w:lineRule="auto"/>
              <w:jc w:val="both"/>
              <w:rPr>
                <w:rFonts w:ascii="宋体" w:hAnsi="宋体" w:cs="宋体"/>
                <w:szCs w:val="21"/>
              </w:rPr>
            </w:pPr>
            <w:r>
              <w:rPr>
                <w:rFonts w:hint="eastAsia" w:ascii="宋体" w:hAnsi="宋体" w:cs="宋体"/>
                <w:szCs w:val="21"/>
              </w:rPr>
              <w:t>序号</w:t>
            </w:r>
          </w:p>
        </w:tc>
        <w:tc>
          <w:tcPr>
            <w:tcW w:w="6172" w:type="dxa"/>
            <w:vAlign w:val="center"/>
          </w:tcPr>
          <w:p>
            <w:pPr>
              <w:spacing w:line="300" w:lineRule="auto"/>
              <w:jc w:val="both"/>
              <w:rPr>
                <w:rFonts w:ascii="宋体" w:hAnsi="宋体" w:cs="宋体"/>
                <w:spacing w:val="-2"/>
                <w:szCs w:val="21"/>
              </w:rPr>
            </w:pPr>
          </w:p>
        </w:tc>
        <w:tc>
          <w:tcPr>
            <w:tcW w:w="2020" w:type="dxa"/>
            <w:vAlign w:val="center"/>
          </w:tcPr>
          <w:p>
            <w:pPr>
              <w:spacing w:line="300" w:lineRule="auto"/>
              <w:jc w:val="center"/>
              <w:rPr>
                <w:rFonts w:ascii="宋体" w:hAnsi="宋体" w:cs="宋体"/>
                <w:spacing w:val="-2"/>
                <w:szCs w:val="21"/>
              </w:rPr>
            </w:pPr>
            <w:r>
              <w:rPr>
                <w:rFonts w:hint="eastAsia" w:ascii="宋体" w:hAnsi="宋体" w:cs="宋体"/>
                <w:spacing w:val="-2"/>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both"/>
              <w:rPr>
                <w:rFonts w:ascii="宋体" w:hAnsi="宋体" w:cs="宋体"/>
                <w:szCs w:val="21"/>
              </w:rPr>
            </w:pPr>
            <w:r>
              <w:rPr>
                <w:rFonts w:hint="eastAsia" w:ascii="宋体" w:hAnsi="宋体" w:cs="宋体"/>
                <w:szCs w:val="21"/>
              </w:rPr>
              <w:t>1</w:t>
            </w:r>
          </w:p>
        </w:tc>
        <w:tc>
          <w:tcPr>
            <w:tcW w:w="6172" w:type="dxa"/>
            <w:vAlign w:val="center"/>
          </w:tcPr>
          <w:p>
            <w:pPr>
              <w:jc w:val="both"/>
              <w:rPr>
                <w:rFonts w:hint="default" w:eastAsiaTheme="majorEastAsia"/>
                <w:szCs w:val="21"/>
                <w:lang w:val="en-US" w:eastAsia="zh-CN"/>
              </w:rPr>
            </w:pPr>
            <w:r>
              <w:rPr>
                <w:rFonts w:hint="eastAsia" w:cs="仿宋" w:asciiTheme="majorEastAsia" w:hAnsiTheme="majorEastAsia" w:eastAsiaTheme="majorEastAsia"/>
                <w:szCs w:val="21"/>
              </w:rPr>
              <w:t>投标文件</w:t>
            </w:r>
            <w:r>
              <w:rPr>
                <w:rFonts w:hint="eastAsia" w:cs="仿宋" w:asciiTheme="majorEastAsia" w:hAnsiTheme="majorEastAsia" w:eastAsiaTheme="majorEastAsia"/>
                <w:szCs w:val="21"/>
                <w:lang w:val="en-US" w:eastAsia="zh-CN"/>
              </w:rPr>
              <w:t>是否按照要求装订，</w:t>
            </w:r>
            <w:r>
              <w:rPr>
                <w:rFonts w:hint="eastAsia" w:cs="仿宋" w:asciiTheme="majorEastAsia" w:hAnsiTheme="majorEastAsia" w:eastAsiaTheme="majorEastAsia"/>
                <w:szCs w:val="21"/>
              </w:rPr>
              <w:t>投标文件每册装订应牢固、不易拆散和换页，不得采用活页装订。</w:t>
            </w:r>
          </w:p>
        </w:tc>
        <w:tc>
          <w:tcPr>
            <w:tcW w:w="2020" w:type="dxa"/>
            <w:vAlign w:val="center"/>
          </w:tcPr>
          <w:p>
            <w:pPr>
              <w:spacing w:line="300" w:lineRule="auto"/>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28" w:type="dxa"/>
            <w:vAlign w:val="center"/>
          </w:tcPr>
          <w:p>
            <w:pPr>
              <w:spacing w:line="300" w:lineRule="auto"/>
              <w:jc w:val="both"/>
              <w:rPr>
                <w:rFonts w:ascii="宋体" w:hAnsi="宋体" w:cs="宋体"/>
                <w:szCs w:val="21"/>
              </w:rPr>
            </w:pPr>
            <w:r>
              <w:rPr>
                <w:rFonts w:hint="eastAsia" w:ascii="宋体" w:hAnsi="宋体" w:cs="宋体"/>
                <w:szCs w:val="21"/>
              </w:rPr>
              <w:t>2</w:t>
            </w:r>
          </w:p>
        </w:tc>
        <w:tc>
          <w:tcPr>
            <w:tcW w:w="6172" w:type="dxa"/>
            <w:vAlign w:val="center"/>
          </w:tcPr>
          <w:p>
            <w:pPr>
              <w:jc w:val="both"/>
              <w:rPr>
                <w:szCs w:val="21"/>
              </w:rPr>
            </w:pPr>
            <w:r>
              <w:rPr>
                <w:rFonts w:hint="eastAsia" w:cs="仿宋" w:asciiTheme="majorEastAsia" w:hAnsiTheme="majorEastAsia" w:eastAsiaTheme="majorEastAsia"/>
                <w:szCs w:val="21"/>
              </w:rPr>
              <w:t>投标文件有关内容未按规定加盖投标人印章或未经法定代表人或其授权代表签字或盖章的，或有授权代表签字或盖章的；</w:t>
            </w:r>
          </w:p>
        </w:tc>
        <w:tc>
          <w:tcPr>
            <w:tcW w:w="2020" w:type="dxa"/>
            <w:vAlign w:val="center"/>
          </w:tcPr>
          <w:p>
            <w:pPr>
              <w:spacing w:line="300" w:lineRule="auto"/>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both"/>
              <w:rPr>
                <w:rFonts w:ascii="宋体" w:hAnsi="宋体" w:cs="宋体"/>
                <w:szCs w:val="21"/>
              </w:rPr>
            </w:pPr>
            <w:r>
              <w:rPr>
                <w:rFonts w:hint="eastAsia" w:ascii="宋体" w:hAnsi="宋体" w:cs="宋体"/>
                <w:szCs w:val="21"/>
              </w:rPr>
              <w:t>3</w:t>
            </w:r>
          </w:p>
        </w:tc>
        <w:tc>
          <w:tcPr>
            <w:tcW w:w="6172" w:type="dxa"/>
            <w:vAlign w:val="center"/>
          </w:tcPr>
          <w:p>
            <w:pPr>
              <w:jc w:val="both"/>
              <w:rPr>
                <w:szCs w:val="21"/>
              </w:rPr>
            </w:pPr>
            <w:r>
              <w:rPr>
                <w:rFonts w:hint="eastAsia" w:cs="仿宋" w:asciiTheme="majorEastAsia" w:hAnsiTheme="majorEastAsia" w:eastAsiaTheme="majorEastAsia"/>
                <w:szCs w:val="21"/>
              </w:rPr>
              <w:t>投标文件的关键内容字迹模糊、无法辨认的</w:t>
            </w:r>
          </w:p>
        </w:tc>
        <w:tc>
          <w:tcPr>
            <w:tcW w:w="2020" w:type="dxa"/>
            <w:vAlign w:val="center"/>
          </w:tcPr>
          <w:p>
            <w:pPr>
              <w:spacing w:line="300" w:lineRule="auto"/>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both"/>
              <w:rPr>
                <w:rFonts w:ascii="宋体" w:hAnsi="宋体" w:cs="宋体"/>
                <w:szCs w:val="21"/>
              </w:rPr>
            </w:pPr>
            <w:r>
              <w:rPr>
                <w:rFonts w:hint="eastAsia" w:ascii="宋体" w:hAnsi="宋体" w:cs="宋体"/>
                <w:szCs w:val="21"/>
              </w:rPr>
              <w:t>4</w:t>
            </w:r>
          </w:p>
        </w:tc>
        <w:tc>
          <w:tcPr>
            <w:tcW w:w="6172" w:type="dxa"/>
            <w:vAlign w:val="center"/>
          </w:tcPr>
          <w:p>
            <w:pPr>
              <w:jc w:val="both"/>
              <w:rPr>
                <w:szCs w:val="21"/>
              </w:rPr>
            </w:pPr>
            <w:r>
              <w:rPr>
                <w:rFonts w:hint="eastAsia"/>
                <w:szCs w:val="21"/>
              </w:rPr>
              <w:t>对同一项目投标时，提供两套以上的投标方案（招标文件另有规定的除外）；</w:t>
            </w:r>
          </w:p>
        </w:tc>
        <w:tc>
          <w:tcPr>
            <w:tcW w:w="2020" w:type="dxa"/>
            <w:vAlign w:val="center"/>
          </w:tcPr>
          <w:p>
            <w:pPr>
              <w:spacing w:line="300" w:lineRule="auto"/>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28" w:type="dxa"/>
            <w:vAlign w:val="center"/>
          </w:tcPr>
          <w:p>
            <w:pPr>
              <w:spacing w:line="300" w:lineRule="auto"/>
              <w:jc w:val="both"/>
              <w:rPr>
                <w:rFonts w:ascii="宋体" w:hAnsi="宋体" w:cs="宋体"/>
                <w:szCs w:val="21"/>
              </w:rPr>
            </w:pPr>
            <w:r>
              <w:rPr>
                <w:rFonts w:hint="eastAsia" w:ascii="宋体" w:hAnsi="宋体" w:cs="宋体"/>
                <w:szCs w:val="21"/>
              </w:rPr>
              <w:t>5</w:t>
            </w:r>
          </w:p>
        </w:tc>
        <w:tc>
          <w:tcPr>
            <w:tcW w:w="6172" w:type="dxa"/>
            <w:vAlign w:val="center"/>
          </w:tcPr>
          <w:p>
            <w:pPr>
              <w:jc w:val="both"/>
              <w:rPr>
                <w:szCs w:val="21"/>
              </w:rPr>
            </w:pPr>
            <w:r>
              <w:rPr>
                <w:rFonts w:hint="eastAsia"/>
                <w:szCs w:val="21"/>
              </w:rPr>
              <w:t>投标报价高于财政预算限额（最高投标限价）的；</w:t>
            </w:r>
          </w:p>
        </w:tc>
        <w:tc>
          <w:tcPr>
            <w:tcW w:w="2020" w:type="dxa"/>
            <w:vAlign w:val="center"/>
          </w:tcPr>
          <w:p>
            <w:pPr>
              <w:spacing w:line="300" w:lineRule="auto"/>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28" w:type="dxa"/>
            <w:vAlign w:val="center"/>
          </w:tcPr>
          <w:p>
            <w:pPr>
              <w:spacing w:line="300" w:lineRule="auto"/>
              <w:jc w:val="both"/>
              <w:rPr>
                <w:rFonts w:ascii="宋体" w:hAnsi="宋体" w:cs="宋体"/>
                <w:szCs w:val="21"/>
              </w:rPr>
            </w:pPr>
            <w:r>
              <w:rPr>
                <w:rFonts w:hint="eastAsia" w:ascii="宋体" w:hAnsi="宋体" w:cs="宋体"/>
                <w:szCs w:val="21"/>
              </w:rPr>
              <w:t>6</w:t>
            </w:r>
          </w:p>
        </w:tc>
        <w:tc>
          <w:tcPr>
            <w:tcW w:w="6172" w:type="dxa"/>
            <w:vAlign w:val="center"/>
          </w:tcPr>
          <w:p>
            <w:pPr>
              <w:jc w:val="both"/>
              <w:rPr>
                <w:szCs w:val="21"/>
              </w:rPr>
            </w:pPr>
            <w:r>
              <w:rPr>
                <w:rFonts w:hint="eastAsia"/>
                <w:szCs w:val="21"/>
              </w:rPr>
              <w:t>同一项目出现两个及以上报价，且按规定无法确定哪个是有效报价；</w:t>
            </w:r>
          </w:p>
        </w:tc>
        <w:tc>
          <w:tcPr>
            <w:tcW w:w="2020" w:type="dxa"/>
            <w:vAlign w:val="center"/>
          </w:tcPr>
          <w:p>
            <w:pPr>
              <w:spacing w:line="300" w:lineRule="auto"/>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both"/>
              <w:rPr>
                <w:rFonts w:ascii="宋体" w:hAnsi="宋体" w:cs="宋体"/>
                <w:szCs w:val="21"/>
              </w:rPr>
            </w:pPr>
            <w:r>
              <w:rPr>
                <w:rFonts w:hint="eastAsia" w:ascii="宋体" w:hAnsi="宋体" w:cs="宋体"/>
                <w:szCs w:val="21"/>
              </w:rPr>
              <w:t>7</w:t>
            </w:r>
          </w:p>
        </w:tc>
        <w:tc>
          <w:tcPr>
            <w:tcW w:w="6172" w:type="dxa"/>
            <w:vAlign w:val="center"/>
          </w:tcPr>
          <w:p>
            <w:pPr>
              <w:jc w:val="both"/>
              <w:rPr>
                <w:szCs w:val="21"/>
              </w:rPr>
            </w:pPr>
            <w:r>
              <w:rPr>
                <w:rFonts w:hint="eastAsia" w:ascii="宋体" w:hAnsi="宋体"/>
                <w:szCs w:val="21"/>
              </w:rPr>
              <w:t>评标委员会认为投标人的报价明显低于其他通过</w:t>
            </w:r>
            <w:r>
              <w:rPr>
                <w:rFonts w:hint="eastAsia" w:ascii="宋体" w:hAnsi="宋体"/>
                <w:szCs w:val="21"/>
                <w:lang w:val="en-US" w:eastAsia="zh-CN"/>
              </w:rPr>
              <w:t>资格性评审</w:t>
            </w:r>
            <w:r>
              <w:rPr>
                <w:rFonts w:hint="eastAsia" w:ascii="宋体" w:hAnsi="宋体"/>
                <w:szCs w:val="21"/>
              </w:rPr>
              <w:t>投标人的报价，有可能影响产品质量或者不能诚信履约的，投标人不能在合理的时间内提供书面说明，或无法提交相关证明材料，投标人不能证明其报价合理性的；</w:t>
            </w:r>
          </w:p>
        </w:tc>
        <w:tc>
          <w:tcPr>
            <w:tcW w:w="2020" w:type="dxa"/>
            <w:vAlign w:val="center"/>
          </w:tcPr>
          <w:p>
            <w:pPr>
              <w:spacing w:line="300" w:lineRule="auto"/>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28" w:type="dxa"/>
            <w:vAlign w:val="center"/>
          </w:tcPr>
          <w:p>
            <w:pPr>
              <w:spacing w:line="300" w:lineRule="auto"/>
              <w:jc w:val="both"/>
              <w:rPr>
                <w:rFonts w:ascii="宋体" w:hAnsi="宋体" w:cs="宋体"/>
                <w:szCs w:val="21"/>
              </w:rPr>
            </w:pPr>
            <w:r>
              <w:rPr>
                <w:rFonts w:hint="eastAsia" w:ascii="宋体" w:hAnsi="宋体" w:cs="宋体"/>
                <w:szCs w:val="21"/>
              </w:rPr>
              <w:t>8</w:t>
            </w:r>
          </w:p>
        </w:tc>
        <w:tc>
          <w:tcPr>
            <w:tcW w:w="6172" w:type="dxa"/>
            <w:vAlign w:val="center"/>
          </w:tcPr>
          <w:p>
            <w:pPr>
              <w:jc w:val="both"/>
              <w:rPr>
                <w:color w:val="FF0000"/>
                <w:szCs w:val="21"/>
              </w:rPr>
            </w:pPr>
            <w:r>
              <w:rPr>
                <w:rFonts w:hint="eastAsia"/>
                <w:szCs w:val="21"/>
              </w:rPr>
              <w:t>投标报价有严重缺漏项目</w:t>
            </w:r>
          </w:p>
        </w:tc>
        <w:tc>
          <w:tcPr>
            <w:tcW w:w="2020" w:type="dxa"/>
            <w:vAlign w:val="center"/>
          </w:tcPr>
          <w:p>
            <w:pPr>
              <w:spacing w:line="300" w:lineRule="auto"/>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both"/>
              <w:rPr>
                <w:rFonts w:ascii="宋体" w:hAnsi="宋体" w:cs="宋体"/>
                <w:szCs w:val="21"/>
              </w:rPr>
            </w:pPr>
            <w:r>
              <w:rPr>
                <w:rFonts w:hint="eastAsia" w:ascii="宋体" w:hAnsi="宋体" w:cs="宋体"/>
                <w:szCs w:val="21"/>
              </w:rPr>
              <w:t>9</w:t>
            </w:r>
          </w:p>
        </w:tc>
        <w:tc>
          <w:tcPr>
            <w:tcW w:w="6172" w:type="dxa"/>
            <w:vAlign w:val="center"/>
          </w:tcPr>
          <w:p>
            <w:pPr>
              <w:jc w:val="both"/>
              <w:rPr>
                <w:b/>
                <w:szCs w:val="21"/>
              </w:rPr>
            </w:pPr>
            <w:r>
              <w:rPr>
                <w:rFonts w:hint="eastAsia"/>
                <w:b/>
                <w:szCs w:val="21"/>
              </w:rPr>
              <w:t>投标文件载明的</w:t>
            </w:r>
            <w:r>
              <w:rPr>
                <w:rFonts w:hint="eastAsia"/>
                <w:b/>
                <w:szCs w:val="21"/>
                <w:lang w:val="en-US" w:eastAsia="zh-CN"/>
              </w:rPr>
              <w:t>供货期</w:t>
            </w:r>
            <w:r>
              <w:rPr>
                <w:rFonts w:hint="eastAsia"/>
                <w:b/>
                <w:szCs w:val="21"/>
              </w:rPr>
              <w:t>期超过招标文件规定的期限</w:t>
            </w:r>
          </w:p>
        </w:tc>
        <w:tc>
          <w:tcPr>
            <w:tcW w:w="2020" w:type="dxa"/>
            <w:vAlign w:val="center"/>
          </w:tcPr>
          <w:p>
            <w:pPr>
              <w:spacing w:line="300" w:lineRule="auto"/>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both"/>
              <w:rPr>
                <w:rFonts w:ascii="宋体" w:hAnsi="宋体" w:cs="宋体"/>
                <w:szCs w:val="21"/>
              </w:rPr>
            </w:pPr>
            <w:r>
              <w:rPr>
                <w:rFonts w:hint="eastAsia" w:ascii="宋体" w:hAnsi="宋体" w:cs="宋体"/>
                <w:szCs w:val="21"/>
              </w:rPr>
              <w:t>10</w:t>
            </w:r>
          </w:p>
        </w:tc>
        <w:tc>
          <w:tcPr>
            <w:tcW w:w="6172" w:type="dxa"/>
            <w:vAlign w:val="center"/>
          </w:tcPr>
          <w:p>
            <w:pPr>
              <w:jc w:val="both"/>
              <w:rPr>
                <w:b/>
                <w:szCs w:val="21"/>
              </w:rPr>
            </w:pPr>
            <w:r>
              <w:rPr>
                <w:rFonts w:hint="eastAsia"/>
                <w:b/>
                <w:szCs w:val="21"/>
              </w:rPr>
              <w:t>投标文件载明的</w:t>
            </w:r>
            <w:r>
              <w:rPr>
                <w:rFonts w:hint="eastAsia"/>
                <w:b/>
                <w:szCs w:val="21"/>
                <w:lang w:val="en-US" w:eastAsia="zh-CN"/>
              </w:rPr>
              <w:t>质保期</w:t>
            </w:r>
            <w:r>
              <w:rPr>
                <w:rFonts w:hint="eastAsia"/>
                <w:b/>
                <w:szCs w:val="21"/>
              </w:rPr>
              <w:t>期低于招标文件规定的期限</w:t>
            </w:r>
          </w:p>
        </w:tc>
        <w:tc>
          <w:tcPr>
            <w:tcW w:w="2020" w:type="dxa"/>
            <w:vAlign w:val="center"/>
          </w:tcPr>
          <w:p>
            <w:pPr>
              <w:spacing w:line="30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both"/>
              <w:rPr>
                <w:rFonts w:ascii="宋体" w:hAnsi="宋体" w:cs="宋体"/>
                <w:szCs w:val="21"/>
              </w:rPr>
            </w:pPr>
            <w:r>
              <w:rPr>
                <w:rFonts w:hint="eastAsia" w:ascii="宋体" w:hAnsi="宋体" w:cs="宋体"/>
                <w:szCs w:val="21"/>
              </w:rPr>
              <w:t>11</w:t>
            </w:r>
          </w:p>
        </w:tc>
        <w:tc>
          <w:tcPr>
            <w:tcW w:w="6172" w:type="dxa"/>
            <w:vAlign w:val="center"/>
          </w:tcPr>
          <w:p>
            <w:pPr>
              <w:jc w:val="both"/>
              <w:rPr>
                <w:szCs w:val="21"/>
              </w:rPr>
            </w:pPr>
            <w:r>
              <w:rPr>
                <w:rFonts w:hint="eastAsia"/>
                <w:szCs w:val="21"/>
              </w:rPr>
              <w:t>所投产品、工程、服务在商务、技术等方面没有实质性满足招标文件要求的；</w:t>
            </w:r>
          </w:p>
        </w:tc>
        <w:tc>
          <w:tcPr>
            <w:tcW w:w="2020" w:type="dxa"/>
            <w:vAlign w:val="center"/>
          </w:tcPr>
          <w:p>
            <w:pPr>
              <w:spacing w:line="30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8" w:type="dxa"/>
            <w:vAlign w:val="center"/>
          </w:tcPr>
          <w:p>
            <w:pPr>
              <w:spacing w:line="300" w:lineRule="auto"/>
              <w:jc w:val="both"/>
              <w:rPr>
                <w:rFonts w:ascii="宋体" w:hAnsi="宋体" w:cs="宋体"/>
                <w:szCs w:val="21"/>
              </w:rPr>
            </w:pPr>
            <w:r>
              <w:rPr>
                <w:rFonts w:hint="eastAsia" w:ascii="宋体" w:hAnsi="宋体" w:cs="宋体"/>
                <w:szCs w:val="21"/>
              </w:rPr>
              <w:t>12</w:t>
            </w:r>
          </w:p>
        </w:tc>
        <w:tc>
          <w:tcPr>
            <w:tcW w:w="6172" w:type="dxa"/>
            <w:vAlign w:val="center"/>
          </w:tcPr>
          <w:p>
            <w:pPr>
              <w:widowControl/>
              <w:spacing w:line="300" w:lineRule="auto"/>
              <w:jc w:val="both"/>
              <w:textAlignment w:val="center"/>
              <w:rPr>
                <w:rFonts w:ascii="宋体" w:hAnsi="宋体" w:cs="宋体"/>
                <w:spacing w:val="-2"/>
                <w:szCs w:val="21"/>
              </w:rPr>
            </w:pPr>
            <w:r>
              <w:rPr>
                <w:rFonts w:hint="eastAsia" w:ascii="宋体" w:hAnsi="宋体" w:cs="宋体"/>
                <w:kern w:val="0"/>
                <w:szCs w:val="21"/>
              </w:rPr>
              <w:t>无不满足招标文件实质性要求的其他情形；</w:t>
            </w:r>
          </w:p>
        </w:tc>
        <w:tc>
          <w:tcPr>
            <w:tcW w:w="2020" w:type="dxa"/>
            <w:vAlign w:val="center"/>
          </w:tcPr>
          <w:p>
            <w:pPr>
              <w:spacing w:line="300" w:lineRule="auto"/>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000" w:type="dxa"/>
            <w:gridSpan w:val="2"/>
            <w:vAlign w:val="center"/>
          </w:tcPr>
          <w:p>
            <w:pPr>
              <w:spacing w:line="300" w:lineRule="auto"/>
              <w:ind w:firstLine="370" w:firstLineChars="180"/>
              <w:jc w:val="both"/>
              <w:rPr>
                <w:rFonts w:ascii="宋体" w:hAnsi="宋体" w:cs="宋体"/>
                <w:spacing w:val="-2"/>
                <w:szCs w:val="21"/>
              </w:rPr>
            </w:pPr>
            <w:r>
              <w:rPr>
                <w:rFonts w:hint="eastAsia" w:ascii="宋体" w:hAnsi="宋体" w:cs="宋体"/>
                <w:spacing w:val="-2"/>
                <w:szCs w:val="21"/>
              </w:rPr>
              <w:t>结论：通过评审打“√”，未通过评审打“×”</w:t>
            </w:r>
          </w:p>
        </w:tc>
        <w:tc>
          <w:tcPr>
            <w:tcW w:w="2020" w:type="dxa"/>
            <w:vAlign w:val="center"/>
          </w:tcPr>
          <w:p>
            <w:pPr>
              <w:spacing w:line="300" w:lineRule="auto"/>
              <w:ind w:firstLine="370" w:firstLineChars="180"/>
              <w:rPr>
                <w:rFonts w:ascii="宋体" w:hAnsi="宋体" w:cs="宋体"/>
                <w:spacing w:val="-2"/>
                <w:szCs w:val="21"/>
              </w:rPr>
            </w:pPr>
          </w:p>
        </w:tc>
      </w:tr>
    </w:tbl>
    <w:p>
      <w:pPr>
        <w:spacing w:line="300" w:lineRule="auto"/>
        <w:ind w:left="60"/>
        <w:rPr>
          <w:rFonts w:ascii="宋体" w:hAnsi="宋体" w:cs="宋体"/>
          <w:szCs w:val="21"/>
        </w:rPr>
      </w:pPr>
      <w:r>
        <w:rPr>
          <w:rFonts w:hint="eastAsia" w:ascii="宋体" w:hAnsi="宋体" w:cs="宋体"/>
          <w:szCs w:val="21"/>
        </w:rPr>
        <w:t>说明：</w:t>
      </w:r>
    </w:p>
    <w:p>
      <w:pPr>
        <w:spacing w:line="300" w:lineRule="auto"/>
        <w:ind w:left="60"/>
        <w:rPr>
          <w:rFonts w:ascii="宋体" w:hAnsi="宋体" w:cs="宋体"/>
          <w:szCs w:val="21"/>
        </w:rPr>
      </w:pPr>
      <w:r>
        <w:rPr>
          <w:rFonts w:hint="eastAsia" w:ascii="宋体" w:hAnsi="宋体" w:cs="宋体"/>
          <w:szCs w:val="21"/>
        </w:rPr>
        <w:t>（1）上述各项中用“√”表示通过，“×”表示不通过；</w:t>
      </w:r>
    </w:p>
    <w:p>
      <w:pPr>
        <w:spacing w:line="300" w:lineRule="auto"/>
        <w:ind w:left="689" w:leftChars="28" w:hanging="630" w:hangingChars="300"/>
        <w:rPr>
          <w:rFonts w:ascii="宋体" w:hAnsi="宋体" w:cs="宋体"/>
          <w:szCs w:val="21"/>
        </w:rPr>
      </w:pPr>
      <w:r>
        <w:rPr>
          <w:rFonts w:hint="eastAsia" w:ascii="宋体" w:hAnsi="宋体" w:cs="宋体"/>
          <w:szCs w:val="21"/>
        </w:rPr>
        <w:t>（2）上述各项中如有一项为“×”，则结论为“×”，表示该投标文件中存在重大偏差，不能通过初步评审；评委对某一分项评审认为不合格时，必须要写明原因。</w:t>
      </w:r>
    </w:p>
    <w:p>
      <w:pPr>
        <w:spacing w:line="300" w:lineRule="auto"/>
        <w:rPr>
          <w:rFonts w:ascii="宋体" w:hAnsi="宋体" w:cs="宋体"/>
          <w:szCs w:val="21"/>
        </w:rPr>
      </w:pPr>
      <w:r>
        <w:rPr>
          <w:rFonts w:hint="eastAsia" w:ascii="宋体" w:hAnsi="宋体" w:cs="宋体"/>
          <w:szCs w:val="21"/>
        </w:rPr>
        <w:t>（3）投标文件最终合格与否，以所有评委的评审意见中少数服从多数为原则定论。</w:t>
      </w:r>
    </w:p>
    <w:p>
      <w:pPr>
        <w:pStyle w:val="2"/>
        <w:spacing w:line="300" w:lineRule="auto"/>
        <w:ind w:firstLine="0"/>
        <w:rPr>
          <w:rFonts w:ascii="宋体" w:hAnsi="宋体" w:cs="宋体"/>
          <w:sz w:val="24"/>
        </w:rPr>
        <w:sectPr>
          <w:pgSz w:w="11906" w:h="16838"/>
          <w:pgMar w:top="1418" w:right="946" w:bottom="567" w:left="1500" w:header="851" w:footer="992" w:gutter="0"/>
          <w:pgNumType w:fmt="decimal"/>
          <w:cols w:space="720" w:num="1"/>
          <w:docGrid w:type="lines" w:linePitch="312" w:charSpace="0"/>
        </w:sectPr>
      </w:pPr>
    </w:p>
    <w:tbl>
      <w:tblPr>
        <w:tblStyle w:val="40"/>
        <w:tblpPr w:leftFromText="180" w:rightFromText="180" w:vertAnchor="text" w:horzAnchor="page" w:tblpX="1612" w:tblpY="360"/>
        <w:tblOverlap w:val="never"/>
        <w:tblW w:w="0" w:type="auto"/>
        <w:tblInd w:w="-5" w:type="dxa"/>
        <w:tblLayout w:type="fixed"/>
        <w:tblCellMar>
          <w:top w:w="0" w:type="dxa"/>
          <w:left w:w="0" w:type="dxa"/>
          <w:bottom w:w="0" w:type="dxa"/>
          <w:right w:w="0" w:type="dxa"/>
        </w:tblCellMar>
      </w:tblPr>
      <w:tblGrid>
        <w:gridCol w:w="1062"/>
        <w:gridCol w:w="1178"/>
        <w:gridCol w:w="7100"/>
      </w:tblGrid>
      <w:tr>
        <w:tblPrEx>
          <w:tblCellMar>
            <w:top w:w="0" w:type="dxa"/>
            <w:left w:w="0" w:type="dxa"/>
            <w:bottom w:w="0" w:type="dxa"/>
            <w:right w:w="0" w:type="dxa"/>
          </w:tblCellMar>
        </w:tblPrEx>
        <w:trPr>
          <w:trHeight w:val="511" w:hRule="exact"/>
        </w:trPr>
        <w:tc>
          <w:tcPr>
            <w:tcW w:w="106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48" w:line="300" w:lineRule="auto"/>
              <w:ind w:right="174"/>
              <w:rPr>
                <w:rFonts w:hint="eastAsia" w:ascii="宋体" w:hAnsi="宋体" w:eastAsia="宋体" w:cs="宋体"/>
                <w:color w:val="auto"/>
                <w:kern w:val="0"/>
                <w:sz w:val="24"/>
              </w:rPr>
            </w:pPr>
            <w:r>
              <w:rPr>
                <w:rFonts w:hint="eastAsia" w:ascii="宋体" w:hAnsi="宋体" w:eastAsia="宋体" w:cs="宋体"/>
                <w:color w:val="auto"/>
                <w:kern w:val="0"/>
                <w:sz w:val="24"/>
              </w:rPr>
              <w:t>条款号</w:t>
            </w:r>
          </w:p>
        </w:tc>
        <w:tc>
          <w:tcPr>
            <w:tcW w:w="117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48" w:line="300" w:lineRule="auto"/>
              <w:ind w:right="-20"/>
              <w:jc w:val="center"/>
              <w:rPr>
                <w:rFonts w:hint="eastAsia" w:ascii="宋体" w:hAnsi="宋体" w:eastAsia="宋体" w:cs="宋体"/>
                <w:color w:val="auto"/>
                <w:kern w:val="0"/>
                <w:sz w:val="24"/>
              </w:rPr>
            </w:pPr>
            <w:r>
              <w:rPr>
                <w:rFonts w:hint="eastAsia" w:ascii="宋体" w:hAnsi="宋体" w:eastAsia="宋体" w:cs="宋体"/>
                <w:color w:val="auto"/>
                <w:kern w:val="0"/>
                <w:sz w:val="24"/>
              </w:rPr>
              <w:t>条款内容</w:t>
            </w:r>
          </w:p>
        </w:tc>
        <w:tc>
          <w:tcPr>
            <w:tcW w:w="71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48" w:line="300" w:lineRule="auto"/>
              <w:ind w:left="1876" w:right="1857"/>
              <w:jc w:val="center"/>
              <w:rPr>
                <w:rFonts w:hint="eastAsia" w:ascii="宋体" w:hAnsi="宋体" w:eastAsia="宋体" w:cs="宋体"/>
                <w:color w:val="auto"/>
                <w:kern w:val="0"/>
                <w:sz w:val="24"/>
              </w:rPr>
            </w:pPr>
            <w:r>
              <w:rPr>
                <w:rFonts w:hint="eastAsia" w:ascii="宋体" w:hAnsi="宋体" w:eastAsia="宋体" w:cs="宋体"/>
                <w:color w:val="auto"/>
                <w:kern w:val="0"/>
                <w:sz w:val="24"/>
              </w:rPr>
              <w:t>编列内容</w:t>
            </w:r>
          </w:p>
        </w:tc>
      </w:tr>
      <w:tr>
        <w:tblPrEx>
          <w:tblCellMar>
            <w:top w:w="0" w:type="dxa"/>
            <w:left w:w="0" w:type="dxa"/>
            <w:bottom w:w="0" w:type="dxa"/>
            <w:right w:w="0" w:type="dxa"/>
          </w:tblCellMar>
        </w:tblPrEx>
        <w:trPr>
          <w:trHeight w:val="10327" w:hRule="exact"/>
        </w:trPr>
        <w:tc>
          <w:tcPr>
            <w:tcW w:w="106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00" w:lineRule="auto"/>
              <w:ind w:right="381"/>
              <w:rPr>
                <w:rFonts w:hint="eastAsia" w:ascii="宋体" w:hAnsi="宋体" w:eastAsia="宋体" w:cs="宋体"/>
                <w:color w:val="auto"/>
                <w:kern w:val="0"/>
                <w:sz w:val="24"/>
              </w:rPr>
            </w:pPr>
          </w:p>
          <w:p>
            <w:pPr>
              <w:autoSpaceDE w:val="0"/>
              <w:autoSpaceDN w:val="0"/>
              <w:adjustRightInd w:val="0"/>
              <w:spacing w:line="300" w:lineRule="auto"/>
              <w:ind w:right="381"/>
              <w:rPr>
                <w:rFonts w:hint="eastAsia" w:ascii="宋体" w:hAnsi="宋体" w:eastAsia="宋体" w:cs="宋体"/>
                <w:color w:val="auto"/>
                <w:kern w:val="0"/>
                <w:sz w:val="24"/>
              </w:rPr>
            </w:pPr>
          </w:p>
          <w:p>
            <w:pPr>
              <w:autoSpaceDE w:val="0"/>
              <w:autoSpaceDN w:val="0"/>
              <w:adjustRightInd w:val="0"/>
              <w:spacing w:line="300" w:lineRule="auto"/>
              <w:ind w:right="381"/>
              <w:rPr>
                <w:rFonts w:hint="eastAsia" w:ascii="宋体" w:hAnsi="宋体" w:eastAsia="宋体" w:cs="宋体"/>
                <w:color w:val="auto"/>
                <w:kern w:val="0"/>
                <w:sz w:val="24"/>
              </w:rPr>
            </w:pPr>
          </w:p>
          <w:p>
            <w:pPr>
              <w:autoSpaceDE w:val="0"/>
              <w:autoSpaceDN w:val="0"/>
              <w:adjustRightInd w:val="0"/>
              <w:spacing w:line="300" w:lineRule="auto"/>
              <w:ind w:right="381"/>
              <w:rPr>
                <w:rFonts w:hint="eastAsia" w:ascii="宋体" w:hAnsi="宋体" w:eastAsia="宋体" w:cs="宋体"/>
                <w:color w:val="auto"/>
                <w:kern w:val="0"/>
                <w:sz w:val="24"/>
              </w:rPr>
            </w:pPr>
          </w:p>
          <w:p>
            <w:pPr>
              <w:autoSpaceDE w:val="0"/>
              <w:autoSpaceDN w:val="0"/>
              <w:adjustRightInd w:val="0"/>
              <w:spacing w:line="300" w:lineRule="auto"/>
              <w:ind w:right="381"/>
              <w:rPr>
                <w:rFonts w:hint="eastAsia" w:ascii="宋体" w:hAnsi="宋体" w:eastAsia="宋体" w:cs="宋体"/>
                <w:color w:val="auto"/>
                <w:kern w:val="0"/>
                <w:sz w:val="24"/>
              </w:rPr>
            </w:pPr>
          </w:p>
          <w:p>
            <w:pPr>
              <w:autoSpaceDE w:val="0"/>
              <w:autoSpaceDN w:val="0"/>
              <w:adjustRightInd w:val="0"/>
              <w:spacing w:line="300" w:lineRule="auto"/>
              <w:ind w:right="381"/>
              <w:rPr>
                <w:rFonts w:hint="eastAsia" w:ascii="宋体" w:hAnsi="宋体" w:eastAsia="宋体" w:cs="宋体"/>
                <w:color w:val="auto"/>
                <w:kern w:val="0"/>
                <w:sz w:val="24"/>
              </w:rPr>
            </w:pPr>
          </w:p>
          <w:p>
            <w:pPr>
              <w:autoSpaceDE w:val="0"/>
              <w:autoSpaceDN w:val="0"/>
              <w:adjustRightInd w:val="0"/>
              <w:spacing w:line="300" w:lineRule="auto"/>
              <w:ind w:right="381"/>
              <w:rPr>
                <w:rFonts w:hint="eastAsia" w:ascii="宋体" w:hAnsi="宋体" w:eastAsia="宋体" w:cs="宋体"/>
                <w:color w:val="auto"/>
                <w:kern w:val="0"/>
                <w:sz w:val="24"/>
              </w:rPr>
            </w:pPr>
          </w:p>
          <w:p>
            <w:pPr>
              <w:autoSpaceDE w:val="0"/>
              <w:autoSpaceDN w:val="0"/>
              <w:adjustRightInd w:val="0"/>
              <w:spacing w:line="300" w:lineRule="auto"/>
              <w:ind w:right="381"/>
              <w:rPr>
                <w:rFonts w:hint="eastAsia" w:ascii="宋体" w:hAnsi="宋体" w:eastAsia="宋体" w:cs="宋体"/>
                <w:color w:val="auto"/>
                <w:kern w:val="0"/>
                <w:sz w:val="24"/>
              </w:rPr>
            </w:pPr>
          </w:p>
          <w:p>
            <w:pPr>
              <w:autoSpaceDE w:val="0"/>
              <w:autoSpaceDN w:val="0"/>
              <w:adjustRightInd w:val="0"/>
              <w:spacing w:line="300" w:lineRule="auto"/>
              <w:ind w:right="381"/>
              <w:rPr>
                <w:rFonts w:hint="eastAsia" w:ascii="宋体" w:hAnsi="宋体" w:eastAsia="宋体" w:cs="宋体"/>
                <w:color w:val="auto"/>
                <w:kern w:val="0"/>
                <w:sz w:val="24"/>
              </w:rPr>
            </w:pPr>
          </w:p>
          <w:p>
            <w:pPr>
              <w:autoSpaceDE w:val="0"/>
              <w:autoSpaceDN w:val="0"/>
              <w:adjustRightInd w:val="0"/>
              <w:spacing w:line="300" w:lineRule="auto"/>
              <w:ind w:right="381"/>
              <w:rPr>
                <w:rFonts w:hint="eastAsia" w:ascii="宋体" w:hAnsi="宋体" w:eastAsia="宋体" w:cs="宋体"/>
                <w:color w:val="auto"/>
                <w:kern w:val="0"/>
                <w:sz w:val="24"/>
              </w:rPr>
            </w:pPr>
          </w:p>
          <w:p>
            <w:pPr>
              <w:autoSpaceDE w:val="0"/>
              <w:autoSpaceDN w:val="0"/>
              <w:adjustRightInd w:val="0"/>
              <w:spacing w:line="300" w:lineRule="auto"/>
              <w:ind w:right="381"/>
              <w:rPr>
                <w:rFonts w:hint="eastAsia" w:ascii="宋体" w:hAnsi="宋体" w:eastAsia="宋体" w:cs="宋体"/>
                <w:color w:val="auto"/>
                <w:kern w:val="0"/>
                <w:sz w:val="24"/>
              </w:rPr>
            </w:pPr>
          </w:p>
          <w:p>
            <w:pPr>
              <w:autoSpaceDE w:val="0"/>
              <w:autoSpaceDN w:val="0"/>
              <w:adjustRightInd w:val="0"/>
              <w:spacing w:line="300" w:lineRule="auto"/>
              <w:ind w:right="381"/>
              <w:rPr>
                <w:rFonts w:hint="eastAsia" w:ascii="宋体" w:hAnsi="宋体" w:eastAsia="宋体" w:cs="宋体"/>
                <w:color w:val="auto"/>
                <w:kern w:val="0"/>
                <w:sz w:val="24"/>
              </w:rPr>
            </w:pPr>
          </w:p>
          <w:p>
            <w:pPr>
              <w:autoSpaceDE w:val="0"/>
              <w:autoSpaceDN w:val="0"/>
              <w:adjustRightInd w:val="0"/>
              <w:spacing w:line="300" w:lineRule="auto"/>
              <w:ind w:right="381"/>
              <w:rPr>
                <w:rFonts w:hint="eastAsia" w:ascii="宋体" w:hAnsi="宋体" w:eastAsia="宋体" w:cs="宋体"/>
                <w:color w:val="auto"/>
                <w:kern w:val="0"/>
                <w:sz w:val="24"/>
              </w:rPr>
            </w:pPr>
          </w:p>
          <w:p>
            <w:pPr>
              <w:autoSpaceDE w:val="0"/>
              <w:autoSpaceDN w:val="0"/>
              <w:adjustRightInd w:val="0"/>
              <w:spacing w:line="300" w:lineRule="auto"/>
              <w:ind w:right="381"/>
              <w:rPr>
                <w:rFonts w:hint="eastAsia" w:ascii="宋体" w:hAnsi="宋体" w:eastAsia="宋体" w:cs="宋体"/>
                <w:color w:val="auto"/>
                <w:kern w:val="0"/>
                <w:sz w:val="24"/>
              </w:rPr>
            </w:pPr>
            <w:r>
              <w:rPr>
                <w:rFonts w:hint="eastAsia" w:ascii="宋体" w:hAnsi="宋体" w:eastAsia="宋体" w:cs="宋体"/>
                <w:color w:val="auto"/>
                <w:kern w:val="0"/>
                <w:sz w:val="24"/>
              </w:rPr>
              <w:t>2.2.1</w:t>
            </w:r>
          </w:p>
        </w:tc>
        <w:tc>
          <w:tcPr>
            <w:tcW w:w="117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00" w:lineRule="auto"/>
              <w:ind w:right="108"/>
              <w:rPr>
                <w:rFonts w:hint="eastAsia" w:ascii="宋体" w:hAnsi="宋体" w:eastAsia="宋体" w:cs="宋体"/>
                <w:color w:val="auto"/>
                <w:kern w:val="0"/>
                <w:sz w:val="24"/>
              </w:rPr>
            </w:pPr>
          </w:p>
          <w:p>
            <w:pPr>
              <w:autoSpaceDE w:val="0"/>
              <w:autoSpaceDN w:val="0"/>
              <w:adjustRightInd w:val="0"/>
              <w:spacing w:line="300" w:lineRule="auto"/>
              <w:ind w:right="108"/>
              <w:rPr>
                <w:rFonts w:hint="eastAsia" w:ascii="宋体" w:hAnsi="宋体" w:eastAsia="宋体" w:cs="宋体"/>
                <w:color w:val="auto"/>
                <w:kern w:val="0"/>
                <w:sz w:val="24"/>
              </w:rPr>
            </w:pPr>
          </w:p>
          <w:p>
            <w:pPr>
              <w:autoSpaceDE w:val="0"/>
              <w:autoSpaceDN w:val="0"/>
              <w:adjustRightInd w:val="0"/>
              <w:spacing w:line="300" w:lineRule="auto"/>
              <w:ind w:right="108"/>
              <w:rPr>
                <w:rFonts w:hint="eastAsia" w:ascii="宋体" w:hAnsi="宋体" w:eastAsia="宋体" w:cs="宋体"/>
                <w:color w:val="auto"/>
                <w:kern w:val="0"/>
                <w:sz w:val="24"/>
              </w:rPr>
            </w:pPr>
          </w:p>
          <w:p>
            <w:pPr>
              <w:autoSpaceDE w:val="0"/>
              <w:autoSpaceDN w:val="0"/>
              <w:adjustRightInd w:val="0"/>
              <w:spacing w:line="300" w:lineRule="auto"/>
              <w:ind w:right="108"/>
              <w:rPr>
                <w:rFonts w:hint="eastAsia" w:ascii="宋体" w:hAnsi="宋体" w:eastAsia="宋体" w:cs="宋体"/>
                <w:color w:val="auto"/>
                <w:kern w:val="0"/>
                <w:sz w:val="24"/>
              </w:rPr>
            </w:pPr>
          </w:p>
          <w:p>
            <w:pPr>
              <w:autoSpaceDE w:val="0"/>
              <w:autoSpaceDN w:val="0"/>
              <w:adjustRightInd w:val="0"/>
              <w:spacing w:line="300" w:lineRule="auto"/>
              <w:ind w:right="108"/>
              <w:rPr>
                <w:rFonts w:hint="eastAsia" w:ascii="宋体" w:hAnsi="宋体" w:eastAsia="宋体" w:cs="宋体"/>
                <w:color w:val="auto"/>
                <w:kern w:val="0"/>
                <w:sz w:val="24"/>
              </w:rPr>
            </w:pPr>
          </w:p>
          <w:p>
            <w:pPr>
              <w:autoSpaceDE w:val="0"/>
              <w:autoSpaceDN w:val="0"/>
              <w:adjustRightInd w:val="0"/>
              <w:spacing w:line="300" w:lineRule="auto"/>
              <w:ind w:right="108"/>
              <w:rPr>
                <w:rFonts w:hint="eastAsia" w:ascii="宋体" w:hAnsi="宋体" w:eastAsia="宋体" w:cs="宋体"/>
                <w:color w:val="auto"/>
                <w:kern w:val="0"/>
                <w:sz w:val="24"/>
              </w:rPr>
            </w:pPr>
          </w:p>
          <w:p>
            <w:pPr>
              <w:autoSpaceDE w:val="0"/>
              <w:autoSpaceDN w:val="0"/>
              <w:adjustRightInd w:val="0"/>
              <w:spacing w:line="300" w:lineRule="auto"/>
              <w:ind w:right="108"/>
              <w:rPr>
                <w:rFonts w:hint="eastAsia" w:ascii="宋体" w:hAnsi="宋体" w:eastAsia="宋体" w:cs="宋体"/>
                <w:color w:val="auto"/>
                <w:kern w:val="0"/>
                <w:sz w:val="24"/>
              </w:rPr>
            </w:pPr>
          </w:p>
          <w:p>
            <w:pPr>
              <w:autoSpaceDE w:val="0"/>
              <w:autoSpaceDN w:val="0"/>
              <w:adjustRightInd w:val="0"/>
              <w:spacing w:line="300" w:lineRule="auto"/>
              <w:ind w:right="108"/>
              <w:rPr>
                <w:rFonts w:hint="eastAsia" w:ascii="宋体" w:hAnsi="宋体" w:eastAsia="宋体" w:cs="宋体"/>
                <w:color w:val="auto"/>
                <w:kern w:val="0"/>
                <w:sz w:val="24"/>
              </w:rPr>
            </w:pPr>
          </w:p>
          <w:p>
            <w:pPr>
              <w:autoSpaceDE w:val="0"/>
              <w:autoSpaceDN w:val="0"/>
              <w:adjustRightInd w:val="0"/>
              <w:spacing w:line="300" w:lineRule="auto"/>
              <w:ind w:right="108"/>
              <w:rPr>
                <w:rFonts w:hint="eastAsia" w:ascii="宋体" w:hAnsi="宋体" w:eastAsia="宋体" w:cs="宋体"/>
                <w:color w:val="auto"/>
                <w:kern w:val="0"/>
                <w:sz w:val="24"/>
              </w:rPr>
            </w:pPr>
          </w:p>
          <w:p>
            <w:pPr>
              <w:autoSpaceDE w:val="0"/>
              <w:autoSpaceDN w:val="0"/>
              <w:adjustRightInd w:val="0"/>
              <w:spacing w:line="300" w:lineRule="auto"/>
              <w:ind w:right="108"/>
              <w:rPr>
                <w:rFonts w:hint="eastAsia" w:ascii="宋体" w:hAnsi="宋体" w:eastAsia="宋体" w:cs="宋体"/>
                <w:color w:val="auto"/>
                <w:kern w:val="0"/>
                <w:sz w:val="24"/>
              </w:rPr>
            </w:pPr>
          </w:p>
          <w:p>
            <w:pPr>
              <w:autoSpaceDE w:val="0"/>
              <w:autoSpaceDN w:val="0"/>
              <w:adjustRightInd w:val="0"/>
              <w:spacing w:line="300" w:lineRule="auto"/>
              <w:ind w:right="108"/>
              <w:rPr>
                <w:rFonts w:hint="eastAsia" w:ascii="宋体" w:hAnsi="宋体" w:eastAsia="宋体" w:cs="宋体"/>
                <w:color w:val="auto"/>
                <w:kern w:val="0"/>
                <w:sz w:val="24"/>
              </w:rPr>
            </w:pPr>
          </w:p>
          <w:p>
            <w:pPr>
              <w:autoSpaceDE w:val="0"/>
              <w:autoSpaceDN w:val="0"/>
              <w:adjustRightInd w:val="0"/>
              <w:spacing w:line="300" w:lineRule="auto"/>
              <w:ind w:right="108"/>
              <w:rPr>
                <w:rFonts w:hint="eastAsia" w:ascii="宋体" w:hAnsi="宋体" w:eastAsia="宋体" w:cs="宋体"/>
                <w:color w:val="auto"/>
                <w:kern w:val="0"/>
                <w:sz w:val="24"/>
              </w:rPr>
            </w:pPr>
          </w:p>
          <w:p>
            <w:pPr>
              <w:autoSpaceDE w:val="0"/>
              <w:autoSpaceDN w:val="0"/>
              <w:adjustRightInd w:val="0"/>
              <w:spacing w:line="300" w:lineRule="auto"/>
              <w:ind w:right="108"/>
              <w:rPr>
                <w:rFonts w:hint="eastAsia" w:ascii="宋体" w:hAnsi="宋体" w:eastAsia="宋体" w:cs="宋体"/>
                <w:color w:val="auto"/>
                <w:kern w:val="0"/>
                <w:sz w:val="24"/>
              </w:rPr>
            </w:pPr>
            <w:r>
              <w:rPr>
                <w:rFonts w:hint="eastAsia" w:ascii="宋体" w:hAnsi="宋体" w:eastAsia="宋体" w:cs="宋体"/>
                <w:color w:val="auto"/>
                <w:kern w:val="0"/>
                <w:sz w:val="24"/>
              </w:rPr>
              <w:t>分值构成</w:t>
            </w:r>
          </w:p>
          <w:p>
            <w:pPr>
              <w:autoSpaceDE w:val="0"/>
              <w:autoSpaceDN w:val="0"/>
              <w:adjustRightInd w:val="0"/>
              <w:spacing w:before="81" w:line="300" w:lineRule="auto"/>
              <w:ind w:right="67"/>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spacing w:val="-2"/>
                <w:kern w:val="0"/>
                <w:sz w:val="24"/>
              </w:rPr>
              <w:t>0</w:t>
            </w:r>
            <w:r>
              <w:rPr>
                <w:rFonts w:hint="eastAsia" w:ascii="宋体" w:hAnsi="宋体" w:eastAsia="宋体" w:cs="宋体"/>
                <w:color w:val="auto"/>
                <w:kern w:val="0"/>
                <w:sz w:val="24"/>
              </w:rPr>
              <w:t>0分)</w:t>
            </w:r>
          </w:p>
        </w:tc>
        <w:tc>
          <w:tcPr>
            <w:tcW w:w="71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48" w:line="300" w:lineRule="auto"/>
              <w:ind w:right="2496"/>
              <w:rPr>
                <w:rFonts w:hint="eastAsia" w:ascii="宋体" w:hAnsi="宋体" w:eastAsia="宋体" w:cs="宋体"/>
                <w:b/>
                <w:bCs/>
                <w:color w:val="auto"/>
                <w:kern w:val="0"/>
                <w:sz w:val="24"/>
              </w:rPr>
            </w:pPr>
            <w:r>
              <w:rPr>
                <w:rFonts w:hint="eastAsia" w:ascii="宋体" w:hAnsi="宋体" w:eastAsia="宋体" w:cs="宋体"/>
                <w:b/>
                <w:bCs/>
                <w:color w:val="auto"/>
                <w:kern w:val="0"/>
                <w:sz w:val="24"/>
              </w:rPr>
              <w:t>投标</w:t>
            </w:r>
            <w:r>
              <w:rPr>
                <w:rFonts w:hint="eastAsia" w:ascii="宋体" w:hAnsi="宋体" w:eastAsia="宋体" w:cs="宋体"/>
                <w:b/>
                <w:bCs/>
                <w:color w:val="auto"/>
                <w:spacing w:val="-2"/>
                <w:kern w:val="0"/>
                <w:sz w:val="24"/>
              </w:rPr>
              <w:t>报</w:t>
            </w:r>
            <w:r>
              <w:rPr>
                <w:rFonts w:hint="eastAsia" w:ascii="宋体" w:hAnsi="宋体" w:eastAsia="宋体" w:cs="宋体"/>
                <w:b/>
                <w:bCs/>
                <w:color w:val="auto"/>
                <w:kern w:val="0"/>
                <w:sz w:val="24"/>
              </w:rPr>
              <w:t>价</w:t>
            </w:r>
            <w:r>
              <w:rPr>
                <w:rFonts w:hint="eastAsia" w:ascii="宋体" w:hAnsi="宋体" w:eastAsia="宋体" w:cs="宋体"/>
                <w:b/>
                <w:bCs/>
                <w:color w:val="auto"/>
                <w:spacing w:val="-2"/>
                <w:kern w:val="0"/>
                <w:sz w:val="24"/>
              </w:rPr>
              <w:t>：</w:t>
            </w:r>
            <w:r>
              <w:rPr>
                <w:rFonts w:hint="eastAsia" w:ascii="宋体" w:hAnsi="宋体" w:eastAsia="宋体" w:cs="宋体"/>
                <w:b/>
                <w:bCs/>
                <w:color w:val="auto"/>
                <w:kern w:val="0"/>
                <w:sz w:val="24"/>
                <w:u w:val="single"/>
              </w:rPr>
              <w:t xml:space="preserve">   </w:t>
            </w:r>
            <w:r>
              <w:rPr>
                <w:rFonts w:hint="eastAsia" w:ascii="宋体" w:hAnsi="宋体" w:eastAsia="宋体" w:cs="宋体"/>
                <w:b/>
                <w:bCs/>
                <w:color w:val="auto"/>
                <w:kern w:val="0"/>
                <w:sz w:val="24"/>
                <w:u w:val="single"/>
                <w:lang w:val="en-US" w:eastAsia="zh-CN"/>
              </w:rPr>
              <w:t>3</w:t>
            </w:r>
            <w:r>
              <w:rPr>
                <w:rFonts w:hint="eastAsia" w:ascii="宋体" w:hAnsi="宋体" w:eastAsia="宋体" w:cs="宋体"/>
                <w:b/>
                <w:bCs/>
                <w:color w:val="auto"/>
                <w:kern w:val="0"/>
                <w:sz w:val="24"/>
                <w:u w:val="single"/>
              </w:rPr>
              <w:t>0</w:t>
            </w:r>
            <w:r>
              <w:rPr>
                <w:rFonts w:hint="eastAsia" w:ascii="宋体" w:hAnsi="宋体" w:eastAsia="宋体" w:cs="宋体"/>
                <w:b/>
                <w:bCs/>
                <w:color w:val="auto"/>
                <w:spacing w:val="43"/>
                <w:kern w:val="0"/>
                <w:sz w:val="24"/>
                <w:u w:val="single"/>
              </w:rPr>
              <w:t xml:space="preserve"> </w:t>
            </w:r>
            <w:r>
              <w:rPr>
                <w:rFonts w:hint="eastAsia" w:ascii="宋体" w:hAnsi="宋体" w:eastAsia="宋体" w:cs="宋体"/>
                <w:b/>
                <w:bCs/>
                <w:color w:val="auto"/>
                <w:spacing w:val="-55"/>
                <w:kern w:val="0"/>
                <w:sz w:val="24"/>
              </w:rPr>
              <w:t xml:space="preserve"> </w:t>
            </w:r>
            <w:r>
              <w:rPr>
                <w:rFonts w:hint="eastAsia" w:ascii="宋体" w:hAnsi="宋体" w:eastAsia="宋体" w:cs="宋体"/>
                <w:b/>
                <w:bCs/>
                <w:color w:val="auto"/>
                <w:kern w:val="0"/>
                <w:sz w:val="24"/>
              </w:rPr>
              <w:t>分</w:t>
            </w:r>
          </w:p>
          <w:p>
            <w:pPr>
              <w:pStyle w:val="2"/>
              <w:spacing w:line="30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根据《中华人民共和国财政部令第87号--政府采购货物和服务招标投标管理办法》：“价格分应当采用低价优先法计算，即满足招标文件要求且投标价格最低的投标报价为评标基准价，其价格分为满分。其他投标人的价格分统一按照下列公式计算：投标报价得分=(评标基准价／投标报价)×100；货物项目的价格分值占总分值的比重不得低于30%”。</w:t>
            </w:r>
          </w:p>
          <w:p>
            <w:pPr>
              <w:pStyle w:val="2"/>
              <w:spacing w:line="300" w:lineRule="auto"/>
              <w:ind w:firstLine="0" w:firstLineChars="0"/>
              <w:rPr>
                <w:rFonts w:hint="eastAsia" w:ascii="宋体" w:hAnsi="宋体" w:eastAsia="宋体" w:cs="宋体"/>
                <w:b/>
                <w:bCs/>
                <w:color w:val="auto"/>
                <w:kern w:val="0"/>
                <w:sz w:val="24"/>
              </w:rPr>
            </w:pPr>
            <w:r>
              <w:rPr>
                <w:rFonts w:hint="eastAsia" w:ascii="宋体" w:hAnsi="宋体" w:eastAsia="宋体" w:cs="宋体"/>
                <w:b/>
                <w:bCs/>
                <w:color w:val="auto"/>
                <w:kern w:val="0"/>
                <w:sz w:val="24"/>
              </w:rPr>
              <w:t>技术部分：</w:t>
            </w:r>
            <w:r>
              <w:rPr>
                <w:rFonts w:hint="eastAsia" w:ascii="宋体" w:hAnsi="宋体" w:eastAsia="宋体" w:cs="宋体"/>
                <w:b/>
                <w:bCs/>
                <w:color w:val="auto"/>
                <w:kern w:val="0"/>
                <w:sz w:val="24"/>
                <w:u w:val="single"/>
              </w:rPr>
              <w:t xml:space="preserve"> </w:t>
            </w:r>
            <w:r>
              <w:rPr>
                <w:rFonts w:hint="eastAsia" w:ascii="宋体" w:hAnsi="宋体" w:eastAsia="宋体" w:cs="宋体"/>
                <w:b/>
                <w:bCs/>
                <w:color w:val="auto"/>
                <w:kern w:val="0"/>
                <w:sz w:val="24"/>
                <w:u w:val="single"/>
                <w:lang w:val="en-US" w:eastAsia="zh-CN"/>
              </w:rPr>
              <w:t>68</w:t>
            </w:r>
            <w:r>
              <w:rPr>
                <w:rFonts w:hint="eastAsia" w:ascii="宋体" w:hAnsi="宋体" w:eastAsia="宋体" w:cs="宋体"/>
                <w:b/>
                <w:bCs/>
                <w:color w:val="auto"/>
                <w:kern w:val="0"/>
                <w:sz w:val="24"/>
                <w:u w:val="single"/>
              </w:rPr>
              <w:t xml:space="preserve">  分</w:t>
            </w:r>
          </w:p>
          <w:p>
            <w:pPr>
              <w:pStyle w:val="2"/>
              <w:spacing w:line="30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包括对招标文件的实质性条款是否响应、投标产品技术要求、培训质保、项目实施方案及售后服务保障等方面进行评审）。</w:t>
            </w:r>
          </w:p>
          <w:p>
            <w:pPr>
              <w:pStyle w:val="2"/>
              <w:spacing w:line="300" w:lineRule="auto"/>
              <w:ind w:firstLine="480"/>
              <w:rPr>
                <w:rFonts w:hint="eastAsia" w:ascii="宋体" w:hAnsi="宋体" w:eastAsia="宋体" w:cs="宋体"/>
                <w:color w:val="auto"/>
                <w:kern w:val="0"/>
                <w:sz w:val="24"/>
              </w:rPr>
            </w:pPr>
          </w:p>
          <w:p>
            <w:pPr>
              <w:pStyle w:val="2"/>
              <w:spacing w:line="300" w:lineRule="auto"/>
              <w:ind w:firstLine="0" w:firstLineChars="0"/>
              <w:rPr>
                <w:rFonts w:hint="eastAsia" w:ascii="宋体" w:hAnsi="宋体" w:eastAsia="宋体" w:cs="宋体"/>
                <w:color w:val="auto"/>
                <w:kern w:val="0"/>
                <w:sz w:val="24"/>
              </w:rPr>
            </w:pPr>
            <w:r>
              <w:rPr>
                <w:rFonts w:hint="eastAsia" w:ascii="宋体" w:hAnsi="宋体" w:eastAsia="宋体" w:cs="宋体"/>
                <w:b/>
                <w:bCs/>
                <w:color w:val="auto"/>
                <w:kern w:val="0"/>
                <w:sz w:val="24"/>
              </w:rPr>
              <w:t>其他因素：</w:t>
            </w:r>
            <w:r>
              <w:rPr>
                <w:rFonts w:hint="eastAsia" w:ascii="宋体" w:hAnsi="宋体" w:eastAsia="宋体" w:cs="宋体"/>
                <w:b/>
                <w:bCs/>
                <w:color w:val="auto"/>
                <w:kern w:val="0"/>
                <w:sz w:val="24"/>
                <w:u w:val="single"/>
              </w:rPr>
              <w:t xml:space="preserve">   2  分 </w:t>
            </w:r>
            <w:r>
              <w:rPr>
                <w:rFonts w:hint="eastAsia" w:ascii="宋体" w:hAnsi="宋体" w:eastAsia="宋体" w:cs="宋体"/>
                <w:color w:val="auto"/>
                <w:kern w:val="0"/>
                <w:sz w:val="24"/>
              </w:rPr>
              <w:t xml:space="preserve"> </w:t>
            </w:r>
          </w:p>
          <w:p>
            <w:pPr>
              <w:pStyle w:val="2"/>
              <w:spacing w:line="300" w:lineRule="auto"/>
              <w:ind w:firstLine="480"/>
              <w:rPr>
                <w:rFonts w:hint="eastAsia" w:ascii="宋体" w:hAnsi="宋体" w:eastAsia="宋体" w:cs="宋体"/>
                <w:color w:val="auto"/>
                <w:spacing w:val="-2"/>
                <w:kern w:val="0"/>
                <w:sz w:val="24"/>
              </w:rPr>
            </w:pPr>
            <w:r>
              <w:rPr>
                <w:rFonts w:hint="eastAsia" w:ascii="宋体" w:hAnsi="宋体" w:eastAsia="宋体" w:cs="宋体"/>
                <w:color w:val="auto"/>
                <w:kern w:val="0"/>
                <w:sz w:val="24"/>
              </w:rPr>
              <w:t>投标文件制作规范等方面。</w:t>
            </w:r>
          </w:p>
        </w:tc>
      </w:tr>
    </w:tbl>
    <w:p>
      <w:pPr>
        <w:pStyle w:val="2"/>
        <w:ind w:firstLine="482"/>
        <w:jc w:val="center"/>
        <w:rPr>
          <w:rFonts w:ascii="宋体" w:hAnsi="宋体" w:cs="宋体"/>
          <w:b/>
          <w:bCs/>
          <w:sz w:val="24"/>
        </w:rPr>
      </w:pPr>
      <w:r>
        <w:rPr>
          <w:rFonts w:hint="eastAsia" w:ascii="宋体" w:hAnsi="宋体" w:cs="宋体"/>
          <w:b/>
          <w:bCs/>
          <w:sz w:val="24"/>
        </w:rPr>
        <w:t>评分标准表</w:t>
      </w:r>
    </w:p>
    <w:p>
      <w:pPr>
        <w:pStyle w:val="2"/>
        <w:ind w:firstLine="482"/>
        <w:rPr>
          <w:rFonts w:ascii="宋体" w:hAnsi="宋体" w:cs="宋体"/>
          <w:b/>
          <w:bCs/>
          <w:sz w:val="24"/>
        </w:rPr>
      </w:pPr>
    </w:p>
    <w:p>
      <w:pPr>
        <w:pStyle w:val="2"/>
        <w:ind w:firstLine="482"/>
        <w:rPr>
          <w:rFonts w:ascii="宋体" w:hAnsi="宋体" w:cs="宋体"/>
          <w:b/>
          <w:bCs/>
          <w:sz w:val="24"/>
        </w:rPr>
      </w:pPr>
    </w:p>
    <w:p>
      <w:pPr>
        <w:pStyle w:val="2"/>
        <w:ind w:firstLine="482"/>
        <w:rPr>
          <w:rFonts w:ascii="宋体" w:hAnsi="宋体" w:cs="宋体"/>
          <w:b/>
          <w:bCs/>
          <w:sz w:val="24"/>
        </w:rPr>
      </w:pPr>
    </w:p>
    <w:p>
      <w:pPr>
        <w:pStyle w:val="2"/>
        <w:ind w:firstLine="482"/>
        <w:rPr>
          <w:rFonts w:ascii="宋体" w:hAnsi="宋体" w:cs="宋体"/>
          <w:b/>
          <w:bCs/>
          <w:sz w:val="24"/>
        </w:rPr>
      </w:pPr>
    </w:p>
    <w:p>
      <w:pPr>
        <w:pStyle w:val="2"/>
        <w:ind w:firstLine="482"/>
        <w:rPr>
          <w:rFonts w:ascii="宋体" w:hAnsi="宋体" w:cs="宋体"/>
          <w:b/>
          <w:bCs/>
          <w:sz w:val="24"/>
        </w:rPr>
      </w:pPr>
    </w:p>
    <w:p>
      <w:pPr>
        <w:pStyle w:val="2"/>
        <w:ind w:firstLine="482"/>
        <w:rPr>
          <w:rFonts w:ascii="宋体" w:hAnsi="宋体" w:cs="宋体"/>
          <w:b/>
          <w:bCs/>
          <w:sz w:val="24"/>
        </w:rPr>
      </w:pPr>
    </w:p>
    <w:p>
      <w:pPr>
        <w:pStyle w:val="2"/>
        <w:ind w:firstLine="482"/>
        <w:rPr>
          <w:rFonts w:ascii="宋体" w:hAnsi="宋体" w:cs="宋体"/>
          <w:b/>
          <w:bCs/>
          <w:sz w:val="24"/>
        </w:rPr>
      </w:pPr>
    </w:p>
    <w:p>
      <w:pPr>
        <w:pStyle w:val="2"/>
        <w:ind w:firstLine="482"/>
        <w:rPr>
          <w:rFonts w:ascii="宋体" w:hAnsi="宋体" w:cs="宋体"/>
          <w:b/>
          <w:bCs/>
          <w:sz w:val="24"/>
        </w:rPr>
      </w:pPr>
    </w:p>
    <w:p>
      <w:pPr>
        <w:pStyle w:val="49"/>
      </w:pPr>
      <w:bookmarkStart w:id="28" w:name="_Toc3859"/>
      <w:bookmarkStart w:id="29" w:name="_Toc5344"/>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170"/>
        <w:gridCol w:w="7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201" w:type="dxa"/>
            <w:noWrap w:val="0"/>
            <w:vAlign w:val="center"/>
          </w:tcPr>
          <w:p>
            <w:pPr>
              <w:keepNext w:val="0"/>
              <w:keepLines w:val="0"/>
              <w:pageBreakBefore w:val="0"/>
              <w:kinsoku/>
              <w:wordWrap/>
              <w:overflowPunct/>
              <w:topLinePunct w:val="0"/>
              <w:bidi w:val="0"/>
              <w:snapToGrid/>
              <w:spacing w:line="300" w:lineRule="exact"/>
              <w:ind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w:t>
            </w:r>
          </w:p>
        </w:tc>
        <w:tc>
          <w:tcPr>
            <w:tcW w:w="1170" w:type="dxa"/>
            <w:noWrap w:val="0"/>
            <w:vAlign w:val="center"/>
          </w:tcPr>
          <w:p>
            <w:pPr>
              <w:keepNext w:val="0"/>
              <w:keepLines w:val="0"/>
              <w:pageBreakBefore w:val="0"/>
              <w:kinsoku/>
              <w:wordWrap/>
              <w:overflowPunct/>
              <w:topLinePunct w:val="0"/>
              <w:bidi w:val="0"/>
              <w:snapToGrid/>
              <w:spacing w:line="300" w:lineRule="exact"/>
              <w:ind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7125" w:type="dxa"/>
            <w:noWrap w:val="0"/>
            <w:vAlign w:val="center"/>
          </w:tcPr>
          <w:p>
            <w:pPr>
              <w:keepNext w:val="0"/>
              <w:keepLines w:val="0"/>
              <w:pageBreakBefore w:val="0"/>
              <w:kinsoku/>
              <w:wordWrap/>
              <w:overflowPunct/>
              <w:topLinePunct w:val="0"/>
              <w:bidi w:val="0"/>
              <w:snapToGrid/>
              <w:spacing w:line="300" w:lineRule="exact"/>
              <w:ind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496" w:type="dxa"/>
            <w:gridSpan w:val="3"/>
            <w:noWrap w:val="0"/>
            <w:vAlign w:val="center"/>
          </w:tcPr>
          <w:p>
            <w:pPr>
              <w:keepNext w:val="0"/>
              <w:keepLines w:val="0"/>
              <w:pageBreakBefore w:val="0"/>
              <w:kinsoku/>
              <w:wordWrap/>
              <w:overflowPunct/>
              <w:topLinePunct w:val="0"/>
              <w:bidi w:val="0"/>
              <w:snapToGrid/>
              <w:spacing w:line="300" w:lineRule="exact"/>
              <w:ind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一、价格部分（</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201" w:type="dxa"/>
            <w:noWrap w:val="0"/>
            <w:vAlign w:val="center"/>
          </w:tcPr>
          <w:p>
            <w:pPr>
              <w:keepNext w:val="0"/>
              <w:keepLines w:val="0"/>
              <w:pageBreakBefore w:val="0"/>
              <w:kinsoku/>
              <w:wordWrap/>
              <w:overflowPunct/>
              <w:topLinePunct w:val="0"/>
              <w:bidi w:val="0"/>
              <w:snapToGrid/>
              <w:spacing w:line="300" w:lineRule="exact"/>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w:t>
            </w:r>
          </w:p>
          <w:p>
            <w:pPr>
              <w:keepNext w:val="0"/>
              <w:keepLines w:val="0"/>
              <w:pageBreakBefore w:val="0"/>
              <w:kinsoku/>
              <w:wordWrap/>
              <w:overflowPunct/>
              <w:topLinePunct w:val="0"/>
              <w:bidi w:val="0"/>
              <w:snapToGrid/>
              <w:spacing w:line="300" w:lineRule="exact"/>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c>
          <w:tcPr>
            <w:tcW w:w="1170" w:type="dxa"/>
            <w:noWrap w:val="0"/>
            <w:vAlign w:val="center"/>
          </w:tcPr>
          <w:p>
            <w:pPr>
              <w:keepNext w:val="0"/>
              <w:keepLines w:val="0"/>
              <w:pageBreakBefore w:val="0"/>
              <w:kinsoku/>
              <w:wordWrap/>
              <w:overflowPunct/>
              <w:topLinePunct w:val="0"/>
              <w:bidi w:val="0"/>
              <w:snapToGrid/>
              <w:spacing w:line="300" w:lineRule="exact"/>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c>
          <w:tcPr>
            <w:tcW w:w="7125" w:type="dxa"/>
            <w:noWrap w:val="0"/>
            <w:vAlign w:val="center"/>
          </w:tcPr>
          <w:p>
            <w:pPr>
              <w:keepNext w:val="0"/>
              <w:keepLines w:val="0"/>
              <w:pageBreakBefore w:val="0"/>
              <w:kinsoku/>
              <w:wordWrap/>
              <w:overflowPunct/>
              <w:topLinePunct w:val="0"/>
              <w:bidi w:val="0"/>
              <w:snapToGrid/>
              <w:spacing w:line="300" w:lineRule="exact"/>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评标基准价=有效投标报价的最低值，有效投标报价等于基准值的得满分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0分，投标报价得分=（评标基准价/投标报价）×价格权重×100；</w:t>
            </w:r>
            <w:r>
              <w:rPr>
                <w:rFonts w:hint="eastAsia" w:ascii="宋体" w:hAnsi="宋体" w:eastAsia="宋体" w:cs="宋体"/>
                <w:b/>
                <w:bCs/>
                <w:color w:val="auto"/>
                <w:sz w:val="21"/>
                <w:szCs w:val="21"/>
                <w:highlight w:val="none"/>
              </w:rPr>
              <w:t>有效投标报价为通过资格性和符合性审查的供应商报价</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496" w:type="dxa"/>
            <w:gridSpan w:val="3"/>
            <w:noWrap w:val="0"/>
            <w:vAlign w:val="center"/>
          </w:tcPr>
          <w:p>
            <w:pPr>
              <w:keepNext w:val="0"/>
              <w:keepLines w:val="0"/>
              <w:pageBreakBefore w:val="0"/>
              <w:kinsoku/>
              <w:wordWrap/>
              <w:overflowPunct/>
              <w:topLinePunct w:val="0"/>
              <w:bidi w:val="0"/>
              <w:snapToGrid/>
              <w:spacing w:line="300" w:lineRule="exact"/>
              <w:ind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、技术部分（</w:t>
            </w:r>
            <w:r>
              <w:rPr>
                <w:rFonts w:hint="eastAsia" w:ascii="宋体" w:hAnsi="宋体" w:eastAsia="宋体" w:cs="宋体"/>
                <w:b/>
                <w:bCs/>
                <w:color w:val="auto"/>
                <w:sz w:val="21"/>
                <w:szCs w:val="21"/>
                <w:highlight w:val="none"/>
                <w:lang w:val="en-US" w:eastAsia="zh-CN"/>
              </w:rPr>
              <w:t>68</w:t>
            </w:r>
            <w:r>
              <w:rPr>
                <w:rFonts w:hint="eastAsia" w:ascii="宋体" w:hAns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01" w:type="dxa"/>
            <w:vMerge w:val="restart"/>
            <w:noWrap w:val="0"/>
            <w:vAlign w:val="center"/>
          </w:tcPr>
          <w:p>
            <w:pPr>
              <w:keepNext w:val="0"/>
              <w:keepLines w:val="0"/>
              <w:pageBreakBefore w:val="0"/>
              <w:kinsoku/>
              <w:wordWrap/>
              <w:overflowPunct/>
              <w:topLinePunct w:val="0"/>
              <w:autoSpaceDE w:val="0"/>
              <w:autoSpaceDN w:val="0"/>
              <w:bidi w:val="0"/>
              <w:adjustRightInd w:val="0"/>
              <w:snapToGrid/>
              <w:spacing w:line="300" w:lineRule="exact"/>
              <w:ind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供货服务方案</w:t>
            </w:r>
            <w:r>
              <w:rPr>
                <w:rFonts w:hint="eastAsia" w:ascii="宋体" w:hAnsi="宋体" w:eastAsia="宋体" w:cs="宋体"/>
                <w:color w:val="auto"/>
                <w:kern w:val="0"/>
                <w:sz w:val="21"/>
                <w:szCs w:val="21"/>
                <w:highlight w:val="none"/>
              </w:rPr>
              <w:t>、质量及售后服务</w:t>
            </w:r>
          </w:p>
          <w:p>
            <w:pPr>
              <w:keepNext w:val="0"/>
              <w:keepLines w:val="0"/>
              <w:pageBreakBefore w:val="0"/>
              <w:kinsoku/>
              <w:wordWrap/>
              <w:overflowPunct/>
              <w:topLinePunct w:val="0"/>
              <w:autoSpaceDE w:val="0"/>
              <w:autoSpaceDN w:val="0"/>
              <w:bidi w:val="0"/>
              <w:adjustRightInd w:val="0"/>
              <w:snapToGrid/>
              <w:spacing w:line="300" w:lineRule="exact"/>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c>
          <w:tcPr>
            <w:tcW w:w="1170" w:type="dxa"/>
            <w:noWrap w:val="0"/>
            <w:vAlign w:val="center"/>
          </w:tcPr>
          <w:p>
            <w:pPr>
              <w:keepNext w:val="0"/>
              <w:keepLines w:val="0"/>
              <w:pageBreakBefore w:val="0"/>
              <w:kinsoku/>
              <w:wordWrap/>
              <w:overflowPunct/>
              <w:topLinePunct w:val="0"/>
              <w:bidi w:val="0"/>
              <w:snapToGrid/>
              <w:spacing w:line="300" w:lineRule="exact"/>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供货服务方案10</w:t>
            </w:r>
            <w:r>
              <w:rPr>
                <w:rFonts w:hint="eastAsia" w:ascii="宋体" w:hAnsi="宋体" w:eastAsia="宋体" w:cs="宋体"/>
                <w:color w:val="auto"/>
                <w:sz w:val="21"/>
                <w:szCs w:val="21"/>
                <w:highlight w:val="none"/>
              </w:rPr>
              <w:t>分</w:t>
            </w:r>
          </w:p>
        </w:tc>
        <w:tc>
          <w:tcPr>
            <w:tcW w:w="7125" w:type="dxa"/>
            <w:noWrap w:val="0"/>
            <w:vAlign w:val="center"/>
          </w:tcPr>
          <w:p>
            <w:pPr>
              <w:keepNext w:val="0"/>
              <w:keepLines w:val="0"/>
              <w:pageBreakBefore w:val="0"/>
              <w:kinsoku/>
              <w:wordWrap/>
              <w:overflowPunct/>
              <w:topLinePunct w:val="0"/>
              <w:bidi w:val="0"/>
              <w:snapToGrid/>
              <w:spacing w:line="300" w:lineRule="exact"/>
              <w:ind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交货期优于招标文件要求得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分，满足得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pPr>
              <w:keepNext w:val="0"/>
              <w:keepLines w:val="0"/>
              <w:pageBreakBefore w:val="0"/>
              <w:kinsoku/>
              <w:wordWrap/>
              <w:overflowPunct/>
              <w:topLinePunct w:val="0"/>
              <w:bidi w:val="0"/>
              <w:snapToGrid/>
              <w:spacing w:line="300" w:lineRule="exact"/>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提供保证措施，安排科学合理，可实施性强得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分，一般得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分，差得</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01" w:type="dxa"/>
            <w:vMerge w:val="continue"/>
            <w:noWrap w:val="0"/>
            <w:vAlign w:val="center"/>
          </w:tcPr>
          <w:p>
            <w:pPr>
              <w:keepNext w:val="0"/>
              <w:keepLines w:val="0"/>
              <w:pageBreakBefore w:val="0"/>
              <w:kinsoku/>
              <w:wordWrap/>
              <w:overflowPunct/>
              <w:topLinePunct w:val="0"/>
              <w:bidi w:val="0"/>
              <w:snapToGrid/>
              <w:spacing w:line="300" w:lineRule="exact"/>
              <w:ind w:right="0"/>
              <w:textAlignment w:val="auto"/>
              <w:rPr>
                <w:rFonts w:hint="eastAsia" w:ascii="宋体" w:hAnsi="宋体" w:eastAsia="宋体" w:cs="宋体"/>
                <w:color w:val="auto"/>
                <w:sz w:val="21"/>
                <w:szCs w:val="21"/>
                <w:highlight w:val="none"/>
              </w:rPr>
            </w:pPr>
          </w:p>
        </w:tc>
        <w:tc>
          <w:tcPr>
            <w:tcW w:w="1170" w:type="dxa"/>
            <w:noWrap w:val="0"/>
            <w:vAlign w:val="center"/>
          </w:tcPr>
          <w:p>
            <w:pPr>
              <w:keepNext w:val="0"/>
              <w:keepLines w:val="0"/>
              <w:pageBreakBefore w:val="0"/>
              <w:widowControl/>
              <w:kinsoku/>
              <w:wordWrap/>
              <w:overflowPunct/>
              <w:topLinePunct w:val="0"/>
              <w:bidi w:val="0"/>
              <w:snapToGrid/>
              <w:spacing w:line="300" w:lineRule="exact"/>
              <w:ind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产品质量保证承诺</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7125" w:type="dxa"/>
            <w:noWrap w:val="0"/>
            <w:vAlign w:val="center"/>
          </w:tcPr>
          <w:p>
            <w:pPr>
              <w:keepNext w:val="0"/>
              <w:keepLines w:val="0"/>
              <w:pageBreakBefore w:val="0"/>
              <w:widowControl/>
              <w:kinsoku/>
              <w:wordWrap/>
              <w:overflowPunct/>
              <w:topLinePunct w:val="0"/>
              <w:bidi w:val="0"/>
              <w:snapToGrid/>
              <w:spacing w:line="300" w:lineRule="exact"/>
              <w:ind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产品质量保证承诺：根据各投标人的产品质量保证承诺详细情况，描述详细，条理清晰得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分，一般得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分，描述不完全得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01" w:type="dxa"/>
            <w:vMerge w:val="continue"/>
            <w:noWrap w:val="0"/>
            <w:vAlign w:val="center"/>
          </w:tcPr>
          <w:p>
            <w:pPr>
              <w:keepNext w:val="0"/>
              <w:keepLines w:val="0"/>
              <w:pageBreakBefore w:val="0"/>
              <w:kinsoku/>
              <w:wordWrap/>
              <w:overflowPunct/>
              <w:topLinePunct w:val="0"/>
              <w:bidi w:val="0"/>
              <w:snapToGrid/>
              <w:spacing w:line="300" w:lineRule="exact"/>
              <w:ind w:right="0"/>
              <w:textAlignment w:val="auto"/>
              <w:rPr>
                <w:rFonts w:hint="eastAsia" w:ascii="宋体" w:hAnsi="宋体" w:eastAsia="宋体" w:cs="宋体"/>
                <w:color w:val="auto"/>
                <w:sz w:val="21"/>
                <w:szCs w:val="21"/>
                <w:highlight w:val="none"/>
              </w:rPr>
            </w:pPr>
          </w:p>
        </w:tc>
        <w:tc>
          <w:tcPr>
            <w:tcW w:w="1170" w:type="dxa"/>
            <w:noWrap w:val="0"/>
            <w:vAlign w:val="center"/>
          </w:tcPr>
          <w:p>
            <w:pPr>
              <w:keepNext w:val="0"/>
              <w:keepLines w:val="0"/>
              <w:pageBreakBefore w:val="0"/>
              <w:widowControl/>
              <w:kinsoku/>
              <w:wordWrap/>
              <w:overflowPunct/>
              <w:topLinePunct w:val="0"/>
              <w:bidi w:val="0"/>
              <w:snapToGrid/>
              <w:spacing w:line="300" w:lineRule="exact"/>
              <w:ind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培训方案</w:t>
            </w:r>
          </w:p>
          <w:p>
            <w:pPr>
              <w:keepNext w:val="0"/>
              <w:keepLines w:val="0"/>
              <w:pageBreakBefore w:val="0"/>
              <w:widowControl/>
              <w:kinsoku/>
              <w:wordWrap/>
              <w:overflowPunct/>
              <w:topLinePunct w:val="0"/>
              <w:bidi w:val="0"/>
              <w:snapToGrid/>
              <w:spacing w:line="300" w:lineRule="exact"/>
              <w:ind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5分</w:t>
            </w:r>
          </w:p>
        </w:tc>
        <w:tc>
          <w:tcPr>
            <w:tcW w:w="7125" w:type="dxa"/>
            <w:noWrap w:val="0"/>
            <w:vAlign w:val="center"/>
          </w:tcPr>
          <w:p>
            <w:pPr>
              <w:keepNext w:val="0"/>
              <w:keepLines w:val="0"/>
              <w:pageBreakBefore w:val="0"/>
              <w:widowControl/>
              <w:kinsoku/>
              <w:wordWrap/>
              <w:overflowPunct/>
              <w:topLinePunct w:val="0"/>
              <w:bidi w:val="0"/>
              <w:snapToGrid/>
              <w:spacing w:line="300" w:lineRule="exact"/>
              <w:ind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1、供应商提供完整、合理、针对性强得项目培训方案，方案内容包括但不限于培训的资料、方式、技术、人员、时间安排等并且能够满足用户实际需求的得</w:t>
            </w:r>
            <w:r>
              <w:rPr>
                <w:rFonts w:hint="eastAsia" w:ascii="宋体" w:hAnsi="宋体" w:eastAsia="宋体" w:cs="宋体"/>
                <w:color w:val="auto"/>
                <w:kern w:val="0"/>
                <w:sz w:val="21"/>
                <w:szCs w:val="21"/>
                <w:highlight w:val="none"/>
                <w:lang w:val="en-US" w:eastAsia="zh-CN"/>
              </w:rPr>
              <w:t>4-5</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bidi w:val="0"/>
              <w:snapToGrid/>
              <w:spacing w:line="300" w:lineRule="exact"/>
              <w:ind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2、提供能够满足用户实际需求但方案内容不够完善的得</w:t>
            </w:r>
            <w:r>
              <w:rPr>
                <w:rFonts w:hint="eastAsia" w:ascii="宋体" w:hAnsi="宋体" w:eastAsia="宋体" w:cs="宋体"/>
                <w:color w:val="auto"/>
                <w:kern w:val="0"/>
                <w:sz w:val="21"/>
                <w:szCs w:val="21"/>
                <w:highlight w:val="none"/>
                <w:lang w:val="en-US" w:eastAsia="zh-CN"/>
              </w:rPr>
              <w:t>2-3</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bidi w:val="0"/>
              <w:snapToGrid/>
              <w:spacing w:line="300" w:lineRule="exact"/>
              <w:ind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3、提供培训方案内容针对性不强的得</w:t>
            </w:r>
            <w:r>
              <w:rPr>
                <w:rFonts w:hint="eastAsia" w:ascii="宋体" w:hAnsi="宋体" w:eastAsia="宋体" w:cs="宋体"/>
                <w:color w:val="auto"/>
                <w:kern w:val="0"/>
                <w:sz w:val="21"/>
                <w:szCs w:val="21"/>
                <w:highlight w:val="none"/>
                <w:lang w:val="en-US" w:eastAsia="zh-CN"/>
              </w:rPr>
              <w:t>0-1</w:t>
            </w:r>
            <w:r>
              <w:rPr>
                <w:rFonts w:hint="eastAsia" w:ascii="宋体" w:hAnsi="宋体" w:eastAsia="宋体" w:cs="宋体"/>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201" w:type="dxa"/>
            <w:vMerge w:val="continue"/>
            <w:noWrap w:val="0"/>
            <w:vAlign w:val="center"/>
          </w:tcPr>
          <w:p>
            <w:pPr>
              <w:keepNext w:val="0"/>
              <w:keepLines w:val="0"/>
              <w:pageBreakBefore w:val="0"/>
              <w:kinsoku/>
              <w:wordWrap/>
              <w:overflowPunct/>
              <w:topLinePunct w:val="0"/>
              <w:bidi w:val="0"/>
              <w:snapToGrid/>
              <w:spacing w:line="300" w:lineRule="exact"/>
              <w:ind w:right="0"/>
              <w:textAlignment w:val="auto"/>
              <w:rPr>
                <w:rFonts w:hint="eastAsia" w:ascii="宋体" w:hAnsi="宋体" w:eastAsia="宋体" w:cs="宋体"/>
                <w:color w:val="auto"/>
                <w:sz w:val="21"/>
                <w:szCs w:val="21"/>
                <w:highlight w:val="none"/>
              </w:rPr>
            </w:pPr>
          </w:p>
        </w:tc>
        <w:tc>
          <w:tcPr>
            <w:tcW w:w="1170" w:type="dxa"/>
            <w:noWrap w:val="0"/>
            <w:vAlign w:val="center"/>
          </w:tcPr>
          <w:p>
            <w:pPr>
              <w:keepNext w:val="0"/>
              <w:keepLines w:val="0"/>
              <w:pageBreakBefore w:val="0"/>
              <w:widowControl/>
              <w:kinsoku/>
              <w:wordWrap/>
              <w:overflowPunct/>
              <w:topLinePunct w:val="0"/>
              <w:bidi w:val="0"/>
              <w:snapToGrid/>
              <w:spacing w:line="300" w:lineRule="exact"/>
              <w:ind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售后服务承诺</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7125" w:type="dxa"/>
            <w:noWrap w:val="0"/>
            <w:vAlign w:val="center"/>
          </w:tcPr>
          <w:p>
            <w:pPr>
              <w:pStyle w:val="118"/>
              <w:keepNext w:val="0"/>
              <w:keepLines w:val="0"/>
              <w:pageBreakBefore w:val="0"/>
              <w:widowControl w:val="0"/>
              <w:kinsoku/>
              <w:wordWrap/>
              <w:overflowPunct/>
              <w:topLinePunct w:val="0"/>
              <w:autoSpaceDE w:val="0"/>
              <w:autoSpaceDN w:val="0"/>
              <w:bidi w:val="0"/>
              <w:adjustRightInd w:val="0"/>
              <w:snapToGrid/>
              <w:spacing w:before="0" w:line="300" w:lineRule="exact"/>
              <w:ind w:left="74" w:leftChars="0" w:right="0" w:right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评审内容：对服务承诺满足采购文件要求的程度、详细程度、可行程度、响应时间（处理问题、售后、突发事件等 ）等独立进行评分。</w:t>
            </w:r>
          </w:p>
          <w:p>
            <w:pPr>
              <w:pStyle w:val="118"/>
              <w:keepNext w:val="0"/>
              <w:keepLines w:val="0"/>
              <w:pageBreakBefore w:val="0"/>
              <w:widowControl w:val="0"/>
              <w:numPr>
                <w:ilvl w:val="0"/>
                <w:numId w:val="3"/>
              </w:numPr>
              <w:kinsoku/>
              <w:wordWrap/>
              <w:overflowPunct/>
              <w:topLinePunct w:val="0"/>
              <w:autoSpaceDE w:val="0"/>
              <w:autoSpaceDN w:val="0"/>
              <w:bidi w:val="0"/>
              <w:adjustRightInd w:val="0"/>
              <w:snapToGrid/>
              <w:spacing w:before="0" w:line="300" w:lineRule="exact"/>
              <w:ind w:left="179" w:leftChars="0" w:right="0" w:righ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没有服务承诺的，不得分；</w:t>
            </w:r>
          </w:p>
          <w:p>
            <w:pPr>
              <w:pStyle w:val="118"/>
              <w:keepNext w:val="0"/>
              <w:keepLines w:val="0"/>
              <w:pageBreakBefore w:val="0"/>
              <w:widowControl w:val="0"/>
              <w:numPr>
                <w:ilvl w:val="0"/>
                <w:numId w:val="3"/>
              </w:numPr>
              <w:kinsoku/>
              <w:wordWrap/>
              <w:overflowPunct/>
              <w:topLinePunct w:val="0"/>
              <w:autoSpaceDE w:val="0"/>
              <w:autoSpaceDN w:val="0"/>
              <w:bidi w:val="0"/>
              <w:adjustRightInd w:val="0"/>
              <w:snapToGrid/>
              <w:spacing w:before="0" w:line="300" w:lineRule="exact"/>
              <w:ind w:left="179" w:leftChars="0" w:right="0" w:righ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服务承诺可行，基本满足采购人需求的 ，得0-1分；</w:t>
            </w:r>
          </w:p>
          <w:p>
            <w:pPr>
              <w:pStyle w:val="118"/>
              <w:keepNext w:val="0"/>
              <w:keepLines w:val="0"/>
              <w:pageBreakBefore w:val="0"/>
              <w:widowControl w:val="0"/>
              <w:numPr>
                <w:ilvl w:val="0"/>
                <w:numId w:val="3"/>
              </w:numPr>
              <w:kinsoku/>
              <w:wordWrap/>
              <w:overflowPunct/>
              <w:topLinePunct w:val="0"/>
              <w:autoSpaceDE w:val="0"/>
              <w:autoSpaceDN w:val="0"/>
              <w:bidi w:val="0"/>
              <w:adjustRightInd w:val="0"/>
              <w:snapToGrid/>
              <w:spacing w:before="0" w:line="300" w:lineRule="exact"/>
              <w:ind w:left="179" w:leftChars="0" w:right="0" w:righ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服务承诺比较科学完善具有可行性，得 2-3分；</w:t>
            </w:r>
          </w:p>
          <w:p>
            <w:pPr>
              <w:keepNext w:val="0"/>
              <w:keepLines w:val="0"/>
              <w:pageBreakBefore w:val="0"/>
              <w:widowControl/>
              <w:numPr>
                <w:ilvl w:val="0"/>
                <w:numId w:val="3"/>
              </w:numPr>
              <w:kinsoku/>
              <w:wordWrap/>
              <w:overflowPunct/>
              <w:topLinePunct w:val="0"/>
              <w:bidi w:val="0"/>
              <w:snapToGrid/>
              <w:spacing w:line="300" w:lineRule="exact"/>
              <w:ind w:left="179" w:leftChars="0" w:right="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服务承诺可行性强的，得3-4分。</w:t>
            </w:r>
          </w:p>
          <w:p>
            <w:pPr>
              <w:pStyle w:val="128"/>
              <w:keepNext w:val="0"/>
              <w:keepLines w:val="0"/>
              <w:pageBreakBefore w:val="0"/>
              <w:numPr>
                <w:ilvl w:val="0"/>
                <w:numId w:val="3"/>
              </w:numPr>
              <w:kinsoku/>
              <w:wordWrap/>
              <w:overflowPunct/>
              <w:topLinePunct w:val="0"/>
              <w:bidi w:val="0"/>
              <w:snapToGrid/>
              <w:spacing w:line="300" w:lineRule="exact"/>
              <w:ind w:left="179" w:leftChars="0" w:right="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设有售后服务网点并提供相关证明材料，得2分；不提供不得分。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01" w:type="dxa"/>
            <w:vMerge w:val="restart"/>
            <w:noWrap w:val="0"/>
            <w:vAlign w:val="center"/>
          </w:tcPr>
          <w:p>
            <w:pPr>
              <w:keepNext w:val="0"/>
              <w:keepLines w:val="0"/>
              <w:pageBreakBefore w:val="0"/>
              <w:kinsoku/>
              <w:wordWrap/>
              <w:overflowPunct/>
              <w:topLinePunct w:val="0"/>
              <w:autoSpaceDE w:val="0"/>
              <w:autoSpaceDN w:val="0"/>
              <w:bidi w:val="0"/>
              <w:adjustRightInd w:val="0"/>
              <w:snapToGrid/>
              <w:spacing w:line="300" w:lineRule="exact"/>
              <w:ind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技术规格</w:t>
            </w:r>
          </w:p>
          <w:p>
            <w:pPr>
              <w:keepNext w:val="0"/>
              <w:keepLines w:val="0"/>
              <w:pageBreakBefore w:val="0"/>
              <w:kinsoku/>
              <w:wordWrap/>
              <w:overflowPunct/>
              <w:topLinePunct w:val="0"/>
              <w:autoSpaceDE w:val="0"/>
              <w:autoSpaceDN w:val="0"/>
              <w:bidi w:val="0"/>
              <w:adjustRightInd w:val="0"/>
              <w:snapToGrid/>
              <w:spacing w:line="300" w:lineRule="exact"/>
              <w:ind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38</w:t>
            </w:r>
            <w:r>
              <w:rPr>
                <w:rFonts w:hint="eastAsia" w:ascii="宋体" w:hAnsi="宋体" w:eastAsia="宋体" w:cs="宋体"/>
                <w:color w:val="auto"/>
                <w:kern w:val="0"/>
                <w:sz w:val="21"/>
                <w:szCs w:val="21"/>
                <w:highlight w:val="none"/>
              </w:rPr>
              <w:t>分）</w:t>
            </w:r>
          </w:p>
          <w:p>
            <w:pPr>
              <w:keepNext w:val="0"/>
              <w:keepLines w:val="0"/>
              <w:pageBreakBefore w:val="0"/>
              <w:kinsoku/>
              <w:wordWrap/>
              <w:overflowPunct/>
              <w:topLinePunct w:val="0"/>
              <w:bidi w:val="0"/>
              <w:snapToGrid/>
              <w:spacing w:line="300" w:lineRule="exact"/>
              <w:ind w:right="0"/>
              <w:textAlignment w:val="auto"/>
              <w:rPr>
                <w:rFonts w:hint="eastAsia" w:ascii="宋体" w:hAnsi="宋体" w:eastAsia="宋体" w:cs="宋体"/>
                <w:color w:val="auto"/>
                <w:sz w:val="21"/>
                <w:szCs w:val="21"/>
                <w:highlight w:val="none"/>
              </w:rPr>
            </w:pPr>
          </w:p>
        </w:tc>
        <w:tc>
          <w:tcPr>
            <w:tcW w:w="1170" w:type="dxa"/>
            <w:noWrap w:val="0"/>
            <w:vAlign w:val="center"/>
          </w:tcPr>
          <w:p>
            <w:pPr>
              <w:keepNext w:val="0"/>
              <w:keepLines w:val="0"/>
              <w:pageBreakBefore w:val="0"/>
              <w:widowControl/>
              <w:kinsoku/>
              <w:wordWrap/>
              <w:overflowPunct/>
              <w:topLinePunct w:val="0"/>
              <w:bidi w:val="0"/>
              <w:snapToGrid/>
              <w:spacing w:line="300" w:lineRule="exact"/>
              <w:ind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技术参数相应</w:t>
            </w:r>
            <w:r>
              <w:rPr>
                <w:rFonts w:hint="eastAsia" w:ascii="宋体" w:hAnsi="宋体" w:eastAsia="宋体" w:cs="宋体"/>
                <w:color w:val="auto"/>
                <w:kern w:val="0"/>
                <w:sz w:val="21"/>
                <w:szCs w:val="21"/>
                <w:highlight w:val="none"/>
                <w:lang w:val="en-US" w:eastAsia="zh-CN"/>
              </w:rPr>
              <w:t>内容16</w:t>
            </w:r>
            <w:r>
              <w:rPr>
                <w:rFonts w:hint="eastAsia" w:ascii="宋体" w:hAnsi="宋体" w:eastAsia="宋体" w:cs="宋体"/>
                <w:color w:val="auto"/>
                <w:kern w:val="0"/>
                <w:sz w:val="21"/>
                <w:szCs w:val="21"/>
                <w:highlight w:val="none"/>
              </w:rPr>
              <w:t>分</w:t>
            </w:r>
          </w:p>
        </w:tc>
        <w:tc>
          <w:tcPr>
            <w:tcW w:w="7125" w:type="dxa"/>
            <w:noWrap w:val="0"/>
            <w:vAlign w:val="center"/>
          </w:tcPr>
          <w:p>
            <w:pPr>
              <w:keepNext w:val="0"/>
              <w:keepLines w:val="0"/>
              <w:pageBreakBefore w:val="0"/>
              <w:widowControl/>
              <w:kinsoku/>
              <w:wordWrap/>
              <w:overflowPunct/>
              <w:topLinePunct w:val="0"/>
              <w:bidi w:val="0"/>
              <w:snapToGrid/>
              <w:spacing w:line="300" w:lineRule="exact"/>
              <w:ind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评委将根据投标人提供</w:t>
            </w:r>
            <w:r>
              <w:rPr>
                <w:rFonts w:hint="eastAsia" w:ascii="宋体" w:hAnsi="宋体" w:eastAsia="宋体" w:cs="宋体"/>
                <w:color w:val="auto"/>
                <w:kern w:val="0"/>
                <w:sz w:val="21"/>
                <w:szCs w:val="21"/>
                <w:highlight w:val="none"/>
                <w:lang w:val="en-US" w:eastAsia="zh-CN"/>
              </w:rPr>
              <w:t>生产设备厂家授权委托书</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技术参数（偏离表）、质量指标、性能、产品清晰的图片等，对照招标要求的技术参数进行评议，在≥0～≤</w:t>
            </w:r>
            <w:r>
              <w:rPr>
                <w:rFonts w:hint="eastAsia" w:ascii="宋体" w:hAnsi="宋体" w:eastAsia="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分之间进行评分。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01" w:type="dxa"/>
            <w:vMerge w:val="continue"/>
            <w:noWrap w:val="0"/>
            <w:vAlign w:val="center"/>
          </w:tcPr>
          <w:p>
            <w:pPr>
              <w:keepNext w:val="0"/>
              <w:keepLines w:val="0"/>
              <w:pageBreakBefore w:val="0"/>
              <w:widowControl/>
              <w:kinsoku/>
              <w:wordWrap/>
              <w:overflowPunct/>
              <w:topLinePunct w:val="0"/>
              <w:bidi w:val="0"/>
              <w:snapToGrid/>
              <w:spacing w:line="300" w:lineRule="exact"/>
              <w:ind w:right="0"/>
              <w:textAlignment w:val="auto"/>
              <w:rPr>
                <w:rFonts w:hint="eastAsia" w:ascii="宋体" w:hAnsi="宋体" w:eastAsia="宋体" w:cs="宋体"/>
                <w:color w:val="auto"/>
                <w:sz w:val="21"/>
                <w:szCs w:val="21"/>
                <w:highlight w:val="none"/>
              </w:rPr>
            </w:pPr>
          </w:p>
        </w:tc>
        <w:tc>
          <w:tcPr>
            <w:tcW w:w="1170" w:type="dxa"/>
            <w:noWrap w:val="0"/>
            <w:vAlign w:val="center"/>
          </w:tcPr>
          <w:p>
            <w:pPr>
              <w:keepNext w:val="0"/>
              <w:keepLines w:val="0"/>
              <w:pageBreakBefore w:val="0"/>
              <w:widowControl/>
              <w:kinsoku/>
              <w:wordWrap/>
              <w:overflowPunct/>
              <w:topLinePunct w:val="0"/>
              <w:bidi w:val="0"/>
              <w:snapToGrid/>
              <w:spacing w:line="300" w:lineRule="exact"/>
              <w:ind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设备性能情况</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 xml:space="preserve">分                            </w:t>
            </w:r>
          </w:p>
        </w:tc>
        <w:tc>
          <w:tcPr>
            <w:tcW w:w="7125" w:type="dxa"/>
            <w:noWrap w:val="0"/>
            <w:vAlign w:val="center"/>
          </w:tcPr>
          <w:p>
            <w:pPr>
              <w:keepNext w:val="0"/>
              <w:keepLines w:val="0"/>
              <w:pageBreakBefore w:val="0"/>
              <w:widowControl/>
              <w:kinsoku/>
              <w:wordWrap/>
              <w:overflowPunct/>
              <w:topLinePunct w:val="0"/>
              <w:bidi w:val="0"/>
              <w:snapToGrid/>
              <w:spacing w:line="300" w:lineRule="exact"/>
              <w:ind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评委根据设备整体的先进性、可靠性、稳定性、易操作性、易维护性等指标情况，在0-</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 xml:space="preserve"> 分进行评分。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201" w:type="dxa"/>
            <w:vMerge w:val="continue"/>
            <w:noWrap w:val="0"/>
            <w:vAlign w:val="center"/>
          </w:tcPr>
          <w:p>
            <w:pPr>
              <w:keepNext w:val="0"/>
              <w:keepLines w:val="0"/>
              <w:pageBreakBefore w:val="0"/>
              <w:kinsoku/>
              <w:wordWrap/>
              <w:overflowPunct/>
              <w:topLinePunct w:val="0"/>
              <w:autoSpaceDE w:val="0"/>
              <w:autoSpaceDN w:val="0"/>
              <w:bidi w:val="0"/>
              <w:adjustRightInd w:val="0"/>
              <w:snapToGrid/>
              <w:spacing w:line="300" w:lineRule="exact"/>
              <w:ind w:right="0"/>
              <w:jc w:val="left"/>
              <w:textAlignment w:val="auto"/>
              <w:rPr>
                <w:rFonts w:hint="eastAsia" w:ascii="宋体" w:hAnsi="宋体" w:eastAsia="宋体" w:cs="宋体"/>
                <w:color w:val="auto"/>
                <w:sz w:val="21"/>
                <w:szCs w:val="21"/>
                <w:highlight w:val="none"/>
              </w:rPr>
            </w:pPr>
          </w:p>
        </w:tc>
        <w:tc>
          <w:tcPr>
            <w:tcW w:w="1170" w:type="dxa"/>
            <w:noWrap w:val="0"/>
            <w:vAlign w:val="center"/>
          </w:tcPr>
          <w:p>
            <w:pPr>
              <w:keepNext w:val="0"/>
              <w:keepLines w:val="0"/>
              <w:pageBreakBefore w:val="0"/>
              <w:widowControl/>
              <w:kinsoku/>
              <w:wordWrap/>
              <w:overflowPunct/>
              <w:topLinePunct w:val="0"/>
              <w:bidi w:val="0"/>
              <w:snapToGrid/>
              <w:spacing w:line="300" w:lineRule="exact"/>
              <w:ind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主要产品资料</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7125" w:type="dxa"/>
            <w:noWrap w:val="0"/>
            <w:vAlign w:val="center"/>
          </w:tcPr>
          <w:p>
            <w:pPr>
              <w:keepNext w:val="0"/>
              <w:keepLines w:val="0"/>
              <w:pageBreakBefore w:val="0"/>
              <w:widowControl/>
              <w:kinsoku/>
              <w:wordWrap/>
              <w:overflowPunct/>
              <w:topLinePunct w:val="0"/>
              <w:bidi w:val="0"/>
              <w:snapToGrid/>
              <w:spacing w:line="300" w:lineRule="exact"/>
              <w:ind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文件提供的资料完整程度（资料完整，能完全说明设备的主要技术参数及功能情况；仅提供部分资料仅能部分说明所投标设备的主要技术参数及功能）及对所投标设备的主要技术参数及功能的说明情况，在0-</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201" w:type="dxa"/>
            <w:vMerge w:val="continue"/>
            <w:noWrap w:val="0"/>
            <w:vAlign w:val="center"/>
          </w:tcPr>
          <w:p>
            <w:pPr>
              <w:keepNext w:val="0"/>
              <w:keepLines w:val="0"/>
              <w:pageBreakBefore w:val="0"/>
              <w:kinsoku/>
              <w:wordWrap/>
              <w:overflowPunct/>
              <w:topLinePunct w:val="0"/>
              <w:autoSpaceDE w:val="0"/>
              <w:autoSpaceDN w:val="0"/>
              <w:bidi w:val="0"/>
              <w:adjustRightInd w:val="0"/>
              <w:snapToGrid/>
              <w:spacing w:line="300" w:lineRule="exact"/>
              <w:ind w:right="0"/>
              <w:jc w:val="left"/>
              <w:textAlignment w:val="auto"/>
              <w:rPr>
                <w:rFonts w:hint="eastAsia" w:ascii="宋体" w:hAnsi="宋体" w:eastAsia="宋体" w:cs="宋体"/>
                <w:color w:val="auto"/>
                <w:sz w:val="21"/>
                <w:szCs w:val="21"/>
                <w:highlight w:val="none"/>
              </w:rPr>
            </w:pPr>
          </w:p>
        </w:tc>
        <w:tc>
          <w:tcPr>
            <w:tcW w:w="1170" w:type="dxa"/>
            <w:noWrap w:val="0"/>
            <w:vAlign w:val="center"/>
          </w:tcPr>
          <w:p>
            <w:pPr>
              <w:keepNext w:val="0"/>
              <w:keepLines w:val="0"/>
              <w:pageBreakBefore w:val="0"/>
              <w:widowControl/>
              <w:kinsoku/>
              <w:wordWrap/>
              <w:overflowPunct/>
              <w:topLinePunct w:val="0"/>
              <w:bidi w:val="0"/>
              <w:snapToGrid/>
              <w:spacing w:line="300" w:lineRule="exact"/>
              <w:ind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w:t>
            </w:r>
            <w:r>
              <w:rPr>
                <w:rFonts w:hint="eastAsia" w:ascii="宋体" w:hAnsi="宋体" w:eastAsia="宋体" w:cs="宋体"/>
                <w:color w:val="auto"/>
                <w:kern w:val="0"/>
                <w:sz w:val="21"/>
                <w:szCs w:val="21"/>
                <w:highlight w:val="none"/>
                <w:lang w:eastAsia="zh-CN"/>
              </w:rPr>
              <w:t>备品备件</w:t>
            </w:r>
            <w:r>
              <w:rPr>
                <w:rFonts w:hint="eastAsia" w:ascii="宋体" w:hAnsi="宋体" w:eastAsia="宋体" w:cs="宋体"/>
                <w:color w:val="auto"/>
                <w:kern w:val="0"/>
                <w:sz w:val="21"/>
                <w:szCs w:val="21"/>
                <w:highlight w:val="none"/>
              </w:rPr>
              <w:t>5分</w:t>
            </w:r>
          </w:p>
        </w:tc>
        <w:tc>
          <w:tcPr>
            <w:tcW w:w="7125" w:type="dxa"/>
            <w:noWrap w:val="0"/>
            <w:vAlign w:val="center"/>
          </w:tcPr>
          <w:p>
            <w:pPr>
              <w:keepNext w:val="0"/>
              <w:keepLines w:val="0"/>
              <w:pageBreakBefore w:val="0"/>
              <w:widowControl/>
              <w:kinsoku/>
              <w:wordWrap/>
              <w:overflowPunct/>
              <w:topLinePunct w:val="0"/>
              <w:bidi w:val="0"/>
              <w:snapToGrid/>
              <w:spacing w:line="300" w:lineRule="exact"/>
              <w:ind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产品包含的附件</w:t>
            </w:r>
            <w:r>
              <w:rPr>
                <w:rFonts w:hint="eastAsia" w:ascii="宋体" w:hAnsi="宋体" w:eastAsia="宋体" w:cs="宋体"/>
                <w:color w:val="auto"/>
                <w:kern w:val="0"/>
                <w:sz w:val="21"/>
                <w:szCs w:val="21"/>
                <w:highlight w:val="none"/>
                <w:lang w:eastAsia="zh-CN"/>
              </w:rPr>
              <w:t>、备品备件</w:t>
            </w:r>
            <w:r>
              <w:rPr>
                <w:rFonts w:hint="eastAsia" w:ascii="宋体" w:hAnsi="宋体" w:eastAsia="宋体" w:cs="宋体"/>
                <w:color w:val="auto"/>
                <w:kern w:val="0"/>
                <w:sz w:val="21"/>
                <w:szCs w:val="21"/>
                <w:highlight w:val="none"/>
              </w:rPr>
              <w:t>最全、质量优良，最高得5分。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496" w:type="dxa"/>
            <w:gridSpan w:val="3"/>
            <w:noWrap w:val="0"/>
            <w:vAlign w:val="center"/>
          </w:tcPr>
          <w:p>
            <w:pPr>
              <w:keepNext w:val="0"/>
              <w:keepLines w:val="0"/>
              <w:pageBreakBefore w:val="0"/>
              <w:kinsoku/>
              <w:wordWrap/>
              <w:overflowPunct/>
              <w:topLinePunct w:val="0"/>
              <w:bidi w:val="0"/>
              <w:snapToGrid/>
              <w:spacing w:line="300" w:lineRule="exact"/>
              <w:ind w:right="0"/>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三</w:t>
            </w:r>
            <w:r>
              <w:rPr>
                <w:rFonts w:hint="eastAsia" w:ascii="宋体" w:hAnsi="宋体" w:eastAsia="宋体" w:cs="宋体"/>
                <w:b/>
                <w:bCs/>
                <w:color w:val="auto"/>
                <w:kern w:val="0"/>
                <w:sz w:val="21"/>
                <w:szCs w:val="21"/>
                <w:highlight w:val="none"/>
              </w:rPr>
              <w:t>、其他因素（2分）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01" w:type="dxa"/>
            <w:noWrap w:val="0"/>
            <w:vAlign w:val="center"/>
          </w:tcPr>
          <w:p>
            <w:pPr>
              <w:keepNext w:val="0"/>
              <w:keepLines w:val="0"/>
              <w:pageBreakBefore w:val="0"/>
              <w:kinsoku/>
              <w:wordWrap/>
              <w:overflowPunct/>
              <w:topLinePunct w:val="0"/>
              <w:autoSpaceDE w:val="0"/>
              <w:autoSpaceDN w:val="0"/>
              <w:bidi w:val="0"/>
              <w:adjustRightInd w:val="0"/>
              <w:snapToGrid/>
              <w:spacing w:line="300" w:lineRule="exact"/>
              <w:ind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标书制作</w:t>
            </w:r>
          </w:p>
          <w:p>
            <w:pPr>
              <w:keepNext w:val="0"/>
              <w:keepLines w:val="0"/>
              <w:pageBreakBefore w:val="0"/>
              <w:kinsoku/>
              <w:wordWrap/>
              <w:overflowPunct/>
              <w:topLinePunct w:val="0"/>
              <w:autoSpaceDE w:val="0"/>
              <w:autoSpaceDN w:val="0"/>
              <w:bidi w:val="0"/>
              <w:adjustRightInd w:val="0"/>
              <w:snapToGrid/>
              <w:spacing w:line="300" w:lineRule="exact"/>
              <w:ind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（2分）</w:t>
            </w:r>
          </w:p>
        </w:tc>
        <w:tc>
          <w:tcPr>
            <w:tcW w:w="1170" w:type="dxa"/>
            <w:noWrap w:val="0"/>
            <w:vAlign w:val="center"/>
          </w:tcPr>
          <w:p>
            <w:pPr>
              <w:keepNext w:val="0"/>
              <w:keepLines w:val="0"/>
              <w:pageBreakBefore w:val="0"/>
              <w:kinsoku/>
              <w:wordWrap/>
              <w:overflowPunct/>
              <w:topLinePunct w:val="0"/>
              <w:autoSpaceDE w:val="0"/>
              <w:autoSpaceDN w:val="0"/>
              <w:bidi w:val="0"/>
              <w:adjustRightInd w:val="0"/>
              <w:snapToGrid/>
              <w:spacing w:line="300" w:lineRule="exact"/>
              <w:ind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2分</w:t>
            </w:r>
          </w:p>
        </w:tc>
        <w:tc>
          <w:tcPr>
            <w:tcW w:w="7125" w:type="dxa"/>
            <w:noWrap w:val="0"/>
            <w:vAlign w:val="center"/>
          </w:tcPr>
          <w:p>
            <w:pPr>
              <w:keepNext w:val="0"/>
              <w:keepLines w:val="0"/>
              <w:pageBreakBefore w:val="0"/>
              <w:kinsoku/>
              <w:wordWrap/>
              <w:overflowPunct/>
              <w:topLinePunct w:val="0"/>
              <w:autoSpaceDE w:val="0"/>
              <w:autoSpaceDN w:val="0"/>
              <w:bidi w:val="0"/>
              <w:adjustRightInd w:val="0"/>
              <w:snapToGrid/>
              <w:spacing w:line="300" w:lineRule="exact"/>
              <w:ind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投标文件按照招标文件要求的格式、内容及顺序填写（包括目录、页码、签字、总体编排等项目），整洁美观得2分，否则酌情扣分。</w:t>
            </w:r>
          </w:p>
        </w:tc>
      </w:tr>
    </w:tbl>
    <w:p>
      <w:pPr>
        <w:pStyle w:val="49"/>
      </w:pPr>
    </w:p>
    <w:p>
      <w:pPr>
        <w:pStyle w:val="5"/>
        <w:spacing w:line="300" w:lineRule="auto"/>
        <w:rPr>
          <w:rFonts w:ascii="宋体" w:hAnsi="宋体" w:cs="宋体"/>
          <w:szCs w:val="24"/>
        </w:rPr>
      </w:pPr>
      <w:r>
        <w:rPr>
          <w:rFonts w:hint="eastAsia" w:ascii="宋体" w:hAnsi="宋体" w:cs="宋体"/>
          <w:szCs w:val="24"/>
        </w:rPr>
        <w:t>1. 评标方法</w:t>
      </w:r>
      <w:bookmarkEnd w:id="26"/>
      <w:bookmarkEnd w:id="27"/>
      <w:bookmarkEnd w:id="28"/>
      <w:bookmarkEnd w:id="29"/>
    </w:p>
    <w:p>
      <w:pPr>
        <w:spacing w:line="300" w:lineRule="auto"/>
        <w:ind w:firstLine="480" w:firstLineChars="200"/>
        <w:rPr>
          <w:rFonts w:ascii="宋体" w:hAnsi="宋体" w:cs="宋体"/>
          <w:sz w:val="24"/>
        </w:rPr>
      </w:pPr>
      <w:r>
        <w:rPr>
          <w:rFonts w:hint="eastAsia" w:ascii="宋体" w:hAnsi="宋体" w:cs="宋体"/>
          <w:sz w:val="24"/>
        </w:rPr>
        <w:t>本次评标采用综合评分法。评标委员会对满足招标文件实质性要求的投标文件，按照本章第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5"/>
        <w:spacing w:line="300" w:lineRule="auto"/>
        <w:rPr>
          <w:rFonts w:ascii="宋体" w:hAnsi="宋体" w:cs="宋体"/>
          <w:szCs w:val="24"/>
        </w:rPr>
      </w:pPr>
      <w:bookmarkStart w:id="30" w:name="_Toc21374"/>
      <w:bookmarkStart w:id="31" w:name="_Toc14133"/>
      <w:bookmarkStart w:id="32" w:name="_Toc23656"/>
      <w:bookmarkStart w:id="33" w:name="_Toc29752"/>
      <w:r>
        <w:rPr>
          <w:rFonts w:hint="eastAsia" w:ascii="宋体" w:hAnsi="宋体" w:cs="宋体"/>
        </w:rPr>
        <w:t>2. 评审标准</w:t>
      </w:r>
      <w:bookmarkEnd w:id="30"/>
      <w:bookmarkEnd w:id="31"/>
      <w:bookmarkEnd w:id="32"/>
      <w:bookmarkEnd w:id="33"/>
    </w:p>
    <w:p>
      <w:pPr>
        <w:spacing w:line="300" w:lineRule="auto"/>
        <w:rPr>
          <w:rFonts w:ascii="宋体" w:hAnsi="宋体" w:cs="宋体"/>
          <w:b/>
          <w:bCs/>
          <w:sz w:val="24"/>
        </w:rPr>
      </w:pPr>
      <w:r>
        <w:rPr>
          <w:rFonts w:hint="eastAsia" w:ascii="宋体" w:hAnsi="宋体" w:cs="宋体"/>
          <w:b/>
          <w:bCs/>
          <w:sz w:val="24"/>
        </w:rPr>
        <w:t>2.1 初步评审标准</w:t>
      </w:r>
    </w:p>
    <w:p>
      <w:pPr>
        <w:spacing w:line="300" w:lineRule="auto"/>
        <w:rPr>
          <w:rFonts w:ascii="宋体" w:hAnsi="宋体" w:cs="宋体"/>
          <w:sz w:val="24"/>
        </w:rPr>
      </w:pPr>
      <w:r>
        <w:rPr>
          <w:rFonts w:hint="eastAsia" w:ascii="宋体" w:hAnsi="宋体" w:cs="宋体"/>
          <w:sz w:val="24"/>
        </w:rPr>
        <w:t>2.1.2 资格评审标准：见评标办法前附表。</w:t>
      </w:r>
    </w:p>
    <w:p>
      <w:pPr>
        <w:spacing w:line="300" w:lineRule="auto"/>
        <w:rPr>
          <w:rFonts w:ascii="宋体" w:hAnsi="宋体" w:cs="宋体"/>
          <w:sz w:val="24"/>
        </w:rPr>
      </w:pPr>
      <w:r>
        <w:rPr>
          <w:rFonts w:hint="eastAsia" w:ascii="宋体" w:hAnsi="宋体" w:cs="宋体"/>
          <w:sz w:val="24"/>
        </w:rPr>
        <w:t>2.1.3 符合性评审标准：见评标办法前附表。</w:t>
      </w:r>
    </w:p>
    <w:p>
      <w:pPr>
        <w:spacing w:line="300" w:lineRule="auto"/>
        <w:rPr>
          <w:rFonts w:ascii="宋体" w:hAnsi="宋体" w:cs="宋体"/>
          <w:b/>
          <w:bCs/>
          <w:sz w:val="24"/>
        </w:rPr>
      </w:pPr>
      <w:r>
        <w:rPr>
          <w:rFonts w:hint="eastAsia" w:ascii="宋体" w:hAnsi="宋体" w:cs="宋体"/>
          <w:b/>
          <w:bCs/>
          <w:sz w:val="24"/>
        </w:rPr>
        <w:t>2.2 分值构成与评分标准</w:t>
      </w:r>
    </w:p>
    <w:p>
      <w:pPr>
        <w:autoSpaceDE w:val="0"/>
        <w:autoSpaceDN w:val="0"/>
        <w:adjustRightInd w:val="0"/>
        <w:spacing w:before="48" w:line="300" w:lineRule="auto"/>
        <w:ind w:right="2496"/>
        <w:rPr>
          <w:rFonts w:ascii="宋体" w:hAnsi="宋体" w:cs="宋体"/>
          <w:sz w:val="24"/>
        </w:rPr>
      </w:pPr>
      <w:r>
        <w:rPr>
          <w:rFonts w:hint="eastAsia" w:ascii="宋体" w:hAnsi="宋体" w:cs="宋体"/>
          <w:sz w:val="24"/>
        </w:rPr>
        <w:t>2.2.1 分值构成</w:t>
      </w:r>
    </w:p>
    <w:p>
      <w:pPr>
        <w:autoSpaceDE w:val="0"/>
        <w:autoSpaceDN w:val="0"/>
        <w:adjustRightInd w:val="0"/>
        <w:spacing w:before="48" w:line="300" w:lineRule="auto"/>
        <w:ind w:right="2496"/>
        <w:rPr>
          <w:rFonts w:ascii="宋体" w:hAnsi="宋体" w:cs="宋体"/>
          <w:b/>
          <w:bCs/>
          <w:kern w:val="0"/>
          <w:sz w:val="24"/>
        </w:rPr>
      </w:pPr>
      <w:r>
        <w:rPr>
          <w:rFonts w:hint="eastAsia" w:ascii="宋体" w:hAnsi="宋体" w:cs="宋体"/>
          <w:b/>
          <w:bCs/>
          <w:sz w:val="24"/>
        </w:rPr>
        <w:t>（1）</w:t>
      </w:r>
      <w:r>
        <w:rPr>
          <w:rFonts w:hint="eastAsia" w:ascii="宋体" w:hAnsi="宋体" w:cs="宋体"/>
          <w:b/>
          <w:bCs/>
          <w:kern w:val="0"/>
          <w:sz w:val="24"/>
        </w:rPr>
        <w:t>投标</w:t>
      </w:r>
      <w:r>
        <w:rPr>
          <w:rFonts w:hint="eastAsia" w:ascii="宋体" w:hAnsi="宋体" w:cs="宋体"/>
          <w:b/>
          <w:bCs/>
          <w:spacing w:val="-2"/>
          <w:kern w:val="0"/>
          <w:sz w:val="24"/>
        </w:rPr>
        <w:t>报</w:t>
      </w:r>
      <w:r>
        <w:rPr>
          <w:rFonts w:hint="eastAsia" w:ascii="宋体" w:hAnsi="宋体" w:cs="宋体"/>
          <w:b/>
          <w:bCs/>
          <w:kern w:val="0"/>
          <w:sz w:val="24"/>
        </w:rPr>
        <w:t>价</w:t>
      </w:r>
      <w:r>
        <w:rPr>
          <w:rFonts w:hint="eastAsia" w:ascii="宋体" w:hAnsi="宋体" w:cs="宋体"/>
          <w:b/>
          <w:bCs/>
          <w:spacing w:val="-2"/>
          <w:kern w:val="0"/>
          <w:sz w:val="24"/>
        </w:rPr>
        <w:t>：</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3</w:t>
      </w:r>
      <w:r>
        <w:rPr>
          <w:rFonts w:hint="eastAsia" w:ascii="宋体" w:hAnsi="宋体" w:cs="宋体"/>
          <w:b/>
          <w:bCs/>
          <w:kern w:val="0"/>
          <w:sz w:val="24"/>
          <w:u w:val="single"/>
        </w:rPr>
        <w:t>0</w:t>
      </w:r>
      <w:r>
        <w:rPr>
          <w:rFonts w:hint="eastAsia" w:ascii="宋体" w:hAnsi="宋体" w:cs="宋体"/>
          <w:b/>
          <w:bCs/>
          <w:spacing w:val="43"/>
          <w:kern w:val="0"/>
          <w:sz w:val="24"/>
          <w:u w:val="single"/>
        </w:rPr>
        <w:t xml:space="preserve"> </w:t>
      </w:r>
      <w:r>
        <w:rPr>
          <w:rFonts w:hint="eastAsia" w:ascii="宋体" w:hAnsi="宋体" w:cs="宋体"/>
          <w:b/>
          <w:bCs/>
          <w:spacing w:val="-55"/>
          <w:kern w:val="0"/>
          <w:sz w:val="24"/>
        </w:rPr>
        <w:t xml:space="preserve"> </w:t>
      </w:r>
      <w:r>
        <w:rPr>
          <w:rFonts w:hint="eastAsia" w:ascii="宋体" w:hAnsi="宋体" w:cs="宋体"/>
          <w:b/>
          <w:bCs/>
          <w:kern w:val="0"/>
          <w:sz w:val="24"/>
        </w:rPr>
        <w:t>分</w:t>
      </w:r>
    </w:p>
    <w:p>
      <w:pPr>
        <w:pStyle w:val="2"/>
        <w:spacing w:line="300" w:lineRule="auto"/>
        <w:ind w:firstLine="600" w:firstLineChars="250"/>
        <w:rPr>
          <w:rFonts w:ascii="宋体" w:hAnsi="宋体" w:cs="宋体"/>
          <w:b/>
          <w:bCs/>
          <w:kern w:val="0"/>
          <w:sz w:val="24"/>
        </w:rPr>
      </w:pPr>
      <w:r>
        <w:rPr>
          <w:rFonts w:hint="eastAsia" w:ascii="宋体" w:hAnsi="宋体" w:cs="宋体"/>
          <w:kern w:val="0"/>
          <w:sz w:val="24"/>
        </w:rPr>
        <w:t>根据《中华人民共和国财政部令第87号--政府采购货物和服务招标投标管理办法》：“价格分应当采用低价优先法计算，即满足招标文件要求且投标价格最低的投标报价为评标基准价，其价格分为满分。其他投标人的价格分统一按照下列公式计算：投标报价得分=(评标基准价／投标报价)×</w:t>
      </w:r>
      <w:r>
        <w:rPr>
          <w:rFonts w:hint="eastAsia" w:ascii="宋体" w:hAnsi="宋体" w:cs="宋体"/>
          <w:kern w:val="0"/>
          <w:sz w:val="24"/>
          <w:lang w:val="en-US" w:eastAsia="zh-CN"/>
        </w:rPr>
        <w:t>3</w:t>
      </w:r>
      <w:r>
        <w:rPr>
          <w:rFonts w:hint="eastAsia" w:ascii="宋体" w:hAnsi="宋体" w:cs="宋体"/>
          <w:kern w:val="0"/>
          <w:sz w:val="24"/>
        </w:rPr>
        <w:t>0；货物项目的价格分值占总分值的比重不得低于30%”。</w:t>
      </w:r>
    </w:p>
    <w:p>
      <w:pPr>
        <w:pStyle w:val="2"/>
        <w:spacing w:line="300" w:lineRule="auto"/>
        <w:ind w:firstLine="0"/>
        <w:rPr>
          <w:rFonts w:ascii="宋体" w:hAnsi="宋体" w:cs="宋体"/>
          <w:b/>
          <w:bCs/>
          <w:kern w:val="0"/>
          <w:sz w:val="24"/>
        </w:rPr>
      </w:pPr>
      <w:r>
        <w:rPr>
          <w:rFonts w:hint="eastAsia" w:ascii="宋体" w:hAnsi="宋体" w:cs="宋体"/>
          <w:b/>
          <w:bCs/>
          <w:kern w:val="0"/>
          <w:sz w:val="24"/>
        </w:rPr>
        <w:t>（</w:t>
      </w:r>
      <w:r>
        <w:rPr>
          <w:rFonts w:hint="eastAsia" w:ascii="宋体" w:hAnsi="宋体" w:cs="宋体"/>
          <w:b/>
          <w:bCs/>
          <w:kern w:val="0"/>
          <w:sz w:val="24"/>
          <w:lang w:val="en-US" w:eastAsia="zh-CN"/>
        </w:rPr>
        <w:t>2</w:t>
      </w:r>
      <w:r>
        <w:rPr>
          <w:rFonts w:hint="eastAsia" w:ascii="宋体" w:hAnsi="宋体" w:cs="宋体"/>
          <w:b/>
          <w:bCs/>
          <w:kern w:val="0"/>
          <w:sz w:val="24"/>
        </w:rPr>
        <w:t>）技术部分：</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68</w:t>
      </w:r>
      <w:r>
        <w:rPr>
          <w:rFonts w:hint="eastAsia" w:ascii="宋体" w:hAnsi="宋体" w:cs="宋体"/>
          <w:b/>
          <w:bCs/>
          <w:kern w:val="0"/>
          <w:sz w:val="24"/>
          <w:u w:val="single"/>
        </w:rPr>
        <w:t xml:space="preserve"> 分</w:t>
      </w:r>
    </w:p>
    <w:p>
      <w:pPr>
        <w:pStyle w:val="2"/>
        <w:spacing w:line="300" w:lineRule="auto"/>
        <w:ind w:firstLine="480"/>
        <w:rPr>
          <w:rFonts w:hint="eastAsia" w:ascii="宋体" w:hAnsi="宋体" w:cs="宋体"/>
          <w:kern w:val="0"/>
          <w:sz w:val="24"/>
        </w:rPr>
      </w:pPr>
      <w:r>
        <w:rPr>
          <w:rFonts w:hint="eastAsia" w:ascii="宋体" w:hAnsi="宋体" w:cs="宋体"/>
          <w:kern w:val="0"/>
          <w:sz w:val="24"/>
        </w:rPr>
        <w:t>包括对招标文件的实质性条款是否响应、投标产品技术要求、培训质保、项目实施方案及售后服务保障等方面进行评审）。</w:t>
      </w:r>
    </w:p>
    <w:p>
      <w:pPr>
        <w:pStyle w:val="2"/>
        <w:numPr>
          <w:ilvl w:val="0"/>
          <w:numId w:val="4"/>
        </w:numPr>
        <w:spacing w:line="300" w:lineRule="auto"/>
        <w:ind w:firstLine="0"/>
        <w:rPr>
          <w:rFonts w:hint="eastAsia" w:ascii="宋体" w:hAnsi="宋体" w:cs="宋体"/>
          <w:b/>
          <w:bCs/>
          <w:kern w:val="0"/>
          <w:sz w:val="24"/>
          <w:u w:val="single"/>
        </w:rPr>
      </w:pPr>
      <w:r>
        <w:rPr>
          <w:rFonts w:hint="eastAsia" w:ascii="宋体" w:hAnsi="宋体" w:cs="宋体"/>
          <w:b/>
          <w:bCs/>
          <w:kern w:val="0"/>
          <w:sz w:val="24"/>
          <w:lang w:val="en-US" w:eastAsia="zh-CN"/>
        </w:rPr>
        <w:t>其他因素</w:t>
      </w:r>
      <w:r>
        <w:rPr>
          <w:rFonts w:hint="eastAsia" w:ascii="宋体" w:hAnsi="宋体" w:cs="宋体"/>
          <w:b/>
          <w:bCs/>
          <w:kern w:val="0"/>
          <w:sz w:val="24"/>
        </w:rPr>
        <w:t>：</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2</w:t>
      </w:r>
      <w:r>
        <w:rPr>
          <w:rFonts w:hint="eastAsia" w:ascii="宋体" w:hAnsi="宋体" w:cs="宋体"/>
          <w:b/>
          <w:bCs/>
          <w:kern w:val="0"/>
          <w:sz w:val="24"/>
          <w:u w:val="single"/>
        </w:rPr>
        <w:t xml:space="preserve"> 分</w:t>
      </w:r>
    </w:p>
    <w:p>
      <w:pPr>
        <w:pStyle w:val="2"/>
        <w:numPr>
          <w:ilvl w:val="0"/>
          <w:numId w:val="0"/>
        </w:numPr>
        <w:spacing w:line="300" w:lineRule="auto"/>
        <w:ind w:firstLine="480" w:firstLineChars="200"/>
        <w:rPr>
          <w:rFonts w:hint="eastAsia" w:ascii="宋体" w:hAnsi="宋体" w:eastAsia="宋体" w:cs="宋体"/>
          <w:b/>
          <w:bCs/>
          <w:kern w:val="0"/>
          <w:sz w:val="24"/>
          <w:u w:val="single"/>
          <w:lang w:val="en-US" w:eastAsia="zh-CN"/>
        </w:rPr>
      </w:pPr>
      <w:r>
        <w:rPr>
          <w:rFonts w:hint="eastAsia" w:ascii="宋体" w:hAnsi="宋体" w:eastAsia="宋体" w:cs="宋体"/>
          <w:color w:val="auto"/>
          <w:kern w:val="0"/>
          <w:sz w:val="24"/>
          <w:lang w:val="en-US" w:eastAsia="zh-CN"/>
        </w:rPr>
        <w:t>包括</w:t>
      </w:r>
      <w:r>
        <w:rPr>
          <w:rFonts w:hint="eastAsia" w:ascii="宋体" w:hAnsi="宋体" w:eastAsia="宋体" w:cs="宋体"/>
          <w:color w:val="auto"/>
          <w:kern w:val="0"/>
          <w:sz w:val="24"/>
        </w:rPr>
        <w:t>投标文件制作规范等方面。</w:t>
      </w:r>
    </w:p>
    <w:p>
      <w:pPr>
        <w:spacing w:line="300" w:lineRule="auto"/>
        <w:rPr>
          <w:rFonts w:ascii="宋体" w:hAnsi="宋体" w:cs="宋体"/>
          <w:sz w:val="24"/>
        </w:rPr>
      </w:pPr>
      <w:r>
        <w:rPr>
          <w:rFonts w:hint="eastAsia" w:ascii="宋体" w:hAnsi="宋体" w:cs="宋体"/>
          <w:sz w:val="24"/>
        </w:rPr>
        <w:t>2.2.2 评标基准价计算评标基准价计算方法：见评标办法前附表。</w:t>
      </w:r>
    </w:p>
    <w:p>
      <w:pPr>
        <w:spacing w:line="300" w:lineRule="auto"/>
        <w:rPr>
          <w:rFonts w:ascii="宋体" w:hAnsi="宋体" w:cs="宋体"/>
          <w:sz w:val="24"/>
        </w:rPr>
      </w:pPr>
      <w:r>
        <w:rPr>
          <w:rFonts w:hint="eastAsia" w:ascii="宋体" w:hAnsi="宋体" w:cs="宋体"/>
          <w:sz w:val="24"/>
        </w:rPr>
        <w:t>2.2.4 评分标准</w:t>
      </w:r>
    </w:p>
    <w:p>
      <w:pPr>
        <w:spacing w:line="300" w:lineRule="auto"/>
        <w:rPr>
          <w:rFonts w:ascii="宋体" w:hAnsi="宋体" w:cs="宋体"/>
          <w:sz w:val="24"/>
        </w:rPr>
      </w:pPr>
      <w:r>
        <w:rPr>
          <w:rFonts w:hint="eastAsia" w:ascii="宋体" w:hAnsi="宋体" w:cs="宋体"/>
          <w:sz w:val="24"/>
        </w:rPr>
        <w:t>（1）投标报价评分标准：见评标办法前附表；</w:t>
      </w:r>
    </w:p>
    <w:p>
      <w:pPr>
        <w:spacing w:line="300" w:lineRule="auto"/>
        <w:rPr>
          <w:rFonts w:ascii="宋体" w:hAnsi="宋体" w:cs="宋体"/>
          <w:sz w:val="24"/>
        </w:rPr>
      </w:pPr>
      <w:r>
        <w:rPr>
          <w:rFonts w:hint="eastAsia" w:ascii="宋体" w:hAnsi="宋体" w:cs="宋体"/>
          <w:sz w:val="24"/>
        </w:rPr>
        <w:t>（2）技术评分标准：见评标办法前附表；</w:t>
      </w:r>
    </w:p>
    <w:p>
      <w:pPr>
        <w:spacing w:line="300" w:lineRule="auto"/>
        <w:rPr>
          <w:rFonts w:hint="eastAsia" w:ascii="宋体" w:hAnsi="宋体" w:eastAsia="宋体" w:cs="宋体"/>
          <w:sz w:val="24"/>
          <w:lang w:val="en-US" w:eastAsia="zh-CN"/>
        </w:rPr>
      </w:pPr>
      <w:r>
        <w:rPr>
          <w:rFonts w:hint="eastAsia" w:ascii="宋体" w:hAnsi="宋体" w:cs="宋体"/>
          <w:sz w:val="24"/>
        </w:rPr>
        <w:t>（3）</w:t>
      </w:r>
      <w:r>
        <w:rPr>
          <w:rFonts w:hint="eastAsia" w:ascii="宋体" w:hAnsi="宋体" w:cs="宋体"/>
          <w:sz w:val="24"/>
          <w:lang w:val="en-US" w:eastAsia="zh-CN"/>
        </w:rPr>
        <w:t>其他因素</w:t>
      </w:r>
      <w:r>
        <w:rPr>
          <w:rFonts w:hint="eastAsia" w:ascii="宋体" w:hAnsi="宋体" w:cs="宋体"/>
          <w:sz w:val="24"/>
        </w:rPr>
        <w:t>评分标准</w:t>
      </w:r>
      <w:r>
        <w:rPr>
          <w:rFonts w:hint="eastAsia" w:ascii="宋体" w:hAnsi="宋体" w:cs="宋体"/>
          <w:sz w:val="24"/>
          <w:lang w:eastAsia="zh-CN"/>
        </w:rPr>
        <w:t>：</w:t>
      </w:r>
      <w:r>
        <w:rPr>
          <w:rFonts w:hint="eastAsia" w:ascii="宋体" w:hAnsi="宋体" w:cs="宋体"/>
          <w:sz w:val="24"/>
        </w:rPr>
        <w:t>见评标办法前附表；</w:t>
      </w:r>
    </w:p>
    <w:p>
      <w:pPr>
        <w:pStyle w:val="5"/>
        <w:spacing w:line="300" w:lineRule="auto"/>
        <w:rPr>
          <w:rFonts w:ascii="宋体" w:hAnsi="宋体" w:cs="宋体"/>
          <w:szCs w:val="24"/>
        </w:rPr>
      </w:pPr>
      <w:bookmarkStart w:id="34" w:name="_Toc8777"/>
      <w:bookmarkStart w:id="35" w:name="_Toc18463"/>
      <w:bookmarkStart w:id="36" w:name="_Toc14035"/>
      <w:bookmarkStart w:id="37" w:name="_Toc7632"/>
      <w:r>
        <w:rPr>
          <w:rFonts w:hint="eastAsia" w:ascii="宋体" w:hAnsi="宋体" w:cs="宋体"/>
        </w:rPr>
        <w:t>3. 评标程序</w:t>
      </w:r>
      <w:bookmarkEnd w:id="34"/>
      <w:bookmarkEnd w:id="35"/>
      <w:bookmarkEnd w:id="36"/>
      <w:bookmarkEnd w:id="37"/>
    </w:p>
    <w:p>
      <w:pPr>
        <w:spacing w:line="300" w:lineRule="auto"/>
        <w:rPr>
          <w:rFonts w:ascii="宋体" w:hAnsi="宋体" w:cs="宋体"/>
          <w:sz w:val="24"/>
        </w:rPr>
      </w:pPr>
      <w:r>
        <w:rPr>
          <w:rFonts w:hint="eastAsia" w:ascii="宋体" w:hAnsi="宋体" w:cs="宋体"/>
          <w:b/>
          <w:bCs/>
          <w:sz w:val="24"/>
        </w:rPr>
        <w:t>3.1 初步评审</w:t>
      </w:r>
    </w:p>
    <w:p>
      <w:pPr>
        <w:spacing w:line="300" w:lineRule="auto"/>
        <w:rPr>
          <w:rFonts w:ascii="宋体" w:hAnsi="宋体" w:cs="宋体"/>
          <w:sz w:val="24"/>
        </w:rPr>
      </w:pPr>
      <w:r>
        <w:rPr>
          <w:rFonts w:hint="eastAsia" w:ascii="宋体" w:hAnsi="宋体" w:cs="宋体"/>
          <w:sz w:val="24"/>
        </w:rPr>
        <w:t>3.1.1 评标委员会可以要求投标人提交第二章“投标人须知”规定的有关证明和证件的原件， 以便核验。评标委员会依据本章第 2.1 款规定的标准对投标文件进行初步评审。有一项不符合 评审标准的，评标委员会应当否决其投标。</w:t>
      </w:r>
    </w:p>
    <w:p>
      <w:pPr>
        <w:spacing w:line="300" w:lineRule="auto"/>
        <w:rPr>
          <w:rFonts w:ascii="宋体" w:hAnsi="宋体" w:cs="宋体"/>
          <w:sz w:val="24"/>
        </w:rPr>
      </w:pPr>
      <w:r>
        <w:rPr>
          <w:rFonts w:hint="eastAsia" w:ascii="宋体" w:hAnsi="宋体" w:cs="宋体"/>
          <w:sz w:val="24"/>
        </w:rPr>
        <w:t>3.1.2 投标人有以下情形之一的，评标委员会应当否决其投标：</w:t>
      </w:r>
    </w:p>
    <w:p>
      <w:pPr>
        <w:spacing w:line="300" w:lineRule="auto"/>
        <w:rPr>
          <w:rFonts w:ascii="宋体" w:hAnsi="宋体" w:cs="宋体"/>
          <w:sz w:val="24"/>
        </w:rPr>
      </w:pPr>
      <w:r>
        <w:rPr>
          <w:rFonts w:hint="eastAsia" w:ascii="宋体" w:hAnsi="宋体" w:cs="宋体"/>
          <w:sz w:val="24"/>
        </w:rPr>
        <w:t>（1）投标文件没有对招标文件的实质性要求和条件作出响应，或者对招标文件的偏差超出 招标文件规定的偏差范围或最高项数；</w:t>
      </w:r>
    </w:p>
    <w:p>
      <w:pPr>
        <w:spacing w:line="300" w:lineRule="auto"/>
        <w:rPr>
          <w:rFonts w:ascii="宋体" w:hAnsi="宋体" w:cs="宋体"/>
          <w:sz w:val="24"/>
        </w:rPr>
      </w:pPr>
      <w:r>
        <w:rPr>
          <w:rFonts w:hint="eastAsia" w:ascii="宋体" w:hAnsi="宋体" w:cs="宋体"/>
          <w:sz w:val="24"/>
        </w:rPr>
        <w:t>（2）有串通投标、弄虚作假、行贿等违法行为。</w:t>
      </w:r>
    </w:p>
    <w:p>
      <w:pPr>
        <w:spacing w:line="300" w:lineRule="auto"/>
        <w:rPr>
          <w:rFonts w:ascii="宋体" w:hAnsi="宋体" w:cs="宋体"/>
          <w:sz w:val="24"/>
        </w:rPr>
      </w:pPr>
      <w:r>
        <w:rPr>
          <w:rFonts w:hint="eastAsia" w:ascii="宋体" w:hAnsi="宋体" w:cs="宋体"/>
          <w:sz w:val="24"/>
        </w:rPr>
        <w:t>3.1.3 投标报价有算术错误及其他错误的，评标委员会按以下原则要求投标人对投标报价进 行修正，并要求投标人书面澄清确认。投标人拒不澄清确认的，评标委员会应当否决其投标：</w:t>
      </w:r>
    </w:p>
    <w:p>
      <w:pPr>
        <w:spacing w:line="300" w:lineRule="auto"/>
        <w:rPr>
          <w:rFonts w:ascii="宋体" w:hAnsi="宋体" w:cs="宋体"/>
          <w:sz w:val="24"/>
        </w:rPr>
      </w:pPr>
      <w:r>
        <w:rPr>
          <w:rFonts w:hint="eastAsia" w:ascii="宋体" w:hAnsi="宋体" w:cs="宋体"/>
          <w:sz w:val="24"/>
        </w:rPr>
        <w:t>（1）投标文件中的大写金额与小写金额不一致的，以大写金额为准；</w:t>
      </w:r>
    </w:p>
    <w:p>
      <w:pPr>
        <w:spacing w:line="300" w:lineRule="auto"/>
        <w:rPr>
          <w:rFonts w:ascii="宋体" w:hAnsi="宋体" w:cs="宋体"/>
          <w:sz w:val="24"/>
        </w:rPr>
      </w:pPr>
      <w:r>
        <w:rPr>
          <w:rFonts w:hint="eastAsia" w:ascii="宋体" w:hAnsi="宋体" w:cs="宋体"/>
          <w:sz w:val="24"/>
        </w:rPr>
        <w:t>（2）总价金额与单价金额不一致的，以单价金额为准，但单价金额小数点有明显错误的除 外；</w:t>
      </w:r>
    </w:p>
    <w:p>
      <w:pPr>
        <w:spacing w:line="300" w:lineRule="auto"/>
        <w:rPr>
          <w:rFonts w:ascii="宋体" w:hAnsi="宋体" w:cs="宋体"/>
          <w:sz w:val="24"/>
        </w:rPr>
      </w:pPr>
      <w:r>
        <w:rPr>
          <w:rFonts w:hint="eastAsia" w:ascii="宋体" w:hAnsi="宋体" w:cs="宋体"/>
          <w:sz w:val="24"/>
        </w:rPr>
        <w:t>（3）投标报价为各分项报价金额之和，投标报价与分项报价的合价不一致的，应以各分项 合价累计数为准，修正投标报价；</w:t>
      </w:r>
    </w:p>
    <w:p>
      <w:pPr>
        <w:spacing w:line="300" w:lineRule="auto"/>
        <w:rPr>
          <w:rFonts w:ascii="宋体" w:hAnsi="宋体" w:cs="宋体"/>
          <w:sz w:val="24"/>
        </w:rPr>
      </w:pPr>
      <w:r>
        <w:rPr>
          <w:rFonts w:hint="eastAsia" w:ascii="宋体" w:hAnsi="宋体" w:cs="宋体"/>
          <w:sz w:val="24"/>
        </w:rPr>
        <w:t>（4）如果分项报价中存在缺漏项，则视为缺漏项价格已包含在其他分项报价之中。</w:t>
      </w:r>
    </w:p>
    <w:p>
      <w:pPr>
        <w:spacing w:line="300" w:lineRule="auto"/>
        <w:rPr>
          <w:rFonts w:ascii="宋体" w:hAnsi="宋体" w:cs="宋体"/>
          <w:sz w:val="24"/>
        </w:rPr>
      </w:pPr>
      <w:r>
        <w:rPr>
          <w:rFonts w:hint="eastAsia" w:ascii="宋体" w:hAnsi="宋体" w:cs="宋体"/>
          <w:b/>
          <w:bCs/>
          <w:sz w:val="24"/>
        </w:rPr>
        <w:t>3.2 详细评审</w:t>
      </w:r>
    </w:p>
    <w:p>
      <w:pPr>
        <w:spacing w:line="300" w:lineRule="auto"/>
        <w:rPr>
          <w:rFonts w:ascii="宋体" w:hAnsi="宋体" w:cs="宋体"/>
          <w:sz w:val="24"/>
        </w:rPr>
      </w:pPr>
      <w:r>
        <w:rPr>
          <w:rFonts w:hint="eastAsia" w:ascii="宋体" w:hAnsi="宋体" w:cs="宋体"/>
          <w:sz w:val="24"/>
        </w:rPr>
        <w:t>3.2.1 评标委员会按本章第 2.2 款规定的量化因素和分值进行打分，并计算出综合评估得分。</w:t>
      </w:r>
    </w:p>
    <w:p>
      <w:pPr>
        <w:spacing w:line="300" w:lineRule="auto"/>
        <w:rPr>
          <w:rFonts w:ascii="宋体" w:hAnsi="宋体" w:cs="宋体"/>
          <w:sz w:val="24"/>
        </w:rPr>
      </w:pPr>
      <w:r>
        <w:rPr>
          <w:rFonts w:hint="eastAsia" w:ascii="宋体" w:hAnsi="宋体" w:cs="宋体"/>
          <w:sz w:val="24"/>
        </w:rPr>
        <w:t>（1）按本章第 2.2.4（1）目规定的评审因素和分值对投标报价计算出得分 A；</w:t>
      </w:r>
    </w:p>
    <w:p>
      <w:pPr>
        <w:spacing w:line="300" w:lineRule="auto"/>
        <w:rPr>
          <w:rFonts w:ascii="宋体" w:hAnsi="宋体" w:cs="宋体"/>
          <w:sz w:val="24"/>
        </w:rPr>
      </w:pPr>
      <w:r>
        <w:rPr>
          <w:rFonts w:hint="eastAsia" w:ascii="宋体" w:hAnsi="宋体" w:cs="宋体"/>
          <w:sz w:val="24"/>
        </w:rPr>
        <w:t>（2）按本章第 2.2.4（2）目规定的评审因素和分值对技术部分计算出得分 B；</w:t>
      </w:r>
    </w:p>
    <w:p>
      <w:pPr>
        <w:spacing w:line="300" w:lineRule="auto"/>
        <w:rPr>
          <w:rFonts w:ascii="宋体" w:hAnsi="宋体" w:cs="宋体"/>
          <w:sz w:val="24"/>
        </w:rPr>
      </w:pPr>
      <w:r>
        <w:rPr>
          <w:rFonts w:hint="eastAsia" w:ascii="宋体" w:hAnsi="宋体" w:cs="宋体"/>
          <w:sz w:val="24"/>
        </w:rPr>
        <w:t>（3）按本章第 2.2.4（3）目规定的评审因素和分值对</w:t>
      </w:r>
      <w:r>
        <w:rPr>
          <w:rFonts w:hint="eastAsia" w:ascii="宋体" w:hAnsi="宋体" w:cs="宋体"/>
          <w:sz w:val="24"/>
          <w:lang w:val="en-US" w:eastAsia="zh-CN"/>
        </w:rPr>
        <w:t>其他因素</w:t>
      </w:r>
      <w:r>
        <w:rPr>
          <w:rFonts w:hint="eastAsia" w:ascii="宋体" w:hAnsi="宋体" w:cs="宋体"/>
          <w:sz w:val="24"/>
        </w:rPr>
        <w:t>计算出得分 C；</w:t>
      </w:r>
    </w:p>
    <w:p>
      <w:pPr>
        <w:spacing w:line="300" w:lineRule="auto"/>
        <w:rPr>
          <w:rFonts w:ascii="宋体" w:hAnsi="宋体" w:cs="宋体"/>
          <w:sz w:val="24"/>
        </w:rPr>
      </w:pPr>
      <w:r>
        <w:rPr>
          <w:rFonts w:hint="eastAsia" w:ascii="宋体" w:hAnsi="宋体" w:cs="宋体"/>
          <w:sz w:val="24"/>
        </w:rPr>
        <w:t>3.2.2 评分分值计算保留小数点后两位，小数点后第三位“四舍五入”。</w:t>
      </w:r>
    </w:p>
    <w:p>
      <w:pPr>
        <w:spacing w:line="300" w:lineRule="auto"/>
        <w:rPr>
          <w:rFonts w:ascii="宋体" w:hAnsi="宋体" w:cs="宋体"/>
          <w:sz w:val="24"/>
        </w:rPr>
      </w:pPr>
      <w:r>
        <w:rPr>
          <w:rFonts w:hint="eastAsia" w:ascii="宋体" w:hAnsi="宋体" w:cs="宋体"/>
          <w:sz w:val="24"/>
        </w:rPr>
        <w:t>3.2.3 投标人得分=A+B+C。</w:t>
      </w:r>
    </w:p>
    <w:p>
      <w:pPr>
        <w:spacing w:line="300" w:lineRule="auto"/>
        <w:rPr>
          <w:rFonts w:ascii="宋体" w:hAnsi="宋体" w:cs="宋体"/>
          <w:sz w:val="24"/>
        </w:rPr>
      </w:pPr>
      <w:r>
        <w:rPr>
          <w:rFonts w:hint="eastAsia" w:ascii="宋体" w:hAnsi="宋体" w:cs="宋体"/>
          <w:sz w:val="24"/>
        </w:rPr>
        <w:t>3.2.4 评标委员会发现投标人的报价明显低于其他投标报价，使得其投标报价可能低于其个 别成本的，应当要求该投标人作出书面说明并提供相应的证明材料。投标人不能合理说明或者 不能提供相应证明材料的，评标委员会应当认定该投标人以低于成本报价竞标，并否决其投标。</w:t>
      </w:r>
    </w:p>
    <w:p>
      <w:pPr>
        <w:spacing w:line="300" w:lineRule="auto"/>
        <w:rPr>
          <w:rFonts w:ascii="宋体" w:hAnsi="宋体" w:cs="宋体"/>
          <w:sz w:val="24"/>
        </w:rPr>
      </w:pPr>
      <w:r>
        <w:rPr>
          <w:rFonts w:hint="eastAsia" w:ascii="宋体" w:hAnsi="宋体" w:cs="宋体"/>
          <w:b/>
          <w:bCs/>
          <w:sz w:val="24"/>
        </w:rPr>
        <w:t>3.3 投标文件的澄清</w:t>
      </w:r>
    </w:p>
    <w:p>
      <w:pPr>
        <w:spacing w:line="300" w:lineRule="auto"/>
        <w:rPr>
          <w:rFonts w:ascii="宋体" w:hAnsi="宋体" w:cs="宋体"/>
          <w:sz w:val="24"/>
        </w:rPr>
      </w:pPr>
      <w:r>
        <w:rPr>
          <w:rFonts w:hint="eastAsia" w:ascii="宋体" w:hAnsi="宋体" w:cs="宋体"/>
          <w:sz w:val="24"/>
        </w:rPr>
        <w:t>3.3.1 在评标过程中，评标委员会可以书面形式要求投标人对投标文件中含义不明确、对同 类问题表述不一致或者有明显文字和计算错误的内容作必要的澄清、说明或补正。澄清、说明 或补正应以书面方式进行。评标委员会不接受投标人主动提出的澄清、说明或补正。</w:t>
      </w:r>
    </w:p>
    <w:p>
      <w:pPr>
        <w:spacing w:line="300" w:lineRule="auto"/>
        <w:rPr>
          <w:rFonts w:ascii="宋体" w:hAnsi="宋体" w:cs="宋体"/>
          <w:sz w:val="24"/>
        </w:rPr>
      </w:pPr>
      <w:r>
        <w:rPr>
          <w:rFonts w:hint="eastAsia" w:ascii="宋体" w:hAnsi="宋体" w:cs="宋体"/>
          <w:sz w:val="24"/>
        </w:rPr>
        <w:t>3.3.2 澄清、说明或补正不得超出投标文件的范围且不得改变投标文件的实质性内容，并构 成投标文件的组成部分。</w:t>
      </w:r>
    </w:p>
    <w:p>
      <w:pPr>
        <w:spacing w:line="300" w:lineRule="auto"/>
        <w:rPr>
          <w:rFonts w:hint="eastAsia" w:ascii="宋体" w:hAnsi="宋体" w:cs="宋体"/>
          <w:sz w:val="24"/>
        </w:rPr>
      </w:pPr>
      <w:r>
        <w:rPr>
          <w:rFonts w:hint="eastAsia" w:ascii="宋体" w:hAnsi="宋体" w:cs="宋体"/>
          <w:sz w:val="24"/>
        </w:rPr>
        <w:t>3.3.3 评标委员会对投标人提交的澄清、说明或补正有疑问的，可以要求投标人进一步澄清、 说明或补正，直至满足评标委员会的要求。</w:t>
      </w:r>
    </w:p>
    <w:p>
      <w:pPr>
        <w:spacing w:line="300" w:lineRule="auto"/>
        <w:rPr>
          <w:rFonts w:hint="eastAsia" w:ascii="宋体" w:hAnsi="宋体" w:cs="宋体"/>
          <w:b/>
          <w:bCs/>
          <w:sz w:val="24"/>
          <w:lang w:val="en-US" w:eastAsia="zh-CN"/>
        </w:rPr>
      </w:pPr>
      <w:r>
        <w:rPr>
          <w:rFonts w:hint="eastAsia" w:ascii="宋体" w:hAnsi="宋体" w:cs="宋体"/>
          <w:b/>
          <w:bCs/>
          <w:sz w:val="24"/>
          <w:lang w:val="en-US" w:eastAsia="zh-CN"/>
        </w:rPr>
        <w:t>3.4 评标保密</w:t>
      </w:r>
    </w:p>
    <w:p>
      <w:pPr>
        <w:spacing w:line="300" w:lineRule="auto"/>
        <w:rPr>
          <w:rFonts w:hint="eastAsia" w:ascii="宋体" w:hAnsi="宋体" w:cs="宋体"/>
          <w:sz w:val="24"/>
        </w:rPr>
      </w:pPr>
      <w:r>
        <w:rPr>
          <w:rFonts w:hint="eastAsia" w:ascii="宋体" w:hAnsi="宋体" w:cs="宋体"/>
          <w:sz w:val="24"/>
          <w:lang w:val="en-US" w:eastAsia="zh-CN"/>
        </w:rPr>
        <w:t>3.4.1</w:t>
      </w:r>
      <w:r>
        <w:rPr>
          <w:rFonts w:hint="eastAsia" w:ascii="宋体" w:hAnsi="宋体" w:cs="宋体"/>
          <w:sz w:val="24"/>
        </w:rPr>
        <w:t>评标过程的保密性。开标后，直到授予中标人合同止，凡是属于审查、澄清、评价和比较的有关资料以及授标建议等均不得向投标人或其他无关的人员透露。</w:t>
      </w:r>
    </w:p>
    <w:p>
      <w:pPr>
        <w:spacing w:line="300" w:lineRule="auto"/>
        <w:rPr>
          <w:rFonts w:hint="default"/>
          <w:lang w:val="en-US" w:eastAsia="zh-CN"/>
        </w:rPr>
      </w:pPr>
      <w:r>
        <w:rPr>
          <w:rFonts w:hint="eastAsia" w:ascii="宋体" w:hAnsi="宋体" w:cs="宋体"/>
          <w:sz w:val="24"/>
          <w:lang w:val="en-US" w:eastAsia="zh-CN"/>
        </w:rPr>
        <w:t>3.4.2</w:t>
      </w:r>
      <w:r>
        <w:rPr>
          <w:rFonts w:hint="eastAsia" w:ascii="宋体" w:hAnsi="宋体" w:cs="宋体"/>
          <w:sz w:val="24"/>
        </w:rPr>
        <w:t xml:space="preserve"> 投标人在评标过程中所进行的力图影响评标结果、有悖于招标规则的活动，可能导致取消其中标资格。</w:t>
      </w:r>
    </w:p>
    <w:p>
      <w:pPr>
        <w:spacing w:line="300" w:lineRule="auto"/>
        <w:rPr>
          <w:rFonts w:ascii="宋体" w:hAnsi="宋体" w:cs="宋体"/>
          <w:sz w:val="24"/>
        </w:rPr>
      </w:pPr>
      <w:r>
        <w:rPr>
          <w:rFonts w:hint="eastAsia" w:ascii="宋体" w:hAnsi="宋体" w:cs="宋体"/>
          <w:b/>
          <w:bCs/>
          <w:sz w:val="24"/>
        </w:rPr>
        <w:t>3.</w:t>
      </w:r>
      <w:r>
        <w:rPr>
          <w:rFonts w:hint="eastAsia" w:ascii="宋体" w:hAnsi="宋体" w:cs="宋体"/>
          <w:b/>
          <w:bCs/>
          <w:sz w:val="24"/>
          <w:lang w:val="en-US" w:eastAsia="zh-CN"/>
        </w:rPr>
        <w:t xml:space="preserve">5 </w:t>
      </w:r>
      <w:r>
        <w:rPr>
          <w:rFonts w:hint="eastAsia" w:ascii="宋体" w:hAnsi="宋体" w:cs="宋体"/>
          <w:b/>
          <w:bCs/>
          <w:sz w:val="24"/>
        </w:rPr>
        <w:t>评标结果</w:t>
      </w:r>
    </w:p>
    <w:p>
      <w:pPr>
        <w:spacing w:line="300" w:lineRule="auto"/>
        <w:rPr>
          <w:rFonts w:ascii="宋体" w:hAnsi="宋体" w:cs="宋体"/>
          <w:sz w:val="24"/>
        </w:rPr>
      </w:pPr>
      <w:r>
        <w:rPr>
          <w:rFonts w:hint="eastAsia" w:ascii="宋体" w:hAnsi="宋体" w:cs="宋体"/>
          <w:sz w:val="24"/>
        </w:rPr>
        <w:t>3.4.1 除第二章“投标人须知”前附表授权直接确定中标人外，评标委员会按照得分由高到低 的顺序推荐中标候选人，并标明排序。</w:t>
      </w:r>
    </w:p>
    <w:p>
      <w:pPr>
        <w:spacing w:line="300" w:lineRule="auto"/>
        <w:rPr>
          <w:rFonts w:ascii="宋体" w:hAnsi="宋体" w:cs="宋体"/>
          <w:sz w:val="24"/>
        </w:rPr>
      </w:pPr>
      <w:r>
        <w:rPr>
          <w:rFonts w:hint="eastAsia" w:ascii="宋体" w:hAnsi="宋体" w:cs="宋体"/>
          <w:sz w:val="24"/>
        </w:rPr>
        <w:t>3.4.2 评标委员会完成评标后，应当向招标人提交书面评标报告和中标候选人名单。</w:t>
      </w:r>
    </w:p>
    <w:p>
      <w:pPr>
        <w:jc w:val="left"/>
        <w:rPr>
          <w:rFonts w:cs="仿宋" w:asciiTheme="majorEastAsia" w:hAnsiTheme="majorEastAsia" w:eastAsiaTheme="majorEastAsia"/>
          <w:szCs w:val="21"/>
        </w:rPr>
      </w:pPr>
    </w:p>
    <w:p>
      <w:pPr>
        <w:pStyle w:val="128"/>
        <w:ind w:left="0" w:leftChars="0" w:firstLine="0" w:firstLineChars="0"/>
        <w:rPr>
          <w:rFonts w:hint="default" w:eastAsiaTheme="majorEastAsia"/>
          <w:lang w:val="en-US" w:eastAsia="zh-CN"/>
        </w:rPr>
        <w:sectPr>
          <w:headerReference r:id="rId8" w:type="first"/>
          <w:headerReference r:id="rId7" w:type="default"/>
          <w:pgSz w:w="11906" w:h="16838"/>
          <w:pgMar w:top="1418" w:right="1134" w:bottom="1418" w:left="1134" w:header="851" w:footer="992" w:gutter="0"/>
          <w:pgNumType w:fmt="decimal"/>
          <w:cols w:space="720" w:num="1"/>
          <w:titlePg/>
          <w:docGrid w:type="lines" w:linePitch="312" w:charSpace="0"/>
        </w:sectPr>
      </w:pPr>
    </w:p>
    <w:p>
      <w:pPr>
        <w:pStyle w:val="3"/>
        <w:tabs>
          <w:tab w:val="left" w:pos="2685"/>
          <w:tab w:val="center" w:pos="4819"/>
        </w:tabs>
        <w:jc w:val="left"/>
        <w:rPr>
          <w:rFonts w:cs="仿宋" w:asciiTheme="majorEastAsia" w:hAnsiTheme="majorEastAsia" w:eastAsiaTheme="majorEastAsia"/>
          <w:b w:val="0"/>
          <w:sz w:val="36"/>
          <w:szCs w:val="36"/>
        </w:rPr>
      </w:pPr>
      <w:r>
        <w:rPr>
          <w:rFonts w:cs="Arial" w:asciiTheme="majorEastAsia" w:hAnsiTheme="majorEastAsia" w:eastAsiaTheme="majorEastAsia"/>
          <w:b w:val="0"/>
          <w:sz w:val="36"/>
          <w:szCs w:val="36"/>
        </w:rPr>
        <w:tab/>
      </w:r>
      <w:bookmarkStart w:id="38" w:name="_Toc23721"/>
      <w:bookmarkStart w:id="39" w:name="_Toc4197"/>
      <w:r>
        <w:rPr>
          <w:rFonts w:hint="eastAsia" w:cs="仿宋" w:asciiTheme="majorEastAsia" w:hAnsiTheme="majorEastAsia" w:eastAsiaTheme="majorEastAsia"/>
          <w:b w:val="0"/>
          <w:sz w:val="36"/>
          <w:szCs w:val="36"/>
        </w:rPr>
        <w:t>第四章  合同条款及格式</w:t>
      </w:r>
      <w:bookmarkEnd w:id="38"/>
      <w:bookmarkEnd w:id="39"/>
      <w:bookmarkStart w:id="40" w:name="_Toc433363808"/>
      <w:bookmarkStart w:id="41" w:name="_Toc434784363"/>
      <w:bookmarkStart w:id="42" w:name="_Toc434784403"/>
    </w:p>
    <w:bookmarkEnd w:id="40"/>
    <w:bookmarkEnd w:id="41"/>
    <w:bookmarkEnd w:id="42"/>
    <w:p>
      <w:pPr>
        <w:pStyle w:val="20"/>
        <w:spacing w:line="500" w:lineRule="exact"/>
        <w:jc w:val="center"/>
        <w:rPr>
          <w:rFonts w:cs="仿宋" w:asciiTheme="majorEastAsia" w:hAnsiTheme="majorEastAsia" w:eastAsiaTheme="majorEastAsia"/>
          <w:b/>
          <w:sz w:val="30"/>
          <w:szCs w:val="30"/>
        </w:rPr>
      </w:pPr>
      <w:r>
        <w:rPr>
          <w:rFonts w:hint="eastAsia" w:cs="仿宋" w:asciiTheme="majorEastAsia" w:hAnsiTheme="majorEastAsia" w:eastAsiaTheme="majorEastAsia"/>
          <w:b/>
          <w:sz w:val="30"/>
          <w:szCs w:val="30"/>
        </w:rPr>
        <w:t>XXXXXXXXXXXXXXXXXXXXXXXXX项目</w:t>
      </w:r>
    </w:p>
    <w:p>
      <w:pPr>
        <w:pStyle w:val="20"/>
        <w:spacing w:line="500" w:lineRule="exact"/>
        <w:ind w:firstLine="2160" w:firstLineChars="9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（以最终签订合同为准，本合同条款仅供参考）</w:t>
      </w:r>
    </w:p>
    <w:p>
      <w:pPr>
        <w:spacing w:line="360" w:lineRule="auto"/>
        <w:jc w:val="cente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第一节  通用合同条款</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1.</w:t>
      </w:r>
      <w:r>
        <w:rPr>
          <w:rFonts w:hint="eastAsia" w:asciiTheme="majorEastAsia" w:hAnsiTheme="majorEastAsia" w:eastAsiaTheme="majorEastAsia"/>
          <w:b/>
          <w:bCs/>
          <w:sz w:val="32"/>
          <w:szCs w:val="32"/>
        </w:rPr>
        <w:t>一般约定</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1.1</w:t>
      </w:r>
      <w:r>
        <w:rPr>
          <w:rFonts w:hint="eastAsia" w:asciiTheme="majorEastAsia" w:hAnsiTheme="majorEastAsia" w:eastAsiaTheme="majorEastAsia"/>
          <w:b/>
          <w:bCs/>
          <w:sz w:val="28"/>
          <w:szCs w:val="28"/>
        </w:rPr>
        <w:t>词语定义</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除专用合同条款另有约定外，合同中的下列词语应具有本款所赋予的含义。</w:t>
      </w:r>
    </w:p>
    <w:p>
      <w:pPr>
        <w:spacing w:line="360" w:lineRule="auto"/>
        <w:ind w:firstLine="422" w:firstLineChars="200"/>
        <w:rPr>
          <w:rFonts w:asciiTheme="majorEastAsia" w:hAnsiTheme="majorEastAsia" w:eastAsiaTheme="majorEastAsia"/>
          <w:b/>
          <w:bCs/>
        </w:rPr>
      </w:pPr>
      <w:r>
        <w:rPr>
          <w:rFonts w:asciiTheme="majorEastAsia" w:hAnsiTheme="majorEastAsia" w:eastAsiaTheme="majorEastAsia"/>
          <w:b/>
          <w:bCs/>
        </w:rPr>
        <w:t xml:space="preserve">1.1.1 </w:t>
      </w:r>
      <w:r>
        <w:rPr>
          <w:rFonts w:hint="eastAsia" w:asciiTheme="majorEastAsia" w:hAnsiTheme="majorEastAsia" w:eastAsiaTheme="majorEastAsia"/>
          <w:b/>
          <w:bCs/>
        </w:rPr>
        <w:t>合同</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1.1.1.1</w:t>
      </w:r>
      <w:r>
        <w:rPr>
          <w:rFonts w:hint="eastAsia" w:asciiTheme="majorEastAsia" w:hAnsiTheme="majorEastAsia" w:eastAsiaTheme="majorEastAsia"/>
        </w:rPr>
        <w:t>合同文件（或称合同）：指合同协议书、中标通知书、投标函、商务和技术偏差表、专用合同条款、通用合同条款、供货要求、分项报价表、中标设备技术性能指标的详细描述、技术服务和质保期服务计划，以及其他构成合同组成部分的文件。</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1.1.1.2</w:t>
      </w:r>
      <w:r>
        <w:rPr>
          <w:rFonts w:hint="eastAsia" w:asciiTheme="majorEastAsia" w:hAnsiTheme="majorEastAsia" w:eastAsiaTheme="majorEastAsia"/>
        </w:rPr>
        <w:t>合同协议书：指买方和卖方共同签署的合同协议书。</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1.1.1.3</w:t>
      </w:r>
      <w:r>
        <w:rPr>
          <w:rFonts w:hint="eastAsia" w:asciiTheme="majorEastAsia" w:hAnsiTheme="majorEastAsia" w:eastAsiaTheme="majorEastAsia"/>
        </w:rPr>
        <w:t>中标通知书：指买方通知卖方中标的函件。</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1.1.1.4</w:t>
      </w:r>
      <w:r>
        <w:rPr>
          <w:rFonts w:hint="eastAsia" w:asciiTheme="majorEastAsia" w:hAnsiTheme="majorEastAsia" w:eastAsiaTheme="majorEastAsia"/>
        </w:rPr>
        <w:t>投标函：指由卖方填写并签署的，名为“投标函”的函件。</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1.1.1.5</w:t>
      </w:r>
      <w:r>
        <w:rPr>
          <w:rFonts w:hint="eastAsia" w:asciiTheme="majorEastAsia" w:hAnsiTheme="majorEastAsia" w:eastAsiaTheme="majorEastAsia"/>
        </w:rPr>
        <w:t>商务和技术偏差表：指卖方投标文件中的商务和技术偏差表。</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1.1.1.6</w:t>
      </w:r>
      <w:r>
        <w:rPr>
          <w:rFonts w:hint="eastAsia" w:asciiTheme="majorEastAsia" w:hAnsiTheme="majorEastAsia" w:eastAsiaTheme="majorEastAsia"/>
        </w:rPr>
        <w:t>供货要求：指合同文件中名为“供货要求”的文件。</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1.1.1.7</w:t>
      </w:r>
      <w:r>
        <w:rPr>
          <w:rFonts w:hint="eastAsia" w:asciiTheme="majorEastAsia" w:hAnsiTheme="majorEastAsia" w:eastAsiaTheme="majorEastAsia"/>
        </w:rPr>
        <w:t>中标设备技术性能指标的详细描述：指卖方投标文件中的投标设备技术性能指标的详细描述。</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1.1.1.8</w:t>
      </w:r>
      <w:r>
        <w:rPr>
          <w:rFonts w:hint="eastAsia" w:asciiTheme="majorEastAsia" w:hAnsiTheme="majorEastAsia" w:eastAsiaTheme="majorEastAsia"/>
        </w:rPr>
        <w:t>技术服务和质保期服务计划：指卖方投标文件中的技术服务和质保期服务计划。</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1.1.1.9</w:t>
      </w:r>
      <w:r>
        <w:rPr>
          <w:rFonts w:hint="eastAsia" w:asciiTheme="majorEastAsia" w:hAnsiTheme="majorEastAsia" w:eastAsiaTheme="majorEastAsia"/>
        </w:rPr>
        <w:t>分项报价表：指卖方投标文件中的分项报价表。</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1.1.1.10</w:t>
      </w:r>
      <w:r>
        <w:rPr>
          <w:rFonts w:hint="eastAsia" w:asciiTheme="majorEastAsia" w:hAnsiTheme="majorEastAsia" w:eastAsiaTheme="majorEastAsia"/>
        </w:rPr>
        <w:t>其他合同文件：指经合同双方当事人确认构成合同文件的其他文件。</w:t>
      </w:r>
    </w:p>
    <w:p>
      <w:pPr>
        <w:spacing w:line="360" w:lineRule="auto"/>
        <w:ind w:firstLine="422" w:firstLineChars="200"/>
        <w:rPr>
          <w:rFonts w:asciiTheme="majorEastAsia" w:hAnsiTheme="majorEastAsia" w:eastAsiaTheme="majorEastAsia"/>
          <w:b/>
          <w:bCs/>
        </w:rPr>
      </w:pPr>
      <w:r>
        <w:rPr>
          <w:rFonts w:asciiTheme="majorEastAsia" w:hAnsiTheme="majorEastAsia" w:eastAsiaTheme="majorEastAsia"/>
          <w:b/>
          <w:bCs/>
        </w:rPr>
        <w:t>1.1.2</w:t>
      </w:r>
      <w:r>
        <w:rPr>
          <w:rFonts w:hint="eastAsia" w:asciiTheme="majorEastAsia" w:hAnsiTheme="majorEastAsia" w:eastAsiaTheme="majorEastAsia"/>
          <w:b/>
          <w:bCs/>
        </w:rPr>
        <w:t>合同当事人</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1.1.2.1</w:t>
      </w:r>
      <w:r>
        <w:rPr>
          <w:rFonts w:hint="eastAsia" w:asciiTheme="majorEastAsia" w:hAnsiTheme="majorEastAsia" w:eastAsiaTheme="majorEastAsia"/>
        </w:rPr>
        <w:t>合同当事人：指买方和（或）卖方。</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1.1.2.2</w:t>
      </w:r>
      <w:r>
        <w:rPr>
          <w:rFonts w:hint="eastAsia" w:asciiTheme="majorEastAsia" w:hAnsiTheme="majorEastAsia" w:eastAsiaTheme="majorEastAsia"/>
        </w:rPr>
        <w:t>买方：指与卖方签订合同协议书，购买合同设备和技术服务和质保期服务的当事人，及其合法继承人。</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1.1.2.3</w:t>
      </w:r>
      <w:r>
        <w:rPr>
          <w:rFonts w:hint="eastAsia" w:asciiTheme="majorEastAsia" w:hAnsiTheme="majorEastAsia" w:eastAsiaTheme="majorEastAsia"/>
        </w:rPr>
        <w:t>卖方：指与买方签订合同协议书，提供合同设备和技术服务和质保期服务的当事人，及其合法继承人。</w:t>
      </w:r>
    </w:p>
    <w:p>
      <w:pPr>
        <w:spacing w:line="360" w:lineRule="auto"/>
        <w:ind w:firstLine="422" w:firstLineChars="200"/>
        <w:rPr>
          <w:rFonts w:asciiTheme="majorEastAsia" w:hAnsiTheme="majorEastAsia" w:eastAsiaTheme="majorEastAsia"/>
          <w:b/>
          <w:bCs/>
        </w:rPr>
      </w:pPr>
      <w:r>
        <w:rPr>
          <w:rFonts w:asciiTheme="majorEastAsia" w:hAnsiTheme="majorEastAsia" w:eastAsiaTheme="majorEastAsia"/>
          <w:b/>
          <w:bCs/>
        </w:rPr>
        <w:t xml:space="preserve">1.1.3 </w:t>
      </w:r>
      <w:r>
        <w:rPr>
          <w:rFonts w:hint="eastAsia" w:asciiTheme="majorEastAsia" w:hAnsiTheme="majorEastAsia" w:eastAsiaTheme="majorEastAsia"/>
          <w:b/>
          <w:bCs/>
        </w:rPr>
        <w:t>合同价格</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1.1.3.1</w:t>
      </w:r>
      <w:r>
        <w:rPr>
          <w:rFonts w:asciiTheme="majorEastAsia" w:hAnsiTheme="majorEastAsia" w:eastAsiaTheme="majorEastAsia"/>
        </w:rPr>
        <w:tab/>
      </w:r>
      <w:r>
        <w:rPr>
          <w:rFonts w:hint="eastAsia" w:asciiTheme="majorEastAsia" w:hAnsiTheme="majorEastAsia" w:eastAsiaTheme="majorEastAsia"/>
        </w:rPr>
        <w:t>签约合同价：是签订合同时合同协议书中写明的合同总金额。</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1.1.3.2</w:t>
      </w:r>
      <w:r>
        <w:rPr>
          <w:rFonts w:asciiTheme="majorEastAsia" w:hAnsiTheme="majorEastAsia" w:eastAsiaTheme="majorEastAsia"/>
        </w:rPr>
        <w:tab/>
      </w:r>
      <w:r>
        <w:rPr>
          <w:rFonts w:hint="eastAsia" w:asciiTheme="majorEastAsia" w:hAnsiTheme="majorEastAsia" w:eastAsiaTheme="majorEastAsia"/>
        </w:rPr>
        <w:t>合同价格：指卖方按合同约定履行了全部合同义务后，买方应付给卖方的金额。</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 xml:space="preserve">1.1.4 </w:t>
      </w:r>
      <w:r>
        <w:rPr>
          <w:rFonts w:hint="eastAsia" w:asciiTheme="majorEastAsia" w:hAnsiTheme="majorEastAsia" w:eastAsiaTheme="majorEastAsia"/>
        </w:rPr>
        <w:t>合同设备：指卖方按合同约定应向买方提供的设备、装置、备品、备件、易损易耗件、配套使用的软件或其他辅助电子应用程序及技术资料，或其中任何一部分。</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1.1.5</w:t>
      </w:r>
      <w:r>
        <w:rPr>
          <w:rFonts w:hint="eastAsia" w:asciiTheme="majorEastAsia" w:hAnsiTheme="majorEastAsia" w:eastAsiaTheme="majorEastAsia"/>
        </w:rPr>
        <w:t>技术资料：指各种纸质及电子载体的与合同设备的设计、检验、安装、调试、考核、操作、维修以及保养等有关的技术指标、规格、图纸和说明文件。</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1.1.6</w:t>
      </w:r>
      <w:r>
        <w:rPr>
          <w:rFonts w:hint="eastAsia" w:asciiTheme="majorEastAsia" w:hAnsiTheme="majorEastAsia" w:eastAsiaTheme="majorEastAsia"/>
        </w:rPr>
        <w:t>安装：指对合同设备进行的组装、连接以及根据需要将合同设备固定在施工场地内一定的位置上，使其就位并与相关设备、工程实现连接。</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1.1.7</w:t>
      </w:r>
      <w:r>
        <w:rPr>
          <w:rFonts w:hint="eastAsia" w:asciiTheme="majorEastAsia" w:hAnsiTheme="majorEastAsia" w:eastAsiaTheme="majorEastAsia"/>
        </w:rPr>
        <w:t>调试：指在合同设备安装完成后，对合同设备所进行的调校和测试。</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1.1.8</w:t>
      </w:r>
      <w:r>
        <w:rPr>
          <w:rFonts w:hint="eastAsia" w:asciiTheme="majorEastAsia" w:hAnsiTheme="majorEastAsia" w:eastAsiaTheme="majorEastAsia"/>
        </w:rPr>
        <w:t>考核：指在合同设备调试完成后，对合同设备进行的用于确定其是否达到合同约定的技术性能考核指标的考核。</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1.1.9</w:t>
      </w:r>
      <w:r>
        <w:rPr>
          <w:rFonts w:hint="eastAsia" w:asciiTheme="majorEastAsia" w:hAnsiTheme="majorEastAsia" w:eastAsiaTheme="majorEastAsia"/>
        </w:rPr>
        <w:t>验收：指合同设备通过考核达到合同约定的技术性能考核指标后，买方作出接受合同设备的确认。</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1.1.10</w:t>
      </w:r>
      <w:r>
        <w:rPr>
          <w:rFonts w:hint="eastAsia" w:asciiTheme="majorEastAsia" w:hAnsiTheme="majorEastAsia" w:eastAsiaTheme="majorEastAsia"/>
        </w:rPr>
        <w:t>技术服务：指卖方按合同约定，在合同设备验收前，向买方提供的安装、调试服务，或者在由买方负责的安装、调试、考核中对买方进行的技术指导、协助、监督和培训等。</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1.1.11</w:t>
      </w:r>
      <w:r>
        <w:rPr>
          <w:rFonts w:hint="eastAsia" w:asciiTheme="majorEastAsia" w:hAnsiTheme="majorEastAsia" w:eastAsiaTheme="majorEastAsia"/>
        </w:rPr>
        <w:t>质量保证期：指合同设备验收后，卖方按合同约定保证合同设备适当、稳定运行，并负责消除合同设备故障的期限。</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1.1.12</w:t>
      </w:r>
      <w:r>
        <w:rPr>
          <w:rFonts w:hint="eastAsia" w:asciiTheme="majorEastAsia" w:hAnsiTheme="majorEastAsia" w:eastAsiaTheme="majorEastAsia"/>
        </w:rPr>
        <w:t>质保期服务：指在质量保证期内，卖方向买方提供的合同设备维护服务、咨询服务、技术指导、协助以及对出现故障的合同设备进行修理或更换的服务。</w:t>
      </w:r>
    </w:p>
    <w:p>
      <w:pPr>
        <w:spacing w:line="360" w:lineRule="auto"/>
        <w:ind w:firstLine="422" w:firstLineChars="200"/>
        <w:rPr>
          <w:rFonts w:asciiTheme="majorEastAsia" w:hAnsiTheme="majorEastAsia" w:eastAsiaTheme="majorEastAsia"/>
          <w:b/>
          <w:bCs/>
        </w:rPr>
      </w:pPr>
      <w:r>
        <w:rPr>
          <w:rFonts w:asciiTheme="majorEastAsia" w:hAnsiTheme="majorEastAsia" w:eastAsiaTheme="majorEastAsia"/>
          <w:b/>
          <w:bCs/>
        </w:rPr>
        <w:t>1.1.13</w:t>
      </w:r>
      <w:r>
        <w:rPr>
          <w:rFonts w:hint="eastAsia" w:asciiTheme="majorEastAsia" w:hAnsiTheme="majorEastAsia" w:eastAsiaTheme="majorEastAsia"/>
          <w:b/>
          <w:bCs/>
        </w:rPr>
        <w:t>工程</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1.1.13.1</w:t>
      </w:r>
      <w:r>
        <w:rPr>
          <w:rFonts w:hint="eastAsia" w:asciiTheme="majorEastAsia" w:hAnsiTheme="majorEastAsia" w:eastAsiaTheme="majorEastAsia"/>
        </w:rPr>
        <w:t>工程：指在专用合同条款中指明的，安装运行合同设备的工程。</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1.1.13.2</w:t>
      </w:r>
      <w:r>
        <w:rPr>
          <w:rFonts w:hint="eastAsia" w:asciiTheme="majorEastAsia" w:hAnsiTheme="majorEastAsia" w:eastAsiaTheme="majorEastAsia"/>
        </w:rPr>
        <w:t>施工场地（或称工地、施工现场）：指专用合同条款中指明的工程所在场所。</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1.1.14</w:t>
      </w:r>
      <w:r>
        <w:rPr>
          <w:rFonts w:hint="eastAsia" w:asciiTheme="majorEastAsia" w:hAnsiTheme="majorEastAsia" w:eastAsiaTheme="majorEastAsia"/>
        </w:rPr>
        <w:t>天（或称日）：除特别指明外，指日历天。合同中按天计算时间的，开始当天不计入，从次日开始计算。合同约定的期间的最后一天是星期日或者其他法定休假日的，以休假日的次日为期间的最后一天。</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1.1.15</w:t>
      </w:r>
      <w:r>
        <w:rPr>
          <w:rFonts w:hint="eastAsia" w:asciiTheme="majorEastAsia" w:hAnsiTheme="majorEastAsia" w:eastAsiaTheme="majorEastAsia"/>
        </w:rPr>
        <w:t>月：按照公历月计算。合同中按月计算时间的，开始当天不计入，从次日开始计算。合同约定的期间的最后一天是星期日或者其他法定休假日的，以休假日的次日为期间的最后一天。</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1.1.16</w:t>
      </w:r>
      <w:r>
        <w:rPr>
          <w:rFonts w:hint="eastAsia" w:asciiTheme="majorEastAsia" w:hAnsiTheme="majorEastAsia" w:eastAsiaTheme="majorEastAsia"/>
        </w:rPr>
        <w:t>书面形式：指合同文件、信件和数据电文（包括电报、电传、传真、电子数据交换和电子邮件）等可以有形地表现所载内容的形式。</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1.2</w:t>
      </w:r>
      <w:r>
        <w:rPr>
          <w:rFonts w:hint="eastAsia" w:asciiTheme="majorEastAsia" w:hAnsiTheme="majorEastAsia" w:eastAsiaTheme="majorEastAsia"/>
          <w:b/>
          <w:bCs/>
          <w:sz w:val="28"/>
          <w:szCs w:val="28"/>
        </w:rPr>
        <w:t>语言文字</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合同使用的语言文字为中文。专用术语使用外文的，应附有中文注释。</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 xml:space="preserve">1.3 </w:t>
      </w:r>
      <w:r>
        <w:rPr>
          <w:rFonts w:hint="eastAsia" w:asciiTheme="majorEastAsia" w:hAnsiTheme="majorEastAsia" w:eastAsiaTheme="majorEastAsia"/>
          <w:b/>
          <w:bCs/>
          <w:sz w:val="28"/>
          <w:szCs w:val="28"/>
        </w:rPr>
        <w:t>合同文件的优先顺序</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组成合同的各项文件应互相解释，互为说明。除专用合同条款另有约定外，解释合同文件的优先顺序如下：</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1</w:t>
      </w:r>
      <w:r>
        <w:rPr>
          <w:rFonts w:hint="eastAsia" w:asciiTheme="majorEastAsia" w:hAnsiTheme="majorEastAsia" w:eastAsiaTheme="majorEastAsia"/>
        </w:rPr>
        <w:t>）合同协议书；</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2</w:t>
      </w:r>
      <w:r>
        <w:rPr>
          <w:rFonts w:hint="eastAsia" w:asciiTheme="majorEastAsia" w:hAnsiTheme="majorEastAsia" w:eastAsiaTheme="majorEastAsia"/>
        </w:rPr>
        <w:t>）中标通知书；</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3</w:t>
      </w:r>
      <w:r>
        <w:rPr>
          <w:rFonts w:hint="eastAsia" w:asciiTheme="majorEastAsia" w:hAnsiTheme="majorEastAsia" w:eastAsiaTheme="majorEastAsia"/>
        </w:rPr>
        <w:t>）投标函；</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4</w:t>
      </w:r>
      <w:r>
        <w:rPr>
          <w:rFonts w:hint="eastAsia" w:asciiTheme="majorEastAsia" w:hAnsiTheme="majorEastAsia" w:eastAsiaTheme="majorEastAsia"/>
        </w:rPr>
        <w:t>）商务和技术偏差表；</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5</w:t>
      </w:r>
      <w:r>
        <w:rPr>
          <w:rFonts w:hint="eastAsia" w:asciiTheme="majorEastAsia" w:hAnsiTheme="majorEastAsia" w:eastAsiaTheme="majorEastAsia"/>
        </w:rPr>
        <w:t>）专用合同条款；</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6</w:t>
      </w:r>
      <w:r>
        <w:rPr>
          <w:rFonts w:hint="eastAsia" w:asciiTheme="majorEastAsia" w:hAnsiTheme="majorEastAsia" w:eastAsiaTheme="majorEastAsia"/>
        </w:rPr>
        <w:t>）通用合同条款；</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7</w:t>
      </w:r>
      <w:r>
        <w:rPr>
          <w:rFonts w:hint="eastAsia" w:asciiTheme="majorEastAsia" w:hAnsiTheme="majorEastAsia" w:eastAsiaTheme="majorEastAsia"/>
        </w:rPr>
        <w:t>）供货要求；</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8</w:t>
      </w:r>
      <w:r>
        <w:rPr>
          <w:rFonts w:hint="eastAsia" w:asciiTheme="majorEastAsia" w:hAnsiTheme="majorEastAsia" w:eastAsiaTheme="majorEastAsia"/>
        </w:rPr>
        <w:t>）分项报价表；</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9</w:t>
      </w:r>
      <w:r>
        <w:rPr>
          <w:rFonts w:hint="eastAsia" w:asciiTheme="majorEastAsia" w:hAnsiTheme="majorEastAsia" w:eastAsiaTheme="majorEastAsia"/>
        </w:rPr>
        <w:t>）中标设备技术性能指标的详细描述；</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10</w:t>
      </w:r>
      <w:r>
        <w:rPr>
          <w:rFonts w:hint="eastAsia" w:asciiTheme="majorEastAsia" w:hAnsiTheme="majorEastAsia" w:eastAsiaTheme="majorEastAsia"/>
        </w:rPr>
        <w:t>）技术服务和质保期服务计划；</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11</w:t>
      </w:r>
      <w:r>
        <w:rPr>
          <w:rFonts w:hint="eastAsia" w:asciiTheme="majorEastAsia" w:hAnsiTheme="majorEastAsia" w:eastAsiaTheme="majorEastAsia"/>
        </w:rPr>
        <w:t>）其他合同文件。</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1.4</w:t>
      </w:r>
      <w:r>
        <w:rPr>
          <w:rFonts w:hint="eastAsia" w:asciiTheme="majorEastAsia" w:hAnsiTheme="majorEastAsia" w:eastAsiaTheme="majorEastAsia"/>
          <w:b/>
          <w:bCs/>
          <w:sz w:val="28"/>
          <w:szCs w:val="28"/>
        </w:rPr>
        <w:t>合同的生效及变更</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1.4.1</w:t>
      </w:r>
      <w:r>
        <w:rPr>
          <w:rFonts w:hint="eastAsia" w:asciiTheme="majorEastAsia" w:hAnsiTheme="majorEastAsia" w:eastAsiaTheme="majorEastAsia"/>
        </w:rPr>
        <w:t>除专用合同条款另有约定外，买方和卖方的法定代表人（单位负责人）或其授权代表在合同协议书上签字并加盖单位章后，合同生效。</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1.4.2</w:t>
      </w:r>
      <w:r>
        <w:rPr>
          <w:rFonts w:hint="eastAsia" w:asciiTheme="majorEastAsia" w:hAnsiTheme="majorEastAsia" w:eastAsiaTheme="majorEastAsia"/>
        </w:rPr>
        <w:t>除专用合同条款另有约定外，在合同履行过程中，如需对合同进行变更，双方应签订书面协议，并经双方法定代表人（单位负责人）或其授权代表签字并加盖单位章后生效。</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1.5</w:t>
      </w:r>
      <w:r>
        <w:rPr>
          <w:rFonts w:hint="eastAsia" w:asciiTheme="majorEastAsia" w:hAnsiTheme="majorEastAsia" w:eastAsiaTheme="majorEastAsia"/>
          <w:b/>
          <w:bCs/>
          <w:sz w:val="28"/>
          <w:szCs w:val="28"/>
        </w:rPr>
        <w:t>联络</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1.5.1</w:t>
      </w:r>
      <w:r>
        <w:rPr>
          <w:rFonts w:hint="eastAsia" w:asciiTheme="majorEastAsia" w:hAnsiTheme="majorEastAsia" w:eastAsiaTheme="majorEastAsia"/>
        </w:rPr>
        <w:t>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1.5.2</w:t>
      </w:r>
      <w:r>
        <w:rPr>
          <w:rFonts w:hint="eastAsia" w:asciiTheme="majorEastAsia" w:hAnsiTheme="majorEastAsia" w:eastAsiaTheme="majorEastAsia"/>
        </w:rPr>
        <w:t>合同履行中或与合同有关的任何联络，送达到第</w:t>
      </w:r>
      <w:r>
        <w:rPr>
          <w:rFonts w:asciiTheme="majorEastAsia" w:hAnsiTheme="majorEastAsia" w:eastAsiaTheme="majorEastAsia"/>
        </w:rPr>
        <w:t xml:space="preserve"> 1.5.1 </w:t>
      </w:r>
      <w:r>
        <w:rPr>
          <w:rFonts w:hint="eastAsia" w:asciiTheme="majorEastAsia" w:hAnsiTheme="majorEastAsia" w:eastAsiaTheme="majorEastAsia"/>
        </w:rPr>
        <w:t>项指定的联系人即视为送达。</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1.5.3</w:t>
      </w:r>
      <w:r>
        <w:rPr>
          <w:rFonts w:hint="eastAsia" w:asciiTheme="majorEastAsia" w:hAnsiTheme="majorEastAsia" w:eastAsiaTheme="majorEastAsia"/>
        </w:rPr>
        <w:t>买方可以安排监理等相关人员作为买方人员，与卖方进行联络或参加合同设备的监造（如有）、交货前检验（如有）、开箱检验、安装、调试、考核、验收等，但应按照第</w:t>
      </w:r>
      <w:r>
        <w:rPr>
          <w:rFonts w:asciiTheme="majorEastAsia" w:hAnsiTheme="majorEastAsia" w:eastAsiaTheme="majorEastAsia"/>
        </w:rPr>
        <w:t xml:space="preserve"> 1.5.1 </w:t>
      </w:r>
      <w:r>
        <w:rPr>
          <w:rFonts w:hint="eastAsia" w:asciiTheme="majorEastAsia" w:hAnsiTheme="majorEastAsia" w:eastAsiaTheme="majorEastAsia"/>
        </w:rPr>
        <w:t>项的约定事先书面通知卖方。</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1.6</w:t>
      </w:r>
      <w:r>
        <w:rPr>
          <w:rFonts w:hint="eastAsia" w:asciiTheme="majorEastAsia" w:hAnsiTheme="majorEastAsia" w:eastAsiaTheme="majorEastAsia"/>
          <w:b/>
          <w:bCs/>
          <w:sz w:val="28"/>
          <w:szCs w:val="28"/>
        </w:rPr>
        <w:t>联合体</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1.6.1</w:t>
      </w:r>
      <w:r>
        <w:rPr>
          <w:rFonts w:hint="eastAsia" w:asciiTheme="majorEastAsia" w:hAnsiTheme="majorEastAsia" w:eastAsiaTheme="majorEastAsia"/>
        </w:rPr>
        <w:t>卖方为联合体的，联合体各方应当共同与买方签订合同，并向买方为履行合同承担连带责任。</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1.6.2</w:t>
      </w:r>
      <w:r>
        <w:rPr>
          <w:rFonts w:hint="eastAsia" w:asciiTheme="majorEastAsia" w:hAnsiTheme="majorEastAsia" w:eastAsiaTheme="majorEastAsia"/>
        </w:rPr>
        <w:t>在合同履行过程中，未经买方同意，不得修改联合体协议。联合体协议中关于联合体成员间权利义务的划分，并不影响或减损联合体各方应就履行合同向买方承担的连带责任。</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1.6.3</w:t>
      </w:r>
      <w:r>
        <w:rPr>
          <w:rFonts w:hint="eastAsia" w:asciiTheme="majorEastAsia" w:hAnsiTheme="majorEastAsia" w:eastAsiaTheme="majorEastAsia"/>
        </w:rPr>
        <w:t>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1.7</w:t>
      </w:r>
      <w:r>
        <w:rPr>
          <w:rFonts w:hint="eastAsia" w:asciiTheme="majorEastAsia" w:hAnsiTheme="majorEastAsia" w:eastAsiaTheme="majorEastAsia"/>
          <w:b/>
          <w:bCs/>
          <w:sz w:val="28"/>
          <w:szCs w:val="28"/>
        </w:rPr>
        <w:t>转让</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未经对方当事人书面同意，合同任何一方均不得转让其在合同项下的权利和（或）义务。</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 xml:space="preserve">2. </w:t>
      </w:r>
      <w:r>
        <w:rPr>
          <w:rFonts w:hint="eastAsia" w:asciiTheme="majorEastAsia" w:hAnsiTheme="majorEastAsia" w:eastAsiaTheme="majorEastAsia"/>
          <w:b/>
          <w:bCs/>
          <w:sz w:val="32"/>
          <w:szCs w:val="32"/>
        </w:rPr>
        <w:t>合同范围</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卖方应根据供货要求、中标设备技术性能指标的详细描述、技术服务和质保期服务计划等合同文件的约定向买方提供合同设备、技术服务和质保期服务。</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3.</w:t>
      </w:r>
      <w:r>
        <w:rPr>
          <w:rFonts w:hint="eastAsia" w:asciiTheme="majorEastAsia" w:hAnsiTheme="majorEastAsia" w:eastAsiaTheme="majorEastAsia"/>
          <w:b/>
          <w:bCs/>
          <w:sz w:val="32"/>
          <w:szCs w:val="32"/>
        </w:rPr>
        <w:t>合同价格与支付</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3.1</w:t>
      </w:r>
      <w:r>
        <w:rPr>
          <w:rFonts w:hint="eastAsia" w:asciiTheme="majorEastAsia" w:hAnsiTheme="majorEastAsia" w:eastAsiaTheme="majorEastAsia"/>
          <w:b/>
          <w:bCs/>
          <w:sz w:val="28"/>
          <w:szCs w:val="28"/>
        </w:rPr>
        <w:t>合同价格</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3.1.1</w:t>
      </w:r>
      <w:r>
        <w:rPr>
          <w:rFonts w:hint="eastAsia" w:asciiTheme="majorEastAsia" w:hAnsiTheme="majorEastAsia" w:eastAsiaTheme="majorEastAsia"/>
        </w:rPr>
        <w:t>合同协议书中载明的签约合同价包括卖方为完成合同全部义务应承担的一切成本、费用和支出以及卖方的合理利润。</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3.1.2</w:t>
      </w:r>
      <w:r>
        <w:rPr>
          <w:rFonts w:hint="eastAsia" w:asciiTheme="majorEastAsia" w:hAnsiTheme="majorEastAsia" w:eastAsiaTheme="majorEastAsia"/>
        </w:rPr>
        <w:t>除专用合同条款另有约定外，签约合同价为固定价格。</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3.2</w:t>
      </w:r>
      <w:r>
        <w:rPr>
          <w:rFonts w:hint="eastAsia" w:asciiTheme="majorEastAsia" w:hAnsiTheme="majorEastAsia" w:eastAsiaTheme="majorEastAsia"/>
          <w:b/>
          <w:bCs/>
          <w:sz w:val="28"/>
          <w:szCs w:val="28"/>
        </w:rPr>
        <w:t>合同价款的支付</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除专用合同条款另有约定外，买方应通过以下方式和比例向卖方支付合同价款：</w:t>
      </w:r>
    </w:p>
    <w:p>
      <w:pPr>
        <w:spacing w:line="360" w:lineRule="auto"/>
        <w:ind w:firstLine="420" w:firstLineChars="200"/>
        <w:rPr>
          <w:rFonts w:hint="eastAsia" w:asciiTheme="majorEastAsia" w:hAnsiTheme="majorEastAsia" w:eastAsiaTheme="majorEastAsia"/>
        </w:rPr>
      </w:pPr>
      <w:r>
        <w:rPr>
          <w:rFonts w:hint="eastAsia" w:asciiTheme="majorEastAsia" w:hAnsiTheme="majorEastAsia" w:eastAsiaTheme="majorEastAsia"/>
          <w:lang w:val="en-US" w:eastAsia="zh-CN"/>
        </w:rPr>
        <w:t>以</w:t>
      </w:r>
      <w:r>
        <w:rPr>
          <w:rFonts w:hint="eastAsia" w:asciiTheme="majorEastAsia" w:hAnsiTheme="majorEastAsia" w:eastAsiaTheme="majorEastAsia"/>
        </w:rPr>
        <w:t>签订合同时双方协商确定。</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 xml:space="preserve">3.3 </w:t>
      </w:r>
      <w:r>
        <w:rPr>
          <w:rFonts w:hint="eastAsia" w:asciiTheme="majorEastAsia" w:hAnsiTheme="majorEastAsia" w:eastAsiaTheme="majorEastAsia"/>
          <w:b/>
          <w:bCs/>
          <w:sz w:val="28"/>
          <w:szCs w:val="28"/>
        </w:rPr>
        <w:t>买方扣款的权利</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当卖方应向买方支付合同项下的违约金或赔偿金时，买方有权从上述任何一笔应付款中予以直接扣除和（或）兑付履约保证金。</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 xml:space="preserve">4. </w:t>
      </w:r>
      <w:r>
        <w:rPr>
          <w:rFonts w:hint="eastAsia" w:asciiTheme="majorEastAsia" w:hAnsiTheme="majorEastAsia" w:eastAsiaTheme="majorEastAsia"/>
          <w:b/>
          <w:bCs/>
          <w:sz w:val="32"/>
          <w:szCs w:val="32"/>
        </w:rPr>
        <w:t>监造及交货前检验</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 xml:space="preserve">4.1 </w:t>
      </w:r>
      <w:r>
        <w:rPr>
          <w:rFonts w:hint="eastAsia" w:asciiTheme="majorEastAsia" w:hAnsiTheme="majorEastAsia" w:eastAsiaTheme="majorEastAsia"/>
          <w:b/>
          <w:bCs/>
          <w:sz w:val="28"/>
          <w:szCs w:val="28"/>
        </w:rPr>
        <w:t>监造</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专用合同条款约定买方对合同设备进行监造的，双方应按本款及专用合同条款约定履行。</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 xml:space="preserve">4.1.1 </w:t>
      </w:r>
      <w:r>
        <w:rPr>
          <w:rFonts w:hint="eastAsia" w:asciiTheme="majorEastAsia" w:hAnsiTheme="majorEastAsia" w:eastAsiaTheme="majorEastAsia"/>
        </w:rPr>
        <w:t>在合同设备的制造过程中，买方可派出监造人员，对合同设备的生产制造进行监造，监督合同设备制造、检验等情况。监造的范围、方式等应符合专用合同条款和（或）供货要求等合同文件的约定。</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4.1.2</w:t>
      </w:r>
      <w:r>
        <w:rPr>
          <w:rFonts w:hint="eastAsia" w:asciiTheme="majorEastAsia" w:hAnsiTheme="majorEastAsia" w:eastAsiaTheme="majorEastAsia"/>
        </w:rPr>
        <w:t>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4.1.3</w:t>
      </w:r>
      <w:r>
        <w:rPr>
          <w:rFonts w:hint="eastAsia" w:asciiTheme="majorEastAsia" w:hAnsiTheme="majorEastAsia" w:eastAsiaTheme="majorEastAsia"/>
        </w:rPr>
        <w:t>卖方制订生产制造合同设备的进度计划时，应将买方监造纳入计划安排，并提前通知买方；买方进行监造不应影响合同设备的正常生产。除专用合同条款和（或）供货要求等合同文件另有约定外，卖方应提前</w:t>
      </w:r>
      <w:r>
        <w:rPr>
          <w:rFonts w:asciiTheme="majorEastAsia" w:hAnsiTheme="majorEastAsia" w:eastAsiaTheme="majorEastAsia"/>
        </w:rPr>
        <w:t xml:space="preserve"> 7 </w:t>
      </w:r>
      <w:r>
        <w:rPr>
          <w:rFonts w:hint="eastAsia" w:asciiTheme="majorEastAsia" w:hAnsiTheme="majorEastAsia" w:eastAsiaTheme="majorEastAsia"/>
        </w:rPr>
        <w:t>日将需要买方监造人员现场监造事项通知买方；如买方监造人员未按通知出席，不影响合同设备及其关键部件的制造或检验，但买方监造人员有权事后了解、查阅、复制相关制造或检验记录。</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4.1.4</w:t>
      </w:r>
      <w:r>
        <w:rPr>
          <w:rFonts w:hint="eastAsia" w:asciiTheme="majorEastAsia" w:hAnsiTheme="majorEastAsia" w:eastAsiaTheme="majorEastAsia"/>
        </w:rPr>
        <w:t>买方监造人员在监造中如发现合同设备及其关键部件不符合合同约定的标准，则有权提出意见和建议。卖方应采取必要措施消除合同设备的不符，由此增加的费用和（或）造成的延误由卖方负责。</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4.1.5</w:t>
      </w:r>
      <w:r>
        <w:rPr>
          <w:rFonts w:hint="eastAsia" w:asciiTheme="majorEastAsia" w:hAnsiTheme="majorEastAsia" w:eastAsiaTheme="majorEastAsia"/>
        </w:rPr>
        <w:t>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4.2</w:t>
      </w:r>
      <w:r>
        <w:rPr>
          <w:rFonts w:hint="eastAsia" w:asciiTheme="majorEastAsia" w:hAnsiTheme="majorEastAsia" w:eastAsiaTheme="majorEastAsia"/>
          <w:b/>
          <w:bCs/>
          <w:sz w:val="28"/>
          <w:szCs w:val="28"/>
        </w:rPr>
        <w:t>交货前检验</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专用合同条款约定买方参与交货前检验的，双方应按本款及专用合同条款约定履行。</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4.2.1</w:t>
      </w:r>
      <w:r>
        <w:rPr>
          <w:rFonts w:hint="eastAsia" w:asciiTheme="majorEastAsia" w:hAnsiTheme="majorEastAsia" w:eastAsiaTheme="majorEastAsia"/>
        </w:rPr>
        <w:t>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4.2.2</w:t>
      </w:r>
      <w:r>
        <w:rPr>
          <w:rFonts w:hint="eastAsia" w:asciiTheme="majorEastAsia" w:hAnsiTheme="majorEastAsia" w:eastAsiaTheme="majorEastAsia"/>
        </w:rPr>
        <w:t>除专用合同条款和（或）供货要求等合同文件另有约定外，卖方应提前</w:t>
      </w:r>
      <w:r>
        <w:rPr>
          <w:rFonts w:asciiTheme="majorEastAsia" w:hAnsiTheme="majorEastAsia" w:eastAsiaTheme="majorEastAsia"/>
        </w:rPr>
        <w:t xml:space="preserve"> 7 </w:t>
      </w:r>
      <w:r>
        <w:rPr>
          <w:rFonts w:hint="eastAsia" w:asciiTheme="majorEastAsia" w:hAnsiTheme="majorEastAsia" w:eastAsiaTheme="majorEastAsia"/>
        </w:rPr>
        <w:t>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4.2.3</w:t>
      </w:r>
      <w:r>
        <w:rPr>
          <w:rFonts w:hint="eastAsia" w:asciiTheme="majorEastAsia" w:hAnsiTheme="majorEastAsia" w:eastAsiaTheme="majorEastAsia"/>
        </w:rPr>
        <w:t>买方代表在检验中如发现合同设备不符合合同约定的标准，则有权提出异议。卖方应采取必要措施消除合同设备的不符，由此增加的费用和（或）造成的延误由卖方负责。</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4.2.4</w:t>
      </w:r>
      <w:r>
        <w:rPr>
          <w:rFonts w:hint="eastAsia" w:asciiTheme="majorEastAsia" w:hAnsiTheme="majorEastAsia" w:eastAsiaTheme="majorEastAsia"/>
        </w:rPr>
        <w:t>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5.</w:t>
      </w:r>
      <w:r>
        <w:rPr>
          <w:rFonts w:hint="eastAsia" w:asciiTheme="majorEastAsia" w:hAnsiTheme="majorEastAsia" w:eastAsiaTheme="majorEastAsia"/>
          <w:b/>
          <w:bCs/>
          <w:sz w:val="32"/>
          <w:szCs w:val="32"/>
        </w:rPr>
        <w:t>包装、标记、运输和交付</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5.1</w:t>
      </w:r>
      <w:r>
        <w:rPr>
          <w:rFonts w:hint="eastAsia" w:asciiTheme="majorEastAsia" w:hAnsiTheme="majorEastAsia" w:eastAsiaTheme="majorEastAsia"/>
          <w:b/>
          <w:bCs/>
          <w:sz w:val="28"/>
          <w:szCs w:val="28"/>
        </w:rPr>
        <w:t>包装</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5.1.1</w:t>
      </w:r>
      <w:r>
        <w:rPr>
          <w:rFonts w:hint="eastAsia" w:asciiTheme="majorEastAsia" w:hAnsiTheme="majorEastAsia" w:eastAsiaTheme="majorEastAsia"/>
        </w:rPr>
        <w:t>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5.1.2</w:t>
      </w:r>
      <w:r>
        <w:rPr>
          <w:rFonts w:hint="eastAsia" w:asciiTheme="majorEastAsia" w:hAnsiTheme="majorEastAsia" w:eastAsiaTheme="majorEastAsia"/>
        </w:rPr>
        <w:t>每个独立包装箱内应附装箱清单、质量合格证、装配图、说明书、操作指南等资料。</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5.1.3</w:t>
      </w:r>
      <w:r>
        <w:rPr>
          <w:rFonts w:hint="eastAsia" w:asciiTheme="majorEastAsia" w:hAnsiTheme="majorEastAsia" w:eastAsiaTheme="majorEastAsia"/>
        </w:rPr>
        <w:t>除专用合同条款另有约定外，买方无需将包装物退还给卖方。</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5.2</w:t>
      </w:r>
      <w:r>
        <w:rPr>
          <w:rFonts w:hint="eastAsia" w:asciiTheme="majorEastAsia" w:hAnsiTheme="majorEastAsia" w:eastAsiaTheme="majorEastAsia"/>
          <w:b/>
          <w:bCs/>
          <w:sz w:val="28"/>
          <w:szCs w:val="28"/>
        </w:rPr>
        <w:t>标记</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5.2.1</w:t>
      </w:r>
      <w:r>
        <w:rPr>
          <w:rFonts w:hint="eastAsia" w:asciiTheme="majorEastAsia" w:hAnsiTheme="majorEastAsia" w:eastAsiaTheme="majorEastAsia"/>
        </w:rPr>
        <w:t>除专用合同条款另有约定外，卖方应在每一包装箱相邻的四个侧面以不可擦除的、明显的方式标记必要的装运信息和标记，以满足合同设备运输和保管的需要。</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5.2.2</w:t>
      </w:r>
      <w:r>
        <w:rPr>
          <w:rFonts w:hint="eastAsia" w:asciiTheme="majorEastAsia" w:hAnsiTheme="majorEastAsia" w:eastAsiaTheme="majorEastAsia"/>
        </w:rPr>
        <w:t>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5.3</w:t>
      </w:r>
      <w:r>
        <w:rPr>
          <w:rFonts w:hint="eastAsia" w:asciiTheme="majorEastAsia" w:hAnsiTheme="majorEastAsia" w:eastAsiaTheme="majorEastAsia"/>
          <w:b/>
          <w:bCs/>
          <w:sz w:val="28"/>
          <w:szCs w:val="28"/>
        </w:rPr>
        <w:t>运输</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5.3.1</w:t>
      </w:r>
      <w:r>
        <w:rPr>
          <w:rFonts w:hint="eastAsia" w:asciiTheme="majorEastAsia" w:hAnsiTheme="majorEastAsia" w:eastAsiaTheme="majorEastAsia"/>
        </w:rPr>
        <w:t>卖方应自行选择适宜的运输工具及线路安排合同设备运输。</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5.3.2</w:t>
      </w:r>
      <w:r>
        <w:rPr>
          <w:rFonts w:hint="eastAsia" w:asciiTheme="majorEastAsia" w:hAnsiTheme="majorEastAsia" w:eastAsiaTheme="majorEastAsia"/>
        </w:rPr>
        <w:t>除专用合同条款另有约定外，每件能够独立运行的设备应整套装运。该设备安装、调试、考核和运行所使用的备品、备件、易损易耗件等应随相关的主机</w:t>
      </w:r>
      <w:r>
        <w:rPr>
          <w:rFonts w:hint="eastAsia" w:asciiTheme="majorEastAsia" w:hAnsiTheme="majorEastAsia" w:eastAsiaTheme="majorEastAsia"/>
          <w:lang w:eastAsia="zh-CN"/>
        </w:rPr>
        <w:t>一起</w:t>
      </w:r>
      <w:r>
        <w:rPr>
          <w:rFonts w:hint="eastAsia" w:asciiTheme="majorEastAsia" w:hAnsiTheme="majorEastAsia" w:eastAsiaTheme="majorEastAsia"/>
        </w:rPr>
        <w:t>装运。</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5.3.3</w:t>
      </w:r>
      <w:r>
        <w:rPr>
          <w:rFonts w:hint="eastAsia" w:asciiTheme="majorEastAsia" w:hAnsiTheme="majorEastAsia" w:eastAsiaTheme="majorEastAsia"/>
        </w:rPr>
        <w:t>除专用合同条款另有约定外，卖方应在合同设备预计启运</w:t>
      </w:r>
      <w:r>
        <w:rPr>
          <w:rFonts w:asciiTheme="majorEastAsia" w:hAnsiTheme="majorEastAsia" w:eastAsiaTheme="majorEastAsia"/>
        </w:rPr>
        <w:t xml:space="preserve"> 7 </w:t>
      </w:r>
      <w:r>
        <w:rPr>
          <w:rFonts w:hint="eastAsia" w:asciiTheme="majorEastAsia" w:hAnsiTheme="majorEastAsia" w:eastAsiaTheme="majorEastAsia"/>
        </w:rPr>
        <w:t>日前，将合同设备名称、数量、箱数、总毛重、总体积（用</w:t>
      </w:r>
      <w:r>
        <w:rPr>
          <w:rFonts w:asciiTheme="majorEastAsia" w:hAnsiTheme="majorEastAsia" w:eastAsiaTheme="majorEastAsia"/>
        </w:rPr>
        <w:t xml:space="preserve"> m3 </w:t>
      </w:r>
      <w:r>
        <w:rPr>
          <w:rFonts w:hint="eastAsia" w:asciiTheme="majorEastAsia" w:hAnsiTheme="majorEastAsia" w:eastAsiaTheme="majorEastAsia"/>
        </w:rPr>
        <w:t>表示）、每箱尺寸（长×宽×高）、装运合同设备总金额、运输方式、预计交付日期和合同设备在运输、装卸、保管中的注意事项等预通知买方，并在合同设备启运后</w:t>
      </w:r>
      <w:r>
        <w:rPr>
          <w:rFonts w:asciiTheme="majorEastAsia" w:hAnsiTheme="majorEastAsia" w:eastAsiaTheme="majorEastAsia"/>
        </w:rPr>
        <w:t xml:space="preserve"> 24 </w:t>
      </w:r>
      <w:r>
        <w:rPr>
          <w:rFonts w:hint="eastAsia" w:asciiTheme="majorEastAsia" w:hAnsiTheme="majorEastAsia" w:eastAsiaTheme="majorEastAsia"/>
        </w:rPr>
        <w:t>小时之内正式通知买方。</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5.3.4</w:t>
      </w:r>
      <w:r>
        <w:rPr>
          <w:rFonts w:hint="eastAsia" w:asciiTheme="majorEastAsia" w:hAnsiTheme="majorEastAsia" w:eastAsiaTheme="majorEastAsia"/>
        </w:rPr>
        <w:t>卖方在根据第</w:t>
      </w:r>
      <w:r>
        <w:rPr>
          <w:rFonts w:asciiTheme="majorEastAsia" w:hAnsiTheme="majorEastAsia" w:eastAsiaTheme="majorEastAsia"/>
        </w:rPr>
        <w:t xml:space="preserve"> 5.3.3 </w:t>
      </w:r>
      <w:r>
        <w:rPr>
          <w:rFonts w:hint="eastAsia" w:asciiTheme="majorEastAsia" w:hAnsiTheme="majorEastAsia" w:eastAsiaTheme="majorEastAsia"/>
        </w:rPr>
        <w:t>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5.4</w:t>
      </w:r>
      <w:r>
        <w:rPr>
          <w:rFonts w:hint="eastAsia" w:asciiTheme="majorEastAsia" w:hAnsiTheme="majorEastAsia" w:eastAsiaTheme="majorEastAsia"/>
          <w:b/>
          <w:bCs/>
          <w:sz w:val="28"/>
          <w:szCs w:val="28"/>
        </w:rPr>
        <w:t>交付</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5.4.1</w:t>
      </w:r>
      <w:r>
        <w:rPr>
          <w:rFonts w:hint="eastAsia" w:asciiTheme="majorEastAsia" w:hAnsiTheme="majorEastAsia" w:eastAsiaTheme="majorEastAsia"/>
        </w:rPr>
        <w:t>除专用合同条款另有约定外，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5.4.2</w:t>
      </w:r>
      <w:r>
        <w:rPr>
          <w:rFonts w:hint="eastAsia" w:asciiTheme="majorEastAsia" w:hAnsiTheme="majorEastAsia" w:eastAsiaTheme="majorEastAsia"/>
        </w:rPr>
        <w:t>合同设备的所有权和风险自交付时起由卖方转移至买方，合同设备交付给买方之前包括运输在内的所有风险均由卖方承担。</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5.4.3</w:t>
      </w:r>
      <w:r>
        <w:rPr>
          <w:rFonts w:hint="eastAsia" w:asciiTheme="majorEastAsia" w:hAnsiTheme="majorEastAsia" w:eastAsiaTheme="majorEastAsia"/>
        </w:rPr>
        <w:t>除专用合同条款另有约定外，买方如果发现技术资料存在短缺和（或）损坏，卖方应在收到买方的通知后</w:t>
      </w:r>
      <w:r>
        <w:rPr>
          <w:rFonts w:asciiTheme="majorEastAsia" w:hAnsiTheme="majorEastAsia" w:eastAsiaTheme="majorEastAsia"/>
        </w:rPr>
        <w:t xml:space="preserve"> 7 </w:t>
      </w:r>
      <w:r>
        <w:rPr>
          <w:rFonts w:hint="eastAsia" w:asciiTheme="majorEastAsia" w:hAnsiTheme="majorEastAsia" w:eastAsiaTheme="majorEastAsia"/>
        </w:rPr>
        <w:t>日内免费补齐短缺和（或）损坏的部分。如果买方发现卖方提供的技术资料有误，卖方应在收到买方通知后</w:t>
      </w:r>
      <w:r>
        <w:rPr>
          <w:rFonts w:asciiTheme="majorEastAsia" w:hAnsiTheme="majorEastAsia" w:eastAsiaTheme="majorEastAsia"/>
        </w:rPr>
        <w:t xml:space="preserve"> 7 </w:t>
      </w:r>
      <w:r>
        <w:rPr>
          <w:rFonts w:hint="eastAsia" w:asciiTheme="majorEastAsia" w:hAnsiTheme="majorEastAsia" w:eastAsiaTheme="majorEastAsia"/>
        </w:rPr>
        <w:t>日内免费替换。如由于买方原因导致技术资料丢失和（或）损坏，卖方应在收到买方的通知后</w:t>
      </w:r>
      <w:r>
        <w:rPr>
          <w:rFonts w:asciiTheme="majorEastAsia" w:hAnsiTheme="majorEastAsia" w:eastAsiaTheme="majorEastAsia"/>
        </w:rPr>
        <w:t xml:space="preserve"> 7 </w:t>
      </w:r>
      <w:r>
        <w:rPr>
          <w:rFonts w:hint="eastAsia" w:asciiTheme="majorEastAsia" w:hAnsiTheme="majorEastAsia" w:eastAsiaTheme="majorEastAsia"/>
        </w:rPr>
        <w:t>日内补齐丢失和（或）损坏的部分，但买方应向卖方支付合理的复制、邮寄费用。</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6.</w:t>
      </w:r>
      <w:r>
        <w:rPr>
          <w:rFonts w:hint="eastAsia" w:asciiTheme="majorEastAsia" w:hAnsiTheme="majorEastAsia" w:eastAsiaTheme="majorEastAsia"/>
          <w:b/>
          <w:bCs/>
          <w:sz w:val="32"/>
          <w:szCs w:val="32"/>
        </w:rPr>
        <w:t>开箱检验、安装、调试、考核、验收</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6.1</w:t>
      </w:r>
      <w:r>
        <w:rPr>
          <w:rFonts w:hint="eastAsia" w:asciiTheme="majorEastAsia" w:hAnsiTheme="majorEastAsia" w:eastAsiaTheme="majorEastAsia"/>
          <w:b/>
          <w:bCs/>
          <w:sz w:val="28"/>
          <w:szCs w:val="28"/>
        </w:rPr>
        <w:t>开箱检验</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6.1.1</w:t>
      </w:r>
      <w:r>
        <w:rPr>
          <w:rFonts w:hint="eastAsia" w:asciiTheme="majorEastAsia" w:hAnsiTheme="majorEastAsia" w:eastAsiaTheme="majorEastAsia"/>
        </w:rPr>
        <w:t>合同设备交付后应进行开箱检验，即合同设备数量及外观检验。开箱检验在专用合同条款约定的下列任一种时间进行：</w:t>
      </w:r>
    </w:p>
    <w:p>
      <w:pPr>
        <w:widowControl/>
        <w:numPr>
          <w:ilvl w:val="0"/>
          <w:numId w:val="5"/>
        </w:num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合同设备交付时；</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2</w:t>
      </w:r>
      <w:r>
        <w:rPr>
          <w:rFonts w:hint="eastAsia" w:asciiTheme="majorEastAsia" w:hAnsiTheme="majorEastAsia" w:eastAsiaTheme="majorEastAsia"/>
        </w:rPr>
        <w:t>）合同设备交付后的一定期限内。</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如开箱检验不在合同设备交付时进行，买方应在开箱检验</w:t>
      </w:r>
      <w:r>
        <w:rPr>
          <w:rFonts w:asciiTheme="majorEastAsia" w:hAnsiTheme="majorEastAsia" w:eastAsiaTheme="majorEastAsia"/>
        </w:rPr>
        <w:t xml:space="preserve"> 3 </w:t>
      </w:r>
      <w:r>
        <w:rPr>
          <w:rFonts w:hint="eastAsia" w:asciiTheme="majorEastAsia" w:hAnsiTheme="majorEastAsia" w:eastAsiaTheme="majorEastAsia"/>
        </w:rPr>
        <w:t>日前将开箱检验的时间和地点通知卖方。</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6.1.2</w:t>
      </w:r>
      <w:r>
        <w:rPr>
          <w:rFonts w:hint="eastAsia" w:asciiTheme="majorEastAsia" w:hAnsiTheme="majorEastAsia" w:eastAsiaTheme="majorEastAsia"/>
        </w:rPr>
        <w:t>除专用合同条款另有约定外，合同设备的开箱检验应在施工场地进行。</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6.1.3</w:t>
      </w:r>
      <w:r>
        <w:rPr>
          <w:rFonts w:hint="eastAsia" w:asciiTheme="majorEastAsia" w:hAnsiTheme="majorEastAsia" w:eastAsiaTheme="majorEastAsia"/>
        </w:rPr>
        <w:t>开箱检验由买卖双方共同进行，卖方应自负费用派遣代表到场参加开箱检验。</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6.1.4</w:t>
      </w:r>
      <w:r>
        <w:rPr>
          <w:rFonts w:hint="eastAsia" w:asciiTheme="majorEastAsia" w:hAnsiTheme="majorEastAsia" w:eastAsiaTheme="majorEastAsia"/>
        </w:rPr>
        <w:t>在开箱检验中，买方和卖方应共同签署数量、外观检验报告，报告应列明检验结果，包括检验合格或发现的任何短缺、损坏或其它与合同约定不符的情形。</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6.1.5</w:t>
      </w:r>
      <w:r>
        <w:rPr>
          <w:rFonts w:hint="eastAsia" w:asciiTheme="majorEastAsia" w:hAnsiTheme="majorEastAsia" w:eastAsiaTheme="majorEastAsia"/>
        </w:rPr>
        <w:t>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6.1.6</w:t>
      </w:r>
      <w:r>
        <w:rPr>
          <w:rFonts w:hint="eastAsia" w:asciiTheme="majorEastAsia" w:hAnsiTheme="majorEastAsia" w:eastAsiaTheme="majorEastAsia"/>
        </w:rPr>
        <w:t>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由买方承担，但买方能够证明是由于卖方原因或合同设备交付前非买方原因导致的除外。</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6.1.7</w:t>
      </w:r>
      <w:r>
        <w:rPr>
          <w:rFonts w:hint="eastAsia" w:asciiTheme="majorEastAsia" w:hAnsiTheme="majorEastAsia" w:eastAsiaTheme="majorEastAsia"/>
        </w:rPr>
        <w:t>如双方在专用合同条款和（或）供货要求等合同文件中约定由第三方检测机构对合同设备进行开箱检验或在开箱检验过程中另行约定由第三方检验的，则第三方检测机构的检验结果对双方均具有约束力。</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6.1.8</w:t>
      </w:r>
      <w:r>
        <w:rPr>
          <w:rFonts w:hint="eastAsia" w:asciiTheme="majorEastAsia" w:hAnsiTheme="majorEastAsia" w:eastAsiaTheme="majorEastAsia"/>
        </w:rPr>
        <w:t>开箱检验的检验结果不能对抗在合同设备的安装、调试、考核、验收中及质量保证期内发现的合同设备质量问题，也不能免除或影响卖方依照合同约定对买方负有的包括合同设备质量在内的任何义务或责任。</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6.2</w:t>
      </w:r>
      <w:r>
        <w:rPr>
          <w:rFonts w:hint="eastAsia" w:asciiTheme="majorEastAsia" w:hAnsiTheme="majorEastAsia" w:eastAsiaTheme="majorEastAsia"/>
          <w:b/>
          <w:bCs/>
          <w:sz w:val="28"/>
          <w:szCs w:val="28"/>
        </w:rPr>
        <w:t>安装、调试</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6.2.1</w:t>
      </w:r>
      <w:r>
        <w:rPr>
          <w:rFonts w:hint="eastAsia" w:asciiTheme="majorEastAsia" w:hAnsiTheme="majorEastAsia" w:eastAsiaTheme="majorEastAsia"/>
        </w:rPr>
        <w:t>开箱检验完成后，双方应对合同设备进行安装、调试，以使其具备考核的状态。安装、调试应按照专用合同条款约定的下列任一种方式进行：</w:t>
      </w:r>
    </w:p>
    <w:p>
      <w:pPr>
        <w:widowControl/>
        <w:numPr>
          <w:ilvl w:val="0"/>
          <w:numId w:val="6"/>
        </w:num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卖方按照合同约定完成合同设备的安装、调试工作；</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2</w:t>
      </w:r>
      <w:r>
        <w:rPr>
          <w:rFonts w:hint="eastAsia" w:asciiTheme="majorEastAsia" w:hAnsiTheme="majorEastAsia" w:eastAsiaTheme="majorEastAsia"/>
        </w:rPr>
        <w:t>）买方或买方安排第三方负责合同设备的安装、调试工作，卖方提供技术服务。</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6.2.2</w:t>
      </w:r>
      <w:r>
        <w:rPr>
          <w:rFonts w:hint="eastAsia" w:asciiTheme="majorEastAsia" w:hAnsiTheme="majorEastAsia" w:eastAsiaTheme="majorEastAsia"/>
        </w:rPr>
        <w:t>除专用合同条款另有约定外，安装、调试中合同设备运行需要的用水、用电、其他动力和原材料（如需要）等均由买方承担。</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6.2.3</w:t>
      </w:r>
      <w:r>
        <w:rPr>
          <w:rFonts w:hint="eastAsia" w:asciiTheme="majorEastAsia" w:hAnsiTheme="majorEastAsia" w:eastAsiaTheme="majorEastAsia"/>
        </w:rPr>
        <w:t>双方应对合同设备的安装、调试情况共同及时进行记录。</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6.3</w:t>
      </w:r>
      <w:r>
        <w:rPr>
          <w:rFonts w:hint="eastAsia" w:asciiTheme="majorEastAsia" w:hAnsiTheme="majorEastAsia" w:eastAsiaTheme="majorEastAsia"/>
          <w:b/>
          <w:bCs/>
          <w:sz w:val="28"/>
          <w:szCs w:val="28"/>
        </w:rPr>
        <w:t>考核</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6.3.1</w:t>
      </w:r>
      <w:r>
        <w:rPr>
          <w:rFonts w:hint="eastAsia" w:asciiTheme="majorEastAsia" w:hAnsiTheme="majorEastAsia" w:eastAsiaTheme="majorEastAsia"/>
        </w:rPr>
        <w:t>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6.3.2</w:t>
      </w:r>
      <w:r>
        <w:rPr>
          <w:rFonts w:hint="eastAsia" w:asciiTheme="majorEastAsia" w:hAnsiTheme="majorEastAsia" w:eastAsiaTheme="majorEastAsia"/>
        </w:rPr>
        <w:t>如由于卖方原因合同设备在考核中未能达到合同约定的技术性能考核指标，则卖方应在双方同意的期限内采取措施消除合同设备中存在的缺陷，并在缺陷消除以后，尽快进行再次考核。</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6.3.3</w:t>
      </w:r>
      <w:r>
        <w:rPr>
          <w:rFonts w:hint="eastAsia" w:asciiTheme="majorEastAsia" w:hAnsiTheme="majorEastAsia" w:eastAsiaTheme="majorEastAsia"/>
        </w:rPr>
        <w:t>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6.3.4</w:t>
      </w:r>
      <w:r>
        <w:rPr>
          <w:rFonts w:hint="eastAsia" w:asciiTheme="majorEastAsia" w:hAnsiTheme="majorEastAsia" w:eastAsiaTheme="majorEastAsia"/>
        </w:rPr>
        <w:t>如由于买方原因合同设备在考核中未能达到合同约定的技术性能考核指标，则卖方应协助买方安排再次考核。由于买方原因未能达到技术性能考核指标时，为买方进行考核的机会不超过三次。</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6.3.5</w:t>
      </w:r>
      <w:r>
        <w:rPr>
          <w:rFonts w:hint="eastAsia" w:asciiTheme="majorEastAsia" w:hAnsiTheme="majorEastAsia" w:eastAsiaTheme="majorEastAsia"/>
        </w:rPr>
        <w:t>考核期间，双方应及时共同记录合同设备的用水、用电、其他动力和原材料（如有）的使用及设备考核情况。对于未达到技术性能考核指标的，应如实记录设备表现、可能原因及处理情况等。</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6.4</w:t>
      </w:r>
      <w:r>
        <w:rPr>
          <w:rFonts w:hint="eastAsia" w:asciiTheme="majorEastAsia" w:hAnsiTheme="majorEastAsia" w:eastAsiaTheme="majorEastAsia"/>
          <w:b/>
          <w:bCs/>
          <w:sz w:val="28"/>
          <w:szCs w:val="28"/>
        </w:rPr>
        <w:t>验收</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6.4.1</w:t>
      </w:r>
      <w:r>
        <w:rPr>
          <w:rFonts w:hint="eastAsia" w:asciiTheme="majorEastAsia" w:hAnsiTheme="majorEastAsia" w:eastAsiaTheme="majorEastAsia"/>
        </w:rPr>
        <w:t>如合同设备在考核中达到或视为达到技术性能考核指标，则买卖双方应在考核完成后</w:t>
      </w:r>
      <w:r>
        <w:rPr>
          <w:rFonts w:asciiTheme="majorEastAsia" w:hAnsiTheme="majorEastAsia" w:eastAsiaTheme="majorEastAsia"/>
        </w:rPr>
        <w:t xml:space="preserve">7 </w:t>
      </w:r>
      <w:r>
        <w:rPr>
          <w:rFonts w:hint="eastAsia" w:asciiTheme="majorEastAsia" w:hAnsiTheme="majorEastAsia" w:eastAsiaTheme="majorEastAsia"/>
        </w:rPr>
        <w:t>日内或专用合同条款另行约定的时间内签署合同设备验收证书一式二份，双方各持一份。验收日期应为合同设备达到或视为达到技术性能考核指标的日期。</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6.4.2</w:t>
      </w:r>
      <w:r>
        <w:rPr>
          <w:rFonts w:hint="eastAsia" w:asciiTheme="majorEastAsia" w:hAnsiTheme="majorEastAsia" w:eastAsiaTheme="majorEastAsia"/>
        </w:rPr>
        <w:t>如由于买方原因合同设备在三次考核中均未能达到技术性能考核指标，买卖双方应在考核结束后</w:t>
      </w:r>
      <w:r>
        <w:rPr>
          <w:rFonts w:asciiTheme="majorEastAsia" w:hAnsiTheme="majorEastAsia" w:eastAsiaTheme="majorEastAsia"/>
        </w:rPr>
        <w:t xml:space="preserve"> 7 </w:t>
      </w:r>
      <w:r>
        <w:rPr>
          <w:rFonts w:hint="eastAsia" w:asciiTheme="majorEastAsia" w:hAnsiTheme="majorEastAsia" w:eastAsiaTheme="majorEastAsia"/>
        </w:rPr>
        <w:t>日内或专用合同条款另行约定的时间内签署验收款支付函。除专用合同条款另有约定外，卖方有义务在验收款支付函签署后</w:t>
      </w:r>
      <w:r>
        <w:rPr>
          <w:rFonts w:asciiTheme="majorEastAsia" w:hAnsiTheme="majorEastAsia" w:eastAsiaTheme="majorEastAsia"/>
        </w:rPr>
        <w:t xml:space="preserve"> 12 </w:t>
      </w:r>
      <w:r>
        <w:rPr>
          <w:rFonts w:hint="eastAsia" w:asciiTheme="majorEastAsia" w:hAnsiTheme="majorEastAsia" w:eastAsiaTheme="majorEastAsia"/>
        </w:rPr>
        <w:t>个月内应买方要求提供相关技术服务，协助买方采取一切必要措施使合同设备达到技术性能考核指标。买方应承担卖方因此产生的全部费用。在上述</w:t>
      </w:r>
      <w:r>
        <w:rPr>
          <w:rFonts w:asciiTheme="majorEastAsia" w:hAnsiTheme="majorEastAsia" w:eastAsiaTheme="majorEastAsia"/>
        </w:rPr>
        <w:t xml:space="preserve"> 12 </w:t>
      </w:r>
      <w:r>
        <w:rPr>
          <w:rFonts w:hint="eastAsia" w:asciiTheme="majorEastAsia" w:hAnsiTheme="majorEastAsia" w:eastAsiaTheme="majorEastAsia"/>
        </w:rPr>
        <w:t>个月的期限内，如合同设备经过考核达到或视为达到技术性能考核指标，则买卖双方应按照第</w:t>
      </w:r>
      <w:r>
        <w:rPr>
          <w:rFonts w:asciiTheme="majorEastAsia" w:hAnsiTheme="majorEastAsia" w:eastAsiaTheme="majorEastAsia"/>
        </w:rPr>
        <w:t xml:space="preserve"> 6.4.1 </w:t>
      </w:r>
      <w:r>
        <w:rPr>
          <w:rFonts w:hint="eastAsia" w:asciiTheme="majorEastAsia" w:hAnsiTheme="majorEastAsia" w:eastAsiaTheme="majorEastAsia"/>
        </w:rPr>
        <w:t>项的约定签署合同设备验收证书。</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6.4.3</w:t>
      </w:r>
      <w:r>
        <w:rPr>
          <w:rFonts w:hint="eastAsia" w:asciiTheme="majorEastAsia" w:hAnsiTheme="majorEastAsia" w:eastAsiaTheme="majorEastAsia"/>
        </w:rPr>
        <w:t>除专用合同条款另有约定外，如由于买方原因在最后一批合同设备交货后</w:t>
      </w:r>
      <w:r>
        <w:rPr>
          <w:rFonts w:asciiTheme="majorEastAsia" w:hAnsiTheme="majorEastAsia" w:eastAsiaTheme="majorEastAsia"/>
        </w:rPr>
        <w:t xml:space="preserve"> 6 </w:t>
      </w:r>
      <w:r>
        <w:rPr>
          <w:rFonts w:hint="eastAsia" w:asciiTheme="majorEastAsia" w:hAnsiTheme="majorEastAsia" w:eastAsiaTheme="majorEastAsia"/>
        </w:rPr>
        <w:t>个月内未能开始考核，则买卖双方应在上述期限届满后</w:t>
      </w:r>
      <w:r>
        <w:rPr>
          <w:rFonts w:asciiTheme="majorEastAsia" w:hAnsiTheme="majorEastAsia" w:eastAsiaTheme="majorEastAsia"/>
        </w:rPr>
        <w:t xml:space="preserve"> 7 </w:t>
      </w:r>
      <w:r>
        <w:rPr>
          <w:rFonts w:hint="eastAsia" w:asciiTheme="majorEastAsia" w:hAnsiTheme="majorEastAsia" w:eastAsiaTheme="majorEastAsia"/>
        </w:rPr>
        <w:t>日内或专用合同条款另行约定的时间内签署验收款支付函。除专用合同条款另有约定外，卖方有义务在验收款支付函签署后</w:t>
      </w:r>
      <w:r>
        <w:rPr>
          <w:rFonts w:asciiTheme="majorEastAsia" w:hAnsiTheme="majorEastAsia" w:eastAsiaTheme="majorEastAsia"/>
        </w:rPr>
        <w:t xml:space="preserve"> 6 </w:t>
      </w:r>
      <w:r>
        <w:rPr>
          <w:rFonts w:hint="eastAsia" w:asciiTheme="majorEastAsia" w:hAnsiTheme="majorEastAsia" w:eastAsiaTheme="majorEastAsia"/>
        </w:rPr>
        <w:t>个月内应买方要求提供不超出合同范围的技术服务，协助买方采取一切必要措施使合同设备达到技术性能考核指标，且买方无需因此向卖方支付费用。在上述</w:t>
      </w:r>
      <w:r>
        <w:rPr>
          <w:rFonts w:asciiTheme="majorEastAsia" w:hAnsiTheme="majorEastAsia" w:eastAsiaTheme="majorEastAsia"/>
        </w:rPr>
        <w:t xml:space="preserve"> 6 </w:t>
      </w:r>
      <w:r>
        <w:rPr>
          <w:rFonts w:hint="eastAsia" w:asciiTheme="majorEastAsia" w:hAnsiTheme="majorEastAsia" w:eastAsiaTheme="majorEastAsia"/>
        </w:rPr>
        <w:t>个月的期限内，如合同设备经过考核达到或视为达到技术性能考核指标，则买卖双方应按照第</w:t>
      </w:r>
      <w:r>
        <w:rPr>
          <w:rFonts w:asciiTheme="majorEastAsia" w:hAnsiTheme="majorEastAsia" w:eastAsiaTheme="majorEastAsia"/>
        </w:rPr>
        <w:t xml:space="preserve"> 6.4.1 </w:t>
      </w:r>
      <w:r>
        <w:rPr>
          <w:rFonts w:hint="eastAsia" w:asciiTheme="majorEastAsia" w:hAnsiTheme="majorEastAsia" w:eastAsiaTheme="majorEastAsia"/>
        </w:rPr>
        <w:t>项的约定签署合同设备验收证书。</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6.4.4</w:t>
      </w:r>
      <w:r>
        <w:rPr>
          <w:rFonts w:hint="eastAsia" w:asciiTheme="majorEastAsia" w:hAnsiTheme="majorEastAsia" w:eastAsiaTheme="majorEastAsia"/>
        </w:rPr>
        <w:t>在第</w:t>
      </w:r>
      <w:r>
        <w:rPr>
          <w:rFonts w:asciiTheme="majorEastAsia" w:hAnsiTheme="majorEastAsia" w:eastAsiaTheme="majorEastAsia"/>
        </w:rPr>
        <w:t xml:space="preserve"> 6.4.2 </w:t>
      </w:r>
      <w:r>
        <w:rPr>
          <w:rFonts w:hint="eastAsia" w:asciiTheme="majorEastAsia" w:hAnsiTheme="majorEastAsia" w:eastAsiaTheme="majorEastAsia"/>
        </w:rPr>
        <w:t>项和第</w:t>
      </w:r>
      <w:r>
        <w:rPr>
          <w:rFonts w:asciiTheme="majorEastAsia" w:hAnsiTheme="majorEastAsia" w:eastAsiaTheme="majorEastAsia"/>
        </w:rPr>
        <w:t xml:space="preserve"> 6.4.3 </w:t>
      </w:r>
      <w:r>
        <w:rPr>
          <w:rFonts w:hint="eastAsia" w:asciiTheme="majorEastAsia" w:hAnsiTheme="majorEastAsia" w:eastAsiaTheme="majorEastAsia"/>
        </w:rPr>
        <w:t>项情形下，卖方也可单方签署验收款支付函提交买方，如果买方在收到卖方签署的验收款支付函后</w:t>
      </w:r>
      <w:r>
        <w:rPr>
          <w:rFonts w:asciiTheme="majorEastAsia" w:hAnsiTheme="majorEastAsia" w:eastAsiaTheme="majorEastAsia"/>
        </w:rPr>
        <w:t xml:space="preserve"> 14 </w:t>
      </w:r>
      <w:r>
        <w:rPr>
          <w:rFonts w:hint="eastAsia" w:asciiTheme="majorEastAsia" w:hAnsiTheme="majorEastAsia" w:eastAsiaTheme="majorEastAsia"/>
        </w:rPr>
        <w:t>日内未向卖方提出书面异议，则验收款支付函自签署之日起生效。</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6.4.5</w:t>
      </w:r>
      <w:r>
        <w:rPr>
          <w:rFonts w:hint="eastAsia" w:asciiTheme="majorEastAsia" w:hAnsiTheme="majorEastAsia" w:eastAsiaTheme="majorEastAsia"/>
        </w:rPr>
        <w:t>合同设备验收证书的签署不能免除卖方在质量保证期内对合同设备应承担的保证责任。</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7.</w:t>
      </w:r>
      <w:r>
        <w:rPr>
          <w:rFonts w:hint="eastAsia" w:asciiTheme="majorEastAsia" w:hAnsiTheme="majorEastAsia" w:eastAsiaTheme="majorEastAsia"/>
          <w:b/>
          <w:bCs/>
          <w:sz w:val="32"/>
          <w:szCs w:val="32"/>
        </w:rPr>
        <w:t>技术服务</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7.1</w:t>
      </w:r>
      <w:r>
        <w:rPr>
          <w:rFonts w:hint="eastAsia" w:asciiTheme="majorEastAsia" w:hAnsiTheme="majorEastAsia" w:eastAsiaTheme="majorEastAsia"/>
        </w:rPr>
        <w:t>卖方应派遣技术熟练、称职的技术人员到施工场地为买方提供技术服务。卖方的技术服务应符合合同的约定。</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7.2</w:t>
      </w:r>
      <w:r>
        <w:rPr>
          <w:rFonts w:hint="eastAsia" w:asciiTheme="majorEastAsia" w:hAnsiTheme="majorEastAsia" w:eastAsiaTheme="majorEastAsia"/>
        </w:rPr>
        <w:t>买方应免费为卖方技术人员提供工作条件及便利，包括但不限于必要的办公场所、技术资料及出入许可等。除专用合同条款另有约定外，卖方技术人员的交通、食宿费用由卖方承担。</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7.3</w:t>
      </w:r>
      <w:r>
        <w:rPr>
          <w:rFonts w:hint="eastAsia" w:asciiTheme="majorEastAsia" w:hAnsiTheme="majorEastAsia" w:eastAsiaTheme="majorEastAsia"/>
        </w:rPr>
        <w:t>卖方技术人员应遵守买方施工现场的各项规章制度和安全操作规程，并服从买方的现场管理。</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7.4</w:t>
      </w:r>
      <w:r>
        <w:rPr>
          <w:rFonts w:hint="eastAsia" w:asciiTheme="majorEastAsia" w:hAnsiTheme="majorEastAsia" w:eastAsiaTheme="majorEastAsia"/>
        </w:rPr>
        <w:t>如果任何技术人员不合格，买方有权要求卖方撤换，因撤换而产生的费用应由卖方承担。在不影响技术服务并且征得买方同意的条件下，卖方也可自负费用更换其技术人员。</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8.</w:t>
      </w:r>
      <w:r>
        <w:rPr>
          <w:rFonts w:hint="eastAsia" w:asciiTheme="majorEastAsia" w:hAnsiTheme="majorEastAsia" w:eastAsiaTheme="majorEastAsia"/>
          <w:b/>
          <w:bCs/>
          <w:sz w:val="32"/>
          <w:szCs w:val="32"/>
        </w:rPr>
        <w:t>质量保证期</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8.1</w:t>
      </w:r>
      <w:r>
        <w:rPr>
          <w:rFonts w:hint="eastAsia" w:asciiTheme="majorEastAsia" w:hAnsiTheme="majorEastAsia" w:eastAsiaTheme="majorEastAsia"/>
        </w:rPr>
        <w:t>除专用合同条款和（或）供货要求等合同文件另有约定外，合同设备整体质量保证期为验收之日起</w:t>
      </w:r>
      <w:r>
        <w:rPr>
          <w:rFonts w:asciiTheme="majorEastAsia" w:hAnsiTheme="majorEastAsia" w:eastAsiaTheme="majorEastAsia"/>
        </w:rPr>
        <w:t xml:space="preserve"> 12 </w:t>
      </w:r>
      <w:r>
        <w:rPr>
          <w:rFonts w:hint="eastAsia" w:asciiTheme="majorEastAsia" w:hAnsiTheme="majorEastAsia" w:eastAsiaTheme="majorEastAsia"/>
        </w:rPr>
        <w:t>个月。如对合同设备中关键部件的质量保证期有特殊要求的，买卖双方可在专用合同条款中约定。在合同第</w:t>
      </w:r>
      <w:r>
        <w:rPr>
          <w:rFonts w:asciiTheme="majorEastAsia" w:hAnsiTheme="majorEastAsia" w:eastAsiaTheme="majorEastAsia"/>
        </w:rPr>
        <w:t xml:space="preserve"> 6.4.2 </w:t>
      </w:r>
      <w:r>
        <w:rPr>
          <w:rFonts w:hint="eastAsia" w:asciiTheme="majorEastAsia" w:hAnsiTheme="majorEastAsia" w:eastAsiaTheme="majorEastAsia"/>
        </w:rPr>
        <w:t>项情形下，无论合同设备何时验收，其质量保证期最长为签署验收款支付函后</w:t>
      </w:r>
      <w:r>
        <w:rPr>
          <w:rFonts w:asciiTheme="majorEastAsia" w:hAnsiTheme="majorEastAsia" w:eastAsiaTheme="majorEastAsia"/>
        </w:rPr>
        <w:t xml:space="preserve"> 12 </w:t>
      </w:r>
      <w:r>
        <w:rPr>
          <w:rFonts w:hint="eastAsia" w:asciiTheme="majorEastAsia" w:hAnsiTheme="majorEastAsia" w:eastAsiaTheme="majorEastAsia"/>
        </w:rPr>
        <w:t>个月。在合同第</w:t>
      </w:r>
      <w:r>
        <w:rPr>
          <w:rFonts w:asciiTheme="majorEastAsia" w:hAnsiTheme="majorEastAsia" w:eastAsiaTheme="majorEastAsia"/>
        </w:rPr>
        <w:t xml:space="preserve"> 6.4.3 </w:t>
      </w:r>
      <w:r>
        <w:rPr>
          <w:rFonts w:hint="eastAsia" w:asciiTheme="majorEastAsia" w:hAnsiTheme="majorEastAsia" w:eastAsiaTheme="majorEastAsia"/>
        </w:rPr>
        <w:t>项情形下，无论合同设备何时验收，其质量保证期最长为签署验收款支付函后</w:t>
      </w:r>
      <w:r>
        <w:rPr>
          <w:rFonts w:asciiTheme="majorEastAsia" w:hAnsiTheme="majorEastAsia" w:eastAsiaTheme="majorEastAsia"/>
        </w:rPr>
        <w:t xml:space="preserve"> 6 </w:t>
      </w:r>
      <w:r>
        <w:rPr>
          <w:rFonts w:hint="eastAsia" w:asciiTheme="majorEastAsia" w:hAnsiTheme="majorEastAsia" w:eastAsiaTheme="majorEastAsia"/>
        </w:rPr>
        <w:t>个月。</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8.2</w:t>
      </w:r>
      <w:r>
        <w:rPr>
          <w:rFonts w:hint="eastAsia" w:asciiTheme="majorEastAsia" w:hAnsiTheme="majorEastAsia" w:eastAsiaTheme="majorEastAsia"/>
        </w:rPr>
        <w:t>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8.3</w:t>
      </w:r>
      <w:r>
        <w:rPr>
          <w:rFonts w:hint="eastAsia" w:asciiTheme="majorEastAsia" w:hAnsiTheme="majorEastAsia" w:eastAsiaTheme="majorEastAsia"/>
        </w:rPr>
        <w:t>质量保证期届满后，买方应在</w:t>
      </w:r>
      <w:r>
        <w:rPr>
          <w:rFonts w:asciiTheme="majorEastAsia" w:hAnsiTheme="majorEastAsia" w:eastAsiaTheme="majorEastAsia"/>
        </w:rPr>
        <w:t xml:space="preserve"> 7 </w:t>
      </w:r>
      <w:r>
        <w:rPr>
          <w:rFonts w:hint="eastAsia" w:asciiTheme="majorEastAsia" w:hAnsiTheme="majorEastAsia" w:eastAsiaTheme="majorEastAsia"/>
        </w:rPr>
        <w:t>日内或专用合同条款另行约定的时间内向卖方出具合同设备的质量保证期届满证书。</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8.4</w:t>
      </w:r>
      <w:r>
        <w:rPr>
          <w:rFonts w:hint="eastAsia" w:asciiTheme="majorEastAsia" w:hAnsiTheme="majorEastAsia" w:eastAsiaTheme="majorEastAsia"/>
        </w:rPr>
        <w:t>在合同第</w:t>
      </w:r>
      <w:r>
        <w:rPr>
          <w:rFonts w:asciiTheme="majorEastAsia" w:hAnsiTheme="majorEastAsia" w:eastAsiaTheme="majorEastAsia"/>
        </w:rPr>
        <w:t xml:space="preserve"> 6.4.2 </w:t>
      </w:r>
      <w:r>
        <w:rPr>
          <w:rFonts w:hint="eastAsia" w:asciiTheme="majorEastAsia" w:hAnsiTheme="majorEastAsia" w:eastAsiaTheme="majorEastAsia"/>
        </w:rPr>
        <w:t>项情形下，如在验收款支付函签署后</w:t>
      </w:r>
      <w:r>
        <w:rPr>
          <w:rFonts w:asciiTheme="majorEastAsia" w:hAnsiTheme="majorEastAsia" w:eastAsiaTheme="majorEastAsia"/>
        </w:rPr>
        <w:t xml:space="preserve"> 12 </w:t>
      </w:r>
      <w:r>
        <w:rPr>
          <w:rFonts w:hint="eastAsia" w:asciiTheme="majorEastAsia" w:hAnsiTheme="majorEastAsia" w:eastAsiaTheme="majorEastAsia"/>
        </w:rPr>
        <w:t>个月内由于买方原因合同设备仍未能达到技术性能考核指标，则买卖双方应在该</w:t>
      </w:r>
      <w:r>
        <w:rPr>
          <w:rFonts w:asciiTheme="majorEastAsia" w:hAnsiTheme="majorEastAsia" w:eastAsiaTheme="majorEastAsia"/>
        </w:rPr>
        <w:t xml:space="preserve"> 12 </w:t>
      </w:r>
      <w:r>
        <w:rPr>
          <w:rFonts w:hint="eastAsia" w:asciiTheme="majorEastAsia" w:hAnsiTheme="majorEastAsia" w:eastAsiaTheme="majorEastAsia"/>
        </w:rPr>
        <w:t>个月届满后</w:t>
      </w:r>
      <w:r>
        <w:rPr>
          <w:rFonts w:asciiTheme="majorEastAsia" w:hAnsiTheme="majorEastAsia" w:eastAsiaTheme="majorEastAsia"/>
        </w:rPr>
        <w:t xml:space="preserve"> 7 </w:t>
      </w:r>
      <w:r>
        <w:rPr>
          <w:rFonts w:hint="eastAsia" w:asciiTheme="majorEastAsia" w:hAnsiTheme="majorEastAsia" w:eastAsiaTheme="majorEastAsia"/>
        </w:rPr>
        <w:t>日内或专用合同条款另行约定的时间内签署结清款支付函。</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8.5</w:t>
      </w:r>
      <w:r>
        <w:rPr>
          <w:rFonts w:hint="eastAsia" w:asciiTheme="majorEastAsia" w:hAnsiTheme="majorEastAsia" w:eastAsiaTheme="majorEastAsia"/>
        </w:rPr>
        <w:t>在合同第</w:t>
      </w:r>
      <w:r>
        <w:rPr>
          <w:rFonts w:asciiTheme="majorEastAsia" w:hAnsiTheme="majorEastAsia" w:eastAsiaTheme="majorEastAsia"/>
        </w:rPr>
        <w:t xml:space="preserve"> 6.4.3 </w:t>
      </w:r>
      <w:r>
        <w:rPr>
          <w:rFonts w:hint="eastAsia" w:asciiTheme="majorEastAsia" w:hAnsiTheme="majorEastAsia" w:eastAsiaTheme="majorEastAsia"/>
        </w:rPr>
        <w:t>项情形下，如在验收款支付函签署后</w:t>
      </w:r>
      <w:r>
        <w:rPr>
          <w:rFonts w:asciiTheme="majorEastAsia" w:hAnsiTheme="majorEastAsia" w:eastAsiaTheme="majorEastAsia"/>
        </w:rPr>
        <w:t xml:space="preserve"> 6 </w:t>
      </w:r>
      <w:r>
        <w:rPr>
          <w:rFonts w:hint="eastAsia" w:asciiTheme="majorEastAsia" w:hAnsiTheme="majorEastAsia" w:eastAsiaTheme="majorEastAsia"/>
        </w:rPr>
        <w:t>个月内由于买方原因合同设备仍未进行考核或仍未达到技术性能考核指标，则买卖双方应在该</w:t>
      </w:r>
      <w:r>
        <w:rPr>
          <w:rFonts w:asciiTheme="majorEastAsia" w:hAnsiTheme="majorEastAsia" w:eastAsiaTheme="majorEastAsia"/>
        </w:rPr>
        <w:t xml:space="preserve"> 6 </w:t>
      </w:r>
      <w:r>
        <w:rPr>
          <w:rFonts w:hint="eastAsia" w:asciiTheme="majorEastAsia" w:hAnsiTheme="majorEastAsia" w:eastAsiaTheme="majorEastAsia"/>
        </w:rPr>
        <w:t>个月届满后</w:t>
      </w:r>
      <w:r>
        <w:rPr>
          <w:rFonts w:asciiTheme="majorEastAsia" w:hAnsiTheme="majorEastAsia" w:eastAsiaTheme="majorEastAsia"/>
        </w:rPr>
        <w:t xml:space="preserve"> 7 </w:t>
      </w:r>
      <w:r>
        <w:rPr>
          <w:rFonts w:hint="eastAsia" w:asciiTheme="majorEastAsia" w:hAnsiTheme="majorEastAsia" w:eastAsiaTheme="majorEastAsia"/>
        </w:rPr>
        <w:t>日内或专用合同条款另行约定的时间内签署结清款支付函。</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8.6</w:t>
      </w:r>
      <w:r>
        <w:rPr>
          <w:rFonts w:hint="eastAsia" w:asciiTheme="majorEastAsia" w:hAnsiTheme="majorEastAsia" w:eastAsiaTheme="majorEastAsia"/>
        </w:rPr>
        <w:t>在第</w:t>
      </w:r>
      <w:r>
        <w:rPr>
          <w:rFonts w:asciiTheme="majorEastAsia" w:hAnsiTheme="majorEastAsia" w:eastAsiaTheme="majorEastAsia"/>
        </w:rPr>
        <w:t xml:space="preserve"> 8.4 </w:t>
      </w:r>
      <w:r>
        <w:rPr>
          <w:rFonts w:hint="eastAsia" w:asciiTheme="majorEastAsia" w:hAnsiTheme="majorEastAsia" w:eastAsiaTheme="majorEastAsia"/>
        </w:rPr>
        <w:t>款和第</w:t>
      </w:r>
      <w:r>
        <w:rPr>
          <w:rFonts w:asciiTheme="majorEastAsia" w:hAnsiTheme="majorEastAsia" w:eastAsiaTheme="majorEastAsia"/>
        </w:rPr>
        <w:t xml:space="preserve"> 8.5 </w:t>
      </w:r>
      <w:r>
        <w:rPr>
          <w:rFonts w:hint="eastAsia" w:asciiTheme="majorEastAsia" w:hAnsiTheme="majorEastAsia" w:eastAsiaTheme="majorEastAsia"/>
        </w:rPr>
        <w:t>款情形下，卖方也可单方签署结清款支付函提交买方，如果买方在收到卖方签署的结清款支付函后</w:t>
      </w:r>
      <w:r>
        <w:rPr>
          <w:rFonts w:asciiTheme="majorEastAsia" w:hAnsiTheme="majorEastAsia" w:eastAsiaTheme="majorEastAsia"/>
        </w:rPr>
        <w:t xml:space="preserve"> 14 </w:t>
      </w:r>
      <w:r>
        <w:rPr>
          <w:rFonts w:hint="eastAsia" w:asciiTheme="majorEastAsia" w:hAnsiTheme="majorEastAsia" w:eastAsiaTheme="majorEastAsia"/>
        </w:rPr>
        <w:t>日内未向卖方提出书面异议，则结清款支付函自签署之日起生效。</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9.</w:t>
      </w:r>
      <w:r>
        <w:rPr>
          <w:rFonts w:hint="eastAsia" w:asciiTheme="majorEastAsia" w:hAnsiTheme="majorEastAsia" w:eastAsiaTheme="majorEastAsia"/>
          <w:b/>
          <w:bCs/>
          <w:sz w:val="32"/>
          <w:szCs w:val="32"/>
        </w:rPr>
        <w:t>质保期服务</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9.1</w:t>
      </w:r>
      <w:r>
        <w:rPr>
          <w:rFonts w:hint="eastAsia" w:asciiTheme="majorEastAsia" w:hAnsiTheme="majorEastAsia" w:eastAsiaTheme="majorEastAsia"/>
        </w:rPr>
        <w:t>卖方应为质保期服务配备充足的技术人员、工具和备件并保证提供的联系方式畅通。除专用合同条款和（或）供货要求等合同文件另有约定外，卖方应在收到买方通知后</w:t>
      </w:r>
      <w:r>
        <w:rPr>
          <w:rFonts w:asciiTheme="majorEastAsia" w:hAnsiTheme="majorEastAsia" w:eastAsiaTheme="majorEastAsia"/>
        </w:rPr>
        <w:t xml:space="preserve"> 24 </w:t>
      </w:r>
      <w:r>
        <w:rPr>
          <w:rFonts w:hint="eastAsia" w:asciiTheme="majorEastAsia" w:hAnsiTheme="majorEastAsia" w:eastAsiaTheme="majorEastAsia"/>
        </w:rPr>
        <w:t>小时内做出响应，如需卖方到合同设备现场，卖方应在收到买方通知后</w:t>
      </w:r>
      <w:r>
        <w:rPr>
          <w:rFonts w:asciiTheme="majorEastAsia" w:hAnsiTheme="majorEastAsia" w:eastAsiaTheme="majorEastAsia"/>
        </w:rPr>
        <w:t xml:space="preserve"> 48 </w:t>
      </w:r>
      <w:r>
        <w:rPr>
          <w:rFonts w:hint="eastAsia" w:asciiTheme="majorEastAsia" w:hAnsiTheme="majorEastAsia" w:eastAsiaTheme="majorEastAsia"/>
        </w:rPr>
        <w:t>小时内到达，并在到达后</w:t>
      </w:r>
      <w:r>
        <w:rPr>
          <w:rFonts w:asciiTheme="majorEastAsia" w:hAnsiTheme="majorEastAsia" w:eastAsiaTheme="majorEastAsia"/>
        </w:rPr>
        <w:t xml:space="preserve"> 7</w:t>
      </w:r>
      <w:r>
        <w:rPr>
          <w:rFonts w:hint="eastAsia" w:asciiTheme="majorEastAsia" w:hAnsiTheme="majorEastAsia" w:eastAsiaTheme="majorEastAsia"/>
        </w:rPr>
        <w:t>日内解决合同设备的故障（重大故障除外）。如果卖方未在上述时间内作出响应，则买方有权自行或委托他人解决相关问题或查找和解决合同设备的故障，卖方应承担由此发生的全部费用。</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9.2</w:t>
      </w:r>
      <w:r>
        <w:rPr>
          <w:rFonts w:hint="eastAsia" w:asciiTheme="majorEastAsia" w:hAnsiTheme="majorEastAsia" w:eastAsiaTheme="majorEastAsia"/>
        </w:rPr>
        <w:t>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9.3</w:t>
      </w:r>
      <w:r>
        <w:rPr>
          <w:rFonts w:hint="eastAsia" w:asciiTheme="majorEastAsia" w:hAnsiTheme="majorEastAsia" w:eastAsiaTheme="majorEastAsia"/>
        </w:rPr>
        <w:t>如果任何技术人员不合格，买方有权要求卖方撤换，因撤换而产生的费用应由卖方承担。在不影响质保期服务并且征得买方同意的条件下，卖方也可自负费用更换其技术人员。</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9.4</w:t>
      </w:r>
      <w:r>
        <w:rPr>
          <w:rFonts w:hint="eastAsia" w:asciiTheme="majorEastAsia" w:hAnsiTheme="majorEastAsia" w:eastAsiaTheme="majorEastAsia"/>
        </w:rPr>
        <w:t>除专用合同条款另有约定外，卖方应就在施工现场进行质保期服务的情况进行记录，记载合同设备故障发生的时间、原因及解决情况等，由买方签字确认，并在质量保证期结束后提交给买方。</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10.</w:t>
      </w:r>
      <w:r>
        <w:rPr>
          <w:rFonts w:hint="eastAsia" w:asciiTheme="majorEastAsia" w:hAnsiTheme="majorEastAsia" w:eastAsiaTheme="majorEastAsia"/>
          <w:b/>
          <w:bCs/>
          <w:sz w:val="32"/>
          <w:szCs w:val="32"/>
        </w:rPr>
        <w:t>履约保证金</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除专用合同条款另有约定外，履约保证金自合同生效之日起生效，在合同设备验收证书或验收款支付函签署之日起</w:t>
      </w:r>
      <w:r>
        <w:rPr>
          <w:rFonts w:asciiTheme="majorEastAsia" w:hAnsiTheme="majorEastAsia" w:eastAsiaTheme="majorEastAsia"/>
        </w:rPr>
        <w:t xml:space="preserve"> 28 </w:t>
      </w:r>
      <w:r>
        <w:rPr>
          <w:rFonts w:hint="eastAsia" w:asciiTheme="majorEastAsia" w:hAnsiTheme="majorEastAsia" w:eastAsiaTheme="majorEastAsia"/>
        </w:rPr>
        <w:t>日后失效。如果卖方不履行合同约定的义务或其履行不符合合同的约定，买方有权扣划相应金额的履约保证金。</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11.</w:t>
      </w:r>
      <w:r>
        <w:rPr>
          <w:rFonts w:hint="eastAsia" w:asciiTheme="majorEastAsia" w:hAnsiTheme="majorEastAsia" w:eastAsiaTheme="majorEastAsia"/>
          <w:b/>
          <w:bCs/>
          <w:sz w:val="32"/>
          <w:szCs w:val="32"/>
        </w:rPr>
        <w:t>保证</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w:t>
      </w:r>
      <w:r>
        <w:rPr>
          <w:rFonts w:hint="eastAsia" w:asciiTheme="majorEastAsia" w:hAnsiTheme="majorEastAsia" w:eastAsiaTheme="majorEastAsia"/>
        </w:rPr>
        <w:t>卖方保证其具有完全的能力履行本合同项下的全部义务。</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11.2</w:t>
      </w:r>
      <w:r>
        <w:rPr>
          <w:rFonts w:hint="eastAsia" w:asciiTheme="majorEastAsia" w:hAnsiTheme="majorEastAsia" w:eastAsiaTheme="majorEastAsia"/>
        </w:rPr>
        <w:t>卖方保证其所提供的合同设备及对合同的履行符合所有应适用的法律、行政法规、地方性法规、自治条例和单行条例、规章及其他规范性文件的强制性规定。</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11.3</w:t>
      </w:r>
      <w:r>
        <w:rPr>
          <w:rFonts w:hint="eastAsia" w:asciiTheme="majorEastAsia" w:hAnsiTheme="majorEastAsia" w:eastAsiaTheme="majorEastAsia"/>
        </w:rPr>
        <w:t>卖方保证其对合同设备的销售不损害任何第三方的合法权益和社会公众利益。任何第三方不会因卖方原因而基于所有权、抵押权、留置权或其他任何权利或事由对合同设备主张权利。</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11.4</w:t>
      </w:r>
      <w:r>
        <w:rPr>
          <w:rFonts w:hint="eastAsia" w:asciiTheme="majorEastAsia" w:hAnsiTheme="majorEastAsia" w:eastAsiaTheme="majorEastAsia"/>
        </w:rPr>
        <w:t>卖方保证合同设备符合合同约定的规格、标准、技术性能考核指标等，能够安全和稳定地运行，且合同设备（包括全部部件）全新、完整、未使用过，除非专用合同条款和（或）供货要求等合同文件另有约定。</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11.5</w:t>
      </w:r>
      <w:r>
        <w:rPr>
          <w:rFonts w:hint="eastAsia" w:asciiTheme="majorEastAsia" w:hAnsiTheme="majorEastAsia" w:eastAsiaTheme="majorEastAsia"/>
        </w:rPr>
        <w:t>卖方保证，卖方所提供的技术资料完整、清晰、准确，符合合同约定并且能够满足合同设备的安装、调试、考核、操作以及维修和保养的需要。</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11.6</w:t>
      </w:r>
      <w:r>
        <w:rPr>
          <w:rFonts w:hint="eastAsia" w:asciiTheme="majorEastAsia" w:hAnsiTheme="majorEastAsia" w:eastAsiaTheme="majorEastAsia"/>
        </w:rPr>
        <w:t>卖方保证合同范围内提供的备品备件能够满足合同设备在质量保证期结束前正常运行及维修的需要，如在质量保证期结束前因卖方原因出现备品备件短缺影响合同设备正常运行的，卖方应免费提供。</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11.7</w:t>
      </w:r>
      <w:r>
        <w:rPr>
          <w:rFonts w:hint="eastAsia" w:asciiTheme="majorEastAsia" w:hAnsiTheme="majorEastAsia" w:eastAsiaTheme="majorEastAsia"/>
        </w:rPr>
        <w:t>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1</w:t>
      </w:r>
      <w:r>
        <w:rPr>
          <w:rFonts w:hint="eastAsia" w:asciiTheme="majorEastAsia" w:hAnsiTheme="majorEastAsia" w:eastAsiaTheme="majorEastAsia"/>
        </w:rPr>
        <w:t>）以不高于同期市场价格或其向任何第三方销售同类产品的价格提供合同设备正常运行所需的全部备品备件。</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2</w:t>
      </w:r>
      <w:r>
        <w:rPr>
          <w:rFonts w:hint="eastAsia" w:asciiTheme="majorEastAsia" w:hAnsiTheme="majorEastAsia" w:eastAsiaTheme="majorEastAsia"/>
        </w:rPr>
        <w:t>）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11.8</w:t>
      </w:r>
      <w:r>
        <w:rPr>
          <w:rFonts w:hint="eastAsia" w:asciiTheme="majorEastAsia" w:hAnsiTheme="majorEastAsia" w:eastAsiaTheme="majorEastAsia"/>
        </w:rPr>
        <w:t>卖方保证，在合同设备设计使用寿命期内，如果卖方发现合同设备由于设计、制造、标识等原因存在足以危及人身、财产安全的缺陷，卖方将及时通知买方并及时采取修正或者补充标识、修理、更换等措施消除缺陷。</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12.</w:t>
      </w:r>
      <w:r>
        <w:rPr>
          <w:rFonts w:hint="eastAsia" w:asciiTheme="majorEastAsia" w:hAnsiTheme="majorEastAsia" w:eastAsiaTheme="majorEastAsia"/>
          <w:b/>
          <w:bCs/>
          <w:sz w:val="28"/>
          <w:szCs w:val="28"/>
        </w:rPr>
        <w:t>知识产权</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12.1</w:t>
      </w:r>
      <w:r>
        <w:rPr>
          <w:rFonts w:hint="eastAsia" w:asciiTheme="majorEastAsia" w:hAnsiTheme="majorEastAsia" w:eastAsiaTheme="majorEastAsia"/>
        </w:rPr>
        <w:t>买方在履行合同过程中提供给卖方的全部图纸、文件和其他含有数据和信息的资料，其知识产权属于买方。</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12.2</w:t>
      </w:r>
      <w:r>
        <w:rPr>
          <w:rFonts w:hint="eastAsia" w:asciiTheme="majorEastAsia" w:hAnsiTheme="majorEastAsia" w:eastAsiaTheme="majorEastAsia"/>
        </w:rPr>
        <w:t>除专用合同条款另有约定外，买方不因签署和履行合同而享有卖方在履行合同过程中提供给买方的图纸、文件、配套软件、电子辅助程序和其他含有数据和信息的资料的知识产权。</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12.3</w:t>
      </w:r>
      <w:r>
        <w:rPr>
          <w:rFonts w:hint="eastAsia" w:asciiTheme="majorEastAsia" w:hAnsiTheme="majorEastAsia" w:eastAsiaTheme="majorEastAsia"/>
        </w:rPr>
        <w:t>如合同设备涉及知识产权，则卖方保证买方在使用合同设备过程中免于受到第三方提出的有关知识产权侵权的主张、索赔或诉讼的伤害。</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12.4</w:t>
      </w:r>
      <w:r>
        <w:rPr>
          <w:rFonts w:hint="eastAsia" w:asciiTheme="majorEastAsia" w:hAnsiTheme="majorEastAsia" w:eastAsiaTheme="majorEastAsia"/>
        </w:rPr>
        <w:t>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w:t>
      </w:r>
      <w:r>
        <w:rPr>
          <w:rFonts w:asciiTheme="majorEastAsia" w:hAnsiTheme="majorEastAsia" w:eastAsiaTheme="majorEastAsia"/>
        </w:rPr>
        <w:t xml:space="preserve"> 28 </w:t>
      </w:r>
      <w:r>
        <w:rPr>
          <w:rFonts w:hint="eastAsia" w:asciiTheme="majorEastAsia" w:hAnsiTheme="majorEastAsia" w:eastAsiaTheme="majorEastAsia"/>
        </w:rPr>
        <w:t>日内未作表示，买方可以自己的名义进行这些索赔或诉讼，因此发生的费用和遭受的损失均应由卖方承担。</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13.</w:t>
      </w:r>
      <w:r>
        <w:rPr>
          <w:rFonts w:hint="eastAsia" w:asciiTheme="majorEastAsia" w:hAnsiTheme="majorEastAsia" w:eastAsiaTheme="majorEastAsia"/>
          <w:b/>
          <w:bCs/>
          <w:sz w:val="28"/>
          <w:szCs w:val="28"/>
        </w:rPr>
        <w:t>保密</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合同双方应对因履行合同而取得的另一方当事人的信息、资料等予以保密。未经另一方当事人书面同意，任何一方均不得为与履行合同无关的目的使用或向第三方披露另一方当事人提供的信息、资料。</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合同当事人的保密义务不适用于下列信息：</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1</w:t>
      </w:r>
      <w:r>
        <w:rPr>
          <w:rFonts w:hint="eastAsia" w:asciiTheme="majorEastAsia" w:hAnsiTheme="majorEastAsia" w:eastAsiaTheme="majorEastAsia"/>
        </w:rPr>
        <w:t>）非因接受信息一方的过失现在或以后进入公共领域的信息；</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2</w:t>
      </w:r>
      <w:r>
        <w:rPr>
          <w:rFonts w:hint="eastAsia" w:asciiTheme="majorEastAsia" w:hAnsiTheme="majorEastAsia" w:eastAsiaTheme="majorEastAsia"/>
        </w:rPr>
        <w:t>）接受信息一方当事人合法地从第三方获得并且据其善意了解第三方也不对此承担保密义务的信息；</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3</w:t>
      </w:r>
      <w:r>
        <w:rPr>
          <w:rFonts w:hint="eastAsia" w:asciiTheme="majorEastAsia" w:hAnsiTheme="majorEastAsia" w:eastAsiaTheme="majorEastAsia"/>
        </w:rPr>
        <w:t>）法律或法律的执行要求披露的信息。</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14.</w:t>
      </w:r>
      <w:r>
        <w:rPr>
          <w:rFonts w:hint="eastAsia" w:asciiTheme="majorEastAsia" w:hAnsiTheme="majorEastAsia" w:eastAsiaTheme="majorEastAsia"/>
          <w:b/>
          <w:bCs/>
          <w:sz w:val="28"/>
          <w:szCs w:val="28"/>
        </w:rPr>
        <w:t>违约责任</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14.1</w:t>
      </w:r>
      <w:r>
        <w:rPr>
          <w:rFonts w:hint="eastAsia" w:asciiTheme="majorEastAsia" w:hAnsiTheme="majorEastAsia" w:eastAsiaTheme="majorEastAsia"/>
        </w:rPr>
        <w:t>合同一方不履行合同义务、履行合同义务不符合约定或者违反合同项下所作保证的，应向对方承担继续履行、采取修理、更换、退货等补救措施或者赔偿损失等违约责任。</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14.2</w:t>
      </w:r>
      <w:r>
        <w:rPr>
          <w:rFonts w:hint="eastAsia" w:asciiTheme="majorEastAsia" w:hAnsiTheme="majorEastAsia" w:eastAsiaTheme="majorEastAsia"/>
        </w:rPr>
        <w:t>卖方未能按时交付合同设备（包括仅迟延交付技术资料但足以导致合同设备安装、调试、考核、验收工作推迟的）的，应向买方支付迟延交付违约金。除专用合同条款另有约定外，迟延交付违约金的计算方法如下：</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1</w:t>
      </w:r>
      <w:r>
        <w:rPr>
          <w:rFonts w:hint="eastAsia" w:asciiTheme="majorEastAsia" w:hAnsiTheme="majorEastAsia" w:eastAsiaTheme="majorEastAsia"/>
        </w:rPr>
        <w:t>）从迟交的第一周到第四周，每周迟延交付违约金为迟交合同设备价格的</w:t>
      </w:r>
      <w:r>
        <w:rPr>
          <w:rFonts w:asciiTheme="majorEastAsia" w:hAnsiTheme="majorEastAsia" w:eastAsiaTheme="majorEastAsia"/>
        </w:rPr>
        <w:t xml:space="preserve"> 0.5%</w:t>
      </w:r>
      <w:r>
        <w:rPr>
          <w:rFonts w:hint="eastAsia" w:asciiTheme="majorEastAsia" w:hAnsiTheme="majorEastAsia" w:eastAsiaTheme="majorEastAsia"/>
        </w:rPr>
        <w:t>；</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2</w:t>
      </w:r>
      <w:r>
        <w:rPr>
          <w:rFonts w:hint="eastAsia" w:asciiTheme="majorEastAsia" w:hAnsiTheme="majorEastAsia" w:eastAsiaTheme="majorEastAsia"/>
        </w:rPr>
        <w:t>）从迟交的第五周到第八周，每周迟延交付违约金为迟交合同设备价格的</w:t>
      </w:r>
      <w:r>
        <w:rPr>
          <w:rFonts w:asciiTheme="majorEastAsia" w:hAnsiTheme="majorEastAsia" w:eastAsiaTheme="majorEastAsia"/>
        </w:rPr>
        <w:t xml:space="preserve"> 1%</w:t>
      </w:r>
      <w:r>
        <w:rPr>
          <w:rFonts w:hint="eastAsia" w:asciiTheme="majorEastAsia" w:hAnsiTheme="majorEastAsia" w:eastAsiaTheme="majorEastAsia"/>
        </w:rPr>
        <w:t>；</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3</w:t>
      </w:r>
      <w:r>
        <w:rPr>
          <w:rFonts w:hint="eastAsia" w:asciiTheme="majorEastAsia" w:hAnsiTheme="majorEastAsia" w:eastAsiaTheme="majorEastAsia"/>
        </w:rPr>
        <w:t>）从迟交第九周起，每周迟延交付违约金为迟交合同设备价格的</w:t>
      </w:r>
      <w:r>
        <w:rPr>
          <w:rFonts w:asciiTheme="majorEastAsia" w:hAnsiTheme="majorEastAsia" w:eastAsiaTheme="majorEastAsia"/>
        </w:rPr>
        <w:t xml:space="preserve"> 1.5%</w:t>
      </w:r>
      <w:r>
        <w:rPr>
          <w:rFonts w:hint="eastAsia" w:asciiTheme="majorEastAsia" w:hAnsiTheme="majorEastAsia" w:eastAsiaTheme="majorEastAsia"/>
        </w:rPr>
        <w:t>。</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在计算迟延交付违约金时，迟交不足一周的按一周计算。迟延交付违约金的总额不得超过合同价格的</w:t>
      </w:r>
      <w:r>
        <w:rPr>
          <w:rFonts w:asciiTheme="majorEastAsia" w:hAnsiTheme="majorEastAsia" w:eastAsiaTheme="majorEastAsia"/>
        </w:rPr>
        <w:t xml:space="preserve"> 10%</w:t>
      </w:r>
      <w:r>
        <w:rPr>
          <w:rFonts w:hint="eastAsia" w:asciiTheme="majorEastAsia" w:hAnsiTheme="majorEastAsia" w:eastAsiaTheme="majorEastAsia"/>
        </w:rPr>
        <w:t>。迟延交付违约金的支付不能免除卖方继续交付相关合同设备的义务，但如迟延交付必然导致合同设备安装、调试、考核、验收工作推迟的，相关工作应相应顺延。</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 xml:space="preserve">14.3 </w:t>
      </w:r>
      <w:r>
        <w:rPr>
          <w:rFonts w:hint="eastAsia" w:asciiTheme="majorEastAsia" w:hAnsiTheme="majorEastAsia" w:eastAsiaTheme="majorEastAsia"/>
        </w:rPr>
        <w:t>买方未能按合同约定支付合同价款的，应向卖方支付延迟付款违约金。除专用合同条款另有约定外，迟延付款违约金的计算方法如下：</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1</w:t>
      </w:r>
      <w:r>
        <w:rPr>
          <w:rFonts w:hint="eastAsia" w:asciiTheme="majorEastAsia" w:hAnsiTheme="majorEastAsia" w:eastAsiaTheme="majorEastAsia"/>
        </w:rPr>
        <w:t>）从迟付的第一周到第四周，每周迟延付款违约金为迟延付款金额的</w:t>
      </w:r>
      <w:r>
        <w:rPr>
          <w:rFonts w:asciiTheme="majorEastAsia" w:hAnsiTheme="majorEastAsia" w:eastAsiaTheme="majorEastAsia"/>
        </w:rPr>
        <w:t xml:space="preserve"> 0.5%</w:t>
      </w:r>
      <w:r>
        <w:rPr>
          <w:rFonts w:hint="eastAsia" w:asciiTheme="majorEastAsia" w:hAnsiTheme="majorEastAsia" w:eastAsiaTheme="majorEastAsia"/>
        </w:rPr>
        <w:t>；</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2</w:t>
      </w:r>
      <w:r>
        <w:rPr>
          <w:rFonts w:hint="eastAsia" w:asciiTheme="majorEastAsia" w:hAnsiTheme="majorEastAsia" w:eastAsiaTheme="majorEastAsia"/>
        </w:rPr>
        <w:t>）从迟付的第五周到第八周，每周迟延付款违约金为迟延付款金额的</w:t>
      </w:r>
      <w:r>
        <w:rPr>
          <w:rFonts w:asciiTheme="majorEastAsia" w:hAnsiTheme="majorEastAsia" w:eastAsiaTheme="majorEastAsia"/>
        </w:rPr>
        <w:t xml:space="preserve"> 1%</w:t>
      </w:r>
      <w:r>
        <w:rPr>
          <w:rFonts w:hint="eastAsia" w:asciiTheme="majorEastAsia" w:hAnsiTheme="majorEastAsia" w:eastAsiaTheme="majorEastAsia"/>
        </w:rPr>
        <w:t>；</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3</w:t>
      </w:r>
      <w:r>
        <w:rPr>
          <w:rFonts w:hint="eastAsia" w:asciiTheme="majorEastAsia" w:hAnsiTheme="majorEastAsia" w:eastAsiaTheme="majorEastAsia"/>
        </w:rPr>
        <w:t>）从迟付第九周起，每周迟延付款违约金为迟延付款金额的</w:t>
      </w:r>
      <w:r>
        <w:rPr>
          <w:rFonts w:asciiTheme="majorEastAsia" w:hAnsiTheme="majorEastAsia" w:eastAsiaTheme="majorEastAsia"/>
        </w:rPr>
        <w:t xml:space="preserve"> 1.5%</w:t>
      </w:r>
      <w:r>
        <w:rPr>
          <w:rFonts w:hint="eastAsia" w:asciiTheme="majorEastAsia" w:hAnsiTheme="majorEastAsia" w:eastAsiaTheme="majorEastAsia"/>
        </w:rPr>
        <w:t>。</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在计算迟延付款违约金时，迟付不足一周的按一周计算。迟延付款违约金的总额不得超过合同价格的</w:t>
      </w:r>
      <w:r>
        <w:rPr>
          <w:rFonts w:asciiTheme="majorEastAsia" w:hAnsiTheme="majorEastAsia" w:eastAsiaTheme="majorEastAsia"/>
        </w:rPr>
        <w:t xml:space="preserve"> 10%</w:t>
      </w:r>
      <w:r>
        <w:rPr>
          <w:rFonts w:hint="eastAsia" w:asciiTheme="majorEastAsia" w:hAnsiTheme="majorEastAsia" w:eastAsiaTheme="majorEastAsia"/>
        </w:rPr>
        <w:t>。</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 xml:space="preserve">15. </w:t>
      </w:r>
      <w:r>
        <w:rPr>
          <w:rFonts w:hint="eastAsia" w:asciiTheme="majorEastAsia" w:hAnsiTheme="majorEastAsia" w:eastAsiaTheme="majorEastAsia"/>
          <w:b/>
          <w:bCs/>
          <w:sz w:val="32"/>
          <w:szCs w:val="32"/>
        </w:rPr>
        <w:t>合同的解除</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除专用合同条款另有约定外，有下述情形之一，当事人可发出书面通知全部或部分地解除合同，合同自通知到达对方时全部或部分地解除：</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1</w:t>
      </w:r>
      <w:r>
        <w:rPr>
          <w:rFonts w:hint="eastAsia" w:asciiTheme="majorEastAsia" w:hAnsiTheme="majorEastAsia" w:eastAsiaTheme="majorEastAsia"/>
        </w:rPr>
        <w:t>）卖方迟延交付合同设备超过</w:t>
      </w:r>
      <w:r>
        <w:rPr>
          <w:rFonts w:asciiTheme="majorEastAsia" w:hAnsiTheme="majorEastAsia" w:eastAsiaTheme="majorEastAsia"/>
        </w:rPr>
        <w:t xml:space="preserve"> 3 </w:t>
      </w:r>
      <w:r>
        <w:rPr>
          <w:rFonts w:hint="eastAsia" w:asciiTheme="majorEastAsia" w:hAnsiTheme="majorEastAsia" w:eastAsiaTheme="majorEastAsia"/>
        </w:rPr>
        <w:t>个月；</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2</w:t>
      </w:r>
      <w:r>
        <w:rPr>
          <w:rFonts w:hint="eastAsia" w:asciiTheme="majorEastAsia" w:hAnsiTheme="majorEastAsia" w:eastAsiaTheme="majorEastAsia"/>
        </w:rPr>
        <w:t>）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3</w:t>
      </w:r>
      <w:r>
        <w:rPr>
          <w:rFonts w:hint="eastAsia" w:asciiTheme="majorEastAsia" w:hAnsiTheme="majorEastAsia" w:eastAsiaTheme="majorEastAsia"/>
        </w:rPr>
        <w:t>）买方迟延付款超过</w:t>
      </w:r>
      <w:r>
        <w:rPr>
          <w:rFonts w:asciiTheme="majorEastAsia" w:hAnsiTheme="majorEastAsia" w:eastAsiaTheme="majorEastAsia"/>
        </w:rPr>
        <w:t xml:space="preserve"> 3 </w:t>
      </w:r>
      <w:r>
        <w:rPr>
          <w:rFonts w:hint="eastAsia" w:asciiTheme="majorEastAsia" w:hAnsiTheme="majorEastAsia" w:eastAsiaTheme="majorEastAsia"/>
        </w:rPr>
        <w:t>个月；</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4</w:t>
      </w:r>
      <w:r>
        <w:rPr>
          <w:rFonts w:hint="eastAsia" w:asciiTheme="majorEastAsia" w:hAnsiTheme="majorEastAsia" w:eastAsiaTheme="majorEastAsia"/>
        </w:rPr>
        <w:t>）合同一方当事人未能履行合同项下任何其它义务（细微义务除外），或在未事先征得另一方当事人同意的情况下，从事任何可能在实质上不利影响其履行合同能力的活动，经另一方当事人书面通知后</w:t>
      </w:r>
      <w:r>
        <w:rPr>
          <w:rFonts w:asciiTheme="majorEastAsia" w:hAnsiTheme="majorEastAsia" w:eastAsiaTheme="majorEastAsia"/>
        </w:rPr>
        <w:t xml:space="preserve"> 14 </w:t>
      </w:r>
      <w:r>
        <w:rPr>
          <w:rFonts w:hint="eastAsia" w:asciiTheme="majorEastAsia" w:hAnsiTheme="majorEastAsia" w:eastAsiaTheme="majorEastAsia"/>
        </w:rPr>
        <w:t>日内或在专用合同条款约定的其他期限内未能对其行为作出补救；</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5</w:t>
      </w:r>
      <w:r>
        <w:rPr>
          <w:rFonts w:hint="eastAsia" w:asciiTheme="majorEastAsia" w:hAnsiTheme="majorEastAsia" w:eastAsiaTheme="majorEastAsia"/>
        </w:rPr>
        <w:t>）合同一方当事人出现破产、清算、资不抵债、成为失信被执行人等可能丧失履约能力的情形，且未能提供令对方满意的履约保证金。</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16.</w:t>
      </w:r>
      <w:r>
        <w:rPr>
          <w:rFonts w:hint="eastAsia" w:asciiTheme="majorEastAsia" w:hAnsiTheme="majorEastAsia" w:eastAsiaTheme="majorEastAsia"/>
          <w:b/>
          <w:bCs/>
          <w:sz w:val="28"/>
          <w:szCs w:val="28"/>
        </w:rPr>
        <w:t>不可抗力</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16.1</w:t>
      </w:r>
      <w:r>
        <w:rPr>
          <w:rFonts w:hint="eastAsia" w:asciiTheme="majorEastAsia" w:hAnsiTheme="majorEastAsia" w:eastAsiaTheme="majorEastAsia"/>
        </w:rPr>
        <w:t>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w:t>
      </w:r>
      <w:r>
        <w:rPr>
          <w:rFonts w:asciiTheme="majorEastAsia" w:hAnsiTheme="majorEastAsia" w:eastAsiaTheme="majorEastAsia"/>
        </w:rPr>
        <w:t xml:space="preserve"> 28 </w:t>
      </w:r>
      <w:r>
        <w:rPr>
          <w:rFonts w:hint="eastAsia" w:asciiTheme="majorEastAsia" w:hAnsiTheme="majorEastAsia" w:eastAsiaTheme="majorEastAsia"/>
        </w:rPr>
        <w:t>日内将有关当局或机构出具的证明文件提交给另一方当事人。</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16.2</w:t>
      </w:r>
      <w:r>
        <w:rPr>
          <w:rFonts w:hint="eastAsia" w:asciiTheme="majorEastAsia" w:hAnsiTheme="majorEastAsia" w:eastAsiaTheme="majorEastAsia"/>
        </w:rPr>
        <w:t>受不可抗力事件影响的一方当事人对于不可抗力事件导致的任何合同义务的迟延履行或不能履行不承担违约责任。但该方当事人应尽快将不可抗力事件结束或消除的情况通知另一方当事人。</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16.3</w:t>
      </w:r>
      <w:r>
        <w:rPr>
          <w:rFonts w:hint="eastAsia" w:asciiTheme="majorEastAsia" w:hAnsiTheme="majorEastAsia" w:eastAsiaTheme="majorEastAsia"/>
        </w:rPr>
        <w:t>双方当事人应在不可抗力事件结束或其影响消除后立即继续履行其合同义务，合同期限也应相应顺延。除专用合同条款另有约定外，如果不可抗力事件的影响持续超过</w:t>
      </w:r>
      <w:r>
        <w:rPr>
          <w:rFonts w:asciiTheme="majorEastAsia" w:hAnsiTheme="majorEastAsia" w:eastAsiaTheme="majorEastAsia"/>
        </w:rPr>
        <w:t xml:space="preserve"> 140 </w:t>
      </w:r>
      <w:r>
        <w:rPr>
          <w:rFonts w:hint="eastAsia" w:asciiTheme="majorEastAsia" w:hAnsiTheme="majorEastAsia" w:eastAsiaTheme="majorEastAsia"/>
        </w:rPr>
        <w:t>日，则任何一方当事人均有权以书面通知解除合同。</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17.</w:t>
      </w:r>
      <w:r>
        <w:rPr>
          <w:rFonts w:hint="eastAsia" w:asciiTheme="majorEastAsia" w:hAnsiTheme="majorEastAsia" w:eastAsiaTheme="majorEastAsia"/>
          <w:b/>
          <w:bCs/>
          <w:sz w:val="28"/>
          <w:szCs w:val="28"/>
        </w:rPr>
        <w:t>争议的解决</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因本合同引起的或与本合同有关的任何争议</w:t>
      </w:r>
      <w:r>
        <w:rPr>
          <w:rFonts w:asciiTheme="majorEastAsia" w:hAnsiTheme="majorEastAsia" w:eastAsiaTheme="majorEastAsia"/>
        </w:rPr>
        <w:t>,</w:t>
      </w:r>
      <w:r>
        <w:rPr>
          <w:rFonts w:hint="eastAsia" w:asciiTheme="majorEastAsia" w:hAnsiTheme="majorEastAsia" w:eastAsiaTheme="majorEastAsia"/>
        </w:rPr>
        <w:t>双方可通过友好协商解决。友好协商解决不成的，可在专用合同条款中约定下列一种方式解决：</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1</w:t>
      </w:r>
      <w:r>
        <w:rPr>
          <w:rFonts w:hint="eastAsia" w:asciiTheme="majorEastAsia" w:hAnsiTheme="majorEastAsia" w:eastAsiaTheme="majorEastAsia"/>
        </w:rPr>
        <w:t>）向约定的仲裁委员会申请仲裁；</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2</w:t>
      </w:r>
      <w:r>
        <w:rPr>
          <w:rFonts w:hint="eastAsia" w:asciiTheme="majorEastAsia" w:hAnsiTheme="majorEastAsia" w:eastAsiaTheme="majorEastAsia"/>
        </w:rPr>
        <w:t>）向有管辖权的人民法院提起诉讼。</w:t>
      </w: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spacing w:line="360" w:lineRule="auto"/>
        <w:rPr>
          <w:rFonts w:asciiTheme="majorEastAsia" w:hAnsiTheme="majorEastAsia" w:eastAsiaTheme="majorEastAsia"/>
        </w:rPr>
      </w:pPr>
    </w:p>
    <w:p>
      <w:pPr>
        <w:spacing w:line="360" w:lineRule="auto"/>
        <w:jc w:val="center"/>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第二节专用合同条款</w:t>
      </w:r>
    </w:p>
    <w:p>
      <w:pPr>
        <w:pStyle w:val="49"/>
      </w:pPr>
      <w:r>
        <w:rPr>
          <w:rFonts w:hint="eastAsia"/>
        </w:rPr>
        <w:t xml:space="preserve">                     （本项目专用合同条款双方在签订合同协商确定）</w:t>
      </w: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jc w:val="center"/>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第三节合同附件格式</w:t>
      </w: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pStyle w:val="49"/>
        <w:rPr>
          <w:rFonts w:asciiTheme="majorEastAsia" w:hAnsiTheme="majorEastAsia" w:eastAsiaTheme="majorEastAsia"/>
          <w:b/>
          <w:bCs/>
          <w:szCs w:val="21"/>
        </w:rPr>
      </w:pPr>
    </w:p>
    <w:p>
      <w:pPr>
        <w:pStyle w:val="49"/>
        <w:rPr>
          <w:rFonts w:asciiTheme="majorEastAsia" w:hAnsiTheme="majorEastAsia" w:eastAsiaTheme="majorEastAsia"/>
          <w:b/>
          <w:bCs/>
          <w:szCs w:val="21"/>
        </w:rPr>
      </w:pPr>
    </w:p>
    <w:p>
      <w:pPr>
        <w:pStyle w:val="49"/>
        <w:rPr>
          <w:rFonts w:asciiTheme="majorEastAsia" w:hAnsiTheme="majorEastAsia" w:eastAsiaTheme="majorEastAsia"/>
          <w:b/>
          <w:bCs/>
          <w:szCs w:val="21"/>
        </w:rPr>
      </w:pPr>
    </w:p>
    <w:p>
      <w:pPr>
        <w:pStyle w:val="49"/>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240" w:lineRule="atLeast"/>
        <w:ind w:left="140"/>
        <w:rPr>
          <w:rFonts w:asciiTheme="majorEastAsia" w:hAnsiTheme="majorEastAsia" w:eastAsiaTheme="majorEastAsia"/>
          <w:sz w:val="28"/>
        </w:rPr>
      </w:pPr>
      <w:r>
        <w:rPr>
          <w:rFonts w:hint="eastAsia" w:asciiTheme="majorEastAsia" w:hAnsiTheme="majorEastAsia" w:eastAsiaTheme="majorEastAsia"/>
          <w:sz w:val="28"/>
        </w:rPr>
        <w:t>附件一：合同协议书</w:t>
      </w:r>
    </w:p>
    <w:p>
      <w:pPr>
        <w:spacing w:line="200" w:lineRule="exact"/>
        <w:rPr>
          <w:rFonts w:asciiTheme="majorEastAsia" w:hAnsiTheme="majorEastAsia" w:eastAsiaTheme="majorEastAsia"/>
        </w:rPr>
      </w:pPr>
    </w:p>
    <w:p>
      <w:pPr>
        <w:spacing w:line="200" w:lineRule="exact"/>
        <w:rPr>
          <w:rFonts w:asciiTheme="majorEastAsia" w:hAnsiTheme="majorEastAsia" w:eastAsiaTheme="majorEastAsia"/>
        </w:rPr>
      </w:pPr>
    </w:p>
    <w:p>
      <w:pPr>
        <w:spacing w:line="234" w:lineRule="exact"/>
        <w:rPr>
          <w:rFonts w:asciiTheme="majorEastAsia" w:hAnsiTheme="majorEastAsia" w:eastAsiaTheme="majorEastAsia"/>
        </w:rPr>
      </w:pPr>
    </w:p>
    <w:p>
      <w:pPr>
        <w:keepNext w:val="0"/>
        <w:keepLines w:val="0"/>
        <w:pageBreakBefore w:val="0"/>
        <w:kinsoku/>
        <w:wordWrap/>
        <w:overflowPunct/>
        <w:topLinePunct w:val="0"/>
        <w:autoSpaceDE/>
        <w:autoSpaceDN/>
        <w:bidi w:val="0"/>
        <w:adjustRightInd/>
        <w:snapToGrid/>
        <w:spacing w:line="360" w:lineRule="exact"/>
        <w:ind w:left="0" w:leftChars="0" w:right="0"/>
        <w:textAlignment w:val="auto"/>
        <w:rPr>
          <w:rFonts w:asciiTheme="majorEastAsia" w:hAnsiTheme="majorEastAsia" w:eastAsiaTheme="majorEastAsia"/>
          <w:sz w:val="28"/>
        </w:rPr>
      </w:pPr>
      <w:r>
        <w:rPr>
          <w:rFonts w:hint="eastAsia" w:asciiTheme="majorEastAsia" w:hAnsiTheme="majorEastAsia" w:eastAsiaTheme="majorEastAsia"/>
          <w:sz w:val="28"/>
        </w:rPr>
        <w:t>合同协议书</w:t>
      </w:r>
    </w:p>
    <w:p>
      <w:pPr>
        <w:keepNext w:val="0"/>
        <w:keepLines w:val="0"/>
        <w:pageBreakBefore w:val="0"/>
        <w:kinsoku/>
        <w:wordWrap/>
        <w:overflowPunct/>
        <w:topLinePunct w:val="0"/>
        <w:autoSpaceDE/>
        <w:autoSpaceDN/>
        <w:bidi w:val="0"/>
        <w:adjustRightInd/>
        <w:snapToGrid/>
        <w:spacing w:line="360" w:lineRule="exact"/>
        <w:ind w:left="0" w:leftChars="0" w:right="0"/>
        <w:textAlignment w:val="auto"/>
        <w:rPr>
          <w:rFonts w:asciiTheme="majorEastAsia" w:hAnsiTheme="majorEastAsia" w:eastAsiaTheme="majorEastAsia"/>
          <w:sz w:val="28"/>
        </w:rPr>
      </w:pPr>
    </w:p>
    <w:p>
      <w:pPr>
        <w:keepNext w:val="0"/>
        <w:keepLines w:val="0"/>
        <w:pageBreakBefore w:val="0"/>
        <w:kinsoku/>
        <w:wordWrap/>
        <w:overflowPunct/>
        <w:topLinePunct w:val="0"/>
        <w:autoSpaceDE/>
        <w:autoSpaceDN/>
        <w:bidi w:val="0"/>
        <w:adjustRightInd/>
        <w:snapToGrid/>
        <w:spacing w:line="360" w:lineRule="exact"/>
        <w:ind w:left="0" w:leftChars="0" w:right="0" w:firstLine="420" w:firstLineChars="200"/>
        <w:textAlignment w:val="auto"/>
        <w:rPr>
          <w:rFonts w:asciiTheme="majorEastAsia" w:hAnsiTheme="majorEastAsia" w:eastAsiaTheme="majorEastAsia"/>
          <w:bCs/>
          <w:szCs w:val="21"/>
        </w:rPr>
      </w:pP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（买方名称，以下简称“买方”）为获得</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（项目名称）合同设备和技术服务和质保期服务，已接受</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（卖方名称，以下简称“卖方”）为提供上述合同设备和技术服务和质保期服务所作的投标，买方和卖方共同达成如下协议。</w:t>
      </w:r>
    </w:p>
    <w:p>
      <w:pPr>
        <w:keepNext w:val="0"/>
        <w:keepLines w:val="0"/>
        <w:pageBreakBefore w:val="0"/>
        <w:tabs>
          <w:tab w:val="left" w:pos="684"/>
        </w:tabs>
        <w:kinsoku/>
        <w:wordWrap/>
        <w:overflowPunct/>
        <w:topLinePunct w:val="0"/>
        <w:autoSpaceDE/>
        <w:autoSpaceDN/>
        <w:bidi w:val="0"/>
        <w:adjustRightInd/>
        <w:snapToGrid/>
        <w:spacing w:line="360" w:lineRule="exact"/>
        <w:ind w:left="0" w:leftChars="0" w:right="0" w:firstLine="420" w:firstLineChars="200"/>
        <w:textAlignment w:val="auto"/>
        <w:rPr>
          <w:rFonts w:asciiTheme="majorEastAsia" w:hAnsiTheme="majorEastAsia" w:eastAsiaTheme="majorEastAsia"/>
        </w:rPr>
      </w:pPr>
      <w:r>
        <w:rPr>
          <w:rFonts w:asciiTheme="majorEastAsia" w:hAnsiTheme="majorEastAsia" w:eastAsiaTheme="majorEastAsia"/>
        </w:rPr>
        <w:t>1.</w:t>
      </w:r>
      <w:r>
        <w:rPr>
          <w:rFonts w:hint="eastAsia" w:asciiTheme="majorEastAsia" w:hAnsiTheme="majorEastAsia" w:eastAsiaTheme="majorEastAsia"/>
        </w:rPr>
        <w:t>本协议书与下列文件一起构成合同文件：</w:t>
      </w:r>
    </w:p>
    <w:p>
      <w:pPr>
        <w:keepNext w:val="0"/>
        <w:keepLines w:val="0"/>
        <w:pageBreakBefore w:val="0"/>
        <w:widowControl/>
        <w:numPr>
          <w:ilvl w:val="0"/>
          <w:numId w:val="7"/>
        </w:numPr>
        <w:tabs>
          <w:tab w:val="left" w:pos="684"/>
        </w:tabs>
        <w:kinsoku/>
        <w:wordWrap/>
        <w:overflowPunct/>
        <w:topLinePunct w:val="0"/>
        <w:autoSpaceDE/>
        <w:autoSpaceDN/>
        <w:bidi w:val="0"/>
        <w:adjustRightInd/>
        <w:snapToGrid/>
        <w:spacing w:line="360" w:lineRule="exact"/>
        <w:ind w:left="0" w:leftChars="0" w:right="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rPr>
        <w:t>中标通知书；</w:t>
      </w:r>
    </w:p>
    <w:p>
      <w:pPr>
        <w:keepNext w:val="0"/>
        <w:keepLines w:val="0"/>
        <w:pageBreakBefore w:val="0"/>
        <w:widowControl/>
        <w:numPr>
          <w:ilvl w:val="0"/>
          <w:numId w:val="7"/>
        </w:numPr>
        <w:tabs>
          <w:tab w:val="left" w:pos="684"/>
        </w:tabs>
        <w:kinsoku/>
        <w:wordWrap/>
        <w:overflowPunct/>
        <w:topLinePunct w:val="0"/>
        <w:autoSpaceDE/>
        <w:autoSpaceDN/>
        <w:bidi w:val="0"/>
        <w:adjustRightInd/>
        <w:snapToGrid/>
        <w:spacing w:line="360" w:lineRule="exact"/>
        <w:ind w:left="0" w:leftChars="0" w:right="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rPr>
        <w:t>投标函；</w:t>
      </w:r>
    </w:p>
    <w:p>
      <w:pPr>
        <w:keepNext w:val="0"/>
        <w:keepLines w:val="0"/>
        <w:pageBreakBefore w:val="0"/>
        <w:widowControl/>
        <w:numPr>
          <w:ilvl w:val="0"/>
          <w:numId w:val="7"/>
        </w:numPr>
        <w:tabs>
          <w:tab w:val="left" w:pos="684"/>
        </w:tabs>
        <w:kinsoku/>
        <w:wordWrap/>
        <w:overflowPunct/>
        <w:topLinePunct w:val="0"/>
        <w:autoSpaceDE/>
        <w:autoSpaceDN/>
        <w:bidi w:val="0"/>
        <w:adjustRightInd/>
        <w:snapToGrid/>
        <w:spacing w:line="360" w:lineRule="exact"/>
        <w:ind w:left="0" w:leftChars="0" w:right="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rPr>
        <w:t>商务和技术偏差表；</w:t>
      </w:r>
    </w:p>
    <w:p>
      <w:pPr>
        <w:keepNext w:val="0"/>
        <w:keepLines w:val="0"/>
        <w:pageBreakBefore w:val="0"/>
        <w:widowControl/>
        <w:numPr>
          <w:ilvl w:val="0"/>
          <w:numId w:val="7"/>
        </w:numPr>
        <w:tabs>
          <w:tab w:val="left" w:pos="684"/>
        </w:tabs>
        <w:kinsoku/>
        <w:wordWrap/>
        <w:overflowPunct/>
        <w:topLinePunct w:val="0"/>
        <w:autoSpaceDE/>
        <w:autoSpaceDN/>
        <w:bidi w:val="0"/>
        <w:adjustRightInd/>
        <w:snapToGrid/>
        <w:spacing w:line="360" w:lineRule="exact"/>
        <w:ind w:left="0" w:leftChars="0" w:right="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rPr>
        <w:t>专用合同条款；</w:t>
      </w:r>
    </w:p>
    <w:p>
      <w:pPr>
        <w:keepNext w:val="0"/>
        <w:keepLines w:val="0"/>
        <w:pageBreakBefore w:val="0"/>
        <w:widowControl/>
        <w:numPr>
          <w:ilvl w:val="0"/>
          <w:numId w:val="7"/>
        </w:numPr>
        <w:tabs>
          <w:tab w:val="left" w:pos="684"/>
        </w:tabs>
        <w:kinsoku/>
        <w:wordWrap/>
        <w:overflowPunct/>
        <w:topLinePunct w:val="0"/>
        <w:autoSpaceDE/>
        <w:autoSpaceDN/>
        <w:bidi w:val="0"/>
        <w:adjustRightInd/>
        <w:snapToGrid/>
        <w:spacing w:line="360" w:lineRule="exact"/>
        <w:ind w:left="0" w:leftChars="0" w:right="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rPr>
        <w:t>通用合同条款；</w:t>
      </w:r>
    </w:p>
    <w:p>
      <w:pPr>
        <w:keepNext w:val="0"/>
        <w:keepLines w:val="0"/>
        <w:pageBreakBefore w:val="0"/>
        <w:widowControl/>
        <w:numPr>
          <w:ilvl w:val="0"/>
          <w:numId w:val="7"/>
        </w:numPr>
        <w:tabs>
          <w:tab w:val="left" w:pos="684"/>
        </w:tabs>
        <w:kinsoku/>
        <w:wordWrap/>
        <w:overflowPunct/>
        <w:topLinePunct w:val="0"/>
        <w:autoSpaceDE/>
        <w:autoSpaceDN/>
        <w:bidi w:val="0"/>
        <w:adjustRightInd/>
        <w:snapToGrid/>
        <w:spacing w:line="360" w:lineRule="exact"/>
        <w:ind w:left="0" w:leftChars="0" w:right="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rPr>
        <w:t>供货要求；</w:t>
      </w:r>
    </w:p>
    <w:p>
      <w:pPr>
        <w:keepNext w:val="0"/>
        <w:keepLines w:val="0"/>
        <w:pageBreakBefore w:val="0"/>
        <w:widowControl/>
        <w:numPr>
          <w:ilvl w:val="0"/>
          <w:numId w:val="7"/>
        </w:numPr>
        <w:tabs>
          <w:tab w:val="left" w:pos="684"/>
        </w:tabs>
        <w:kinsoku/>
        <w:wordWrap/>
        <w:overflowPunct/>
        <w:topLinePunct w:val="0"/>
        <w:autoSpaceDE/>
        <w:autoSpaceDN/>
        <w:bidi w:val="0"/>
        <w:adjustRightInd/>
        <w:snapToGrid/>
        <w:spacing w:line="360" w:lineRule="exact"/>
        <w:ind w:left="0" w:leftChars="0" w:right="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rPr>
        <w:t>分项报价表；</w:t>
      </w:r>
    </w:p>
    <w:p>
      <w:pPr>
        <w:keepNext w:val="0"/>
        <w:keepLines w:val="0"/>
        <w:pageBreakBefore w:val="0"/>
        <w:widowControl/>
        <w:numPr>
          <w:ilvl w:val="0"/>
          <w:numId w:val="7"/>
        </w:numPr>
        <w:tabs>
          <w:tab w:val="left" w:pos="684"/>
        </w:tabs>
        <w:kinsoku/>
        <w:wordWrap/>
        <w:overflowPunct/>
        <w:topLinePunct w:val="0"/>
        <w:autoSpaceDE/>
        <w:autoSpaceDN/>
        <w:bidi w:val="0"/>
        <w:adjustRightInd/>
        <w:snapToGrid/>
        <w:spacing w:line="360" w:lineRule="exact"/>
        <w:ind w:left="0" w:leftChars="0" w:right="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rPr>
        <w:t>中标设备技术性能指标的详细描述；</w:t>
      </w:r>
    </w:p>
    <w:p>
      <w:pPr>
        <w:keepNext w:val="0"/>
        <w:keepLines w:val="0"/>
        <w:pageBreakBefore w:val="0"/>
        <w:widowControl/>
        <w:numPr>
          <w:ilvl w:val="0"/>
          <w:numId w:val="7"/>
        </w:numPr>
        <w:tabs>
          <w:tab w:val="left" w:pos="684"/>
        </w:tabs>
        <w:kinsoku/>
        <w:wordWrap/>
        <w:overflowPunct/>
        <w:topLinePunct w:val="0"/>
        <w:autoSpaceDE/>
        <w:autoSpaceDN/>
        <w:bidi w:val="0"/>
        <w:adjustRightInd/>
        <w:snapToGrid/>
        <w:spacing w:line="360" w:lineRule="exact"/>
        <w:ind w:left="0" w:leftChars="0" w:right="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rPr>
        <w:t>技术服务和质保期服务计划；</w:t>
      </w:r>
    </w:p>
    <w:p>
      <w:pPr>
        <w:keepNext w:val="0"/>
        <w:keepLines w:val="0"/>
        <w:pageBreakBefore w:val="0"/>
        <w:widowControl/>
        <w:numPr>
          <w:ilvl w:val="0"/>
          <w:numId w:val="7"/>
        </w:numPr>
        <w:tabs>
          <w:tab w:val="left" w:pos="684"/>
        </w:tabs>
        <w:kinsoku/>
        <w:wordWrap/>
        <w:overflowPunct/>
        <w:topLinePunct w:val="0"/>
        <w:autoSpaceDE/>
        <w:autoSpaceDN/>
        <w:bidi w:val="0"/>
        <w:adjustRightInd/>
        <w:snapToGrid/>
        <w:spacing w:line="360" w:lineRule="exact"/>
        <w:ind w:left="0" w:leftChars="0" w:right="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rPr>
        <w:t>质量保证书；</w:t>
      </w:r>
    </w:p>
    <w:p>
      <w:pPr>
        <w:keepNext w:val="0"/>
        <w:keepLines w:val="0"/>
        <w:pageBreakBefore w:val="0"/>
        <w:tabs>
          <w:tab w:val="left" w:pos="684"/>
        </w:tabs>
        <w:kinsoku/>
        <w:wordWrap/>
        <w:overflowPunct/>
        <w:topLinePunct w:val="0"/>
        <w:autoSpaceDE/>
        <w:autoSpaceDN/>
        <w:bidi w:val="0"/>
        <w:adjustRightInd/>
        <w:snapToGrid/>
        <w:spacing w:line="360" w:lineRule="exact"/>
        <w:ind w:left="0" w:leftChars="0" w:right="0" w:firstLine="420" w:firstLineChars="200"/>
        <w:textAlignment w:val="auto"/>
        <w:rPr>
          <w:rFonts w:asciiTheme="majorEastAsia" w:hAnsiTheme="majorEastAsia" w:eastAsiaTheme="majorEastAsia"/>
        </w:rPr>
      </w:pPr>
      <w:r>
        <w:rPr>
          <w:rFonts w:hint="eastAsia" w:asciiTheme="majorEastAsia" w:hAnsiTheme="majorEastAsia" w:eastAsiaTheme="majorEastAsia"/>
        </w:rPr>
        <w:t>（11）其他合同文件。</w:t>
      </w:r>
    </w:p>
    <w:p>
      <w:pPr>
        <w:keepNext w:val="0"/>
        <w:keepLines w:val="0"/>
        <w:pageBreakBefore w:val="0"/>
        <w:tabs>
          <w:tab w:val="left" w:pos="684"/>
        </w:tabs>
        <w:kinsoku/>
        <w:wordWrap/>
        <w:overflowPunct/>
        <w:topLinePunct w:val="0"/>
        <w:autoSpaceDE/>
        <w:autoSpaceDN/>
        <w:bidi w:val="0"/>
        <w:adjustRightInd/>
        <w:snapToGrid/>
        <w:spacing w:line="360" w:lineRule="exact"/>
        <w:ind w:left="0" w:leftChars="0" w:right="0" w:firstLine="420" w:firstLineChars="200"/>
        <w:textAlignment w:val="auto"/>
        <w:rPr>
          <w:rFonts w:asciiTheme="majorEastAsia" w:hAnsiTheme="majorEastAsia" w:eastAsiaTheme="majorEastAsia"/>
        </w:rPr>
      </w:pPr>
      <w:r>
        <w:rPr>
          <w:rFonts w:asciiTheme="majorEastAsia" w:hAnsiTheme="majorEastAsia" w:eastAsiaTheme="majorEastAsia"/>
        </w:rPr>
        <w:t>2.</w:t>
      </w:r>
      <w:r>
        <w:rPr>
          <w:rFonts w:hint="eastAsia" w:asciiTheme="majorEastAsia" w:hAnsiTheme="majorEastAsia" w:eastAsiaTheme="majorEastAsia"/>
        </w:rPr>
        <w:t>上述合同文件互相补充和解释。如果合同文件之间存在矛盾或不一致之处，以上述文件的排列顺序在先者为准。</w:t>
      </w:r>
    </w:p>
    <w:p>
      <w:pPr>
        <w:keepNext w:val="0"/>
        <w:keepLines w:val="0"/>
        <w:pageBreakBefore w:val="0"/>
        <w:tabs>
          <w:tab w:val="left" w:pos="684"/>
        </w:tabs>
        <w:kinsoku/>
        <w:wordWrap/>
        <w:overflowPunct/>
        <w:topLinePunct w:val="0"/>
        <w:autoSpaceDE/>
        <w:autoSpaceDN/>
        <w:bidi w:val="0"/>
        <w:adjustRightInd/>
        <w:snapToGrid/>
        <w:spacing w:line="360" w:lineRule="exact"/>
        <w:ind w:left="0" w:leftChars="0" w:right="0" w:firstLine="420" w:firstLineChars="200"/>
        <w:textAlignment w:val="auto"/>
        <w:rPr>
          <w:rFonts w:asciiTheme="majorEastAsia" w:hAnsiTheme="majorEastAsia" w:eastAsiaTheme="majorEastAsia"/>
        </w:rPr>
      </w:pPr>
      <w:r>
        <w:rPr>
          <w:rFonts w:asciiTheme="majorEastAsia" w:hAnsiTheme="majorEastAsia" w:eastAsiaTheme="majorEastAsia"/>
        </w:rPr>
        <w:t>3.</w:t>
      </w:r>
      <w:r>
        <w:rPr>
          <w:rFonts w:hint="eastAsia" w:asciiTheme="majorEastAsia" w:hAnsiTheme="majorEastAsia" w:eastAsiaTheme="majorEastAsia"/>
        </w:rPr>
        <w:t>签约合同价：人民币（大写）</w:t>
      </w:r>
      <w:r>
        <w:rPr>
          <w:rFonts w:asciiTheme="majorEastAsia" w:hAnsiTheme="majorEastAsia" w:eastAsiaTheme="majorEastAsia"/>
          <w:u w:val="single"/>
        </w:rPr>
        <w:t xml:space="preserve">                     </w:t>
      </w:r>
      <w:r>
        <w:rPr>
          <w:rFonts w:hint="eastAsia" w:asciiTheme="majorEastAsia" w:hAnsiTheme="majorEastAsia" w:eastAsiaTheme="majorEastAsia"/>
        </w:rPr>
        <w:t>（</w:t>
      </w:r>
      <w:r>
        <w:rPr>
          <w:rFonts w:cs="Arial" w:asciiTheme="majorEastAsia" w:hAnsiTheme="majorEastAsia" w:eastAsiaTheme="majorEastAsia"/>
        </w:rPr>
        <w:t>¥</w:t>
      </w:r>
      <w:r>
        <w:rPr>
          <w:rFonts w:asciiTheme="majorEastAsia" w:hAnsiTheme="majorEastAsia" w:eastAsiaTheme="majorEastAsia"/>
          <w:u w:val="single"/>
        </w:rPr>
        <w:t xml:space="preserve">                      </w:t>
      </w:r>
      <w:r>
        <w:rPr>
          <w:rFonts w:hint="eastAsia" w:asciiTheme="majorEastAsia" w:hAnsiTheme="majorEastAsia" w:eastAsiaTheme="majorEastAsia"/>
        </w:rPr>
        <w:t>）</w:t>
      </w:r>
    </w:p>
    <w:p>
      <w:pPr>
        <w:keepNext w:val="0"/>
        <w:keepLines w:val="0"/>
        <w:pageBreakBefore w:val="0"/>
        <w:tabs>
          <w:tab w:val="left" w:pos="684"/>
        </w:tabs>
        <w:kinsoku/>
        <w:wordWrap/>
        <w:overflowPunct/>
        <w:topLinePunct w:val="0"/>
        <w:autoSpaceDE/>
        <w:autoSpaceDN/>
        <w:bidi w:val="0"/>
        <w:adjustRightInd/>
        <w:snapToGrid/>
        <w:spacing w:line="360" w:lineRule="exact"/>
        <w:ind w:left="0" w:leftChars="0" w:right="0" w:firstLine="420" w:firstLineChars="200"/>
        <w:textAlignment w:val="auto"/>
        <w:rPr>
          <w:rFonts w:asciiTheme="majorEastAsia" w:hAnsiTheme="majorEastAsia" w:eastAsiaTheme="majorEastAsia"/>
        </w:rPr>
      </w:pPr>
      <w:r>
        <w:rPr>
          <w:rFonts w:asciiTheme="majorEastAsia" w:hAnsiTheme="majorEastAsia" w:eastAsiaTheme="majorEastAsia"/>
        </w:rPr>
        <w:t>4.</w:t>
      </w:r>
      <w:r>
        <w:rPr>
          <w:rFonts w:hint="eastAsia" w:asciiTheme="majorEastAsia" w:hAnsiTheme="majorEastAsia" w:eastAsiaTheme="majorEastAsia"/>
        </w:rPr>
        <w:t>卖方承诺保证完全按照合同约定提供合同设备和技术服务和质保期服务并修补缺陷；</w:t>
      </w:r>
    </w:p>
    <w:p>
      <w:pPr>
        <w:keepNext w:val="0"/>
        <w:keepLines w:val="0"/>
        <w:pageBreakBefore w:val="0"/>
        <w:tabs>
          <w:tab w:val="left" w:pos="684"/>
        </w:tabs>
        <w:kinsoku/>
        <w:wordWrap/>
        <w:overflowPunct/>
        <w:topLinePunct w:val="0"/>
        <w:autoSpaceDE/>
        <w:autoSpaceDN/>
        <w:bidi w:val="0"/>
        <w:adjustRightInd/>
        <w:snapToGrid/>
        <w:spacing w:line="360" w:lineRule="exact"/>
        <w:ind w:left="0" w:leftChars="0" w:right="0" w:firstLine="420" w:firstLineChars="200"/>
        <w:textAlignment w:val="auto"/>
        <w:rPr>
          <w:rFonts w:asciiTheme="majorEastAsia" w:hAnsiTheme="majorEastAsia" w:eastAsiaTheme="majorEastAsia"/>
        </w:rPr>
      </w:pPr>
      <w:r>
        <w:rPr>
          <w:rFonts w:asciiTheme="majorEastAsia" w:hAnsiTheme="majorEastAsia" w:eastAsiaTheme="majorEastAsia"/>
        </w:rPr>
        <w:t>5.</w:t>
      </w:r>
      <w:r>
        <w:rPr>
          <w:rFonts w:hint="eastAsia" w:asciiTheme="majorEastAsia" w:hAnsiTheme="majorEastAsia" w:eastAsiaTheme="majorEastAsia"/>
        </w:rPr>
        <w:t>买方承诺保证按照合同约定的条件、时间和方式向卖方支付合同价款；</w:t>
      </w:r>
    </w:p>
    <w:p>
      <w:pPr>
        <w:keepNext w:val="0"/>
        <w:keepLines w:val="0"/>
        <w:pageBreakBefore w:val="0"/>
        <w:kinsoku/>
        <w:wordWrap/>
        <w:overflowPunct/>
        <w:topLinePunct w:val="0"/>
        <w:autoSpaceDE/>
        <w:autoSpaceDN/>
        <w:bidi w:val="0"/>
        <w:adjustRightInd/>
        <w:snapToGrid/>
        <w:spacing w:line="360" w:lineRule="exact"/>
        <w:ind w:left="0" w:leftChars="0" w:right="0" w:firstLine="420" w:firstLineChars="200"/>
        <w:textAlignment w:val="auto"/>
        <w:rPr>
          <w:rFonts w:asciiTheme="majorEastAsia" w:hAnsiTheme="majorEastAsia" w:eastAsiaTheme="majorEastAsia"/>
          <w:w w:val="98"/>
        </w:rPr>
      </w:pPr>
      <w:r>
        <w:rPr>
          <w:rFonts w:asciiTheme="majorEastAsia" w:hAnsiTheme="majorEastAsia" w:eastAsiaTheme="majorEastAsia"/>
        </w:rPr>
        <w:t>6.</w:t>
      </w:r>
      <w:r>
        <w:rPr>
          <w:rFonts w:hint="eastAsia" w:asciiTheme="majorEastAsia" w:hAnsiTheme="majorEastAsia" w:eastAsiaTheme="majorEastAsia"/>
        </w:rPr>
        <w:t>本合同协议书一式</w:t>
      </w:r>
      <w:r>
        <w:rPr>
          <w:rFonts w:asciiTheme="majorEastAsia" w:hAnsiTheme="majorEastAsia" w:eastAsiaTheme="majorEastAsia"/>
          <w:u w:val="single"/>
        </w:rPr>
        <w:t xml:space="preserve">      </w:t>
      </w:r>
      <w:r>
        <w:rPr>
          <w:rFonts w:hint="eastAsia" w:asciiTheme="majorEastAsia" w:hAnsiTheme="majorEastAsia" w:eastAsiaTheme="majorEastAsia"/>
        </w:rPr>
        <w:t>份，合同双方各执</w:t>
      </w:r>
      <w:r>
        <w:rPr>
          <w:rFonts w:asciiTheme="majorEastAsia" w:hAnsiTheme="majorEastAsia" w:eastAsiaTheme="majorEastAsia"/>
          <w:u w:val="single"/>
        </w:rPr>
        <w:t xml:space="preserve">        </w:t>
      </w:r>
      <w:r>
        <w:rPr>
          <w:rFonts w:hint="eastAsia" w:asciiTheme="majorEastAsia" w:hAnsiTheme="majorEastAsia" w:eastAsiaTheme="majorEastAsia"/>
        </w:rPr>
        <w:t>份。</w:t>
      </w:r>
    </w:p>
    <w:p>
      <w:pPr>
        <w:keepNext w:val="0"/>
        <w:keepLines w:val="0"/>
        <w:pageBreakBefore w:val="0"/>
        <w:kinsoku/>
        <w:wordWrap/>
        <w:overflowPunct/>
        <w:topLinePunct w:val="0"/>
        <w:autoSpaceDE/>
        <w:autoSpaceDN/>
        <w:bidi w:val="0"/>
        <w:adjustRightInd/>
        <w:snapToGrid/>
        <w:spacing w:line="360" w:lineRule="exact"/>
        <w:ind w:left="0" w:leftChars="0" w:right="0"/>
        <w:textAlignment w:val="auto"/>
        <w:rPr>
          <w:rFonts w:asciiTheme="majorEastAsia" w:hAnsiTheme="majorEastAsia" w:eastAsiaTheme="majorEastAsia"/>
        </w:rPr>
      </w:pPr>
      <w:r>
        <w:rPr>
          <w:rFonts w:asciiTheme="majorEastAsia" w:hAnsiTheme="majorEastAsia" w:eastAsiaTheme="majorEastAsia"/>
        </w:rPr>
        <w:t xml:space="preserve">7. </w:t>
      </w:r>
      <w:r>
        <w:rPr>
          <w:rFonts w:hint="eastAsia" w:asciiTheme="majorEastAsia" w:hAnsiTheme="majorEastAsia" w:eastAsiaTheme="majorEastAsia"/>
        </w:rPr>
        <w:t>合同未尽事宜，双方另行签订补充协议。补充协议是合同的组成部分。</w:t>
      </w:r>
    </w:p>
    <w:p>
      <w:pPr>
        <w:keepNext w:val="0"/>
        <w:keepLines w:val="0"/>
        <w:pageBreakBefore w:val="0"/>
        <w:kinsoku/>
        <w:wordWrap/>
        <w:overflowPunct/>
        <w:topLinePunct w:val="0"/>
        <w:autoSpaceDE/>
        <w:autoSpaceDN/>
        <w:bidi w:val="0"/>
        <w:adjustRightInd/>
        <w:snapToGrid/>
        <w:spacing w:line="360" w:lineRule="exact"/>
        <w:ind w:left="0" w:leftChars="0" w:right="0"/>
        <w:textAlignment w:val="auto"/>
        <w:rPr>
          <w:rFonts w:asciiTheme="majorEastAsia" w:hAnsiTheme="majorEastAsia" w:eastAsiaTheme="majorEastAsia"/>
          <w:w w:val="98"/>
        </w:rPr>
      </w:pPr>
    </w:p>
    <w:p>
      <w:pPr>
        <w:keepNext w:val="0"/>
        <w:keepLines w:val="0"/>
        <w:pageBreakBefore w:val="0"/>
        <w:kinsoku/>
        <w:wordWrap/>
        <w:overflowPunct/>
        <w:topLinePunct w:val="0"/>
        <w:autoSpaceDE/>
        <w:autoSpaceDN/>
        <w:bidi w:val="0"/>
        <w:adjustRightInd/>
        <w:snapToGrid/>
        <w:spacing w:line="360" w:lineRule="exact"/>
        <w:ind w:left="0" w:leftChars="0" w:right="0" w:firstLine="2730" w:firstLineChars="1300"/>
        <w:textAlignment w:val="auto"/>
        <w:rPr>
          <w:rFonts w:asciiTheme="majorEastAsia" w:hAnsiTheme="majorEastAsia" w:eastAsiaTheme="majorEastAsia"/>
          <w:bCs/>
          <w:szCs w:val="21"/>
        </w:rPr>
      </w:pPr>
      <w:r>
        <w:rPr>
          <w:rFonts w:hint="eastAsia" w:asciiTheme="majorEastAsia" w:hAnsiTheme="majorEastAsia" w:eastAsiaTheme="majorEastAsia"/>
          <w:bCs/>
          <w:szCs w:val="21"/>
        </w:rPr>
        <w:t>买方：</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（盖单位章）</w:t>
      </w:r>
      <w:r>
        <w:rPr>
          <w:rFonts w:asciiTheme="majorEastAsia" w:hAnsiTheme="majorEastAsia" w:eastAsiaTheme="majorEastAsia"/>
          <w:bCs/>
          <w:szCs w:val="21"/>
        </w:rPr>
        <w:t xml:space="preserve">   </w:t>
      </w:r>
    </w:p>
    <w:p>
      <w:pPr>
        <w:keepNext w:val="0"/>
        <w:keepLines w:val="0"/>
        <w:pageBreakBefore w:val="0"/>
        <w:kinsoku/>
        <w:wordWrap/>
        <w:overflowPunct/>
        <w:topLinePunct w:val="0"/>
        <w:autoSpaceDE/>
        <w:autoSpaceDN/>
        <w:bidi w:val="0"/>
        <w:adjustRightInd/>
        <w:snapToGrid/>
        <w:spacing w:line="360" w:lineRule="exact"/>
        <w:ind w:left="2310" w:leftChars="0" w:right="0" w:hanging="2310" w:hangingChars="1100"/>
        <w:textAlignment w:val="auto"/>
        <w:rPr>
          <w:rFonts w:asciiTheme="majorEastAsia" w:hAnsiTheme="majorEastAsia" w:eastAsiaTheme="majorEastAsia"/>
          <w:bCs/>
          <w:szCs w:val="21"/>
        </w:rPr>
      </w:pPr>
      <w:r>
        <w:rPr>
          <w:rFonts w:hint="eastAsia" w:asciiTheme="majorEastAsia" w:hAnsiTheme="majorEastAsia" w:eastAsiaTheme="majorEastAsia"/>
          <w:bCs/>
          <w:szCs w:val="21"/>
        </w:rPr>
        <w:t>法定代表人（单位负责人）或其委托代理人：</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（签字）</w:t>
      </w:r>
    </w:p>
    <w:p>
      <w:pPr>
        <w:keepNext w:val="0"/>
        <w:keepLines w:val="0"/>
        <w:pageBreakBefore w:val="0"/>
        <w:kinsoku/>
        <w:wordWrap/>
        <w:overflowPunct/>
        <w:topLinePunct w:val="0"/>
        <w:autoSpaceDE/>
        <w:autoSpaceDN/>
        <w:bidi w:val="0"/>
        <w:adjustRightInd/>
        <w:snapToGrid/>
        <w:spacing w:line="360" w:lineRule="exact"/>
        <w:ind w:left="2310" w:leftChars="0" w:right="0" w:hanging="2310" w:hangingChars="1100"/>
        <w:textAlignment w:val="auto"/>
        <w:rPr>
          <w:rFonts w:asciiTheme="majorEastAsia" w:hAnsiTheme="majorEastAsia" w:eastAsiaTheme="majorEastAsia"/>
          <w:bCs/>
          <w:szCs w:val="21"/>
        </w:rPr>
      </w:pPr>
      <w:r>
        <w:rPr>
          <w:rFonts w:asciiTheme="majorEastAsia" w:hAnsiTheme="majorEastAsia" w:eastAsiaTheme="majorEastAsia"/>
          <w:bCs/>
          <w:szCs w:val="21"/>
        </w:rPr>
        <w:t xml:space="preserve">                 </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年</w:t>
      </w:r>
      <w:r>
        <w:rPr>
          <w:rFonts w:asciiTheme="majorEastAsia" w:hAnsiTheme="majorEastAsia" w:eastAsiaTheme="majorEastAsia"/>
          <w:bCs/>
          <w:szCs w:val="21"/>
        </w:rPr>
        <w:t xml:space="preserve"> </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月</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日</w:t>
      </w:r>
    </w:p>
    <w:p>
      <w:pPr>
        <w:keepNext w:val="0"/>
        <w:keepLines w:val="0"/>
        <w:pageBreakBefore w:val="0"/>
        <w:kinsoku/>
        <w:wordWrap/>
        <w:overflowPunct/>
        <w:topLinePunct w:val="0"/>
        <w:autoSpaceDE/>
        <w:autoSpaceDN/>
        <w:bidi w:val="0"/>
        <w:adjustRightInd/>
        <w:snapToGrid/>
        <w:spacing w:line="360" w:lineRule="exact"/>
        <w:ind w:left="2310" w:leftChars="0" w:right="0" w:hanging="2310" w:hangingChars="1100"/>
        <w:textAlignment w:val="auto"/>
        <w:rPr>
          <w:rFonts w:asciiTheme="majorEastAsia" w:hAnsiTheme="majorEastAsia" w:eastAsiaTheme="majorEastAsia"/>
          <w:bCs/>
          <w:szCs w:val="21"/>
        </w:rPr>
      </w:pPr>
    </w:p>
    <w:p>
      <w:pPr>
        <w:keepNext w:val="0"/>
        <w:keepLines w:val="0"/>
        <w:pageBreakBefore w:val="0"/>
        <w:kinsoku/>
        <w:wordWrap/>
        <w:overflowPunct/>
        <w:topLinePunct w:val="0"/>
        <w:autoSpaceDE/>
        <w:autoSpaceDN/>
        <w:bidi w:val="0"/>
        <w:adjustRightInd/>
        <w:snapToGrid/>
        <w:spacing w:line="360" w:lineRule="exact"/>
        <w:ind w:left="2310" w:leftChars="0" w:right="0" w:hanging="2310" w:hangingChars="1100"/>
        <w:textAlignment w:val="auto"/>
        <w:rPr>
          <w:rFonts w:asciiTheme="majorEastAsia" w:hAnsiTheme="majorEastAsia" w:eastAsiaTheme="majorEastAsia"/>
          <w:bCs/>
          <w:szCs w:val="21"/>
        </w:rPr>
      </w:pPr>
    </w:p>
    <w:p>
      <w:pPr>
        <w:keepNext w:val="0"/>
        <w:keepLines w:val="0"/>
        <w:pageBreakBefore w:val="0"/>
        <w:kinsoku/>
        <w:wordWrap/>
        <w:overflowPunct/>
        <w:topLinePunct w:val="0"/>
        <w:autoSpaceDE/>
        <w:autoSpaceDN/>
        <w:bidi w:val="0"/>
        <w:adjustRightInd/>
        <w:snapToGrid/>
        <w:spacing w:line="360" w:lineRule="exact"/>
        <w:ind w:left="0" w:leftChars="0" w:right="0"/>
        <w:textAlignment w:val="auto"/>
        <w:rPr>
          <w:rFonts w:asciiTheme="majorEastAsia" w:hAnsiTheme="majorEastAsia" w:eastAsiaTheme="majorEastAsia"/>
          <w:b/>
          <w:sz w:val="31"/>
        </w:rPr>
      </w:pPr>
    </w:p>
    <w:p>
      <w:pPr>
        <w:keepNext w:val="0"/>
        <w:keepLines w:val="0"/>
        <w:pageBreakBefore w:val="0"/>
        <w:kinsoku/>
        <w:wordWrap/>
        <w:overflowPunct/>
        <w:topLinePunct w:val="0"/>
        <w:autoSpaceDE/>
        <w:autoSpaceDN/>
        <w:bidi w:val="0"/>
        <w:adjustRightInd/>
        <w:snapToGrid/>
        <w:spacing w:line="360" w:lineRule="exact"/>
        <w:ind w:left="0" w:leftChars="0" w:right="0" w:firstLine="2730" w:firstLineChars="1300"/>
        <w:textAlignment w:val="auto"/>
        <w:rPr>
          <w:rFonts w:asciiTheme="majorEastAsia" w:hAnsiTheme="majorEastAsia" w:eastAsiaTheme="majorEastAsia"/>
          <w:bCs/>
          <w:szCs w:val="21"/>
        </w:rPr>
      </w:pPr>
      <w:r>
        <w:rPr>
          <w:rFonts w:hint="eastAsia" w:asciiTheme="majorEastAsia" w:hAnsiTheme="majorEastAsia" w:eastAsiaTheme="majorEastAsia"/>
          <w:bCs/>
          <w:szCs w:val="21"/>
        </w:rPr>
        <w:t>卖方：</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（盖单位章）</w:t>
      </w:r>
    </w:p>
    <w:p>
      <w:pPr>
        <w:keepNext w:val="0"/>
        <w:keepLines w:val="0"/>
        <w:pageBreakBefore w:val="0"/>
        <w:kinsoku/>
        <w:wordWrap/>
        <w:overflowPunct/>
        <w:topLinePunct w:val="0"/>
        <w:autoSpaceDE/>
        <w:autoSpaceDN/>
        <w:bidi w:val="0"/>
        <w:adjustRightInd/>
        <w:snapToGrid/>
        <w:spacing w:line="360" w:lineRule="exact"/>
        <w:ind w:left="0" w:leftChars="0" w:right="0" w:firstLine="2730" w:firstLineChars="1300"/>
        <w:textAlignment w:val="auto"/>
        <w:rPr>
          <w:rFonts w:asciiTheme="majorEastAsia" w:hAnsiTheme="majorEastAsia" w:eastAsiaTheme="majorEastAsia"/>
          <w:bCs/>
          <w:szCs w:val="21"/>
        </w:rPr>
      </w:pPr>
      <w:r>
        <w:rPr>
          <w:rFonts w:hint="eastAsia" w:asciiTheme="majorEastAsia" w:hAnsiTheme="majorEastAsia" w:eastAsiaTheme="majorEastAsia"/>
          <w:bCs/>
          <w:szCs w:val="21"/>
        </w:rPr>
        <w:t>法定代表人（单位负责人）或其委托代理人：</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（签字）</w:t>
      </w:r>
      <w:r>
        <w:rPr>
          <w:rFonts w:asciiTheme="majorEastAsia" w:hAnsiTheme="majorEastAsia" w:eastAsiaTheme="majorEastAsia"/>
          <w:bCs/>
          <w:szCs w:val="21"/>
        </w:rPr>
        <w:t xml:space="preserve">  </w:t>
      </w:r>
    </w:p>
    <w:p>
      <w:pPr>
        <w:keepNext w:val="0"/>
        <w:keepLines w:val="0"/>
        <w:pageBreakBefore w:val="0"/>
        <w:kinsoku/>
        <w:wordWrap/>
        <w:overflowPunct/>
        <w:topLinePunct w:val="0"/>
        <w:autoSpaceDE/>
        <w:autoSpaceDN/>
        <w:bidi w:val="0"/>
        <w:adjustRightInd/>
        <w:snapToGrid/>
        <w:spacing w:line="360" w:lineRule="exact"/>
        <w:ind w:left="0" w:leftChars="0" w:right="0" w:firstLine="4620" w:firstLineChars="2200"/>
        <w:textAlignment w:val="auto"/>
        <w:rPr>
          <w:rFonts w:asciiTheme="majorEastAsia" w:hAnsiTheme="majorEastAsia" w:eastAsiaTheme="majorEastAsia"/>
          <w:b/>
          <w:bCs/>
          <w:szCs w:val="21"/>
        </w:rPr>
      </w:pP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年</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月</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日</w:t>
      </w:r>
      <w:r>
        <w:rPr>
          <w:rFonts w:asciiTheme="majorEastAsia" w:hAnsiTheme="majorEastAsia" w:eastAsiaTheme="majorEastAsia"/>
          <w:bCs/>
          <w:szCs w:val="21"/>
        </w:rPr>
        <w:t xml:space="preserve"> </w:t>
      </w:r>
    </w:p>
    <w:p>
      <w:pPr>
        <w:spacing w:line="360" w:lineRule="auto"/>
        <w:rPr>
          <w:rFonts w:asciiTheme="majorEastAsia" w:hAnsiTheme="majorEastAsia" w:eastAsiaTheme="majorEastAsia"/>
          <w:b/>
          <w:bCs/>
          <w:szCs w:val="21"/>
        </w:rPr>
      </w:pPr>
    </w:p>
    <w:bookmarkEnd w:id="19"/>
    <w:bookmarkEnd w:id="20"/>
    <w:bookmarkEnd w:id="21"/>
    <w:p>
      <w:pPr>
        <w:pStyle w:val="3"/>
        <w:numPr>
          <w:ilvl w:val="0"/>
          <w:numId w:val="8"/>
        </w:numPr>
        <w:jc w:val="center"/>
        <w:rPr>
          <w:rFonts w:cs="仿宋" w:asciiTheme="majorEastAsia" w:hAnsiTheme="majorEastAsia" w:eastAsiaTheme="majorEastAsia"/>
          <w:b/>
          <w:bCs w:val="0"/>
          <w:sz w:val="36"/>
          <w:szCs w:val="36"/>
        </w:rPr>
      </w:pPr>
      <w:bookmarkStart w:id="43" w:name="_Toc452306038"/>
      <w:r>
        <w:rPr>
          <w:rFonts w:hint="eastAsia" w:cs="仿宋" w:asciiTheme="majorEastAsia" w:hAnsiTheme="majorEastAsia" w:eastAsiaTheme="majorEastAsia"/>
          <w:b/>
          <w:bCs w:val="0"/>
          <w:sz w:val="36"/>
          <w:szCs w:val="36"/>
        </w:rPr>
        <w:t xml:space="preserve"> </w:t>
      </w:r>
      <w:bookmarkStart w:id="44" w:name="_Toc27835"/>
      <w:bookmarkStart w:id="45" w:name="_Toc10291"/>
      <w:r>
        <w:rPr>
          <w:rFonts w:hint="eastAsia" w:cs="仿宋" w:asciiTheme="majorEastAsia" w:hAnsiTheme="majorEastAsia" w:eastAsiaTheme="majorEastAsia"/>
          <w:b/>
          <w:bCs w:val="0"/>
          <w:sz w:val="36"/>
          <w:szCs w:val="36"/>
        </w:rPr>
        <w:t>项目内容、服务标准和要求</w:t>
      </w:r>
      <w:bookmarkEnd w:id="43"/>
      <w:bookmarkEnd w:id="44"/>
      <w:bookmarkEnd w:id="45"/>
      <w:bookmarkStart w:id="46" w:name="_Toc452306039"/>
    </w:p>
    <w:p>
      <w:pPr>
        <w:pStyle w:val="3"/>
        <w:jc w:val="center"/>
        <w:rPr>
          <w:rFonts w:hint="eastAsia" w:asciiTheme="majorEastAsia" w:hAnsiTheme="majorEastAsia" w:eastAsiaTheme="majorEastAsia"/>
          <w:sz w:val="28"/>
          <w:szCs w:val="28"/>
        </w:rPr>
      </w:pPr>
      <w:r>
        <w:rPr>
          <w:rFonts w:hint="eastAsia" w:asciiTheme="majorEastAsia" w:hAnsiTheme="majorEastAsia" w:eastAsiaTheme="majorEastAsia"/>
          <w:sz w:val="28"/>
          <w:szCs w:val="28"/>
        </w:rPr>
        <w:t>设备需求一览表</w:t>
      </w:r>
    </w:p>
    <w:tbl>
      <w:tblPr>
        <w:tblStyle w:val="40"/>
        <w:tblW w:w="9756" w:type="dxa"/>
        <w:tblInd w:w="98" w:type="dxa"/>
        <w:shd w:val="clear" w:color="auto" w:fill="auto"/>
        <w:tblLayout w:type="fixed"/>
        <w:tblCellMar>
          <w:top w:w="0" w:type="dxa"/>
          <w:left w:w="108" w:type="dxa"/>
          <w:bottom w:w="0" w:type="dxa"/>
          <w:right w:w="108" w:type="dxa"/>
        </w:tblCellMar>
      </w:tblPr>
      <w:tblGrid>
        <w:gridCol w:w="383"/>
        <w:gridCol w:w="549"/>
        <w:gridCol w:w="870"/>
        <w:gridCol w:w="2918"/>
        <w:gridCol w:w="606"/>
        <w:gridCol w:w="703"/>
        <w:gridCol w:w="3727"/>
      </w:tblGrid>
      <w:tr>
        <w:tblPrEx>
          <w:shd w:val="clear" w:color="auto" w:fill="auto"/>
          <w:tblCellMar>
            <w:top w:w="0" w:type="dxa"/>
            <w:left w:w="108" w:type="dxa"/>
            <w:bottom w:w="0" w:type="dxa"/>
            <w:right w:w="108" w:type="dxa"/>
          </w:tblCellMar>
        </w:tblPrEx>
        <w:trPr>
          <w:trHeight w:val="300" w:hRule="atLeast"/>
        </w:trPr>
        <w:tc>
          <w:tcPr>
            <w:tcW w:w="9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  购  项  目</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   名</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规格技术参数</w:t>
            </w:r>
          </w:p>
        </w:tc>
      </w:tr>
      <w:tr>
        <w:tblPrEx>
          <w:tblCellMar>
            <w:top w:w="0" w:type="dxa"/>
            <w:left w:w="108" w:type="dxa"/>
            <w:bottom w:w="0" w:type="dxa"/>
            <w:right w:w="108" w:type="dxa"/>
          </w:tblCellMar>
        </w:tblPrEx>
        <w:trPr>
          <w:trHeight w:val="300" w:hRule="atLeast"/>
        </w:trPr>
        <w:tc>
          <w:tcPr>
            <w:tcW w:w="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r>
              <w:rPr>
                <w:rFonts w:hint="eastAsia" w:ascii="宋体" w:hAnsi="宋体" w:eastAsia="宋体" w:cs="宋体"/>
                <w:i w:val="0"/>
                <w:iCs w:val="0"/>
                <w:color w:val="4F81BD" w:themeColor="accent1"/>
                <w:kern w:val="0"/>
                <w:sz w:val="20"/>
                <w:szCs w:val="20"/>
                <w:highlight w:val="none"/>
                <w:u w:val="none"/>
                <w:lang w:val="en-US" w:eastAsia="zh-CN" w:bidi="ar"/>
                <w14:textFill>
                  <w14:solidFill>
                    <w14:schemeClr w14:val="accent1"/>
                  </w14:solidFill>
                </w14:textFill>
              </w:rPr>
              <w:t>智能大数据运行中心设备</w:t>
            </w: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r>
              <w:rPr>
                <w:rFonts w:hint="eastAsia" w:ascii="宋体" w:hAnsi="宋体" w:eastAsia="宋体" w:cs="宋体"/>
                <w:i w:val="0"/>
                <w:iCs w:val="0"/>
                <w:color w:val="4F81BD" w:themeColor="accent1"/>
                <w:kern w:val="0"/>
                <w:sz w:val="20"/>
                <w:szCs w:val="20"/>
                <w:highlight w:val="none"/>
                <w:u w:val="none"/>
                <w:lang w:val="en-US" w:eastAsia="zh-CN" w:bidi="ar"/>
                <w14:textFill>
                  <w14:solidFill>
                    <w14:schemeClr w14:val="accent1"/>
                  </w14:solidFill>
                </w14:textFill>
              </w:rPr>
              <w:t>养殖舍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养殖物联网网关</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N2000-4G，对接rotem控制器</w:t>
            </w:r>
          </w:p>
        </w:tc>
      </w:tr>
      <w:tr>
        <w:tblPrEx>
          <w:tblCellMar>
            <w:top w:w="0" w:type="dxa"/>
            <w:left w:w="108" w:type="dxa"/>
            <w:bottom w:w="0" w:type="dxa"/>
            <w:right w:w="108" w:type="dxa"/>
          </w:tblCellMar>
        </w:tblPrEx>
        <w:trPr>
          <w:trHeight w:val="6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DS-IPC-B12V2-I，活物跟踪云台摄像机</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综合管理平台</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EVS488D，综合管理平台服务器</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tp-link</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硬盘6T</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储存时间90天</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h3c</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超六类双屏蔽</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养殖物联网网关</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N2000-4G</w:t>
            </w:r>
          </w:p>
        </w:tc>
      </w:tr>
      <w:tr>
        <w:tblPrEx>
          <w:tblCellMar>
            <w:top w:w="0" w:type="dxa"/>
            <w:left w:w="108" w:type="dxa"/>
            <w:bottom w:w="0" w:type="dxa"/>
            <w:right w:w="108" w:type="dxa"/>
          </w:tblCellMar>
        </w:tblPrEx>
        <w:trPr>
          <w:trHeight w:val="48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r>
              <w:rPr>
                <w:rFonts w:hint="eastAsia" w:ascii="宋体" w:hAnsi="宋体" w:eastAsia="宋体" w:cs="宋体"/>
                <w:i w:val="0"/>
                <w:iCs w:val="0"/>
                <w:color w:val="4F81BD" w:themeColor="accent1"/>
                <w:kern w:val="0"/>
                <w:sz w:val="20"/>
                <w:szCs w:val="20"/>
                <w:highlight w:val="none"/>
                <w:u w:val="none"/>
                <w:lang w:val="en-US" w:eastAsia="zh-CN" w:bidi="ar"/>
                <w14:textFill>
                  <w14:solidFill>
                    <w14:schemeClr w14:val="accent1"/>
                  </w14:solidFill>
                </w14:textFill>
              </w:rPr>
              <w:t>饲料房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DS-IPC-B12V2-I，活物跟踪云台摄像机</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h3c</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超六类双屏蔽</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数据集中采集器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L601-4G</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r>
              <w:rPr>
                <w:rFonts w:hint="eastAsia" w:ascii="宋体" w:hAnsi="宋体" w:eastAsia="宋体" w:cs="宋体"/>
                <w:i w:val="0"/>
                <w:iCs w:val="0"/>
                <w:color w:val="4F81BD" w:themeColor="accent1"/>
                <w:kern w:val="0"/>
                <w:sz w:val="20"/>
                <w:szCs w:val="20"/>
                <w:highlight w:val="none"/>
                <w:u w:val="none"/>
                <w:lang w:val="en-US" w:eastAsia="zh-CN" w:bidi="ar"/>
                <w14:textFill>
                  <w14:solidFill>
                    <w14:schemeClr w14:val="accent1"/>
                  </w14:solidFill>
                </w14:textFill>
              </w:rPr>
              <w:t>蛋库</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DS-IPC-B12V2-I，活物跟踪云台摄像机</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h3c</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超六类双屏蔽</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LED显示屏</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1200*2000，P2 LED显示屏</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r>
              <w:rPr>
                <w:rFonts w:hint="eastAsia" w:ascii="宋体" w:hAnsi="宋体" w:eastAsia="宋体" w:cs="宋体"/>
                <w:i w:val="0"/>
                <w:iCs w:val="0"/>
                <w:color w:val="4F81BD" w:themeColor="accent1"/>
                <w:kern w:val="0"/>
                <w:sz w:val="20"/>
                <w:szCs w:val="20"/>
                <w:highlight w:val="none"/>
                <w:u w:val="none"/>
                <w:lang w:val="en-US" w:eastAsia="zh-CN" w:bidi="ar"/>
                <w14:textFill>
                  <w14:solidFill>
                    <w14:schemeClr w14:val="accent1"/>
                  </w14:solidFill>
                </w14:textFill>
              </w:rPr>
              <w:t>LED显示屏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LED显示屏</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2500*4500，P2 LED显示屏</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LED显示屏</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800*1500，P2 LED显示屏</w:t>
            </w:r>
          </w:p>
        </w:tc>
      </w:tr>
      <w:tr>
        <w:tblPrEx>
          <w:tblCellMar>
            <w:top w:w="0" w:type="dxa"/>
            <w:left w:w="108" w:type="dxa"/>
            <w:bottom w:w="0" w:type="dxa"/>
            <w:right w:w="108" w:type="dxa"/>
          </w:tblCellMar>
        </w:tblPrEx>
        <w:trPr>
          <w:trHeight w:val="54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安装、运输、人工、调试费</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r>
              <w:rPr>
                <w:rFonts w:hint="eastAsia" w:ascii="宋体" w:hAnsi="宋体" w:eastAsia="宋体" w:cs="宋体"/>
                <w:i w:val="0"/>
                <w:iCs w:val="0"/>
                <w:color w:val="4F81BD" w:themeColor="accent1"/>
                <w:kern w:val="0"/>
                <w:sz w:val="20"/>
                <w:szCs w:val="20"/>
                <w:highlight w:val="none"/>
                <w:u w:val="none"/>
                <w:lang w:val="en-US" w:eastAsia="zh-CN" w:bidi="ar"/>
                <w14:textFill>
                  <w14:solidFill>
                    <w14:schemeClr w14:val="accent1"/>
                  </w14:solidFill>
                </w14:textFill>
              </w:rPr>
              <w:t>智能化蛋品分级包装设备</w:t>
            </w:r>
          </w:p>
        </w:tc>
        <w:tc>
          <w:tcPr>
            <w:tcW w:w="54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highlight w:val="none"/>
                <w:u w:val="none"/>
                <w14:textFill>
                  <w14:solidFill>
                    <w14:schemeClr w14:val="accent1"/>
                  </w14:solidFill>
                </w14:textFill>
              </w:rPr>
            </w:pPr>
            <w:r>
              <w:rPr>
                <w:rFonts w:hint="eastAsia" w:ascii="宋体" w:hAnsi="宋体" w:eastAsia="宋体" w:cs="宋体"/>
                <w:i w:val="0"/>
                <w:iCs w:val="0"/>
                <w:color w:val="4F81BD" w:themeColor="accent1"/>
                <w:kern w:val="0"/>
                <w:sz w:val="20"/>
                <w:szCs w:val="20"/>
                <w:highlight w:val="none"/>
                <w:u w:val="none"/>
                <w:lang w:val="en-US" w:eastAsia="zh-CN" w:bidi="ar"/>
                <w14:textFill>
                  <w14:solidFill>
                    <w14:schemeClr w14:val="accent1"/>
                  </w14:solidFill>
                </w14:textFill>
              </w:rPr>
              <w:t xml:space="preserve"> 1200型鸡蛋分选设备</w:t>
            </w:r>
            <w:r>
              <w:rPr>
                <w:rFonts w:hint="eastAsia" w:ascii="宋体" w:hAnsi="宋体" w:eastAsia="宋体" w:cs="宋体"/>
                <w:i w:val="0"/>
                <w:iCs w:val="0"/>
                <w:color w:val="4F81BD" w:themeColor="accent1"/>
                <w:kern w:val="0"/>
                <w:sz w:val="20"/>
                <w:szCs w:val="20"/>
                <w:highlight w:val="none"/>
                <w:u w:val="none"/>
                <w:lang w:val="en-US" w:eastAsia="zh-CN" w:bidi="ar"/>
                <w14:textFill>
                  <w14:solidFill>
                    <w14:schemeClr w14:val="accent1"/>
                  </w14:solidFill>
                </w14:textFill>
              </w:rPr>
              <w:br w:type="textWrapping"/>
            </w:r>
            <w:r>
              <w:rPr>
                <w:rFonts w:hint="eastAsia" w:ascii="宋体" w:hAnsi="宋体" w:eastAsia="宋体" w:cs="宋体"/>
                <w:i w:val="0"/>
                <w:iCs w:val="0"/>
                <w:color w:val="4F81BD" w:themeColor="accent1"/>
                <w:kern w:val="0"/>
                <w:sz w:val="20"/>
                <w:szCs w:val="20"/>
                <w:highlight w:val="none"/>
                <w:u w:val="none"/>
                <w:lang w:val="en-US" w:eastAsia="zh-CN" w:bidi="ar"/>
                <w14:textFill>
                  <w14:solidFill>
                    <w14:schemeClr w14:val="accent1"/>
                  </w14:solidFill>
                </w14:textFill>
              </w:rPr>
              <w:t>（2套）</w:t>
            </w:r>
          </w:p>
        </w:tc>
        <w:tc>
          <w:tcPr>
            <w:tcW w:w="8824" w:type="dxa"/>
            <w:gridSpan w:val="5"/>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（一）上蛋系统</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上蛋口（可对接鸡笼中央传输线）</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1.手动吸盘式上蛋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2.自动吸盘式上蛋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3.可对接中央传输线上蛋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4.机械选蛋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5.监测不合格蛋品杀菌</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防堆积开关（防止堆积蛋品）</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传输整列（12列）（蛋品可360度旋转）</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自动光检，采用机械臂（碘钨灯照射，可调节亮度）</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紫外线杀菌（杀菌不合格蛋品）</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24"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（二）清洗整列机</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单排整列（清洗之前提前单排整列）</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1.清洗之前提前单排整列对接清洗机设备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2.每枚蛋品2-5滴水即可</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供水控制器 （使用电磁阀供水）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水温表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24"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（三）清洗机系统</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主传输线单排</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1.清洗干燥烘干经过数代更新后最终确定适用单排清洗干燥烘干模式，经测试单排清洗干燥烘干要优于横排多排清洗2倍以上，同时也可支持干洗蛋品使用，在细节方面设备有很多项专利技术。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2.每小时使用水量20升水即可，因使用水量很少关于环保污染监测有很大的帮助，建议使用40-45度水温清洗蛋品效果最佳。           3.涂油系统共两级抛光蛋品表面涂油，经过测试后蛋品表面涂油后保质期再增加15天左右。 </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主传输线电机（SPG 750W）</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清洗毛刷（蛋品360度旋转两节清洗每枚蛋品）</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清洗毛刷电机（SPG 25W）</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烘干毛刷（蛋品360度旋转4节刷干蛋品）</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烘干毛刷电机（SPG 25W）</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烘干灯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烘干风机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抛光线毛刷（涂油蛋品使用）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抛光毛刷电机（SPG 25W）</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涂油瓶（每枚蛋品两滴即可）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 （使用380V电源）</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24"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（四）分选整列机</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单排整列</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可对接喷码机系统使用，支持等级选择性喷码信号传输给喷码机</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大小头调节装置（喷码专用）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24"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（五）分级机称重系统</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等级主传输线单排</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可以每枚蛋品每秒读取3000次重量信息并且平均计算.误差每个等级±0.1克.等级可分为3-5个等级</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主传输线电机（SPG 750W）</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电脑（电路板PLC控制系统）</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数据采集卡（电路板PLC系统）</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数据采集感应器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电子秤（误差±0.1克）</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等级出口（可分为3-9等级）</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等级</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等级出口电机（SPG 25W）</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配电柜（使用220V电源）</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24"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（六）包装机系统</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包装机主体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包装系统分为蛋盘等待区域，电脑中控系统，自动落蛋，传输等待区域，自动整列区域，自动调节大小头，自动错误报警等等...自动包装系统在同行业的设备中有着非常成熟的技术，细节方面有很多技术专利，破损率为千分之一左右</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主控制电脑系统（电路板控制系统）</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报警器（错误预警及报警）</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双托感应器（防止双蛋盘）</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确认蛋托感应器（确认蛋盘指定位置）</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大小头调节装置（大头朝上，小头朝下）</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主电机（SPG 90W）</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成品传输线（包装好的蛋品输送指定位置）</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24"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（七）蛋托机系统</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全自动下蛋托（一次可储存100张蛋盘）</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1.送托线加长版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2.一次可储存100张蛋盘并且全自动供给包装机</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蛋托感应器（确认每张蛋盘输送包装机）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主电机(SPG 90W)</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24"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（八）蛋品裂纹自动检测系统</w:t>
            </w:r>
          </w:p>
        </w:tc>
      </w:tr>
      <w:tr>
        <w:tblPrEx>
          <w:tblCellMar>
            <w:top w:w="0" w:type="dxa"/>
            <w:left w:w="108" w:type="dxa"/>
            <w:bottom w:w="0" w:type="dxa"/>
            <w:right w:w="108" w:type="dxa"/>
          </w:tblCellMar>
        </w:tblPrEx>
        <w:trPr>
          <w:trHeight w:val="198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蛋品裂纹自动检测</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1.高清视频传感器识别检测裂纹蛋品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2.高清视频传感器识别检测血渍蛋品和粪渍蛋品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3.高清视频传感器识别检测不同颜色蛋品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4.高清视频传感器识别检测变质蛋品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5.挑选不合格蛋品单独出口通道处理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6.挑选不合格蛋品检测率95%以上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7.每小时处理6万枚蛋品</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中央集蛋线设备（1套）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中央集蛋机地面头架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750型</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中央集蛋机架空头架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750型2代</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中央集蛋机架空头架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750型-可调节</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中央集蛋机同步过渡装置</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750型</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中央集蛋机尾总成</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750型</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中央集蛋机内侧板</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2.5米Φ20-85</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中央集蛋机外侧板</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2.5米Φ20-133</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中央集蛋机中间连接杆</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750型</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中央集蛋机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三角托架-左右-750型</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中央集蛋机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爬坡装置-左右</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矩管支撑架-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矩管150*150*L</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矩管 热镀锌管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100*50*2.5-6000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热镀锌矩管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40*80*2*6000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斜向脚架脚板 </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110*160*6 中间</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中央集蛋机头地面支撑架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750型</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中央集蛋过渡板-粘胶皮</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750型</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分蛋装置</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中央集蛋机电机罩</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中空电机</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中央集蛋防雨罩</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750型+保温板</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中央集蛋油杯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中央集蛋机捡蛋台</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750型</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捡蛋台PVC软胶板</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中央集蛋机捡蛋台支撑板</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长销链条08B</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 半扣08B</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无缝不锈钢管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L=719*Ф9.5*内孔Φ5包胶</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中央集蛋封条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电控箱800*1000及线缆</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桥架120*70*2000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桥架固定架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85" w:hRule="atLeast"/>
        </w:trPr>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u w:val="none"/>
                <w14:textFill>
                  <w14:solidFill>
                    <w14:schemeClr w14:val="accent1"/>
                  </w14:solidFill>
                </w14:textFill>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有机肥处理设备</w:t>
            </w: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u w:val="none"/>
                <w14:textFill>
                  <w14:solidFill>
                    <w14:schemeClr w14:val="accent1"/>
                  </w14:solidFill>
                </w14:textFill>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有机肥发酵设备及深加工设备</w:t>
            </w:r>
          </w:p>
        </w:tc>
        <w:tc>
          <w:tcPr>
            <w:tcW w:w="8824"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（一）原料混料色设备</w:t>
            </w:r>
          </w:p>
        </w:tc>
      </w:tr>
      <w:tr>
        <w:tblPrEx>
          <w:tblCellMar>
            <w:top w:w="0" w:type="dxa"/>
            <w:left w:w="108" w:type="dxa"/>
            <w:bottom w:w="0" w:type="dxa"/>
            <w:right w:w="108" w:type="dxa"/>
          </w:tblCellMar>
        </w:tblPrEx>
        <w:trPr>
          <w:trHeight w:val="182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行走式翻抛混料机</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动力形式：柴油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行走装置：履带式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翻堆宽度：约3000/3300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整长×宽×高：4200×3200×3400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工作能力：1000-1200m³/h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额定功率：110Kw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液压系统：应比例控制PWC负载感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工作系统：液压控制+电磁阀控制</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24"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（二）堆肥发酵系统</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气流发酵膜</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40m×(8.4±2%)m（含裙边）</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控制柜及配套电气系统</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304不锈钢材质；检测仪采用分层、分段测温、具备数据就地显示和远传的一体化温度探测设备</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供风管及压边系统</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全套压边器和压边管</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PLC自控及多点测量系统</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独立堆体PLC版；在线温度监控，可以实现远程数据传输；电机功率5.5KW 可变频调速</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移动端远程监控</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24"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（三）筛分粉碎机</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输送机</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1、皮带机机身槽钢为 100 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2、托锟为重型加厚托辊；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3、皮带为花纹 5 层布；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4、传动为齿轮同步传动；</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筛分机</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筛分机进料口部分加防冲击网；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筛网交接部位打加紧包箍；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网采用耐磨钢材质，耐腐蚀。</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回料粉碎机</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1、耐磨链条装配而成；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2、内部多组连接盘连接；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3、皮带传动含架体；</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24"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（四）45000吨/年有机肥粉状生产线</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铲车料仓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1、标准外形尺寸 2 米*4 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2、出料端配置送料输送机；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3、配置下料快慢的闸门装置;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4、进料端加装 100mm*100mm 的隔离网，防止大块杂物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有机肥立式粉碎机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1、刀片为 40 洛材质锻打而成；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2、内部多组连接盘连接；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3、皮带传动含架体；</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筛分机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筛分机进料口部分加防冲击网；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筛网交接部位打加紧包箍；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网采用耐磨钢材质，耐腐蚀。</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1、皮带机机身槽钢为 100 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2、托锟为重型加厚托辊；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3、皮带为花纹 5 层布；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4、传动为齿轮同步传动；</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双工位包装机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1、采用基恩士传感器精确计量；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2、精确分析快、中、慢三档下料；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3、可包装 20kg-50kg 不等规格。</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24"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（五）15000吨/年有机肥粉状生产线</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铲车料仓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1、标准外形尺寸 1.5 米*3 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2、出料端配置送料输送机；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3、配置下料快慢的闸门装置；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4、进料端加装 100mm*100mm 的隔离网，防止杂物进入。</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双轴搅拌机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1、框架加厚槽钢焊接；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2、配备出料闸门，方便出料；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3、进料口焊接网格防止大料进入；</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搅齿造粒机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1、内搅齿采用高猛耐磨材质；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2、搅齿端部采用合金刀头；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3、搅齿刀头装置采用 10.8 级高强材质，更换简单；</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冷却机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1、钢板厚度为 8 毫米，扬料板厚度为 6 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2、前后封头板均为 3 毫米厚钢板制作；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3、滚圈、齿轮、挡轮、托轮等均为重型铸钢件；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4、引风机叶轮和主轴均采用耐高温材质（叶轮与主轴之间采用锥度连接）；除尘室自砌。</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一次烘干机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1、钢板厚度为 8 毫米，扬料板厚度为 6 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2、前后封头板均为 3 毫米厚钢板制作；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3、滚圈、齿轮、挡轮、托轮等均为重型铸钢件；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4、引风机叶轮和主轴均采用耐高温材质（叶轮与主轴之间采用锥度连接）；除尘室自砌。</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二次烘干机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1、钢板厚度为 8 毫米，扬料板厚度为 6 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前后封头板均为 3 毫米厚钢板制作；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滚圈、齿轮、挡轮、托轮等均为重型铸钢件；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引风机叶轮和主轴均采用耐高温材质（叶轮与主轴之间采用锥度连接）；除尘室自砌。</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1、采用基恩士传感器精确计量；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2、精确分析快、中、慢三档下料；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3、可包装 20kg-50kg 不等规格。</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1、整体采用按钮式操控；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2、粉状线、颗粒线分别控制；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3、大于 15kw 以上功率均采用降压启动；</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1、皮带机机身槽钢为 100 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2、托锟为重型加厚托辊；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3、皮带为花纹 5 层布；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4、传动为齿轮同步传动；</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筛分机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筛分机进料口部分加防冲击网；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筛网交接部位打加紧包箍；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网采用耐磨钢材质，耐腐蚀。</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回料粉碎机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1、耐磨链条装配而成；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2、内部多组连接盘连接；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3、皮带传动含架体；</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中央输粪设备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带式清粪头总成</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带式清粪尾总成</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斜向减速机 </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YH40-2200-30 链轮16A</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斜向减速机 </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YH32-1500-30 链轮16A</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 16A-1*60L</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带式清粪电机罩-600型-7件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带式清粪接粪斗</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600型</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带式清粪斜向挡粪板</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800型</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带式清粪交接口左右挡粪板</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带式清粪-内刮板</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600型</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刮板胶条</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L=800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带式清粪头刮装配</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600型</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刮板胶条</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L=600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拉簧</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Φ2.5*Φ18*100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带式清粪头尾主梁</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左右-2米</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带式清粪中间主梁</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2米</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带式清粪中间主梁</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2.2米</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带式清粪中间主梁</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1.2米</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带式清粪中间主梁连接板</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带式清粪托辊架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1046</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高-600型 2#</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带式清粪托辊架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1046</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矮-600型 2#</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带式清粪-横向</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托辊-600型</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带式清粪-三角连接板-左右</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带式清粪防雨罩 </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L=2000-600型</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矩管支撑架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带式清粪挡粪胶带</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2204</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黑粪带</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周长-600-42米</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黑粪带</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周长-600-38米</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黑粪带</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周长-600-24米</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电控电箱</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600*1800</w:t>
            </w:r>
          </w:p>
        </w:tc>
      </w:tr>
      <w:tr>
        <w:tblPrEx>
          <w:tblCellMar>
            <w:top w:w="0" w:type="dxa"/>
            <w:left w:w="108" w:type="dxa"/>
            <w:bottom w:w="0" w:type="dxa"/>
            <w:right w:w="108" w:type="dxa"/>
          </w:tblCellMar>
        </w:tblPrEx>
        <w:trPr>
          <w:trHeight w:val="300" w:hRule="atLeast"/>
        </w:trPr>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u w:val="none"/>
                <w14:textFill>
                  <w14:solidFill>
                    <w14:schemeClr w14:val="accent1"/>
                  </w14:solidFill>
                </w14:textFill>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电力配套设备</w:t>
            </w: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u w:val="none"/>
                <w14:textFill>
                  <w14:solidFill>
                    <w14:schemeClr w14:val="accent1"/>
                  </w14:solidFill>
                </w14:textFill>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电力配套设备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变压器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1000KVA</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变压器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800KVA</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变压器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630KVA</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10kV环网</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柴油发电机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500Kw</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柴油发电机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150Kw</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柴油发电机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50Kw</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主线缆</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5栋鸡舍为一区：3*240平国标铜线</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分线缆</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每栋进线3*35平国标铜线</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29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饲料机组线缆</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3*240平国标铜线</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2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3*95平国标铜线</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粪处理线缆</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3*240平国标铜线</w:t>
            </w:r>
          </w:p>
        </w:tc>
      </w:tr>
      <w:tr>
        <w:tblPrEx>
          <w:tblCellMar>
            <w:top w:w="0" w:type="dxa"/>
            <w:left w:w="108" w:type="dxa"/>
            <w:bottom w:w="0" w:type="dxa"/>
            <w:right w:w="108" w:type="dxa"/>
          </w:tblCellMar>
        </w:tblPrEx>
        <w:trPr>
          <w:trHeight w:val="300" w:hRule="atLeast"/>
        </w:trPr>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u w:val="none"/>
                <w14:textFill>
                  <w14:solidFill>
                    <w14:schemeClr w14:val="accent1"/>
                  </w14:solidFill>
                </w14:textFill>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水利配套设备</w:t>
            </w: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u w:val="none"/>
                <w14:textFill>
                  <w14:solidFill>
                    <w14:schemeClr w14:val="accent1"/>
                  </w14:solidFill>
                </w14:textFill>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净水处理设备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原水泵 (耦合安装）</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Q=40m3/h、H=30m，N=7.5KW</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管道混合器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DN100*600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加药桶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V=3000L</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计量泵</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Q=120L/H、P=0.7MPa、N=0.37KW</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pvc加药装置减速机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N=2.2KW</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pvc加药装置搅拌器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Φ900*1400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pvc加药装置阻尼器等</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pvc加药装置电控箱</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500*1000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pvc加药装置安装架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3.2×2.0×1.85m</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pvc加药装置集液箱</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3.0×1.5×0.2m</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pvc加药装置管阀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沉淀池挡板及堰槽</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4.0×0.35</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沉淀池污泥泵</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50WQ10-10-0.75，</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过滤进水自吸泵</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Q=50m3/h、H=40m，N=11KW</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砂滤罐、活性炭罐罐体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Ô2600×3200mm（含支腿）</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砂滤罐、活性炭罐手动蝶阀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DN200，对夹式</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砂滤罐、活性炭罐布水器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砂滤罐、活性炭罐滤帽</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DN10-50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砂滤罐、活性炭罐石英砂</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15.94</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d10=0.6～1.2mm</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砂滤罐、活性炭罐活性炭</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9.67</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d=1.2～1.5mm，h=2.0～ 3.0mm</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砂滤罐、活性炭罐压力表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P=1.0MPa</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砂滤罐、活性炭罐安全阀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砂滤罐、活性炭罐管件等</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精密过滤器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Ô600×1450mm，过滤精度5um</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超滤装置</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8吋滤芯，含安装架、化学加药装置</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反洗自吸泵</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Q=150m3/h、H=20m，N=18.5KW</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紫外线消毒器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Q=60m3/h、N=600W</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二氧化氯发生器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100g/h</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恒压变频供水装置</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含水泵三台（Q=15m3/h、H=44m、N=4KW）、碳钢隔膜式 气 压 罐 一 个 （Φ 800/0.6MPa）、变频器（4KW）、控制系统、底座及管阀等</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在线浊度仪</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含仪表箱、安装支架</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在线余氯仪</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含仪表箱、安装支架</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PLC控制柜</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600*1200mm</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配套管阀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DN10\DN50\DN100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配套线缆</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超声波液位计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0～5m，4～20mA，24V，分体式</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u w:val="none"/>
                <w14:textFill>
                  <w14:solidFill>
                    <w14:schemeClr w14:val="accent1"/>
                  </w14:solidFill>
                </w14:textFill>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污水处理设备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化粪池</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Φ3.2×9.4mV=75m3 Q=5m3/h H=5m</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潜污提升泵</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Q=5m3/h H=5m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N=0.25KW</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一体化设备本体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9.3×2.3×2.7m（含人孔 0.1m）</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一体化设备组合填料</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Φ150*1500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一体化设备填料架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 圆钢</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一体化设备曝气盘</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Φ215</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一体化设备曝气管阀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Φ63/Φ50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一体化设备混合液回流泵</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Q=10m3/h H=10m N=0.75KW</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一体化设备污泥回流泵</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Q=5m3/h H=5m N=0.25KW</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一体化设备曝气风机</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Q=1.14～1.02m3/h N=1.5KW</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一体化设备除磷加药装置</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Q=10L/h V=100L N=0.37KW</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一体化设备紫外线消毒器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Q=5t/h、N=80W</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恒压回用水泵</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Q=4m3/h H=50mN=1.1KW</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浮球液位控制器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转子流量计</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成套电控箱</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500*1200mm</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配套电缆</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400m</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配套管道管件及阀门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DN10\DN32\DN40\DN100\DN150\DN200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u w:val="none"/>
                <w14:textFill>
                  <w14:solidFill>
                    <w14:schemeClr w14:val="accent1"/>
                  </w14:solidFill>
                </w14:textFill>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管线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进水管（90#）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热活管</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进水管（50#）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热活管</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排水管（200#）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排水管（50#）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w:t>
            </w:r>
          </w:p>
        </w:tc>
      </w:tr>
      <w:tr>
        <w:tblPrEx>
          <w:tblCellMar>
            <w:top w:w="0" w:type="dxa"/>
            <w:left w:w="108" w:type="dxa"/>
            <w:bottom w:w="0" w:type="dxa"/>
            <w:right w:w="108" w:type="dxa"/>
          </w:tblCellMar>
        </w:tblPrEx>
        <w:trPr>
          <w:trHeight w:val="300" w:hRule="atLeast"/>
        </w:trPr>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u w:val="none"/>
                <w14:textFill>
                  <w14:solidFill>
                    <w14:schemeClr w14:val="accent1"/>
                  </w14:solidFill>
                </w14:textFill>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智能化饲料加工设备</w:t>
            </w: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u w:val="none"/>
                <w14:textFill>
                  <w14:solidFill>
                    <w14:schemeClr w14:val="accent1"/>
                  </w14:solidFill>
                </w14:textFill>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智能化饲料加工设备</w:t>
            </w:r>
          </w:p>
        </w:tc>
        <w:tc>
          <w:tcPr>
            <w:tcW w:w="8824"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（一）原粮接收、清理、仓储工段</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原粮卸粮斗</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4米×6米</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栅筛</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4米×6米</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4-72-6.5A</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双联沙克龙</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φ1000×2</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布袋降尘箱</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φ250×30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关风器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GF-9</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除尘管道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吸风罩</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刮板输送机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TGSS32</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快速提升机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DTG63/28-K</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粒料多清筛</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DSCY160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快速提升机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DTG63/28-K</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提升机塔架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2.5×2.5×34</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刮板输送机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TGSS32</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仓顶输送机通廊</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1.5米×36米</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气动闸门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QD-400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筒仓料位系统</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玉米筒仓体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φ12.8×18</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玉米筒仓体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φ12.8×18</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豆粕筒仓体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φ7.4×12</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豆粕筒仓体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φ7.4×12</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测温系统</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通风系统</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4-72-8C</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引风机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豆粕仓缓冲斗</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破拱振动器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豆粕破拱出仓机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TLSS25-2</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刮板输送机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TGSS20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连接管道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24"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（二）原料输送与粉碎工段</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入料斗、栅筛</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1500×2000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脉冲除尘器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MC21-1500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4-72-2.8A</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自清式刮板机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TGSS20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快速提升机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DTG48/28-K</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初清筛</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SCY80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永磁筒</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TXCT25</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气动三通</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FP30/2</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料位器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待粉碎料仓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1.5m×1.5m×6m</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气动闸门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QD-400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缓冲斗</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叶轮喂料器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YL150/100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主料粉碎机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SFSP-66×100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辅料粉碎机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SFSP-66×80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脉冲除尘器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MC-48</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9-26-4.5A</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消音器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吸风风道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闭风螺旋输送机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LSS25</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DTG48/28</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粉料初清筛</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SCY50/60/100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24"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（三）配料、混合工段</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旋转分配盘</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FP30×10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旋转分配盘</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FP30×4</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分配流管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配料仓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1.5m×1.5m×6m</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二次缓冲斗</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仓顶检修口</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料位器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配料器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LSS32</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配料器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LSS25</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配料秤</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PCS-3000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气动放料门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QF-600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脉冲除尘器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MC-4</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人工添加斗</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φ700×500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气动闸门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QD-400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小料复合称</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FC-100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双轴高效混合机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SJHJ6</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缓冲斗</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自清刮板机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TGSS32</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DTG63/33</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永磁筒</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TXCT30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气动三通</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FP30/2</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24"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（四）制粒工段、成品包装工段</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自清刮板机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TGSS32</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分配盘</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FP30×8</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待制粒仓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1.5m×1.5m×6m</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料位器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气动闸门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QD-400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缓冲斗</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螺旋喂料器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LSS20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调制器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TZLK-350-2</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环模制粒机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ADZL550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叶轮喂料器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YL300/400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逆流冷却器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SKLN4</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三辊破碎机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TGLS15/100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4-72-5A</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沙克龙</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关风器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GF-9</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吸风管道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消音器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DTG36/23</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分级筛</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SJHJ100/2</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1.5m×1.5m×6m</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料位器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气动闸门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QD-400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缓冲斗</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自动包装称</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DCY-50A</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输送带</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L-2500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自动缝包机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散装料成品仓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2m×3m×6m</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仓内防分级装置</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料位器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气动闸门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QD-400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缓冲斗</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自清刮板输送机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TGSS20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24"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（五）其他辅助工段</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脉冲除尘器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MC-12</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油脂添加系统</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YT-3000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螺杆空压机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储气罐</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1立方米</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空气冷干机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升降货梯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2吨×26米</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加油管道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气动管道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24"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（六）预混料加工工段</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入料斗、栅筛</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0.8×0.8</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气动闸门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QD-400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双轴高效混合机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SJHJ1</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1m×1m×1.5m</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4072-2.8A</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脉冲除尘器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MC-18</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集尘斗</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关风器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GF-9</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升降吊篮</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支架及管道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u w:val="none"/>
                <w14:textFill>
                  <w14:solidFill>
                    <w14:schemeClr w14:val="accent1"/>
                  </w14:solidFill>
                </w14:textFill>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预粉料加工机组设备</w:t>
            </w: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u w:val="none"/>
                <w14:textFill>
                  <w14:solidFill>
                    <w14:schemeClr w14:val="accent1"/>
                  </w14:solidFill>
                </w14:textFill>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预粉料加工机组设备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离心风机</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4-72-3.6A</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脉冲除尘器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MC-15</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离心风机</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4-72-3.6A</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脉冲除尘器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MC-15</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入料斗</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1米×1米</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自清式提升机</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DTD36/18</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自清式提升机</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DTG36/18</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待粉碎仓</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1米×1米×2米</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气动闸门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TZMQ40×40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缓冲斗</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叶轮喂料器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YL150/600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粉碎机</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SFSP60/40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离心风机</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9-26-4.5A</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脉冲除尘器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MC-20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风道</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闭风绞龙</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LSS20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自清式提升机</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DTD36/18</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待混合仓</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1米×1米×2米</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气动放料门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TZMQ60×60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脉冲除尘器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MC-4</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小料斗</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0.6米×0.6米</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气动闸门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TZMQ25×25</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混合机</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SJHJ1</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缓冲仓</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1米×1米×2米</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输送绞龙</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LSS25</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自清式提升机</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DTD36/23</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自清式刮板机</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TD25-U</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离心风机</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9-26-4.5A</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组合脉冲除尘器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MC-21-Z</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气动供气系统</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气动管道</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油脂添加系统</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ADYT-40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油脂添加管道</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升降吊篮</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电控柜</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电线桥架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平台支架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u w:val="none"/>
                <w14:textFill>
                  <w14:solidFill>
                    <w14:schemeClr w14:val="accent1"/>
                  </w14:solidFill>
                </w14:textFill>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辅助设备</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u w:val="none"/>
                <w14:textFill>
                  <w14:solidFill>
                    <w14:schemeClr w14:val="accent1"/>
                  </w14:solidFill>
                </w14:textFill>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车辆消毒设备（2套）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车辆消毒通道</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喷塑主机不锈钢水箱一体主机</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u w:val="none"/>
                <w14:textFill>
                  <w14:solidFill>
                    <w14:schemeClr w14:val="accent1"/>
                  </w14:solidFill>
                </w14:textFill>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行人消毒设备</w:t>
            </w: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br w:type="textWrapping"/>
            </w: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（13套）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智能超声波人员消毒通道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36L</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喷雾主机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不锈钢一体化制作</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储水箱以及电控系统</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不锈钢一体化制作</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语音感应系统</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电子门禁系统</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F81BD" w:themeColor="accent1"/>
                <w:sz w:val="20"/>
                <w:szCs w:val="20"/>
                <w:u w:val="none"/>
                <w14:textFill>
                  <w14:solidFill>
                    <w14:schemeClr w14:val="accent1"/>
                  </w14:solidFill>
                </w14:textFill>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地磅</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100吨地磅</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1.面板用10mm钢板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2.U型梁主梁高330mm；（高强钢）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3.端梁用10mm钢板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4.传感器座用40mm钢板；秤体结构5米+5米+5米+5米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5.传感器用广测YZC-9DQS-30T小桥 x10只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6.仪表用国内顶级品牌耀华DS10带打印仪表（具有互联网功能）1台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7.接线盒用广测数字10线接线盒1个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8.7寸外显大屏幕1台</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50吨地磅</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1.面板用8mm钢板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2.U型梁主梁高230mm；（高强钢）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3.端梁用10mm钢板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4.传感器座用40mm钢板；秤体结构5米+5米+5米+5米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5.传感器用广测YZC-9DQS-30T小桥 x10只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6.仪表用国内顶级品牌耀华DS10带打印仪表（具有互联网功能）1台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7.接线盒用广测数字10线接线盒1个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8.7寸外显大屏幕1台</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5吨地磅</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1.面板用6mm钢板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2.U型梁主梁高100mm；（高强钢）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3.端梁用10mm钢板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4.传感器座用40mm钢板；秤体结构5米+5米+5米+5米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5.传感器用广测YZC-9DQS-30T小桥 x10只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6.仪表用国内顶级品牌耀华DS10带打印仪表（具有互联网功能）1台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7.接线盒用广测数字10线接线盒1个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8.7寸外显大屏幕1台</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F81BD" w:themeColor="accent1"/>
                <w:sz w:val="20"/>
                <w:szCs w:val="20"/>
                <w:u w:val="none"/>
                <w14:textFill>
                  <w14:solidFill>
                    <w14:schemeClr w14:val="accent1"/>
                  </w14:solidFill>
                </w14:textFill>
              </w:rPr>
            </w:pP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F81BD" w:themeColor="accent1"/>
                <w:sz w:val="20"/>
                <w:szCs w:val="20"/>
                <w:u w:val="none"/>
                <w:lang w:val="en-US"/>
                <w14:textFill>
                  <w14:solidFill>
                    <w14:schemeClr w14:val="accent1"/>
                  </w14:solidFill>
                </w14:textFill>
              </w:rPr>
            </w:pPr>
            <w:r>
              <w:rPr>
                <w:rFonts w:hint="eastAsia" w:ascii="宋体" w:hAnsi="宋体" w:cs="宋体"/>
                <w:i w:val="0"/>
                <w:iCs w:val="0"/>
                <w:color w:val="4F81BD" w:themeColor="accent1"/>
                <w:kern w:val="0"/>
                <w:sz w:val="20"/>
                <w:szCs w:val="20"/>
                <w:u w:val="none"/>
                <w:lang w:val="en-US" w:eastAsia="zh-CN" w:bidi="ar"/>
                <w14:textFill>
                  <w14:solidFill>
                    <w14:schemeClr w14:val="accent1"/>
                  </w14:solidFill>
                </w14:textFill>
              </w:rPr>
              <w:t>转运设备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（电动）叉车</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铲车</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CLG850H 装/T3/分体桥/BS306E 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/标准臂/定量/先导单手柄/两联阀/空调/标准型驾驶室/有内胎斜交胎/3.0 方活动斗齿斗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用于粪污处理</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冻库、恒温库设备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低温螺杆并联机组</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BBSL160Z-535*2</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高温螺杆并联机组</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BBSL180G-535*2</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高能效冷风机.水融霜</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DJ-500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高能效冷风机.水融霜</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DL-580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蒸发式冷凝器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CZGN1300Y</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蒸发式冷凝器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CZGN1500Y</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螺杆冷冻机油.高温型</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20L</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螺杆冷冻机油.低温型</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20L</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风机吊装及库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体制冷系统辅材</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保温扎带焊条等</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 机组微电脑控制/三禾自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NHE-400CG</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系统管路(410)及阀件 20 米内</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*54*42*22 等</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系统管路( 钢管)及阀件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108.酸洗钝化</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系统管路( 钢管)及阀件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*76.酸洗钝化</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系统冲霜泵</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4.5KW</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系统冲霜管路及阀件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*108*96*50 等</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视液镜</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膨胀阀.进口</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TGEX-26TR/404</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膨胀阀.进口</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TGEX-38TR</w:t>
            </w:r>
          </w:p>
        </w:tc>
      </w:tr>
      <w:tr>
        <w:tblPrEx>
          <w:tblCellMar>
            <w:top w:w="0" w:type="dxa"/>
            <w:left w:w="108" w:type="dxa"/>
            <w:bottom w:w="0" w:type="dxa"/>
            <w:right w:w="108" w:type="dxa"/>
          </w:tblCellMar>
        </w:tblPrEx>
        <w:trPr>
          <w:trHeight w:val="44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制冷剂（ 原装 9.5kg）</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R404</w:t>
            </w:r>
          </w:p>
        </w:tc>
      </w:tr>
      <w:tr>
        <w:tblPrEx>
          <w:tblCellMar>
            <w:top w:w="0" w:type="dxa"/>
            <w:left w:w="108" w:type="dxa"/>
            <w:bottom w:w="0" w:type="dxa"/>
            <w:right w:w="108" w:type="dxa"/>
          </w:tblCellMar>
        </w:tblPrEx>
        <w:trPr>
          <w:trHeight w:val="44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制冷剂（ 原装 22.7kg）</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R22</w:t>
            </w:r>
          </w:p>
        </w:tc>
      </w:tr>
      <w:tr>
        <w:tblPrEx>
          <w:tblCellMar>
            <w:top w:w="0" w:type="dxa"/>
            <w:left w:w="108" w:type="dxa"/>
            <w:bottom w:w="0" w:type="dxa"/>
            <w:right w:w="108" w:type="dxa"/>
          </w:tblCellMar>
        </w:tblPrEx>
        <w:trPr>
          <w:trHeight w:val="44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冷库专用防爆防潮灯 20W</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 方形</w:t>
            </w:r>
          </w:p>
        </w:tc>
      </w:tr>
      <w:tr>
        <w:tblPrEx>
          <w:tblCellMar>
            <w:top w:w="0" w:type="dxa"/>
            <w:left w:w="108" w:type="dxa"/>
            <w:bottom w:w="0" w:type="dxa"/>
            <w:right w:w="108" w:type="dxa"/>
          </w:tblCellMar>
        </w:tblPrEx>
        <w:trPr>
          <w:trHeight w:val="44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电线.控制线等 (不含主供电)</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*16*10*6 等</w:t>
            </w:r>
          </w:p>
        </w:tc>
      </w:tr>
      <w:tr>
        <w:tblPrEx>
          <w:tblCellMar>
            <w:top w:w="0" w:type="dxa"/>
            <w:left w:w="108" w:type="dxa"/>
            <w:bottom w:w="0" w:type="dxa"/>
            <w:right w:w="108" w:type="dxa"/>
          </w:tblCellMar>
        </w:tblPrEx>
        <w:trPr>
          <w:trHeight w:val="44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螺栓、电焊条、氧气、乙炔、氮气等</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4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优质扎带与钢管保温</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4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 级聚氨酯保温板 40K</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1184</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150*0.326</w:t>
            </w:r>
          </w:p>
        </w:tc>
      </w:tr>
      <w:tr>
        <w:tblPrEx>
          <w:tblCellMar>
            <w:top w:w="0" w:type="dxa"/>
            <w:left w:w="108" w:type="dxa"/>
            <w:bottom w:w="0" w:type="dxa"/>
            <w:right w:w="108" w:type="dxa"/>
          </w:tblCellMar>
        </w:tblPrEx>
        <w:trPr>
          <w:trHeight w:val="44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 级聚氨酯保温板 40K</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2538</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100*0.326</w:t>
            </w:r>
          </w:p>
        </w:tc>
      </w:tr>
      <w:tr>
        <w:tblPrEx>
          <w:tblCellMar>
            <w:top w:w="0" w:type="dxa"/>
            <w:left w:w="108" w:type="dxa"/>
            <w:bottom w:w="0" w:type="dxa"/>
            <w:right w:w="108" w:type="dxa"/>
          </w:tblCellMar>
        </w:tblPrEx>
        <w:trPr>
          <w:trHeight w:val="44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高密度挤塑保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温板 150mm 地面</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1800mm*600mm</w:t>
            </w:r>
          </w:p>
        </w:tc>
      </w:tr>
      <w:tr>
        <w:tblPrEx>
          <w:tblCellMar>
            <w:top w:w="0" w:type="dxa"/>
            <w:left w:w="108" w:type="dxa"/>
            <w:bottom w:w="0" w:type="dxa"/>
            <w:right w:w="108" w:type="dxa"/>
          </w:tblCellMar>
        </w:tblPrEx>
        <w:trPr>
          <w:trHeight w:val="44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低温玻璃胶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r>
      <w:tr>
        <w:tblPrEx>
          <w:tblCellMar>
            <w:top w:w="0" w:type="dxa"/>
            <w:left w:w="108" w:type="dxa"/>
            <w:bottom w:w="0" w:type="dxa"/>
            <w:right w:w="108" w:type="dxa"/>
          </w:tblCellMar>
        </w:tblPrEx>
        <w:trPr>
          <w:trHeight w:val="44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聚氨酯平移门 150mm</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3000*2400</w:t>
            </w:r>
          </w:p>
        </w:tc>
      </w:tr>
      <w:tr>
        <w:tblPrEx>
          <w:tblCellMar>
            <w:top w:w="0" w:type="dxa"/>
            <w:left w:w="108" w:type="dxa"/>
            <w:bottom w:w="0" w:type="dxa"/>
            <w:right w:w="108" w:type="dxa"/>
          </w:tblCellMar>
        </w:tblPrEx>
        <w:trPr>
          <w:trHeight w:val="44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聚氨酯平移门 100mm</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3000*2400</w:t>
            </w:r>
          </w:p>
        </w:tc>
      </w:tr>
      <w:tr>
        <w:tblPrEx>
          <w:tblCellMar>
            <w:top w:w="0" w:type="dxa"/>
            <w:left w:w="108" w:type="dxa"/>
            <w:bottom w:w="0" w:type="dxa"/>
            <w:right w:w="108" w:type="dxa"/>
          </w:tblCellMar>
        </w:tblPrEx>
        <w:trPr>
          <w:trHeight w:val="44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聚氨酯发泡剂</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750ML/15 瓶/件</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清洗剂</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550ML</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库体及设备用钢材</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H80 矩 100 L50 等</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医疗设施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2-8度冰箱</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MPC-5V316</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负15度冰箱</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MDF-25V358</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负80度冰箱</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MDF-86V338</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混匀器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KB3</w:t>
            </w:r>
          </w:p>
        </w:tc>
      </w:tr>
      <w:tr>
        <w:tblPrEx>
          <w:tblCellMar>
            <w:top w:w="0" w:type="dxa"/>
            <w:left w:w="108" w:type="dxa"/>
            <w:bottom w:w="0" w:type="dxa"/>
            <w:right w:w="108" w:type="dxa"/>
          </w:tblCellMar>
        </w:tblPrEx>
        <w:trPr>
          <w:trHeight w:val="52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微量加样器（覆盖1-1000ul）</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w:t>
            </w:r>
          </w:p>
        </w:tc>
      </w:tr>
      <w:tr>
        <w:tblPrEx>
          <w:tblCellMar>
            <w:top w:w="0" w:type="dxa"/>
            <w:left w:w="108" w:type="dxa"/>
            <w:bottom w:w="0" w:type="dxa"/>
            <w:right w:w="108" w:type="dxa"/>
          </w:tblCellMar>
        </w:tblPrEx>
        <w:trPr>
          <w:trHeight w:val="58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移动紫外灯（近工作台面）</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ZXC-11</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高速台式冷冻离心机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iCen 24R</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加热模块</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K30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超净工作台</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DL-CJ-2ND I</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PCR扩增仪</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Repure-A</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高压灭菌锅</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GR60DA</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恒温培养箱</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DH124L</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XJ220ASCS</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酶标仪</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F50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洗板机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HydroFlex</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振荡器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MB100-2A</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摇床</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MQT-60R</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二氧化碳培养箱</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厌氧培养箱</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Mini Station</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显微镜</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NE610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冷藏柜</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MPC-5V316</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恒温箱</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DH124L</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凝胶成像系统</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OI-100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水平电泳系统</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Power Bs/SC 12</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荧光定量PCR仪</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X4</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PHS-3E</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磁力加热搅拌器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MS-H380-Pro</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纯水超纯水系统</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M10UPV+</w:t>
            </w:r>
          </w:p>
        </w:tc>
      </w:tr>
      <w:tr>
        <w:tblPrEx>
          <w:tblCellMar>
            <w:top w:w="0" w:type="dxa"/>
            <w:left w:w="108" w:type="dxa"/>
            <w:bottom w:w="0" w:type="dxa"/>
            <w:right w:w="108" w:type="dxa"/>
          </w:tblCellMar>
        </w:tblPrEx>
        <w:trPr>
          <w:trHeight w:val="58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超微量核酸蛋白测定仪</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Nano-500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台式高速离心机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iCen 24R</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掌上离心机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Mini 6KS</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鼓风干燥箱</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WGL-65B</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全自动核酸提取仪</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AutoPure 32A</w:t>
            </w:r>
          </w:p>
        </w:tc>
      </w:tr>
      <w:tr>
        <w:tblPrEx>
          <w:tblCellMar>
            <w:top w:w="0" w:type="dxa"/>
            <w:left w:w="108" w:type="dxa"/>
            <w:bottom w:w="0" w:type="dxa"/>
            <w:right w:w="108" w:type="dxa"/>
          </w:tblCellMar>
        </w:tblPrEx>
        <w:trPr>
          <w:trHeight w:val="78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超声波清洗机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JM-23D-28</w:t>
            </w:r>
          </w:p>
        </w:tc>
      </w:tr>
      <w:tr>
        <w:tblPrEx>
          <w:tblCellMar>
            <w:top w:w="0" w:type="dxa"/>
            <w:left w:w="108" w:type="dxa"/>
            <w:bottom w:w="0" w:type="dxa"/>
            <w:right w:w="108" w:type="dxa"/>
          </w:tblCellMar>
        </w:tblPrEx>
        <w:trPr>
          <w:trHeight w:val="16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饲料原料成套检测设备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分析天平</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FA2004 万分之一分析天平；液晶显示，自动外部校准。规格：200g/0.1mg，瑞士芯片技术，精确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性更高，响应速度更快，故障更少。</w:t>
            </w:r>
          </w:p>
        </w:tc>
      </w:tr>
      <w:tr>
        <w:tblPrEx>
          <w:tblCellMar>
            <w:top w:w="0" w:type="dxa"/>
            <w:left w:w="108" w:type="dxa"/>
            <w:bottom w:w="0" w:type="dxa"/>
            <w:right w:w="108" w:type="dxa"/>
          </w:tblCellMar>
        </w:tblPrEx>
        <w:trPr>
          <w:trHeight w:val="68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数显。百分之一天平，规格：500g/0.01g</w:t>
            </w:r>
          </w:p>
        </w:tc>
      </w:tr>
      <w:tr>
        <w:tblPrEx>
          <w:tblCellMar>
            <w:top w:w="0" w:type="dxa"/>
            <w:left w:w="108" w:type="dxa"/>
            <w:bottom w:w="0" w:type="dxa"/>
            <w:right w:w="108" w:type="dxa"/>
          </w:tblCellMar>
        </w:tblPrEx>
        <w:trPr>
          <w:trHeight w:val="104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恒温水浴锅</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HH-S4 数显水浴锅，双列 4 孔，温度范围：室温+10～100℃，温度精度：±1℃，单列 2 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功率：1000W</w:t>
            </w:r>
          </w:p>
        </w:tc>
      </w:tr>
      <w:tr>
        <w:tblPrEx>
          <w:tblCellMar>
            <w:top w:w="0" w:type="dxa"/>
            <w:left w:w="108" w:type="dxa"/>
            <w:bottom w:w="0" w:type="dxa"/>
            <w:right w:w="108" w:type="dxa"/>
          </w:tblCellMar>
        </w:tblPrEx>
        <w:trPr>
          <w:trHeight w:val="156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鼓风干燥箱</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101-1B 鼓风干燥箱数显控温，工作室为不锈钢内胆，温度波动：±1℃，温度范围:室温+10-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300℃,. 工作区尺寸：:450*350*450mm</w:t>
            </w:r>
          </w:p>
        </w:tc>
      </w:tr>
      <w:tr>
        <w:tblPrEx>
          <w:tblCellMar>
            <w:top w:w="0" w:type="dxa"/>
            <w:left w:w="108" w:type="dxa"/>
            <w:bottom w:w="0" w:type="dxa"/>
            <w:right w:w="108" w:type="dxa"/>
          </w:tblCellMar>
        </w:tblPrEx>
        <w:trPr>
          <w:trHeight w:val="486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可见分光光度计</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722N型可见分光光度计仪器特点：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数字显示测量示值,自动调零自动调百。2、宽大的样品室可容纳5-100mm比色皿。。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3、采用原装进口钨灯，保证仪器的使用寿命。4、仪器采用先进的微机处理技术，操作简单。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仪器参数：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光学系统：消色差Czerny-Turner(1200L/mm grating)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波长范围：320-1020nm.波长准确度：±2nm,光谱带宽:4nm波长重复性：≤0.5nm,透射比准确度：±0.5%T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稳定性：±0.002A/h @500nm，杂散光：≤0.2%T@360nm;工作方式：T,A,C,调零方式：自动</w:t>
            </w:r>
          </w:p>
        </w:tc>
      </w:tr>
      <w:tr>
        <w:tblPrEx>
          <w:shd w:val="clear" w:color="auto" w:fill="auto"/>
          <w:tblCellMar>
            <w:top w:w="0" w:type="dxa"/>
            <w:left w:w="108" w:type="dxa"/>
            <w:bottom w:w="0" w:type="dxa"/>
            <w:right w:w="108" w:type="dxa"/>
          </w:tblCellMar>
        </w:tblPrEx>
        <w:trPr>
          <w:trHeight w:val="1063"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凯氏定氮仪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KDN-9820 凯氏定氮仪采用采用微电脑进行过程控制，可以手动和自动两种操作模式；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1.测定品种：粮食、饲料、食品、乳制品、饮料、土壤、水、药物、沉淀物和化学品等。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2.工作方式：全自动。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3.显示方式：大屏幕液晶显示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样品量：固体 0.20g～2.00g；半固定 2.00g～5.00g 液体 10.00ml～25.ml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测定范围：含氮在 0.1～200mgN（毫克氮）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回收率：100±1%（相对误差，包括消化过程）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7.重复率：相对标准偏差≤±0.5%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8.工作时间：蒸馏时间 5-10min。（ 根据样品量而定）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各流程时间设定：0-99min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10.最大存储数据：999 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仪器配套 8 孔数显控温消化炉</w:t>
            </w:r>
          </w:p>
        </w:tc>
      </w:tr>
      <w:tr>
        <w:tblPrEx>
          <w:shd w:val="clear" w:color="auto" w:fill="auto"/>
          <w:tblCellMar>
            <w:top w:w="0" w:type="dxa"/>
            <w:left w:w="108" w:type="dxa"/>
            <w:bottom w:w="0" w:type="dxa"/>
            <w:right w:w="108" w:type="dxa"/>
          </w:tblCellMar>
        </w:tblPrEx>
        <w:trPr>
          <w:trHeight w:val="184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粗脂肪测定仪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SZF-06A 粗脂肪测定仪数显控温，测定样品：6 个/批；控温范围：室温~100℃，测定范围：含油量在 0.5%-60% 范围内的粮食、饲料、油料及各种脂肪制品，功率：1000W</w:t>
            </w:r>
          </w:p>
        </w:tc>
      </w:tr>
      <w:tr>
        <w:tblPrEx>
          <w:tblCellMar>
            <w:top w:w="0" w:type="dxa"/>
            <w:left w:w="108" w:type="dxa"/>
            <w:bottom w:w="0" w:type="dxa"/>
            <w:right w:w="108" w:type="dxa"/>
          </w:tblCellMar>
        </w:tblPrEx>
        <w:trPr>
          <w:trHeight w:val="27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粗纤维测定仪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CXC-06 粗纤维测定仪测定对象：各种粮食、饲料、谷物、食品及其他农副产品中粗纤维的含量测试样品数：6 个/次；重复性误差：粗纤维含量在 10%以下，绝对值误差≤0.4；粗纤维含量在 10%以上，相对误差≤4%；测定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时间：在仪器上所需约 100 分钟（包括酸 40 分、碱 40 分，抽滤和洗涤约 20 分）；功率：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2500W</w:t>
            </w:r>
          </w:p>
        </w:tc>
      </w:tr>
      <w:tr>
        <w:tblPrEx>
          <w:tblCellMar>
            <w:top w:w="0" w:type="dxa"/>
            <w:left w:w="108" w:type="dxa"/>
            <w:bottom w:w="0" w:type="dxa"/>
            <w:right w:w="108" w:type="dxa"/>
          </w:tblCellMar>
        </w:tblPrEx>
        <w:trPr>
          <w:trHeight w:val="144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马弗炉</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YTH-4-10型一体式马弗炉,  炉膛尺寸:300mm(深)×200mm(宽)×120mm(高)，最高温度：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1000℃,数显控温, 功率：4KW，灰分实验</w:t>
            </w:r>
          </w:p>
        </w:tc>
      </w:tr>
      <w:tr>
        <w:tblPrEx>
          <w:tblCellMar>
            <w:top w:w="0" w:type="dxa"/>
            <w:left w:w="108" w:type="dxa"/>
            <w:bottom w:w="0" w:type="dxa"/>
            <w:right w:w="108" w:type="dxa"/>
          </w:tblCellMar>
        </w:tblPrEx>
        <w:trPr>
          <w:trHeight w:val="14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电动离心机</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 型离心机使用电压:220V 50HZ;定时范围:0-60 分;额定功率:60W;调整范围:0-4000 转/分;容量:12×20 毫升;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分离因素:1960</w:t>
            </w:r>
          </w:p>
        </w:tc>
      </w:tr>
      <w:tr>
        <w:tblPrEx>
          <w:tblCellMar>
            <w:top w:w="0" w:type="dxa"/>
            <w:left w:w="108" w:type="dxa"/>
            <w:bottom w:w="0" w:type="dxa"/>
            <w:right w:w="108" w:type="dxa"/>
          </w:tblCellMar>
        </w:tblPrEx>
        <w:trPr>
          <w:trHeight w:val="92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高速万能粉碎机</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800C 型粉碎机，机身不锈钢材质，最大粉碎量：800g, 功率:550W，粉碎程度：50-300 目</w:t>
            </w:r>
          </w:p>
        </w:tc>
      </w:tr>
      <w:tr>
        <w:tblPrEx>
          <w:tblCellMar>
            <w:top w:w="0" w:type="dxa"/>
            <w:left w:w="108" w:type="dxa"/>
            <w:bottom w:w="0" w:type="dxa"/>
            <w:right w:w="108" w:type="dxa"/>
          </w:tblCellMar>
        </w:tblPrEx>
        <w:trPr>
          <w:trHeight w:val="118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调速多用振荡器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HY-4 型振荡器，转速范围:启动 360r/min;振幅:20;装瓶量:100×12,200×6;定量范围:0-120min功率： 100W</w:t>
            </w:r>
          </w:p>
        </w:tc>
      </w:tr>
      <w:tr>
        <w:tblPrEx>
          <w:tblCellMar>
            <w:top w:w="0" w:type="dxa"/>
            <w:left w:w="108" w:type="dxa"/>
            <w:bottom w:w="0" w:type="dxa"/>
            <w:right w:w="108" w:type="dxa"/>
          </w:tblCellMar>
        </w:tblPrEx>
        <w:trPr>
          <w:trHeight w:val="116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恒温磁力搅拌器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HJ-3 型磁力搅拌器，搅拌转速：100-2000r/min，搅拌容量：1000ml；控温范围：室温-99.9℃,加热功率：325W</w:t>
            </w:r>
          </w:p>
        </w:tc>
      </w:tr>
      <w:tr>
        <w:tblPrEx>
          <w:tblCellMar>
            <w:top w:w="0" w:type="dxa"/>
            <w:left w:w="108" w:type="dxa"/>
            <w:bottom w:w="0" w:type="dxa"/>
            <w:right w:w="108" w:type="dxa"/>
          </w:tblCellMar>
        </w:tblPrEx>
        <w:trPr>
          <w:trHeight w:val="206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水分测定仪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DSH-10A 卤素水分测定仪液晶显示, 采用卤素灯加热干燥，升温迅速，测试时间短。最大称量： 10g，可读性：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0.01g,建议样品量：3-10g，加热温度范围：50-180℃。</w:t>
            </w:r>
          </w:p>
        </w:tc>
      </w:tr>
      <w:tr>
        <w:tblPrEx>
          <w:tblCellMar>
            <w:top w:w="0" w:type="dxa"/>
            <w:left w:w="108" w:type="dxa"/>
            <w:bottom w:w="0" w:type="dxa"/>
            <w:right w:w="108" w:type="dxa"/>
          </w:tblCellMar>
        </w:tblPrEx>
        <w:trPr>
          <w:trHeight w:val="26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超纯水机</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RUPF-20超纯水机，1.产水量：20L/h， 2.取水流速：1.5-2.0L/min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3.超纯水水质微生物/细菌：&lt;1 CFU/ml；电导率18.2MΩ.cm@25℃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4.进水水源：城市自来水，出2路水质，纯水和超纯水。</w:t>
            </w:r>
          </w:p>
        </w:tc>
      </w:tr>
      <w:tr>
        <w:tblPrEx>
          <w:tblCellMar>
            <w:top w:w="0" w:type="dxa"/>
            <w:left w:w="108" w:type="dxa"/>
            <w:bottom w:w="0" w:type="dxa"/>
            <w:right w:w="108" w:type="dxa"/>
          </w:tblCellMar>
        </w:tblPrEx>
        <w:trPr>
          <w:trHeight w:val="186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谷物选筛</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14层(12只筛子加底盖一套)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外径:Φ220mm；高度 :50mm；孔径( mm ) :Φ 1.0、1.5、2.0、2.5、3.0、3.5、4.0、4.5、5.0、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6.0、12 、1.5 × 20 底、盖</w:t>
            </w:r>
          </w:p>
        </w:tc>
      </w:tr>
      <w:tr>
        <w:tblPrEx>
          <w:tblCellMar>
            <w:top w:w="0" w:type="dxa"/>
            <w:left w:w="108" w:type="dxa"/>
            <w:bottom w:w="0" w:type="dxa"/>
            <w:right w:w="108" w:type="dxa"/>
          </w:tblCellMar>
        </w:tblPrEx>
        <w:trPr>
          <w:trHeight w:val="166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恒温培养箱</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DHP-360恒温培养箱，数显智能控温，不锈钢内胆， 2.温度范围：室温+5℃-65℃，温度波动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工作区尺寸：360*360*420mm</w:t>
            </w:r>
          </w:p>
        </w:tc>
      </w:tr>
      <w:tr>
        <w:tblPrEx>
          <w:tblCellMar>
            <w:top w:w="0" w:type="dxa"/>
            <w:left w:w="108" w:type="dxa"/>
            <w:bottom w:w="0" w:type="dxa"/>
            <w:right w:w="108" w:type="dxa"/>
          </w:tblCellMar>
        </w:tblPrEx>
        <w:trPr>
          <w:trHeight w:val="216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酸度计</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PHS-3C酸度计数字显示，测量范围：pH：（0.00～14.00）pH；mV：（0～±1400）mV自动级性显示，最小显示单位：0.01pH，1mV，0.1℃,温度补偿范围：（0.0～60.0）℃，电子单元基本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误差：pH：±0.01 pH；mV：±1%FS，功率:100W</w:t>
            </w:r>
          </w:p>
        </w:tc>
      </w:tr>
      <w:tr>
        <w:tblPrEx>
          <w:tblCellMar>
            <w:top w:w="0" w:type="dxa"/>
            <w:left w:w="108" w:type="dxa"/>
            <w:bottom w:w="0" w:type="dxa"/>
            <w:right w:w="108" w:type="dxa"/>
          </w:tblCellMar>
        </w:tblPrEx>
        <w:trPr>
          <w:trHeight w:val="138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高压灭菌锅</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YX-280D（24L)）高压灭菌锅容积：24L,最高温度：129度，断水自控，自动控温定时，最高压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力：0.165MPa</w:t>
            </w:r>
          </w:p>
        </w:tc>
      </w:tr>
      <w:tr>
        <w:tblPrEx>
          <w:tblCellMar>
            <w:top w:w="0" w:type="dxa"/>
            <w:left w:w="108" w:type="dxa"/>
            <w:bottom w:w="0" w:type="dxa"/>
            <w:right w:w="108" w:type="dxa"/>
          </w:tblCellMar>
        </w:tblPrEx>
        <w:trPr>
          <w:trHeight w:val="254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数显硬度计</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GWJ-2数显硬度计采用高精度压力传感器，数字显示，读数直观准确，可连续测量谷物，饲料等硬度值。测量范围：20KG（N、Kg两种种单位可自动转换),显示方式：数显式,施压方式：手动,测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量精度：± 2%,分辨率：0.01Kg/0.1N</w:t>
            </w:r>
          </w:p>
        </w:tc>
      </w:tr>
      <w:tr>
        <w:tblPrEx>
          <w:tblCellMar>
            <w:top w:w="0" w:type="dxa"/>
            <w:left w:w="108" w:type="dxa"/>
            <w:bottom w:w="0" w:type="dxa"/>
            <w:right w:w="108" w:type="dxa"/>
          </w:tblCellMar>
        </w:tblPrEx>
        <w:trPr>
          <w:trHeight w:val="312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谷物容重器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GHCS-1000A电子两用容重器在原容重器的基础上，更有效更方便的检测各类粮食的定等,可测量大粒粮食，如玉米、大豆等，也可测量小粒粮食，如小麦、高粱等，广泛用于粮食进出口岸、储运、商检及加工部门。  产品参数：1、容重器最大工作称重： 1000 ±2g，容重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器最小工作称重：100g，容重器分辨力：1g；  2、容重筒容积：1000 ±1.5m</w:t>
            </w:r>
          </w:p>
        </w:tc>
      </w:tr>
      <w:tr>
        <w:tblPrEx>
          <w:tblCellMar>
            <w:top w:w="0" w:type="dxa"/>
            <w:left w:w="108" w:type="dxa"/>
            <w:bottom w:w="0" w:type="dxa"/>
            <w:right w:w="108" w:type="dxa"/>
          </w:tblCellMar>
        </w:tblPrEx>
        <w:trPr>
          <w:trHeight w:val="7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数字显示，最大称量：30Kg,  精度：1g</w:t>
            </w:r>
          </w:p>
        </w:tc>
      </w:tr>
      <w:tr>
        <w:tblPrEx>
          <w:tblCellMar>
            <w:top w:w="0" w:type="dxa"/>
            <w:left w:w="108" w:type="dxa"/>
            <w:bottom w:w="0" w:type="dxa"/>
            <w:right w:w="108" w:type="dxa"/>
          </w:tblCellMar>
        </w:tblPrEx>
        <w:trPr>
          <w:trHeight w:val="134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生物显微镜</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XSP-2CA生物显微镜，双目电光源，最大放大倍率：1600 倍；同轴粗微调，调焦范围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20mm，带上限位；聚光镜NA=1.25 带可变光栏；亮度可调LED灯照明；</w:t>
            </w:r>
          </w:p>
        </w:tc>
      </w:tr>
      <w:tr>
        <w:tblPrEx>
          <w:tblCellMar>
            <w:top w:w="0" w:type="dxa"/>
            <w:left w:w="108" w:type="dxa"/>
            <w:bottom w:w="0" w:type="dxa"/>
            <w:right w:w="108" w:type="dxa"/>
          </w:tblCellMar>
        </w:tblPrEx>
        <w:trPr>
          <w:trHeight w:val="86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霉 菌 毒 素 快 速 检 测仪 FD-1000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仪器尺寸：210mm×197mm×84mm ，触屏尺寸：3.5英寸</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无害化处理设备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分拣平台</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自动称量升降机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湿垃圾处理器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不锈钢2.3m×1.2m×1.2m</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隔油池</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 1m³</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调节池</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 2m³</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隔油回用池</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 2m³</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回用泵</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6m³  8m  0.4kw</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污水提升泵</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6m³  8m  0.4kw</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一体化污水处理设备</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 1.2m×3.0m</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HAP-100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回流泵</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6m³  8m  0.4kw</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球形填料</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组合填料</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设备管道及阀门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曝气系统</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φ215</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电控系统</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国标电缆</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电锅炉设备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电热蒸汽锅炉</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Y30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智能控制柜</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WDR1-1.25-D</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给水泵</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DG46-50*4   一备一用</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软化水设备</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1吨标配</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分气缸</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直径273</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φ273</w:t>
            </w:r>
            <w:r>
              <w:rPr>
                <w:rFonts w:hint="eastAsia" w:ascii="宋体" w:hAnsi="宋体" w:cs="宋体"/>
                <w:i w:val="0"/>
                <w:iCs w:val="0"/>
                <w:color w:val="000000"/>
                <w:kern w:val="0"/>
                <w:sz w:val="20"/>
                <w:szCs w:val="20"/>
                <w:u w:val="none"/>
                <w:lang w:val="en-US" w:eastAsia="zh-CN" w:bidi="ar"/>
              </w:rPr>
              <w:t xml:space="preserve">    Y-150  pn1.6</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三通旋塞</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Y-150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主气阀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DN15PN1.6</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DN50PN1.6</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压力控制器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DN40PN1.6</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水位表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DN25,PN1.6</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水位报警器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DN25PN1.6</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DN25PN1.6</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排污阀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DN50PN1.6</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取样冷却器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DN40PN1.6</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其他球阀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GGT09-02</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蒸汽管道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直径65-110</w:t>
            </w:r>
          </w:p>
        </w:tc>
      </w:tr>
      <w:tr>
        <w:tblPrEx>
          <w:tblCellMar>
            <w:top w:w="0" w:type="dxa"/>
            <w:left w:w="108" w:type="dxa"/>
            <w:bottom w:w="0" w:type="dxa"/>
            <w:right w:w="108" w:type="dxa"/>
          </w:tblCellMar>
        </w:tblPrEx>
        <w:trPr>
          <w:trHeight w:val="30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保温材料</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100mm岩棉或聚氨酯泡沫板</w:t>
            </w:r>
          </w:p>
        </w:tc>
      </w:tr>
      <w:tr>
        <w:tblPrEx>
          <w:tblCellMar>
            <w:top w:w="0" w:type="dxa"/>
            <w:left w:w="108" w:type="dxa"/>
            <w:bottom w:w="0" w:type="dxa"/>
            <w:right w:w="108" w:type="dxa"/>
          </w:tblCellMar>
        </w:tblPrEx>
        <w:trPr>
          <w:trHeight w:val="1360"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4F81BD" w:themeColor="accent1"/>
                <w:kern w:val="0"/>
                <w:sz w:val="20"/>
                <w:szCs w:val="20"/>
                <w:u w:val="none"/>
                <w:lang w:val="en-US" w:eastAsia="zh-CN" w:bidi="ar"/>
                <w14:textFill>
                  <w14:solidFill>
                    <w14:schemeClr w14:val="accent1"/>
                  </w14:solidFill>
                </w14:textFill>
              </w:rPr>
              <w:t>鸡舍免疫净水设备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鸡舍免疫净水设备</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pStyle w:val="14"/>
        <w:kinsoku w:val="0"/>
        <w:overflowPunct w:val="0"/>
        <w:spacing w:before="34" w:line="357" w:lineRule="auto"/>
        <w:ind w:right="126" w:firstLine="4156" w:firstLineChars="1150"/>
        <w:rPr>
          <w:rFonts w:hint="eastAsia" w:cs="仿宋" w:asciiTheme="majorEastAsia" w:hAnsiTheme="majorEastAsia" w:eastAsiaTheme="majorEastAsia"/>
          <w:b/>
          <w:bCs/>
          <w:sz w:val="36"/>
          <w:szCs w:val="36"/>
        </w:rPr>
      </w:pPr>
    </w:p>
    <w:p>
      <w:pPr>
        <w:pStyle w:val="15"/>
        <w:rPr>
          <w:rFonts w:hint="eastAsia" w:cs="仿宋" w:asciiTheme="majorEastAsia" w:hAnsiTheme="majorEastAsia" w:eastAsiaTheme="majorEastAsia"/>
          <w:b/>
          <w:bCs/>
          <w:sz w:val="36"/>
          <w:szCs w:val="36"/>
        </w:rPr>
      </w:pPr>
    </w:p>
    <w:p>
      <w:pPr>
        <w:pStyle w:val="15"/>
        <w:rPr>
          <w:rFonts w:hint="eastAsia" w:cs="仿宋" w:asciiTheme="majorEastAsia" w:hAnsiTheme="majorEastAsia" w:eastAsiaTheme="majorEastAsia"/>
          <w:b/>
          <w:bCs/>
          <w:sz w:val="36"/>
          <w:szCs w:val="36"/>
        </w:rPr>
      </w:pPr>
    </w:p>
    <w:p>
      <w:pPr>
        <w:pStyle w:val="14"/>
        <w:kinsoku w:val="0"/>
        <w:overflowPunct w:val="0"/>
        <w:spacing w:before="34" w:line="357" w:lineRule="auto"/>
        <w:ind w:right="126" w:firstLine="4156" w:firstLineChars="1150"/>
        <w:rPr>
          <w:rFonts w:hint="eastAsia" w:cs="仿宋" w:asciiTheme="majorEastAsia" w:hAnsiTheme="majorEastAsia" w:eastAsiaTheme="majorEastAsia"/>
          <w:b/>
          <w:bCs/>
          <w:sz w:val="36"/>
          <w:szCs w:val="36"/>
        </w:rPr>
      </w:pPr>
    </w:p>
    <w:p>
      <w:pPr>
        <w:pStyle w:val="14"/>
        <w:kinsoku w:val="0"/>
        <w:overflowPunct w:val="0"/>
        <w:spacing w:before="34" w:line="357" w:lineRule="auto"/>
        <w:ind w:right="126" w:firstLine="4156" w:firstLineChars="1150"/>
        <w:rPr>
          <w:rFonts w:hint="eastAsia" w:cs="仿宋" w:asciiTheme="majorEastAsia" w:hAnsiTheme="majorEastAsia" w:eastAsiaTheme="majorEastAsia"/>
          <w:b/>
          <w:bCs/>
          <w:sz w:val="36"/>
          <w:szCs w:val="36"/>
        </w:rPr>
      </w:pPr>
    </w:p>
    <w:p>
      <w:pPr>
        <w:pStyle w:val="14"/>
        <w:kinsoku w:val="0"/>
        <w:overflowPunct w:val="0"/>
        <w:spacing w:before="34" w:line="357" w:lineRule="auto"/>
        <w:ind w:right="126" w:firstLine="4156" w:firstLineChars="1150"/>
        <w:rPr>
          <w:rFonts w:hint="eastAsia" w:cs="仿宋" w:asciiTheme="majorEastAsia" w:hAnsiTheme="majorEastAsia" w:eastAsiaTheme="majorEastAsia"/>
          <w:b/>
          <w:bCs/>
          <w:sz w:val="36"/>
          <w:szCs w:val="36"/>
        </w:rPr>
      </w:pPr>
    </w:p>
    <w:p>
      <w:pPr>
        <w:pStyle w:val="14"/>
        <w:kinsoku w:val="0"/>
        <w:overflowPunct w:val="0"/>
        <w:spacing w:before="34" w:line="357" w:lineRule="auto"/>
        <w:ind w:right="126" w:firstLine="4156" w:firstLineChars="1150"/>
        <w:rPr>
          <w:rFonts w:hint="eastAsia" w:cs="仿宋" w:asciiTheme="majorEastAsia" w:hAnsiTheme="majorEastAsia" w:eastAsiaTheme="majorEastAsia"/>
          <w:b/>
          <w:bCs/>
          <w:sz w:val="36"/>
          <w:szCs w:val="36"/>
        </w:rPr>
      </w:pPr>
    </w:p>
    <w:p>
      <w:pPr>
        <w:pStyle w:val="14"/>
        <w:kinsoku w:val="0"/>
        <w:overflowPunct w:val="0"/>
        <w:spacing w:before="34" w:line="357" w:lineRule="auto"/>
        <w:ind w:right="126" w:firstLine="4156" w:firstLineChars="1150"/>
        <w:rPr>
          <w:rFonts w:hint="eastAsia" w:cs="仿宋" w:asciiTheme="majorEastAsia" w:hAnsiTheme="majorEastAsia" w:eastAsiaTheme="majorEastAsia"/>
          <w:b/>
          <w:bCs/>
          <w:sz w:val="36"/>
          <w:szCs w:val="36"/>
        </w:rPr>
      </w:pPr>
    </w:p>
    <w:p>
      <w:pPr>
        <w:pStyle w:val="14"/>
        <w:kinsoku w:val="0"/>
        <w:overflowPunct w:val="0"/>
        <w:spacing w:before="34" w:line="357" w:lineRule="auto"/>
        <w:ind w:right="126"/>
        <w:rPr>
          <w:rFonts w:hint="eastAsia" w:cs="仿宋" w:asciiTheme="majorEastAsia" w:hAnsiTheme="majorEastAsia" w:eastAsiaTheme="majorEastAsia"/>
          <w:b/>
          <w:bCs/>
          <w:sz w:val="36"/>
          <w:szCs w:val="36"/>
        </w:rPr>
      </w:pPr>
    </w:p>
    <w:p>
      <w:pPr>
        <w:pStyle w:val="14"/>
        <w:kinsoku w:val="0"/>
        <w:overflowPunct w:val="0"/>
        <w:spacing w:before="34" w:line="357" w:lineRule="auto"/>
        <w:ind w:right="126"/>
        <w:jc w:val="center"/>
        <w:rPr>
          <w:rFonts w:cs="仿宋" w:asciiTheme="majorEastAsia" w:hAnsiTheme="majorEastAsia" w:eastAsiaTheme="majorEastAsia"/>
          <w:b/>
          <w:bCs/>
          <w:sz w:val="36"/>
          <w:szCs w:val="36"/>
        </w:rPr>
      </w:pPr>
      <w:r>
        <w:rPr>
          <w:rFonts w:hint="eastAsia" w:cs="仿宋" w:asciiTheme="majorEastAsia" w:hAnsiTheme="majorEastAsia" w:eastAsiaTheme="majorEastAsia"/>
          <w:b/>
          <w:bCs/>
          <w:sz w:val="36"/>
          <w:szCs w:val="36"/>
        </w:rPr>
        <w:t>其他要求</w:t>
      </w:r>
    </w:p>
    <w:p>
      <w:pPr>
        <w:pStyle w:val="14"/>
        <w:kinsoku w:val="0"/>
        <w:overflowPunct w:val="0"/>
        <w:spacing w:before="34" w:line="357" w:lineRule="auto"/>
        <w:ind w:right="126" w:firstLine="480"/>
        <w:rPr>
          <w:rFonts w:cs="仿宋" w:asciiTheme="majorEastAsia" w:hAnsiTheme="majorEastAsia" w:eastAsiaTheme="majorEastAsia"/>
          <w:b/>
          <w:bCs/>
        </w:rPr>
      </w:pPr>
      <w:r>
        <w:rPr>
          <w:rFonts w:hint="eastAsia" w:cs="仿宋" w:asciiTheme="majorEastAsia" w:hAnsiTheme="majorEastAsia" w:eastAsiaTheme="majorEastAsia"/>
          <w:b/>
          <w:bCs/>
        </w:rPr>
        <w:t>一、质量要求和技术标准</w:t>
      </w:r>
    </w:p>
    <w:p>
      <w:pPr>
        <w:pStyle w:val="14"/>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1、成交供应商提供的货物符合招标文件的参数要求，产品技术性能和功能响应招标文件参数要求。</w:t>
      </w:r>
    </w:p>
    <w:p>
      <w:pPr>
        <w:pStyle w:val="14"/>
        <w:kinsoku w:val="0"/>
        <w:overflowPunct w:val="0"/>
        <w:spacing w:before="34" w:line="357" w:lineRule="auto"/>
        <w:ind w:right="126" w:firstLine="420" w:firstLineChars="200"/>
        <w:rPr>
          <w:rFonts w:cs="仿宋" w:asciiTheme="majorEastAsia" w:hAnsiTheme="majorEastAsia" w:eastAsiaTheme="majorEastAsia"/>
        </w:rPr>
      </w:pPr>
      <w:r>
        <w:rPr>
          <w:rFonts w:hint="eastAsia" w:cs="仿宋" w:asciiTheme="majorEastAsia" w:hAnsiTheme="majorEastAsia" w:eastAsiaTheme="majorEastAsia"/>
        </w:rPr>
        <w:t>2、成交供应商提供的货物（含零配件、随机工具等）是全新的、表面和内部均无瑕疵的原厂正品。</w:t>
      </w:r>
    </w:p>
    <w:p>
      <w:pPr>
        <w:pStyle w:val="14"/>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3、成交供应商保证提供的货物不侵犯任何第三方的专利、商标或版权。否则，成交供应商须承担对第三方的专利或版权的侵权责任并承担因此而发生的所有费用。</w:t>
      </w:r>
    </w:p>
    <w:p>
      <w:pPr>
        <w:pStyle w:val="14"/>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4、所有货物及安装应坚固、实用、安全、美观(端正平整)。</w:t>
      </w:r>
    </w:p>
    <w:p>
      <w:pPr>
        <w:pStyle w:val="14"/>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5、包装和运输：成交供应商应采取防潮、防雨、防冻、防锈等相应措施对货物进行包装，确保货物在正常作业和装卸条件下安全无损地到达合同指定地点。（要求有合理的运输方案，货物要求完整、无损）。</w:t>
      </w:r>
    </w:p>
    <w:p>
      <w:pPr>
        <w:pStyle w:val="14"/>
        <w:kinsoku w:val="0"/>
        <w:overflowPunct w:val="0"/>
        <w:spacing w:before="34" w:line="357" w:lineRule="auto"/>
        <w:ind w:right="126" w:firstLine="525" w:firstLineChars="250"/>
        <w:rPr>
          <w:rFonts w:hint="eastAsia" w:cs="仿宋" w:asciiTheme="majorEastAsia" w:hAnsiTheme="majorEastAsia" w:eastAsiaTheme="majorEastAsia"/>
          <w:lang w:eastAsia="zh-CN"/>
        </w:rPr>
      </w:pPr>
      <w:r>
        <w:rPr>
          <w:rFonts w:hint="eastAsia" w:cs="仿宋" w:asciiTheme="majorEastAsia" w:hAnsiTheme="majorEastAsia" w:eastAsiaTheme="majorEastAsia"/>
        </w:rPr>
        <w:t>6、合同签订：成交结果出来后，采购人与供应商必须在中华人民共和国财政部令第87号</w:t>
      </w:r>
    </w:p>
    <w:p>
      <w:pPr>
        <w:pStyle w:val="14"/>
        <w:kinsoku w:val="0"/>
        <w:overflowPunct w:val="0"/>
        <w:spacing w:before="34" w:line="357" w:lineRule="auto"/>
        <w:ind w:right="126" w:firstLine="525" w:firstLineChars="250"/>
        <w:rPr>
          <w:rFonts w:cs="仿宋" w:asciiTheme="majorEastAsia" w:hAnsiTheme="majorEastAsia" w:eastAsiaTheme="majorEastAsia"/>
        </w:rPr>
      </w:pPr>
      <w:r>
        <w:rPr>
          <w:rFonts w:hint="eastAsia" w:cs="仿宋" w:asciiTheme="majorEastAsia" w:hAnsiTheme="majorEastAsia" w:eastAsiaTheme="majorEastAsia"/>
        </w:rPr>
        <w:t>--政府采购货物和服务招标投标管理办法</w:t>
      </w:r>
      <w:r>
        <w:rPr>
          <w:rFonts w:hint="eastAsia" w:cs="仿宋" w:asciiTheme="majorEastAsia" w:hAnsiTheme="majorEastAsia" w:eastAsiaTheme="majorEastAsia"/>
          <w:color w:val="000000" w:themeColor="text1"/>
          <w14:textFill>
            <w14:solidFill>
              <w14:schemeClr w14:val="tx1"/>
            </w14:solidFill>
          </w14:textFill>
        </w:rPr>
        <w:t>规定的30日内</w:t>
      </w:r>
      <w:r>
        <w:rPr>
          <w:rFonts w:cs="仿宋" w:asciiTheme="majorEastAsia" w:hAnsiTheme="majorEastAsia" w:eastAsiaTheme="majorEastAsia"/>
          <w:color w:val="000000" w:themeColor="text1"/>
          <w14:textFill>
            <w14:solidFill>
              <w14:schemeClr w14:val="tx1"/>
            </w14:solidFill>
          </w14:textFill>
        </w:rPr>
        <w:t>按</w:t>
      </w:r>
      <w:r>
        <w:rPr>
          <w:rFonts w:cs="仿宋" w:asciiTheme="majorEastAsia" w:hAnsiTheme="majorEastAsia" w:eastAsiaTheme="majorEastAsia"/>
        </w:rPr>
        <w:t>照招标文件和中标人投标文件的规定</w:t>
      </w:r>
      <w:r>
        <w:rPr>
          <w:rFonts w:hint="eastAsia" w:cs="仿宋" w:asciiTheme="majorEastAsia" w:hAnsiTheme="majorEastAsia" w:eastAsiaTheme="majorEastAsia"/>
        </w:rPr>
        <w:t>完成合同签订等手续。</w:t>
      </w:r>
    </w:p>
    <w:p>
      <w:pPr>
        <w:pStyle w:val="14"/>
        <w:kinsoku w:val="0"/>
        <w:overflowPunct w:val="0"/>
        <w:spacing w:before="34" w:line="357" w:lineRule="auto"/>
        <w:ind w:right="126" w:firstLine="480"/>
        <w:rPr>
          <w:rFonts w:cs="仿宋" w:asciiTheme="majorEastAsia" w:hAnsiTheme="majorEastAsia" w:eastAsiaTheme="majorEastAsia"/>
          <w:b/>
          <w:bCs/>
        </w:rPr>
      </w:pPr>
      <w:r>
        <w:rPr>
          <w:rFonts w:hint="eastAsia" w:cs="仿宋" w:asciiTheme="majorEastAsia" w:hAnsiTheme="majorEastAsia" w:eastAsiaTheme="majorEastAsia"/>
          <w:b/>
          <w:bCs/>
        </w:rPr>
        <w:t>二、交货要求：</w:t>
      </w:r>
    </w:p>
    <w:p>
      <w:pPr>
        <w:pStyle w:val="14"/>
        <w:kinsoku w:val="0"/>
        <w:overflowPunct w:val="0"/>
        <w:spacing w:before="34" w:line="357" w:lineRule="auto"/>
        <w:ind w:right="126" w:firstLine="480"/>
        <w:rPr>
          <w:rFonts w:cs="仿宋" w:asciiTheme="majorEastAsia" w:hAnsiTheme="majorEastAsia" w:eastAsiaTheme="majorEastAsia"/>
          <w:highlight w:val="none"/>
        </w:rPr>
      </w:pPr>
      <w:r>
        <w:rPr>
          <w:rFonts w:hint="eastAsia" w:cs="仿宋" w:asciiTheme="majorEastAsia" w:hAnsiTheme="majorEastAsia" w:eastAsiaTheme="majorEastAsia"/>
          <w:highlight w:val="none"/>
          <w:lang w:val="en-US" w:eastAsia="zh-CN"/>
        </w:rPr>
        <w:t>自合同签订30日内完成供货，</w:t>
      </w:r>
      <w:r>
        <w:rPr>
          <w:rFonts w:hint="eastAsia" w:cs="仿宋" w:asciiTheme="majorEastAsia" w:hAnsiTheme="majorEastAsia" w:eastAsiaTheme="majorEastAsia"/>
          <w:highlight w:val="none"/>
        </w:rPr>
        <w:t>交货地点</w:t>
      </w:r>
      <w:r>
        <w:rPr>
          <w:rFonts w:hint="eastAsia" w:asciiTheme="majorEastAsia" w:hAnsiTheme="majorEastAsia" w:eastAsiaTheme="majorEastAsia"/>
          <w:bCs/>
          <w:szCs w:val="21"/>
          <w:highlight w:val="none"/>
        </w:rPr>
        <w:t>业主指定地点</w:t>
      </w:r>
      <w:r>
        <w:rPr>
          <w:rFonts w:asciiTheme="majorEastAsia" w:hAnsiTheme="majorEastAsia" w:eastAsiaTheme="majorEastAsia"/>
          <w:highlight w:val="none"/>
        </w:rPr>
        <w:t>。</w:t>
      </w:r>
    </w:p>
    <w:p>
      <w:pPr>
        <w:pStyle w:val="14"/>
        <w:kinsoku w:val="0"/>
        <w:overflowPunct w:val="0"/>
        <w:spacing w:before="34" w:line="357" w:lineRule="auto"/>
        <w:ind w:right="126" w:firstLine="480"/>
        <w:rPr>
          <w:rFonts w:cs="仿宋" w:asciiTheme="majorEastAsia" w:hAnsiTheme="majorEastAsia" w:eastAsiaTheme="majorEastAsia"/>
          <w:b/>
          <w:bCs/>
        </w:rPr>
      </w:pPr>
      <w:r>
        <w:rPr>
          <w:rFonts w:hint="eastAsia" w:cs="仿宋" w:asciiTheme="majorEastAsia" w:hAnsiTheme="majorEastAsia" w:eastAsiaTheme="majorEastAsia"/>
          <w:b/>
          <w:bCs/>
        </w:rPr>
        <w:t>三、货物验收</w:t>
      </w:r>
    </w:p>
    <w:p>
      <w:pPr>
        <w:pStyle w:val="14"/>
        <w:kinsoku w:val="0"/>
        <w:overflowPunct w:val="0"/>
        <w:spacing w:before="34" w:line="357" w:lineRule="auto"/>
        <w:ind w:right="126" w:firstLine="480"/>
        <w:rPr>
          <w:rFonts w:cs="仿宋" w:asciiTheme="majorEastAsia" w:hAnsiTheme="majorEastAsia" w:eastAsiaTheme="majorEastAsia"/>
          <w:highlight w:val="none"/>
        </w:rPr>
      </w:pPr>
      <w:r>
        <w:rPr>
          <w:rFonts w:hint="eastAsia" w:cs="仿宋" w:asciiTheme="majorEastAsia" w:hAnsiTheme="majorEastAsia" w:eastAsiaTheme="majorEastAsia"/>
        </w:rPr>
        <w:t>1、货物送到采购人指定地点后1个工作日内，成交供应商须通知并且组织采购人（或者采购人指定的机构）共同对货物之数量、型号、外观标识、包装、总装配套之部件及附件、各种技术资料文件等进行清点、直观品质检查或初步验收；需要安装、调试的，应当在安装、调试完毕后的3个工作日内，会同采购人共同对货物数量、质量、外观、包装、品种、配套附件、各种技术资料文件等进行初步验收。调试、安装不符合质量或技术标准的，成交供应商应立即采取补救措施；有关《初步验收报告》的出具</w:t>
      </w:r>
      <w:r>
        <w:rPr>
          <w:rFonts w:hint="eastAsia" w:cs="仿宋" w:asciiTheme="majorEastAsia" w:hAnsiTheme="majorEastAsia" w:eastAsiaTheme="majorEastAsia"/>
          <w:highlight w:val="none"/>
        </w:rPr>
        <w:t>和试用期的起算时间均应作相应顺延。</w:t>
      </w:r>
    </w:p>
    <w:p>
      <w:pPr>
        <w:pStyle w:val="14"/>
        <w:kinsoku w:val="0"/>
        <w:overflowPunct w:val="0"/>
        <w:spacing w:before="34" w:line="357" w:lineRule="auto"/>
        <w:ind w:right="126" w:firstLine="480"/>
        <w:rPr>
          <w:rFonts w:cs="仿宋" w:asciiTheme="majorEastAsia" w:hAnsiTheme="majorEastAsia" w:eastAsiaTheme="majorEastAsia"/>
          <w:highlight w:val="none"/>
        </w:rPr>
      </w:pPr>
      <w:r>
        <w:rPr>
          <w:rFonts w:hint="eastAsia" w:cs="仿宋" w:asciiTheme="majorEastAsia" w:hAnsiTheme="majorEastAsia" w:eastAsiaTheme="majorEastAsia"/>
          <w:highlight w:val="none"/>
        </w:rPr>
        <w:t>2、货物全部交付给采购人时各方共同对货物经过初步验收后，如果货物或其安装、调试、检测、运行符合本合同约定的，采购人应在5个工作日内向成交供应商签发书面的《初步验收报告》，但是该《初步验收报告》之签署并不代表货物质量完全合格。</w:t>
      </w:r>
    </w:p>
    <w:p>
      <w:pPr>
        <w:pStyle w:val="14"/>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highlight w:val="none"/>
        </w:rPr>
        <w:t>3、成交供应商则应给予采购人30个日历天的货物“试用期”，试</w:t>
      </w:r>
      <w:r>
        <w:rPr>
          <w:rFonts w:hint="eastAsia" w:cs="仿宋" w:asciiTheme="majorEastAsia" w:hAnsiTheme="majorEastAsia" w:eastAsiaTheme="majorEastAsia"/>
        </w:rPr>
        <w:t>用期自签发《初步验收报告》的当天起算，试用期内成交供应商未收到来自采购人的修理、修复、复检、重新安装、重新调试等请求或者质量异议的，则视同货物质量合格；如果试用期内发生非采购人之人为毁损原因所致的质量问题，则试用期起算时间应以该质量问题得到解决之日重新起算，且合同项下的货物验收合格之时间点应整体顺延。</w:t>
      </w:r>
    </w:p>
    <w:p>
      <w:pPr>
        <w:pStyle w:val="14"/>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4、试用期内如果货物存在非采购人人为毁损原因而导致的不能正常使用，则该货物之试用期的起算时间应以该质量或技术问题被成交供应商完全解决之时重新起算，亦即该货物之试用期应顺延。如不能正常使用系采购人人为毁损原因导致，则不影响试用期限。</w:t>
      </w:r>
    </w:p>
    <w:p>
      <w:pPr>
        <w:pStyle w:val="14"/>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5、如因质量发生争议，由各方共同委托和田地区或乌鲁木齐市质量技术监督部门进行质量鉴定；如该部门因受专业或技术等原因所限而不能办理的，则共同委托其他专门机构进行质量鉴定。其鉴定结论对各方均具有法律约束力。货物符合质量标准的，鉴定费由采购人承担；不符合的，鉴定费由成交供应商承担。</w:t>
      </w:r>
    </w:p>
    <w:p>
      <w:pPr>
        <w:pStyle w:val="14"/>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6、验收标准：无论各方自行组织验收，还是共同委托验收，抑或于仲裁或诉讼情形，验收标准须以合同中的“质量要求和技术标准”条款为根据。</w:t>
      </w:r>
    </w:p>
    <w:p>
      <w:pPr>
        <w:pStyle w:val="14"/>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7、如果采购人未及时参与成交供应商组织的验收工作，成交供应商应当再次以特快专递方式书面通知采购人验收；如采购人无正当理由仍拒不参加验收，应视质量合格且采购人拒收货物并承担违约责任。</w:t>
      </w:r>
    </w:p>
    <w:p>
      <w:pPr>
        <w:pStyle w:val="14"/>
        <w:kinsoku w:val="0"/>
        <w:overflowPunct w:val="0"/>
        <w:spacing w:before="34" w:line="357" w:lineRule="auto"/>
        <w:ind w:right="126" w:firstLine="480"/>
        <w:rPr>
          <w:rFonts w:cs="仿宋" w:asciiTheme="majorEastAsia" w:hAnsiTheme="majorEastAsia" w:eastAsiaTheme="majorEastAsia"/>
          <w:b/>
          <w:bCs/>
        </w:rPr>
      </w:pPr>
      <w:r>
        <w:rPr>
          <w:rFonts w:hint="eastAsia" w:cs="仿宋" w:asciiTheme="majorEastAsia" w:hAnsiTheme="majorEastAsia" w:eastAsiaTheme="majorEastAsia"/>
          <w:b/>
          <w:bCs/>
        </w:rPr>
        <w:t xml:space="preserve">四、免费保修期及售后服务要求 </w:t>
      </w:r>
    </w:p>
    <w:p>
      <w:pPr>
        <w:pStyle w:val="14"/>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1、质量保</w:t>
      </w:r>
      <w:r>
        <w:rPr>
          <w:rFonts w:hint="eastAsia" w:cs="仿宋" w:asciiTheme="majorEastAsia" w:hAnsiTheme="majorEastAsia" w:eastAsiaTheme="majorEastAsia"/>
          <w:color w:val="auto"/>
        </w:rPr>
        <w:t>证期：</w:t>
      </w:r>
      <w:r>
        <w:rPr>
          <w:rFonts w:hint="eastAsia" w:cs="仿宋" w:asciiTheme="majorEastAsia" w:hAnsiTheme="majorEastAsia" w:eastAsiaTheme="majorEastAsia"/>
          <w:color w:val="auto"/>
          <w:highlight w:val="none"/>
          <w:lang w:val="en-US" w:eastAsia="zh-CN"/>
        </w:rPr>
        <w:t>3</w:t>
      </w:r>
      <w:r>
        <w:rPr>
          <w:rFonts w:hint="eastAsia" w:cs="仿宋" w:asciiTheme="majorEastAsia" w:hAnsiTheme="majorEastAsia" w:eastAsiaTheme="majorEastAsia"/>
          <w:color w:val="auto"/>
          <w:highlight w:val="none"/>
        </w:rPr>
        <w:t>年。</w:t>
      </w:r>
      <w:r>
        <w:rPr>
          <w:rFonts w:hint="eastAsia" w:cs="仿宋" w:asciiTheme="majorEastAsia" w:hAnsiTheme="majorEastAsia" w:eastAsiaTheme="majorEastAsia"/>
          <w:highlight w:val="none"/>
        </w:rPr>
        <w:t xml:space="preserve">保修期满后，终身维护、软件升级。质保期均按本项目货物交齐给采购人的对货物及其质量技术全部验收合格并交付使用且签署《验收合格报告书》之日起计算。 </w:t>
      </w:r>
      <w:r>
        <w:rPr>
          <w:rFonts w:hint="eastAsia" w:cs="仿宋" w:asciiTheme="majorEastAsia" w:hAnsiTheme="majorEastAsia" w:eastAsiaTheme="majorEastAsia"/>
        </w:rPr>
        <w:t xml:space="preserve">   </w:t>
      </w:r>
    </w:p>
    <w:p>
      <w:pPr>
        <w:pStyle w:val="14"/>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2、无论于免费保修期内还是有偿保修服务期内，如货物设备非因采购人的人为原因而出现质量问题，采购人有权向成交供应商提出质量异议，成交供应商应负责包修、包换或包退，承担修理、调换或退货的实际费用；如成交供应商不能修复或不能退换，均按不能交货处理；成交供应商保证在接到故障电话后1小时内响应用户要求、8小时内派员上门现场维护并在24时内排除故障修复使用，如在规定时间内不能修复解决，则提供相同功能档次的货物设备给采购人作为代替使用，确保货物设备的正常运作和使用；属于免费质量保修期届满后的有偿保修服务期内并且不属于成交供应商质量问题的事项，可以优惠价格双方商定，费用由采购人承担，成交供应商仍需及时修复并交采购人验收合格后继续使用。</w:t>
      </w:r>
    </w:p>
    <w:p>
      <w:pPr>
        <w:pStyle w:val="14"/>
        <w:kinsoku w:val="0"/>
        <w:overflowPunct w:val="0"/>
        <w:spacing w:before="34" w:line="357" w:lineRule="auto"/>
        <w:ind w:right="126" w:firstLine="480"/>
        <w:rPr>
          <w:rFonts w:cs="仿宋" w:asciiTheme="majorEastAsia" w:hAnsiTheme="majorEastAsia" w:eastAsiaTheme="majorEastAsia"/>
          <w:b/>
          <w:bCs/>
        </w:rPr>
      </w:pPr>
      <w:r>
        <w:rPr>
          <w:rFonts w:hint="eastAsia" w:cs="仿宋" w:asciiTheme="majorEastAsia" w:hAnsiTheme="majorEastAsia" w:eastAsiaTheme="majorEastAsia"/>
          <w:b/>
          <w:bCs/>
        </w:rPr>
        <w:t xml:space="preserve">五、安装、调试与验收 </w:t>
      </w:r>
    </w:p>
    <w:p>
      <w:pPr>
        <w:pStyle w:val="14"/>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1、成交供应商依照采购文件的要求和报价文件的承诺，将设备安装调试至正常运行的最佳状态。</w:t>
      </w:r>
    </w:p>
    <w:p>
      <w:pPr>
        <w:pStyle w:val="14"/>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2、货物若有国家标准按照国家标准验收，若无国家标准按行业标准验收，为原制造商制造的全新产品，整体无污染，无侵权行为、表面无划损、无任何缺陷隐患，在中国境内可依常规安全合法使用。</w:t>
      </w:r>
    </w:p>
    <w:p>
      <w:pPr>
        <w:pStyle w:val="14"/>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3、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pStyle w:val="14"/>
        <w:kinsoku w:val="0"/>
        <w:overflowPunct w:val="0"/>
        <w:spacing w:before="34" w:line="357" w:lineRule="auto"/>
        <w:ind w:right="126" w:firstLine="480"/>
        <w:rPr>
          <w:rFonts w:hint="eastAsia" w:cs="仿宋" w:asciiTheme="majorEastAsia" w:hAnsiTheme="majorEastAsia" w:eastAsiaTheme="majorEastAsia"/>
          <w:b/>
          <w:bCs/>
          <w:highlight w:val="none"/>
          <w:lang w:val="en-US" w:eastAsia="zh-CN"/>
        </w:rPr>
      </w:pPr>
      <w:r>
        <w:rPr>
          <w:rFonts w:hint="eastAsia" w:cs="仿宋" w:asciiTheme="majorEastAsia" w:hAnsiTheme="majorEastAsia" w:eastAsiaTheme="majorEastAsia"/>
          <w:b/>
          <w:bCs/>
          <w:highlight w:val="none"/>
        </w:rPr>
        <w:t>六、付款方式：</w:t>
      </w:r>
      <w:r>
        <w:rPr>
          <w:rFonts w:hint="eastAsia" w:cs="仿宋" w:asciiTheme="majorEastAsia" w:hAnsiTheme="majorEastAsia" w:eastAsiaTheme="majorEastAsia"/>
          <w:b/>
          <w:bCs/>
          <w:highlight w:val="none"/>
          <w:lang w:eastAsia="zh-CN"/>
        </w:rPr>
        <w:t>签订合同时双方协商确定。</w:t>
      </w:r>
    </w:p>
    <w:p>
      <w:pPr>
        <w:pStyle w:val="14"/>
        <w:kinsoku w:val="0"/>
        <w:overflowPunct w:val="0"/>
        <w:spacing w:before="34" w:line="357" w:lineRule="auto"/>
        <w:ind w:right="126" w:firstLine="480"/>
        <w:rPr>
          <w:rFonts w:cs="仿宋" w:asciiTheme="majorEastAsia" w:hAnsiTheme="majorEastAsia" w:eastAsiaTheme="majorEastAsia"/>
          <w:b/>
          <w:bCs/>
        </w:rPr>
      </w:pPr>
      <w:r>
        <w:rPr>
          <w:rFonts w:hint="eastAsia" w:cs="仿宋" w:asciiTheme="majorEastAsia" w:hAnsiTheme="majorEastAsia" w:eastAsiaTheme="majorEastAsia"/>
          <w:b/>
          <w:bCs/>
        </w:rPr>
        <w:t>七、其他要求</w:t>
      </w:r>
    </w:p>
    <w:p>
      <w:pPr>
        <w:pStyle w:val="14"/>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1、验收标准：经有关部门验收合格和双方对照合同或采购人决定的标准作为验收标准进行验收。</w:t>
      </w:r>
    </w:p>
    <w:p>
      <w:pPr>
        <w:pStyle w:val="14"/>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2、报价单位需承诺：已经详细阅读了全部采购文件（包括附件），完全理解并同意放弃有不明及误解的权利。</w:t>
      </w:r>
    </w:p>
    <w:p>
      <w:pPr>
        <w:pStyle w:val="14"/>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3、禁止成交供应商将本项目产品以任何方式，包括合同转让、转包或者肢解后分包给他人的方式生产，一经发现视同违约处理。</w:t>
      </w:r>
    </w:p>
    <w:p>
      <w:pPr>
        <w:pStyle w:val="14"/>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4、成交供应商应按工程进度安排计划，派出项目负责人及技术人员到安装现场负责免费安装和调试工作。在安装施工期间，严格遵守采购人的有关制度。</w:t>
      </w:r>
    </w:p>
    <w:p>
      <w:pPr>
        <w:pStyle w:val="49"/>
        <w:rPr>
          <w:rFonts w:cs="Arial" w:asciiTheme="majorEastAsia" w:hAnsiTheme="majorEastAsia" w:eastAsiaTheme="majorEastAsia"/>
          <w:sz w:val="36"/>
          <w:szCs w:val="36"/>
        </w:rPr>
      </w:pPr>
    </w:p>
    <w:p>
      <w:pPr>
        <w:pStyle w:val="49"/>
        <w:rPr>
          <w:rFonts w:cs="Arial" w:asciiTheme="majorEastAsia" w:hAnsiTheme="majorEastAsia" w:eastAsiaTheme="majorEastAsia"/>
          <w:sz w:val="36"/>
          <w:szCs w:val="36"/>
        </w:rPr>
      </w:pPr>
    </w:p>
    <w:p>
      <w:pPr>
        <w:rPr>
          <w:rFonts w:asciiTheme="majorEastAsia" w:hAnsiTheme="majorEastAsia" w:eastAsiaTheme="majorEastAsia"/>
        </w:rPr>
      </w:pPr>
    </w:p>
    <w:p>
      <w:pPr>
        <w:pStyle w:val="3"/>
        <w:jc w:val="center"/>
        <w:rPr>
          <w:rFonts w:cs="仿宋" w:asciiTheme="majorEastAsia" w:hAnsiTheme="majorEastAsia" w:eastAsiaTheme="majorEastAsia"/>
          <w:b w:val="0"/>
          <w:sz w:val="36"/>
          <w:szCs w:val="36"/>
        </w:rPr>
      </w:pPr>
      <w:bookmarkStart w:id="47" w:name="_Toc4008"/>
      <w:bookmarkStart w:id="48" w:name="_Toc7651"/>
    </w:p>
    <w:p>
      <w:pPr>
        <w:pStyle w:val="3"/>
        <w:jc w:val="center"/>
        <w:rPr>
          <w:rFonts w:cs="仿宋" w:asciiTheme="majorEastAsia" w:hAnsiTheme="majorEastAsia" w:eastAsiaTheme="majorEastAsia"/>
          <w:b w:val="0"/>
          <w:sz w:val="36"/>
          <w:szCs w:val="36"/>
        </w:rPr>
      </w:pPr>
    </w:p>
    <w:p>
      <w:pPr>
        <w:pStyle w:val="3"/>
        <w:jc w:val="center"/>
        <w:rPr>
          <w:rFonts w:cs="仿宋" w:asciiTheme="majorEastAsia" w:hAnsiTheme="majorEastAsia" w:eastAsiaTheme="majorEastAsia"/>
          <w:b w:val="0"/>
          <w:sz w:val="36"/>
          <w:szCs w:val="36"/>
        </w:rPr>
      </w:pPr>
    </w:p>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49"/>
      </w:pPr>
    </w:p>
    <w:p>
      <w:pPr>
        <w:pStyle w:val="3"/>
        <w:jc w:val="center"/>
        <w:rPr>
          <w:rFonts w:cs="Arial" w:asciiTheme="majorEastAsia" w:hAnsiTheme="majorEastAsia" w:eastAsiaTheme="majorEastAsia"/>
          <w:szCs w:val="21"/>
        </w:rPr>
        <w:sectPr>
          <w:headerReference r:id="rId9" w:type="default"/>
          <w:footerReference r:id="rId10" w:type="default"/>
          <w:pgSz w:w="11906" w:h="16838"/>
          <w:pgMar w:top="1418" w:right="1134" w:bottom="1418" w:left="1134" w:header="851" w:footer="992" w:gutter="0"/>
          <w:pgNumType w:fmt="decimal"/>
          <w:cols w:space="720" w:num="1"/>
          <w:docGrid w:type="lines" w:linePitch="312" w:charSpace="0"/>
        </w:sectPr>
      </w:pPr>
      <w:r>
        <w:rPr>
          <w:rFonts w:hint="eastAsia" w:cs="仿宋" w:asciiTheme="majorEastAsia" w:hAnsiTheme="majorEastAsia" w:eastAsiaTheme="majorEastAsia"/>
          <w:b w:val="0"/>
          <w:sz w:val="36"/>
          <w:szCs w:val="36"/>
        </w:rPr>
        <w:t>第六章 投标文件格式</w:t>
      </w:r>
      <w:bookmarkEnd w:id="46"/>
      <w:bookmarkEnd w:id="47"/>
      <w:bookmarkEnd w:id="48"/>
    </w:p>
    <w:p>
      <w:pPr>
        <w:pStyle w:val="11"/>
        <w:rPr>
          <w:rFonts w:cs="宋体" w:asciiTheme="majorEastAsia" w:hAnsiTheme="majorEastAsia" w:eastAsiaTheme="majorEastAsia"/>
          <w:b/>
          <w:kern w:val="0"/>
          <w:szCs w:val="21"/>
        </w:rPr>
      </w:pPr>
    </w:p>
    <w:p>
      <w:pPr>
        <w:pStyle w:val="122"/>
        <w:kinsoku w:val="0"/>
        <w:overflowPunct w:val="0"/>
        <w:spacing w:line="940" w:lineRule="exact"/>
        <w:jc w:val="right"/>
        <w:outlineLvl w:val="9"/>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正本</w:t>
      </w:r>
    </w:p>
    <w:p>
      <w:pPr>
        <w:pStyle w:val="122"/>
        <w:kinsoku w:val="0"/>
        <w:overflowPunct w:val="0"/>
        <w:spacing w:line="940" w:lineRule="exact"/>
        <w:jc w:val="center"/>
        <w:outlineLvl w:val="9"/>
        <w:rPr>
          <w:rFonts w:hint="default" w:cs="仿宋" w:asciiTheme="majorEastAsia" w:hAnsiTheme="majorEastAsia" w:eastAsiaTheme="majorEastAsia"/>
          <w:b/>
          <w:bCs/>
          <w:spacing w:val="2"/>
          <w:kern w:val="2"/>
          <w:sz w:val="40"/>
          <w:szCs w:val="40"/>
          <w:lang w:val="en-US" w:eastAsia="zh-CN" w:bidi="ar-SA"/>
        </w:rPr>
      </w:pPr>
      <w:r>
        <w:rPr>
          <w:rFonts w:hint="default" w:cs="仿宋" w:asciiTheme="majorEastAsia" w:hAnsiTheme="majorEastAsia" w:eastAsiaTheme="majorEastAsia"/>
          <w:b/>
          <w:bCs/>
          <w:spacing w:val="2"/>
          <w:kern w:val="2"/>
          <w:sz w:val="40"/>
          <w:szCs w:val="40"/>
          <w:lang w:val="en-US" w:eastAsia="zh-CN" w:bidi="ar-SA"/>
        </w:rPr>
        <w:t>墨玉县福利蛋鸡养殖设备采购项目（一期）包二</w:t>
      </w:r>
    </w:p>
    <w:p>
      <w:pPr>
        <w:pStyle w:val="14"/>
        <w:kinsoku w:val="0"/>
        <w:overflowPunct w:val="0"/>
        <w:jc w:val="center"/>
        <w:outlineLvl w:val="0"/>
        <w:rPr>
          <w:rFonts w:hint="eastAsia" w:cs="仿宋" w:asciiTheme="majorEastAsia" w:hAnsiTheme="majorEastAsia" w:eastAsiaTheme="majorEastAsia"/>
          <w:b/>
          <w:bCs/>
          <w:spacing w:val="2"/>
          <w:sz w:val="44"/>
          <w:szCs w:val="44"/>
        </w:rPr>
      </w:pPr>
      <w:bookmarkStart w:id="49" w:name="_Toc21985"/>
    </w:p>
    <w:p>
      <w:pPr>
        <w:pStyle w:val="14"/>
        <w:kinsoku w:val="0"/>
        <w:overflowPunct w:val="0"/>
        <w:jc w:val="center"/>
        <w:outlineLvl w:val="0"/>
        <w:rPr>
          <w:rFonts w:hint="eastAsia" w:cs="仿宋" w:asciiTheme="majorEastAsia" w:hAnsiTheme="majorEastAsia" w:eastAsiaTheme="majorEastAsia"/>
          <w:b/>
          <w:bCs/>
          <w:spacing w:val="2"/>
          <w:sz w:val="44"/>
          <w:szCs w:val="44"/>
        </w:rPr>
      </w:pPr>
    </w:p>
    <w:p>
      <w:pPr>
        <w:pStyle w:val="14"/>
        <w:kinsoku w:val="0"/>
        <w:overflowPunct w:val="0"/>
        <w:jc w:val="center"/>
        <w:outlineLvl w:val="0"/>
        <w:rPr>
          <w:rFonts w:hint="eastAsia" w:cs="仿宋" w:asciiTheme="majorEastAsia" w:hAnsiTheme="majorEastAsia" w:eastAsiaTheme="majorEastAsia"/>
          <w:b/>
          <w:bCs/>
          <w:spacing w:val="2"/>
          <w:sz w:val="44"/>
          <w:szCs w:val="44"/>
        </w:rPr>
      </w:pPr>
      <w:r>
        <w:rPr>
          <w:rFonts w:hint="eastAsia" w:cs="仿宋" w:asciiTheme="majorEastAsia" w:hAnsiTheme="majorEastAsia" w:eastAsiaTheme="majorEastAsia"/>
          <w:b/>
          <w:bCs/>
          <w:spacing w:val="2"/>
          <w:sz w:val="44"/>
          <w:szCs w:val="44"/>
        </w:rPr>
        <w:t>投标文件</w:t>
      </w:r>
      <w:bookmarkEnd w:id="49"/>
    </w:p>
    <w:p>
      <w:pPr>
        <w:pStyle w:val="15"/>
        <w:rPr>
          <w:rFonts w:hint="eastAsia"/>
        </w:rPr>
      </w:pPr>
    </w:p>
    <w:p>
      <w:pPr>
        <w:pStyle w:val="14"/>
        <w:kinsoku w:val="0"/>
        <w:overflowPunct w:val="0"/>
        <w:jc w:val="center"/>
        <w:outlineLvl w:val="0"/>
        <w:rPr>
          <w:rFonts w:hint="default" w:cs="仿宋" w:asciiTheme="majorEastAsia" w:hAnsiTheme="majorEastAsia" w:eastAsiaTheme="majorEastAsia"/>
          <w:sz w:val="44"/>
          <w:szCs w:val="44"/>
          <w:lang w:val="en-US" w:eastAsia="zh-CN"/>
        </w:rPr>
      </w:pPr>
      <w:r>
        <w:rPr>
          <w:rFonts w:hint="eastAsia" w:cs="仿宋" w:asciiTheme="majorEastAsia" w:hAnsiTheme="majorEastAsia" w:eastAsiaTheme="majorEastAsia"/>
          <w:b/>
          <w:bCs/>
          <w:spacing w:val="2"/>
          <w:sz w:val="44"/>
          <w:szCs w:val="44"/>
          <w:lang w:val="en-US" w:eastAsia="zh-CN"/>
        </w:rPr>
        <w:t>商务部分</w:t>
      </w:r>
    </w:p>
    <w:p>
      <w:pPr>
        <w:pStyle w:val="14"/>
        <w:kinsoku w:val="0"/>
        <w:overflowPunct w:val="0"/>
        <w:spacing w:before="9"/>
        <w:rPr>
          <w:rFonts w:asciiTheme="majorEastAsia" w:hAnsiTheme="majorEastAsia" w:eastAsiaTheme="majorEastAsia"/>
          <w:b/>
          <w:bCs/>
          <w:sz w:val="86"/>
          <w:szCs w:val="86"/>
        </w:rPr>
      </w:pPr>
    </w:p>
    <w:p>
      <w:pPr>
        <w:spacing w:line="360" w:lineRule="auto"/>
        <w:ind w:left="1050" w:leftChars="500" w:firstLine="1800" w:firstLineChars="600"/>
        <w:outlineLvl w:val="0"/>
        <w:rPr>
          <w:rFonts w:cs="仿宋" w:asciiTheme="majorEastAsia" w:hAnsiTheme="majorEastAsia" w:eastAsiaTheme="majorEastAsia"/>
          <w:b/>
          <w:sz w:val="30"/>
          <w:szCs w:val="30"/>
        </w:rPr>
      </w:pPr>
      <w:bookmarkStart w:id="50" w:name="_Toc30099"/>
      <w:r>
        <w:rPr>
          <w:rFonts w:hint="eastAsia" w:cs="仿宋" w:asciiTheme="majorEastAsia" w:hAnsiTheme="majorEastAsia" w:eastAsiaTheme="majorEastAsia"/>
          <w:sz w:val="30"/>
          <w:szCs w:val="30"/>
        </w:rPr>
        <w:t>招标编号：</w:t>
      </w:r>
      <w:bookmarkEnd w:id="50"/>
      <w:r>
        <w:rPr>
          <w:rFonts w:hint="eastAsia" w:cs="仿宋" w:asciiTheme="majorEastAsia" w:hAnsiTheme="majorEastAsia" w:eastAsiaTheme="majorEastAsia"/>
          <w:sz w:val="30"/>
          <w:szCs w:val="30"/>
          <w:u w:val="single"/>
        </w:rPr>
        <w:t xml:space="preserve">           </w:t>
      </w:r>
      <w:r>
        <w:rPr>
          <w:rFonts w:hint="eastAsia" w:cs="仿宋" w:asciiTheme="majorEastAsia" w:hAnsiTheme="majorEastAsia" w:eastAsiaTheme="majorEastAsia"/>
          <w:sz w:val="30"/>
          <w:szCs w:val="30"/>
        </w:rPr>
        <w:t xml:space="preserve"> </w:t>
      </w:r>
    </w:p>
    <w:p>
      <w:pPr>
        <w:pStyle w:val="14"/>
        <w:kinsoku w:val="0"/>
        <w:overflowPunct w:val="0"/>
        <w:rPr>
          <w:rFonts w:asciiTheme="majorEastAsia" w:hAnsiTheme="majorEastAsia" w:eastAsiaTheme="majorEastAsia"/>
          <w:b/>
          <w:bCs/>
          <w:sz w:val="28"/>
          <w:szCs w:val="28"/>
        </w:rPr>
      </w:pPr>
    </w:p>
    <w:p>
      <w:pPr>
        <w:pStyle w:val="14"/>
        <w:kinsoku w:val="0"/>
        <w:overflowPunct w:val="0"/>
        <w:rPr>
          <w:rFonts w:asciiTheme="majorEastAsia" w:hAnsiTheme="majorEastAsia" w:eastAsiaTheme="majorEastAsia"/>
          <w:b/>
          <w:bCs/>
          <w:sz w:val="28"/>
          <w:szCs w:val="28"/>
        </w:rPr>
      </w:pPr>
    </w:p>
    <w:p>
      <w:pPr>
        <w:pStyle w:val="14"/>
        <w:kinsoku w:val="0"/>
        <w:overflowPunct w:val="0"/>
        <w:rPr>
          <w:rFonts w:asciiTheme="majorEastAsia" w:hAnsiTheme="majorEastAsia" w:eastAsiaTheme="majorEastAsia"/>
          <w:b/>
          <w:bCs/>
          <w:sz w:val="28"/>
          <w:szCs w:val="28"/>
        </w:rPr>
      </w:pPr>
    </w:p>
    <w:p>
      <w:pPr>
        <w:pStyle w:val="14"/>
        <w:kinsoku w:val="0"/>
        <w:overflowPunct w:val="0"/>
        <w:rPr>
          <w:rFonts w:asciiTheme="majorEastAsia" w:hAnsiTheme="majorEastAsia" w:eastAsiaTheme="majorEastAsia"/>
          <w:b/>
          <w:bCs/>
          <w:sz w:val="28"/>
          <w:szCs w:val="28"/>
        </w:rPr>
      </w:pPr>
    </w:p>
    <w:p>
      <w:pPr>
        <w:pStyle w:val="14"/>
        <w:kinsoku w:val="0"/>
        <w:overflowPunct w:val="0"/>
        <w:rPr>
          <w:rFonts w:asciiTheme="majorEastAsia" w:hAnsiTheme="majorEastAsia" w:eastAsiaTheme="majorEastAsia"/>
          <w:b/>
          <w:bCs/>
          <w:sz w:val="28"/>
          <w:szCs w:val="28"/>
        </w:rPr>
      </w:pPr>
    </w:p>
    <w:p>
      <w:pPr>
        <w:pStyle w:val="14"/>
        <w:tabs>
          <w:tab w:val="left" w:pos="6041"/>
        </w:tabs>
        <w:kinsoku w:val="0"/>
        <w:overflowPunct w:val="0"/>
        <w:spacing w:line="366" w:lineRule="auto"/>
        <w:ind w:left="1306" w:right="1998" w:firstLine="14"/>
        <w:jc w:val="both"/>
        <w:rPr>
          <w:rFonts w:hint="eastAsia" w:ascii="宋体" w:hAnsi="宋体" w:eastAsia="宋体" w:cs="宋体"/>
          <w:spacing w:val="16"/>
          <w:w w:val="95"/>
          <w:sz w:val="30"/>
          <w:szCs w:val="30"/>
        </w:rPr>
      </w:pPr>
    </w:p>
    <w:p>
      <w:pPr>
        <w:pStyle w:val="14"/>
        <w:keepNext w:val="0"/>
        <w:keepLines w:val="0"/>
        <w:pageBreakBefore w:val="0"/>
        <w:widowControl w:val="0"/>
        <w:tabs>
          <w:tab w:val="left" w:pos="6041"/>
        </w:tabs>
        <w:kinsoku w:val="0"/>
        <w:wordWrap/>
        <w:overflowPunct w:val="0"/>
        <w:topLinePunct w:val="0"/>
        <w:autoSpaceDE/>
        <w:autoSpaceDN/>
        <w:bidi w:val="0"/>
        <w:adjustRightInd/>
        <w:snapToGrid/>
        <w:spacing w:line="365" w:lineRule="auto"/>
        <w:ind w:right="0"/>
        <w:jc w:val="center"/>
        <w:textAlignment w:val="auto"/>
        <w:rPr>
          <w:rFonts w:hint="eastAsia" w:ascii="宋体" w:hAnsi="宋体" w:eastAsia="宋体" w:cs="宋体"/>
          <w:spacing w:val="23"/>
          <w:sz w:val="30"/>
          <w:szCs w:val="30"/>
        </w:rPr>
      </w:pPr>
      <w:r>
        <w:rPr>
          <w:rFonts w:hint="eastAsia" w:ascii="宋体" w:hAnsi="宋体" w:eastAsia="宋体" w:cs="宋体"/>
          <w:spacing w:val="16"/>
          <w:w w:val="95"/>
          <w:sz w:val="30"/>
          <w:szCs w:val="30"/>
        </w:rPr>
        <w:t>供应商：</w:t>
      </w:r>
      <w:r>
        <w:rPr>
          <w:rFonts w:hint="eastAsia" w:ascii="宋体" w:hAnsi="宋体" w:eastAsia="宋体" w:cs="宋体"/>
          <w:spacing w:val="16"/>
          <w:w w:val="95"/>
          <w:sz w:val="30"/>
          <w:szCs w:val="30"/>
          <w:u w:val="single"/>
        </w:rPr>
        <w:tab/>
      </w:r>
      <w:r>
        <w:rPr>
          <w:rFonts w:hint="eastAsia" w:ascii="宋体" w:hAnsi="宋体" w:eastAsia="宋体" w:cs="宋体"/>
          <w:sz w:val="30"/>
          <w:szCs w:val="30"/>
          <w:u w:val="single"/>
        </w:rPr>
        <w:t>（公章）</w:t>
      </w:r>
    </w:p>
    <w:p>
      <w:pPr>
        <w:pStyle w:val="14"/>
        <w:keepNext w:val="0"/>
        <w:keepLines w:val="0"/>
        <w:pageBreakBefore w:val="0"/>
        <w:widowControl w:val="0"/>
        <w:tabs>
          <w:tab w:val="left" w:pos="6041"/>
        </w:tabs>
        <w:kinsoku w:val="0"/>
        <w:wordWrap/>
        <w:overflowPunct w:val="0"/>
        <w:topLinePunct w:val="0"/>
        <w:autoSpaceDE/>
        <w:autoSpaceDN/>
        <w:bidi w:val="0"/>
        <w:adjustRightInd/>
        <w:snapToGrid/>
        <w:spacing w:line="365" w:lineRule="auto"/>
        <w:ind w:right="0"/>
        <w:jc w:val="center"/>
        <w:textAlignment w:val="auto"/>
        <w:rPr>
          <w:rFonts w:hint="eastAsia" w:ascii="宋体" w:hAnsi="宋体" w:eastAsia="宋体" w:cs="宋体"/>
          <w:spacing w:val="16"/>
          <w:w w:val="95"/>
          <w:sz w:val="30"/>
          <w:szCs w:val="30"/>
          <w:lang w:val="en-US" w:eastAsia="zh-CN"/>
        </w:rPr>
      </w:pPr>
      <w:r>
        <w:rPr>
          <w:rFonts w:hint="eastAsia" w:ascii="宋体" w:hAnsi="宋体" w:eastAsia="宋体" w:cs="宋体"/>
          <w:spacing w:val="16"/>
          <w:w w:val="95"/>
          <w:sz w:val="30"/>
          <w:szCs w:val="30"/>
        </w:rPr>
        <w:t>法定代表人（或授权委托人）：</w:t>
      </w:r>
      <w:r>
        <w:rPr>
          <w:rFonts w:hint="eastAsia" w:ascii="宋体" w:hAnsi="宋体" w:eastAsia="宋体" w:cs="宋体"/>
          <w:spacing w:val="16"/>
          <w:w w:val="95"/>
          <w:sz w:val="30"/>
          <w:szCs w:val="30"/>
          <w:u w:val="single"/>
          <w:lang w:val="en-US" w:eastAsia="zh-CN"/>
        </w:rPr>
        <w:t xml:space="preserve">         </w:t>
      </w:r>
      <w:r>
        <w:rPr>
          <w:rFonts w:hint="eastAsia" w:ascii="宋体" w:hAnsi="宋体" w:eastAsia="宋体" w:cs="宋体"/>
          <w:spacing w:val="16"/>
          <w:w w:val="95"/>
          <w:sz w:val="30"/>
          <w:szCs w:val="30"/>
        </w:rPr>
        <w:t>（</w:t>
      </w:r>
      <w:r>
        <w:rPr>
          <w:rFonts w:hint="eastAsia" w:ascii="宋体" w:hAnsi="宋体" w:eastAsia="宋体" w:cs="宋体"/>
          <w:spacing w:val="16"/>
          <w:w w:val="95"/>
          <w:sz w:val="30"/>
          <w:szCs w:val="30"/>
          <w:lang w:val="en-US" w:eastAsia="zh-CN"/>
        </w:rPr>
        <w:t>签字</w:t>
      </w:r>
      <w:r>
        <w:rPr>
          <w:rFonts w:hint="eastAsia" w:ascii="宋体" w:hAnsi="宋体" w:eastAsia="宋体" w:cs="宋体"/>
          <w:spacing w:val="16"/>
          <w:w w:val="95"/>
          <w:sz w:val="30"/>
          <w:szCs w:val="30"/>
        </w:rPr>
        <w:t>或</w:t>
      </w:r>
      <w:r>
        <w:rPr>
          <w:rFonts w:hint="eastAsia" w:ascii="宋体" w:hAnsi="宋体" w:eastAsia="宋体" w:cs="宋体"/>
          <w:spacing w:val="16"/>
          <w:w w:val="95"/>
          <w:sz w:val="30"/>
          <w:szCs w:val="30"/>
          <w:lang w:val="en-US" w:eastAsia="zh-CN"/>
        </w:rPr>
        <w:t>盖章</w:t>
      </w:r>
      <w:r>
        <w:rPr>
          <w:rFonts w:hint="eastAsia" w:ascii="宋体" w:hAnsi="宋体" w:eastAsia="宋体" w:cs="宋体"/>
          <w:spacing w:val="16"/>
          <w:w w:val="95"/>
          <w:sz w:val="30"/>
          <w:szCs w:val="30"/>
        </w:rPr>
        <w:t>）</w:t>
      </w:r>
    </w:p>
    <w:p>
      <w:pPr>
        <w:pStyle w:val="14"/>
        <w:tabs>
          <w:tab w:val="left" w:pos="1314"/>
          <w:tab w:val="left" w:pos="1914"/>
          <w:tab w:val="left" w:pos="2514"/>
        </w:tabs>
        <w:kinsoku w:val="0"/>
        <w:overflowPunct w:val="0"/>
        <w:spacing w:before="7"/>
        <w:ind w:left="114"/>
        <w:jc w:val="center"/>
        <w:outlineLvl w:val="0"/>
        <w:rPr>
          <w:rFonts w:hint="eastAsia" w:ascii="宋体" w:hAnsi="宋体" w:eastAsia="宋体" w:cs="宋体"/>
          <w:sz w:val="30"/>
          <w:szCs w:val="30"/>
        </w:rPr>
      </w:pPr>
      <w:bookmarkStart w:id="51" w:name="_Toc12364"/>
    </w:p>
    <w:p>
      <w:pPr>
        <w:pStyle w:val="14"/>
        <w:tabs>
          <w:tab w:val="left" w:pos="1314"/>
          <w:tab w:val="left" w:pos="1914"/>
          <w:tab w:val="left" w:pos="2514"/>
        </w:tabs>
        <w:kinsoku w:val="0"/>
        <w:overflowPunct w:val="0"/>
        <w:spacing w:before="7"/>
        <w:ind w:left="114"/>
        <w:jc w:val="center"/>
        <w:outlineLvl w:val="0"/>
        <w:rPr>
          <w:rFonts w:hint="eastAsia" w:ascii="宋体" w:hAnsi="宋体" w:eastAsia="宋体" w:cs="宋体"/>
          <w:sz w:val="30"/>
          <w:szCs w:val="30"/>
        </w:rPr>
      </w:pPr>
    </w:p>
    <w:p>
      <w:pPr>
        <w:pStyle w:val="14"/>
        <w:tabs>
          <w:tab w:val="left" w:pos="1314"/>
          <w:tab w:val="left" w:pos="1914"/>
          <w:tab w:val="left" w:pos="2514"/>
        </w:tabs>
        <w:kinsoku w:val="0"/>
        <w:overflowPunct w:val="0"/>
        <w:spacing w:before="7"/>
        <w:ind w:left="114"/>
        <w:jc w:val="center"/>
        <w:outlineLvl w:val="0"/>
      </w:pPr>
      <w:r>
        <w:rPr>
          <w:rFonts w:hint="eastAsia" w:ascii="宋体" w:hAnsi="宋体" w:eastAsia="宋体" w:cs="宋体"/>
          <w:sz w:val="30"/>
          <w:szCs w:val="30"/>
        </w:rPr>
        <w:t>日</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期：</w:t>
      </w:r>
      <w:r>
        <w:rPr>
          <w:rFonts w:hint="eastAsia" w:ascii="宋体" w:hAnsi="宋体" w:eastAsia="宋体" w:cs="宋体"/>
          <w:sz w:val="30"/>
          <w:szCs w:val="30"/>
        </w:rPr>
        <w:tab/>
      </w:r>
      <w:r>
        <w:rPr>
          <w:rFonts w:hint="eastAsia" w:ascii="宋体" w:hAnsi="宋体" w:eastAsia="宋体" w:cs="宋体"/>
          <w:sz w:val="30"/>
          <w:szCs w:val="30"/>
        </w:rPr>
        <w:t>年</w:t>
      </w:r>
      <w:r>
        <w:rPr>
          <w:rFonts w:hint="eastAsia" w:ascii="宋体" w:hAnsi="宋体" w:eastAsia="宋体" w:cs="宋体"/>
          <w:sz w:val="30"/>
          <w:szCs w:val="30"/>
        </w:rPr>
        <w:tab/>
      </w:r>
      <w:r>
        <w:rPr>
          <w:rFonts w:hint="eastAsia" w:ascii="宋体" w:hAnsi="宋体" w:eastAsia="宋体" w:cs="宋体"/>
          <w:sz w:val="30"/>
          <w:szCs w:val="30"/>
        </w:rPr>
        <w:t>月</w:t>
      </w:r>
      <w:r>
        <w:rPr>
          <w:rFonts w:hint="eastAsia" w:ascii="宋体" w:hAnsi="宋体" w:eastAsia="宋体" w:cs="宋体"/>
          <w:sz w:val="30"/>
          <w:szCs w:val="30"/>
        </w:rPr>
        <w:tab/>
      </w:r>
      <w:r>
        <w:rPr>
          <w:rFonts w:hint="eastAsia" w:ascii="宋体" w:hAnsi="宋体" w:eastAsia="宋体" w:cs="宋体"/>
          <w:sz w:val="30"/>
          <w:szCs w:val="30"/>
        </w:rPr>
        <w:t>日</w:t>
      </w:r>
      <w:bookmarkEnd w:id="51"/>
    </w:p>
    <w:p>
      <w:pPr>
        <w:pStyle w:val="14"/>
        <w:kinsoku w:val="0"/>
        <w:overflowPunct w:val="0"/>
        <w:spacing w:before="130" w:line="355" w:lineRule="auto"/>
        <w:ind w:right="7" w:firstLine="480"/>
        <w:jc w:val="center"/>
        <w:rPr>
          <w:rFonts w:hint="eastAsia" w:asciiTheme="majorEastAsia" w:hAnsiTheme="majorEastAsia" w:eastAsiaTheme="majorEastAsia"/>
          <w:sz w:val="32"/>
          <w:szCs w:val="32"/>
          <w:shd w:val="clear" w:color="auto" w:fill="auto"/>
          <w:lang w:val="en-US" w:eastAsia="zh-CN"/>
        </w:rPr>
      </w:pPr>
    </w:p>
    <w:p>
      <w:pPr>
        <w:pStyle w:val="14"/>
        <w:kinsoku w:val="0"/>
        <w:overflowPunct w:val="0"/>
        <w:spacing w:before="130" w:line="355" w:lineRule="auto"/>
        <w:ind w:right="7" w:firstLine="480"/>
        <w:jc w:val="center"/>
        <w:rPr>
          <w:rFonts w:hint="eastAsia" w:asciiTheme="majorEastAsia" w:hAnsiTheme="majorEastAsia" w:eastAsiaTheme="majorEastAsia"/>
          <w:sz w:val="32"/>
          <w:szCs w:val="32"/>
          <w:shd w:val="clear" w:color="auto" w:fill="auto"/>
          <w:lang w:val="en-US" w:eastAsia="zh-CN"/>
        </w:rPr>
      </w:pPr>
    </w:p>
    <w:p>
      <w:pPr>
        <w:pStyle w:val="14"/>
        <w:kinsoku w:val="0"/>
        <w:overflowPunct w:val="0"/>
        <w:spacing w:before="130" w:line="355" w:lineRule="auto"/>
        <w:ind w:right="7" w:firstLine="480"/>
        <w:jc w:val="center"/>
        <w:rPr>
          <w:rFonts w:hint="eastAsia" w:asciiTheme="majorEastAsia" w:hAnsiTheme="majorEastAsia" w:eastAsiaTheme="majorEastAsia"/>
          <w:sz w:val="32"/>
          <w:szCs w:val="32"/>
          <w:shd w:val="clear" w:color="auto" w:fill="auto"/>
          <w:lang w:val="en-US" w:eastAsia="zh-CN"/>
        </w:rPr>
      </w:pPr>
    </w:p>
    <w:p>
      <w:pPr>
        <w:pStyle w:val="14"/>
        <w:kinsoku w:val="0"/>
        <w:overflowPunct w:val="0"/>
        <w:spacing w:before="130" w:line="355" w:lineRule="auto"/>
        <w:ind w:right="7" w:firstLine="480"/>
        <w:jc w:val="center"/>
        <w:rPr>
          <w:rFonts w:hint="eastAsia" w:asciiTheme="majorEastAsia" w:hAnsiTheme="majorEastAsia" w:eastAsiaTheme="majorEastAsia"/>
          <w:sz w:val="32"/>
          <w:szCs w:val="32"/>
          <w:shd w:val="clear" w:color="auto" w:fill="auto"/>
          <w:lang w:val="en-US" w:eastAsia="zh-CN"/>
        </w:rPr>
      </w:pPr>
    </w:p>
    <w:p>
      <w:pPr>
        <w:pStyle w:val="14"/>
        <w:kinsoku w:val="0"/>
        <w:overflowPunct w:val="0"/>
        <w:spacing w:before="130" w:line="355" w:lineRule="auto"/>
        <w:ind w:right="7" w:firstLine="480"/>
        <w:jc w:val="center"/>
        <w:rPr>
          <w:rFonts w:hint="eastAsia" w:asciiTheme="majorEastAsia" w:hAnsiTheme="majorEastAsia" w:eastAsiaTheme="majorEastAsia"/>
          <w:sz w:val="32"/>
          <w:szCs w:val="32"/>
          <w:shd w:val="clear" w:color="auto" w:fill="auto"/>
          <w:lang w:val="en-US" w:eastAsia="zh-CN"/>
        </w:rPr>
      </w:pPr>
    </w:p>
    <w:p>
      <w:pPr>
        <w:pStyle w:val="14"/>
        <w:keepNext w:val="0"/>
        <w:keepLines w:val="0"/>
        <w:pageBreakBefore w:val="0"/>
        <w:widowControl w:val="0"/>
        <w:kinsoku w:val="0"/>
        <w:wordWrap/>
        <w:overflowPunct w:val="0"/>
        <w:topLinePunct w:val="0"/>
        <w:bidi w:val="0"/>
        <w:adjustRightInd/>
        <w:snapToGrid/>
        <w:spacing w:line="400" w:lineRule="exact"/>
        <w:ind w:right="0" w:firstLine="480"/>
        <w:jc w:val="center"/>
        <w:textAlignment w:val="auto"/>
        <w:rPr>
          <w:rFonts w:hint="eastAsia" w:asciiTheme="majorEastAsia" w:hAnsiTheme="majorEastAsia" w:eastAsiaTheme="majorEastAsia"/>
          <w:sz w:val="40"/>
          <w:szCs w:val="40"/>
          <w:shd w:val="clear" w:color="auto" w:fill="auto"/>
          <w:lang w:val="en-US" w:eastAsia="zh-CN"/>
        </w:rPr>
      </w:pPr>
    </w:p>
    <w:p>
      <w:pPr>
        <w:pStyle w:val="14"/>
        <w:keepNext w:val="0"/>
        <w:keepLines w:val="0"/>
        <w:pageBreakBefore w:val="0"/>
        <w:widowControl w:val="0"/>
        <w:kinsoku w:val="0"/>
        <w:wordWrap/>
        <w:overflowPunct w:val="0"/>
        <w:topLinePunct w:val="0"/>
        <w:bidi w:val="0"/>
        <w:adjustRightInd/>
        <w:snapToGrid/>
        <w:spacing w:line="400" w:lineRule="exact"/>
        <w:ind w:right="0" w:firstLine="480"/>
        <w:jc w:val="center"/>
        <w:textAlignment w:val="auto"/>
        <w:rPr>
          <w:rFonts w:hint="eastAsia" w:asciiTheme="majorEastAsia" w:hAnsiTheme="majorEastAsia" w:eastAsiaTheme="majorEastAsia"/>
          <w:sz w:val="40"/>
          <w:szCs w:val="40"/>
          <w:shd w:val="clear" w:color="auto" w:fill="auto"/>
          <w:lang w:val="en-US" w:eastAsia="zh-CN"/>
        </w:rPr>
      </w:pPr>
      <w:r>
        <w:rPr>
          <w:rFonts w:hint="eastAsia" w:asciiTheme="majorEastAsia" w:hAnsiTheme="majorEastAsia" w:eastAsiaTheme="majorEastAsia"/>
          <w:sz w:val="40"/>
          <w:szCs w:val="40"/>
          <w:shd w:val="clear" w:color="auto" w:fill="auto"/>
          <w:lang w:val="en-US" w:eastAsia="zh-CN"/>
        </w:rPr>
        <w:t>目录</w:t>
      </w:r>
    </w:p>
    <w:p>
      <w:pPr>
        <w:pStyle w:val="14"/>
        <w:keepNext w:val="0"/>
        <w:keepLines w:val="0"/>
        <w:pageBreakBefore w:val="0"/>
        <w:widowControl w:val="0"/>
        <w:numPr>
          <w:ilvl w:val="0"/>
          <w:numId w:val="0"/>
        </w:numPr>
        <w:kinsoku w:val="0"/>
        <w:wordWrap/>
        <w:overflowPunct w:val="0"/>
        <w:topLinePunct w:val="0"/>
        <w:autoSpaceDE/>
        <w:autoSpaceDN/>
        <w:bidi w:val="0"/>
        <w:adjustRightInd/>
        <w:snapToGrid/>
        <w:spacing w:line="400" w:lineRule="exact"/>
        <w:ind w:right="0" w:rightChars="0"/>
        <w:jc w:val="left"/>
        <w:textAlignment w:val="auto"/>
        <w:rPr>
          <w:rFonts w:hint="eastAsia" w:asciiTheme="majorEastAsia" w:hAnsiTheme="majorEastAsia" w:eastAsiaTheme="majorEastAsia"/>
          <w:sz w:val="24"/>
          <w:szCs w:val="24"/>
          <w:shd w:val="clear" w:color="auto" w:fill="auto"/>
          <w:lang w:val="en-US" w:eastAsia="zh-CN"/>
        </w:rPr>
      </w:pPr>
      <w:r>
        <w:rPr>
          <w:rFonts w:hint="eastAsia" w:asciiTheme="majorEastAsia" w:hAnsiTheme="majorEastAsia" w:eastAsiaTheme="majorEastAsia"/>
          <w:sz w:val="24"/>
          <w:szCs w:val="24"/>
          <w:shd w:val="clear" w:color="auto" w:fill="auto"/>
          <w:lang w:val="en-US" w:eastAsia="zh-CN"/>
        </w:rPr>
        <w:t>1.投标函</w:t>
      </w:r>
    </w:p>
    <w:p>
      <w:pPr>
        <w:pStyle w:val="14"/>
        <w:keepNext w:val="0"/>
        <w:keepLines w:val="0"/>
        <w:pageBreakBefore w:val="0"/>
        <w:widowControl w:val="0"/>
        <w:numPr>
          <w:ilvl w:val="0"/>
          <w:numId w:val="0"/>
        </w:numPr>
        <w:kinsoku w:val="0"/>
        <w:wordWrap/>
        <w:overflowPunct w:val="0"/>
        <w:topLinePunct w:val="0"/>
        <w:autoSpaceDE/>
        <w:autoSpaceDN/>
        <w:bidi w:val="0"/>
        <w:adjustRightInd/>
        <w:snapToGrid/>
        <w:spacing w:line="400" w:lineRule="exact"/>
        <w:ind w:leftChars="0" w:right="0" w:rightChars="0"/>
        <w:jc w:val="left"/>
        <w:textAlignment w:val="auto"/>
        <w:rPr>
          <w:rFonts w:hint="eastAsia"/>
          <w:sz w:val="18"/>
          <w:szCs w:val="21"/>
          <w:lang w:val="en-US" w:eastAsia="zh-CN"/>
        </w:rPr>
      </w:pPr>
      <w:r>
        <w:rPr>
          <w:rFonts w:hint="eastAsia" w:asciiTheme="majorEastAsia" w:hAnsiTheme="majorEastAsia" w:eastAsiaTheme="majorEastAsia"/>
          <w:sz w:val="24"/>
          <w:szCs w:val="24"/>
          <w:shd w:val="clear" w:color="auto" w:fill="auto"/>
          <w:lang w:val="en-US" w:eastAsia="zh-CN"/>
        </w:rPr>
        <w:t>2.法定代表人身份证明</w:t>
      </w:r>
    </w:p>
    <w:p>
      <w:pPr>
        <w:pStyle w:val="14"/>
        <w:keepNext w:val="0"/>
        <w:keepLines w:val="0"/>
        <w:pageBreakBefore w:val="0"/>
        <w:widowControl w:val="0"/>
        <w:numPr>
          <w:ilvl w:val="0"/>
          <w:numId w:val="0"/>
        </w:numPr>
        <w:kinsoku w:val="0"/>
        <w:wordWrap/>
        <w:overflowPunct w:val="0"/>
        <w:topLinePunct w:val="0"/>
        <w:autoSpaceDE/>
        <w:autoSpaceDN/>
        <w:bidi w:val="0"/>
        <w:adjustRightInd/>
        <w:snapToGrid/>
        <w:spacing w:line="400" w:lineRule="exact"/>
        <w:ind w:leftChars="0" w:right="0" w:rightChars="0"/>
        <w:jc w:val="left"/>
        <w:textAlignment w:val="auto"/>
        <w:rPr>
          <w:rFonts w:hint="eastAsia" w:asciiTheme="majorEastAsia" w:hAnsiTheme="majorEastAsia" w:eastAsiaTheme="majorEastAsia"/>
          <w:sz w:val="24"/>
          <w:szCs w:val="24"/>
          <w:shd w:val="clear" w:color="auto" w:fill="auto"/>
          <w:lang w:val="en-US" w:eastAsia="zh-CN"/>
        </w:rPr>
      </w:pPr>
      <w:r>
        <w:rPr>
          <w:rFonts w:hint="eastAsia" w:asciiTheme="majorEastAsia" w:hAnsiTheme="majorEastAsia" w:eastAsiaTheme="majorEastAsia"/>
          <w:sz w:val="24"/>
          <w:szCs w:val="24"/>
          <w:shd w:val="clear" w:color="auto" w:fill="auto"/>
          <w:lang w:val="en-US" w:eastAsia="zh-CN"/>
        </w:rPr>
        <w:t>3.授权委托书</w:t>
      </w:r>
    </w:p>
    <w:p>
      <w:pPr>
        <w:pStyle w:val="14"/>
        <w:keepNext w:val="0"/>
        <w:keepLines w:val="0"/>
        <w:pageBreakBefore w:val="0"/>
        <w:widowControl w:val="0"/>
        <w:numPr>
          <w:ilvl w:val="0"/>
          <w:numId w:val="0"/>
        </w:numPr>
        <w:kinsoku w:val="0"/>
        <w:wordWrap/>
        <w:overflowPunct w:val="0"/>
        <w:topLinePunct w:val="0"/>
        <w:autoSpaceDE/>
        <w:autoSpaceDN/>
        <w:bidi w:val="0"/>
        <w:adjustRightInd/>
        <w:snapToGrid/>
        <w:spacing w:line="400" w:lineRule="exact"/>
        <w:ind w:leftChars="0" w:right="0" w:rightChars="0"/>
        <w:jc w:val="left"/>
        <w:textAlignment w:val="auto"/>
        <w:rPr>
          <w:rFonts w:hint="eastAsia" w:asciiTheme="majorEastAsia" w:hAnsiTheme="majorEastAsia" w:eastAsiaTheme="majorEastAsia"/>
          <w:sz w:val="24"/>
          <w:szCs w:val="24"/>
          <w:shd w:val="clear" w:color="auto" w:fill="auto"/>
          <w:lang w:val="en-US" w:eastAsia="zh-CN"/>
        </w:rPr>
      </w:pPr>
      <w:r>
        <w:rPr>
          <w:rFonts w:hint="eastAsia" w:asciiTheme="majorEastAsia" w:hAnsiTheme="majorEastAsia" w:eastAsiaTheme="majorEastAsia"/>
          <w:sz w:val="24"/>
          <w:szCs w:val="24"/>
          <w:shd w:val="clear" w:color="auto" w:fill="auto"/>
          <w:lang w:val="en-US" w:eastAsia="zh-CN"/>
        </w:rPr>
        <w:t>4.供应商基本情况</w:t>
      </w:r>
    </w:p>
    <w:p>
      <w:pPr>
        <w:pStyle w:val="14"/>
        <w:keepNext w:val="0"/>
        <w:keepLines w:val="0"/>
        <w:pageBreakBefore w:val="0"/>
        <w:widowControl w:val="0"/>
        <w:numPr>
          <w:ilvl w:val="0"/>
          <w:numId w:val="0"/>
        </w:numPr>
        <w:kinsoku w:val="0"/>
        <w:wordWrap/>
        <w:overflowPunct w:val="0"/>
        <w:topLinePunct w:val="0"/>
        <w:autoSpaceDE/>
        <w:autoSpaceDN/>
        <w:bidi w:val="0"/>
        <w:adjustRightInd/>
        <w:snapToGrid/>
        <w:spacing w:line="400" w:lineRule="exact"/>
        <w:ind w:leftChars="0" w:right="0" w:rightChars="0" w:firstLine="240" w:firstLineChars="100"/>
        <w:jc w:val="left"/>
        <w:textAlignment w:val="auto"/>
        <w:rPr>
          <w:rFonts w:hint="eastAsia" w:asciiTheme="majorEastAsia" w:hAnsiTheme="majorEastAsia" w:eastAsiaTheme="majorEastAsia"/>
          <w:sz w:val="24"/>
          <w:szCs w:val="24"/>
          <w:shd w:val="clear" w:color="auto" w:fill="auto"/>
          <w:lang w:val="en-US" w:eastAsia="zh-CN"/>
        </w:rPr>
      </w:pPr>
      <w:r>
        <w:rPr>
          <w:rFonts w:hint="eastAsia" w:asciiTheme="majorEastAsia" w:hAnsiTheme="majorEastAsia" w:eastAsiaTheme="majorEastAsia"/>
          <w:sz w:val="24"/>
          <w:szCs w:val="24"/>
          <w:shd w:val="clear" w:color="auto" w:fill="auto"/>
          <w:lang w:val="en-US" w:eastAsia="zh-CN"/>
        </w:rPr>
        <w:t>4.1 供应商基本情表</w:t>
      </w:r>
    </w:p>
    <w:p>
      <w:pPr>
        <w:pStyle w:val="14"/>
        <w:keepNext w:val="0"/>
        <w:keepLines w:val="0"/>
        <w:pageBreakBefore w:val="0"/>
        <w:widowControl w:val="0"/>
        <w:numPr>
          <w:ilvl w:val="0"/>
          <w:numId w:val="0"/>
        </w:numPr>
        <w:kinsoku w:val="0"/>
        <w:wordWrap/>
        <w:overflowPunct w:val="0"/>
        <w:topLinePunct w:val="0"/>
        <w:autoSpaceDE/>
        <w:autoSpaceDN/>
        <w:bidi w:val="0"/>
        <w:adjustRightInd/>
        <w:snapToGrid/>
        <w:spacing w:line="400" w:lineRule="exact"/>
        <w:ind w:leftChars="0" w:right="0" w:rightChars="0" w:firstLine="240" w:firstLineChars="100"/>
        <w:jc w:val="left"/>
        <w:textAlignment w:val="auto"/>
        <w:rPr>
          <w:rFonts w:hint="eastAsia" w:asciiTheme="majorEastAsia" w:hAnsiTheme="majorEastAsia" w:eastAsiaTheme="majorEastAsia"/>
          <w:sz w:val="24"/>
          <w:szCs w:val="24"/>
          <w:shd w:val="clear" w:color="auto" w:fill="auto"/>
          <w:lang w:val="en-US" w:eastAsia="zh-CN"/>
        </w:rPr>
      </w:pPr>
      <w:r>
        <w:rPr>
          <w:rFonts w:hint="eastAsia" w:asciiTheme="majorEastAsia" w:hAnsiTheme="majorEastAsia" w:eastAsiaTheme="majorEastAsia"/>
          <w:sz w:val="24"/>
          <w:szCs w:val="24"/>
          <w:shd w:val="clear" w:color="auto" w:fill="auto"/>
          <w:lang w:val="en-US" w:eastAsia="zh-CN"/>
        </w:rPr>
        <w:t>4.2 三证合一的提供统一社会信用代码的营业执照</w:t>
      </w:r>
    </w:p>
    <w:p>
      <w:pPr>
        <w:pStyle w:val="14"/>
        <w:keepNext w:val="0"/>
        <w:keepLines w:val="0"/>
        <w:pageBreakBefore w:val="0"/>
        <w:widowControl w:val="0"/>
        <w:numPr>
          <w:ilvl w:val="0"/>
          <w:numId w:val="0"/>
        </w:numPr>
        <w:kinsoku w:val="0"/>
        <w:wordWrap/>
        <w:overflowPunct w:val="0"/>
        <w:topLinePunct w:val="0"/>
        <w:autoSpaceDE/>
        <w:autoSpaceDN/>
        <w:bidi w:val="0"/>
        <w:adjustRightInd/>
        <w:snapToGrid/>
        <w:spacing w:line="400" w:lineRule="exact"/>
        <w:ind w:leftChars="0" w:right="0" w:rightChars="0" w:firstLine="240" w:firstLineChars="100"/>
        <w:jc w:val="left"/>
        <w:textAlignment w:val="auto"/>
        <w:rPr>
          <w:rFonts w:hint="eastAsia" w:asciiTheme="majorEastAsia" w:hAnsiTheme="majorEastAsia" w:eastAsiaTheme="majorEastAsia"/>
          <w:sz w:val="24"/>
          <w:szCs w:val="24"/>
          <w:shd w:val="clear" w:color="auto" w:fill="auto"/>
          <w:lang w:val="en-US" w:eastAsia="zh-CN"/>
        </w:rPr>
      </w:pPr>
      <w:r>
        <w:rPr>
          <w:rFonts w:hint="eastAsia" w:asciiTheme="majorEastAsia" w:hAnsiTheme="majorEastAsia" w:eastAsiaTheme="majorEastAsia"/>
          <w:sz w:val="24"/>
          <w:szCs w:val="24"/>
          <w:shd w:val="clear" w:color="auto" w:fill="auto"/>
          <w:lang w:val="en-US" w:eastAsia="zh-CN"/>
        </w:rPr>
        <w:t>4.3 近一年财务状况报告相关材料</w:t>
      </w:r>
    </w:p>
    <w:p>
      <w:pPr>
        <w:pStyle w:val="14"/>
        <w:keepNext w:val="0"/>
        <w:keepLines w:val="0"/>
        <w:pageBreakBefore w:val="0"/>
        <w:widowControl w:val="0"/>
        <w:numPr>
          <w:ilvl w:val="0"/>
          <w:numId w:val="0"/>
        </w:numPr>
        <w:kinsoku w:val="0"/>
        <w:wordWrap/>
        <w:overflowPunct w:val="0"/>
        <w:topLinePunct w:val="0"/>
        <w:autoSpaceDE/>
        <w:autoSpaceDN/>
        <w:bidi w:val="0"/>
        <w:adjustRightInd/>
        <w:snapToGrid/>
        <w:spacing w:line="400" w:lineRule="exact"/>
        <w:ind w:leftChars="0" w:right="0" w:rightChars="0" w:firstLine="240" w:firstLineChars="100"/>
        <w:jc w:val="left"/>
        <w:textAlignment w:val="auto"/>
        <w:rPr>
          <w:rFonts w:hint="default" w:asciiTheme="majorEastAsia" w:hAnsiTheme="majorEastAsia" w:eastAsiaTheme="majorEastAsia"/>
          <w:sz w:val="24"/>
          <w:szCs w:val="24"/>
          <w:shd w:val="clear" w:color="auto" w:fill="auto"/>
          <w:lang w:val="en-US" w:eastAsia="zh-CN"/>
        </w:rPr>
      </w:pPr>
      <w:r>
        <w:rPr>
          <w:rFonts w:hint="default" w:asciiTheme="majorEastAsia" w:hAnsiTheme="majorEastAsia" w:eastAsiaTheme="majorEastAsia"/>
          <w:sz w:val="24"/>
          <w:szCs w:val="24"/>
          <w:shd w:val="clear" w:color="auto" w:fill="auto"/>
          <w:lang w:val="en-US" w:eastAsia="zh-CN"/>
        </w:rPr>
        <w:t>4.4</w:t>
      </w:r>
      <w:r>
        <w:rPr>
          <w:rFonts w:hint="eastAsia" w:asciiTheme="majorEastAsia" w:hAnsiTheme="majorEastAsia" w:eastAsiaTheme="majorEastAsia"/>
          <w:sz w:val="24"/>
          <w:szCs w:val="24"/>
          <w:shd w:val="clear" w:color="auto" w:fill="auto"/>
          <w:lang w:val="en-US" w:eastAsia="zh-CN"/>
        </w:rPr>
        <w:t xml:space="preserve"> </w:t>
      </w:r>
      <w:r>
        <w:rPr>
          <w:rFonts w:hint="default" w:asciiTheme="majorEastAsia" w:hAnsiTheme="majorEastAsia" w:eastAsiaTheme="majorEastAsia"/>
          <w:sz w:val="24"/>
          <w:szCs w:val="24"/>
          <w:shd w:val="clear" w:color="auto" w:fill="auto"/>
          <w:lang w:val="en-US" w:eastAsia="zh-CN"/>
        </w:rPr>
        <w:t>依法缴纳税收证明</w:t>
      </w:r>
    </w:p>
    <w:p>
      <w:pPr>
        <w:pStyle w:val="14"/>
        <w:keepNext w:val="0"/>
        <w:keepLines w:val="0"/>
        <w:pageBreakBefore w:val="0"/>
        <w:widowControl w:val="0"/>
        <w:numPr>
          <w:ilvl w:val="0"/>
          <w:numId w:val="0"/>
        </w:numPr>
        <w:kinsoku w:val="0"/>
        <w:wordWrap/>
        <w:overflowPunct w:val="0"/>
        <w:topLinePunct w:val="0"/>
        <w:autoSpaceDE/>
        <w:autoSpaceDN/>
        <w:bidi w:val="0"/>
        <w:adjustRightInd/>
        <w:snapToGrid/>
        <w:spacing w:line="400" w:lineRule="exact"/>
        <w:ind w:leftChars="0" w:right="0" w:rightChars="0" w:firstLine="240" w:firstLineChars="100"/>
        <w:jc w:val="left"/>
        <w:textAlignment w:val="auto"/>
        <w:rPr>
          <w:rFonts w:hint="eastAsia" w:asciiTheme="majorEastAsia" w:hAnsiTheme="majorEastAsia" w:eastAsiaTheme="majorEastAsia"/>
          <w:sz w:val="24"/>
          <w:szCs w:val="24"/>
          <w:shd w:val="clear" w:color="auto" w:fill="auto"/>
          <w:lang w:val="en-US" w:eastAsia="zh-CN"/>
        </w:rPr>
      </w:pPr>
      <w:r>
        <w:rPr>
          <w:rFonts w:hint="eastAsia" w:asciiTheme="majorEastAsia" w:hAnsiTheme="majorEastAsia" w:eastAsiaTheme="majorEastAsia"/>
          <w:sz w:val="24"/>
          <w:szCs w:val="24"/>
          <w:shd w:val="clear" w:color="auto" w:fill="auto"/>
          <w:lang w:val="en-US" w:eastAsia="zh-CN"/>
        </w:rPr>
        <w:t>4.5 社保证明</w:t>
      </w:r>
    </w:p>
    <w:p>
      <w:pPr>
        <w:pStyle w:val="14"/>
        <w:keepNext w:val="0"/>
        <w:keepLines w:val="0"/>
        <w:pageBreakBefore w:val="0"/>
        <w:widowControl w:val="0"/>
        <w:numPr>
          <w:ilvl w:val="0"/>
          <w:numId w:val="0"/>
        </w:numPr>
        <w:kinsoku w:val="0"/>
        <w:wordWrap/>
        <w:overflowPunct w:val="0"/>
        <w:topLinePunct w:val="0"/>
        <w:autoSpaceDE/>
        <w:autoSpaceDN/>
        <w:bidi w:val="0"/>
        <w:adjustRightInd/>
        <w:snapToGrid/>
        <w:spacing w:line="400" w:lineRule="exact"/>
        <w:ind w:leftChars="0" w:right="0" w:rightChars="0" w:firstLine="240" w:firstLineChars="100"/>
        <w:jc w:val="left"/>
        <w:textAlignment w:val="auto"/>
        <w:rPr>
          <w:rFonts w:hint="eastAsia" w:asciiTheme="majorEastAsia" w:hAnsiTheme="majorEastAsia" w:eastAsiaTheme="majorEastAsia"/>
          <w:sz w:val="24"/>
          <w:szCs w:val="24"/>
          <w:shd w:val="clear" w:color="auto" w:fill="auto"/>
          <w:lang w:val="en-US" w:eastAsia="zh-CN"/>
        </w:rPr>
      </w:pPr>
      <w:r>
        <w:rPr>
          <w:rFonts w:hint="eastAsia" w:asciiTheme="majorEastAsia" w:hAnsiTheme="majorEastAsia" w:eastAsiaTheme="majorEastAsia"/>
          <w:sz w:val="24"/>
          <w:szCs w:val="24"/>
          <w:shd w:val="clear" w:color="auto" w:fill="auto"/>
          <w:lang w:val="en-US" w:eastAsia="zh-CN"/>
        </w:rPr>
        <w:t>4.6 信用情况</w:t>
      </w:r>
    </w:p>
    <w:p>
      <w:pPr>
        <w:pStyle w:val="14"/>
        <w:keepNext w:val="0"/>
        <w:keepLines w:val="0"/>
        <w:pageBreakBefore w:val="0"/>
        <w:widowControl w:val="0"/>
        <w:numPr>
          <w:ilvl w:val="0"/>
          <w:numId w:val="0"/>
        </w:numPr>
        <w:kinsoku w:val="0"/>
        <w:wordWrap/>
        <w:overflowPunct w:val="0"/>
        <w:topLinePunct w:val="0"/>
        <w:autoSpaceDE/>
        <w:autoSpaceDN/>
        <w:bidi w:val="0"/>
        <w:adjustRightInd/>
        <w:snapToGrid/>
        <w:spacing w:line="400" w:lineRule="exact"/>
        <w:ind w:leftChars="0" w:right="0" w:rightChars="0"/>
        <w:jc w:val="left"/>
        <w:textAlignment w:val="auto"/>
        <w:rPr>
          <w:rFonts w:hint="default" w:asciiTheme="majorEastAsia" w:hAnsiTheme="majorEastAsia" w:eastAsiaTheme="majorEastAsia"/>
          <w:sz w:val="24"/>
          <w:szCs w:val="24"/>
          <w:shd w:val="clear" w:color="auto" w:fill="auto"/>
          <w:lang w:val="en-US" w:eastAsia="zh-CN"/>
        </w:rPr>
      </w:pPr>
      <w:r>
        <w:rPr>
          <w:rFonts w:hint="eastAsia" w:asciiTheme="majorEastAsia" w:hAnsiTheme="majorEastAsia" w:eastAsiaTheme="majorEastAsia"/>
          <w:sz w:val="24"/>
          <w:szCs w:val="24"/>
          <w:shd w:val="clear" w:color="auto" w:fill="auto"/>
          <w:lang w:val="en-US" w:eastAsia="zh-CN"/>
        </w:rPr>
        <w:t>5.投标保证金缴纳凭证</w:t>
      </w:r>
    </w:p>
    <w:p>
      <w:pPr>
        <w:pStyle w:val="14"/>
        <w:keepNext w:val="0"/>
        <w:keepLines w:val="0"/>
        <w:pageBreakBefore w:val="0"/>
        <w:widowControl w:val="0"/>
        <w:numPr>
          <w:ilvl w:val="0"/>
          <w:numId w:val="0"/>
        </w:numPr>
        <w:kinsoku w:val="0"/>
        <w:wordWrap/>
        <w:overflowPunct w:val="0"/>
        <w:topLinePunct w:val="0"/>
        <w:autoSpaceDE/>
        <w:autoSpaceDN/>
        <w:bidi w:val="0"/>
        <w:adjustRightInd/>
        <w:snapToGrid/>
        <w:spacing w:line="400" w:lineRule="exact"/>
        <w:ind w:leftChars="0" w:right="0" w:rightChars="0"/>
        <w:jc w:val="left"/>
        <w:textAlignment w:val="auto"/>
        <w:rPr>
          <w:rFonts w:hint="default" w:asciiTheme="majorEastAsia" w:hAnsiTheme="majorEastAsia" w:eastAsiaTheme="majorEastAsia"/>
          <w:sz w:val="24"/>
          <w:szCs w:val="24"/>
          <w:shd w:val="clear" w:color="auto" w:fill="auto"/>
          <w:lang w:val="en-US" w:eastAsia="zh-CN"/>
        </w:rPr>
      </w:pPr>
      <w:r>
        <w:rPr>
          <w:rFonts w:hint="eastAsia" w:asciiTheme="majorEastAsia" w:hAnsiTheme="majorEastAsia" w:eastAsiaTheme="majorEastAsia"/>
          <w:sz w:val="24"/>
          <w:szCs w:val="24"/>
          <w:shd w:val="clear" w:color="auto" w:fill="auto"/>
          <w:lang w:val="en-US" w:eastAsia="zh-CN"/>
        </w:rPr>
        <w:t>6.开标一览表</w:t>
      </w:r>
    </w:p>
    <w:p>
      <w:pPr>
        <w:pStyle w:val="14"/>
        <w:keepNext w:val="0"/>
        <w:keepLines w:val="0"/>
        <w:pageBreakBefore w:val="0"/>
        <w:widowControl w:val="0"/>
        <w:numPr>
          <w:ilvl w:val="0"/>
          <w:numId w:val="0"/>
        </w:numPr>
        <w:kinsoku w:val="0"/>
        <w:wordWrap/>
        <w:overflowPunct w:val="0"/>
        <w:topLinePunct w:val="0"/>
        <w:autoSpaceDE/>
        <w:autoSpaceDN/>
        <w:bidi w:val="0"/>
        <w:adjustRightInd/>
        <w:snapToGrid/>
        <w:spacing w:line="400" w:lineRule="exact"/>
        <w:ind w:leftChars="0" w:right="0" w:rightChars="0"/>
        <w:jc w:val="left"/>
        <w:textAlignment w:val="auto"/>
        <w:rPr>
          <w:rFonts w:hint="default" w:asciiTheme="majorEastAsia" w:hAnsiTheme="majorEastAsia" w:eastAsiaTheme="majorEastAsia"/>
          <w:sz w:val="24"/>
          <w:szCs w:val="24"/>
          <w:shd w:val="clear" w:color="auto" w:fill="auto"/>
          <w:lang w:val="en-US" w:eastAsia="zh-CN"/>
        </w:rPr>
      </w:pPr>
      <w:r>
        <w:rPr>
          <w:rFonts w:hint="eastAsia" w:asciiTheme="majorEastAsia" w:hAnsiTheme="majorEastAsia" w:eastAsiaTheme="majorEastAsia"/>
          <w:sz w:val="24"/>
          <w:szCs w:val="24"/>
          <w:shd w:val="clear" w:color="auto" w:fill="auto"/>
          <w:lang w:val="en-US" w:eastAsia="zh-CN"/>
        </w:rPr>
        <w:t>7.投标报价汇总表</w:t>
      </w:r>
    </w:p>
    <w:p>
      <w:pPr>
        <w:pStyle w:val="14"/>
        <w:keepNext w:val="0"/>
        <w:keepLines w:val="0"/>
        <w:pageBreakBefore w:val="0"/>
        <w:widowControl w:val="0"/>
        <w:numPr>
          <w:ilvl w:val="0"/>
          <w:numId w:val="0"/>
        </w:numPr>
        <w:kinsoku w:val="0"/>
        <w:wordWrap/>
        <w:overflowPunct w:val="0"/>
        <w:topLinePunct w:val="0"/>
        <w:autoSpaceDE/>
        <w:autoSpaceDN/>
        <w:bidi w:val="0"/>
        <w:adjustRightInd/>
        <w:snapToGrid/>
        <w:spacing w:line="400" w:lineRule="exact"/>
        <w:ind w:leftChars="0" w:right="0" w:rightChars="0"/>
        <w:jc w:val="left"/>
        <w:textAlignment w:val="auto"/>
        <w:rPr>
          <w:rFonts w:hint="eastAsia" w:asciiTheme="majorEastAsia" w:hAnsiTheme="majorEastAsia" w:eastAsiaTheme="majorEastAsia"/>
          <w:sz w:val="24"/>
          <w:szCs w:val="24"/>
          <w:shd w:val="clear" w:color="auto" w:fill="auto"/>
          <w:lang w:val="en-US" w:eastAsia="zh-CN"/>
        </w:rPr>
      </w:pPr>
      <w:r>
        <w:rPr>
          <w:rFonts w:hint="eastAsia" w:asciiTheme="majorEastAsia" w:hAnsiTheme="majorEastAsia" w:eastAsiaTheme="majorEastAsia"/>
          <w:sz w:val="24"/>
          <w:szCs w:val="24"/>
          <w:shd w:val="clear" w:color="auto" w:fill="auto"/>
          <w:lang w:val="en-US" w:eastAsia="zh-CN"/>
        </w:rPr>
        <w:t xml:space="preserve">  7.1备品、备件清单</w:t>
      </w:r>
    </w:p>
    <w:p>
      <w:pPr>
        <w:pStyle w:val="15"/>
        <w:keepNext w:val="0"/>
        <w:keepLines w:val="0"/>
        <w:pageBreakBefore w:val="0"/>
        <w:widowControl w:val="0"/>
        <w:numPr>
          <w:ilvl w:val="0"/>
          <w:numId w:val="9"/>
        </w:numPr>
        <w:wordWrap/>
        <w:topLinePunct w:val="0"/>
        <w:bidi w:val="0"/>
        <w:adjustRightInd/>
        <w:snapToGrid/>
        <w:spacing w:line="400" w:lineRule="exact"/>
        <w:ind w:right="0"/>
        <w:textAlignment w:val="auto"/>
        <w:rPr>
          <w:rFonts w:hint="eastAsia" w:asciiTheme="majorEastAsia" w:hAnsiTheme="majorEastAsia" w:eastAsiaTheme="majorEastAsia"/>
          <w:sz w:val="24"/>
          <w:szCs w:val="24"/>
          <w:shd w:val="clear" w:color="auto" w:fill="auto"/>
          <w:lang w:val="en-US" w:eastAsia="zh-CN"/>
        </w:rPr>
      </w:pPr>
      <w:r>
        <w:rPr>
          <w:rFonts w:hint="eastAsia" w:asciiTheme="majorEastAsia" w:hAnsiTheme="majorEastAsia" w:eastAsiaTheme="majorEastAsia"/>
          <w:sz w:val="24"/>
          <w:szCs w:val="24"/>
          <w:shd w:val="clear" w:color="auto" w:fill="auto"/>
          <w:lang w:val="en-US" w:eastAsia="zh-CN"/>
        </w:rPr>
        <w:t>一般商务条款偏离表</w:t>
      </w:r>
    </w:p>
    <w:p>
      <w:pPr>
        <w:pStyle w:val="15"/>
        <w:keepNext w:val="0"/>
        <w:keepLines w:val="0"/>
        <w:pageBreakBefore w:val="0"/>
        <w:widowControl w:val="0"/>
        <w:numPr>
          <w:ilvl w:val="0"/>
          <w:numId w:val="9"/>
        </w:numPr>
        <w:wordWrap/>
        <w:topLinePunct w:val="0"/>
        <w:bidi w:val="0"/>
        <w:adjustRightInd/>
        <w:snapToGrid/>
        <w:spacing w:line="400" w:lineRule="exact"/>
        <w:ind w:right="0"/>
        <w:textAlignment w:val="auto"/>
        <w:rPr>
          <w:rFonts w:hint="eastAsia" w:asciiTheme="majorEastAsia" w:hAnsiTheme="majorEastAsia" w:eastAsiaTheme="majorEastAsia"/>
          <w:sz w:val="24"/>
          <w:szCs w:val="24"/>
          <w:shd w:val="clear" w:color="auto" w:fill="auto"/>
          <w:lang w:val="en-US" w:eastAsia="zh-CN"/>
        </w:rPr>
      </w:pPr>
      <w:r>
        <w:rPr>
          <w:rFonts w:hint="eastAsia" w:asciiTheme="majorEastAsia" w:hAnsiTheme="majorEastAsia" w:eastAsiaTheme="majorEastAsia"/>
          <w:sz w:val="24"/>
          <w:szCs w:val="24"/>
          <w:shd w:val="clear" w:color="auto" w:fill="auto"/>
          <w:lang w:val="en-US" w:eastAsia="zh-CN"/>
        </w:rPr>
        <w:t>投标单位（供应商）反商业贿赂承诺书</w:t>
      </w:r>
    </w:p>
    <w:p>
      <w:pPr>
        <w:pStyle w:val="14"/>
        <w:keepNext w:val="0"/>
        <w:keepLines w:val="0"/>
        <w:pageBreakBefore w:val="0"/>
        <w:widowControl w:val="0"/>
        <w:numPr>
          <w:ilvl w:val="0"/>
          <w:numId w:val="0"/>
        </w:numPr>
        <w:kinsoku w:val="0"/>
        <w:wordWrap/>
        <w:overflowPunct w:val="0"/>
        <w:topLinePunct w:val="0"/>
        <w:autoSpaceDE/>
        <w:autoSpaceDN/>
        <w:bidi w:val="0"/>
        <w:adjustRightInd/>
        <w:snapToGrid/>
        <w:spacing w:line="400" w:lineRule="exact"/>
        <w:ind w:right="0" w:rightChars="0"/>
        <w:jc w:val="left"/>
        <w:textAlignment w:val="auto"/>
        <w:rPr>
          <w:rFonts w:hint="default" w:cs="Times New Roman" w:asciiTheme="majorEastAsia" w:hAnsiTheme="majorEastAsia" w:eastAsiaTheme="majorEastAsia"/>
          <w:sz w:val="24"/>
          <w:szCs w:val="24"/>
          <w:shd w:val="clear" w:color="auto" w:fill="auto"/>
          <w:lang w:val="en-US" w:eastAsia="zh-CN"/>
        </w:rPr>
      </w:pPr>
      <w:r>
        <w:rPr>
          <w:rFonts w:hint="eastAsia" w:cs="Times New Roman" w:asciiTheme="majorEastAsia" w:hAnsiTheme="majorEastAsia" w:eastAsiaTheme="majorEastAsia"/>
          <w:sz w:val="24"/>
          <w:szCs w:val="24"/>
          <w:shd w:val="clear" w:color="auto" w:fill="auto"/>
          <w:lang w:val="en-US" w:eastAsia="zh-CN"/>
        </w:rPr>
        <w:t>10.其他</w:t>
      </w:r>
      <w:bookmarkStart w:id="66" w:name="_GoBack"/>
      <w:bookmarkEnd w:id="66"/>
    </w:p>
    <w:p>
      <w:pPr>
        <w:pStyle w:val="15"/>
        <w:keepNext w:val="0"/>
        <w:keepLines w:val="0"/>
        <w:pageBreakBefore w:val="0"/>
        <w:widowControl w:val="0"/>
        <w:numPr>
          <w:ilvl w:val="0"/>
          <w:numId w:val="0"/>
        </w:numPr>
        <w:wordWrap/>
        <w:topLinePunct w:val="0"/>
        <w:autoSpaceDE w:val="0"/>
        <w:autoSpaceDN w:val="0"/>
        <w:bidi w:val="0"/>
        <w:adjustRightInd/>
        <w:snapToGrid/>
        <w:spacing w:line="400" w:lineRule="exact"/>
        <w:ind w:right="0" w:rightChars="0"/>
        <w:textAlignment w:val="auto"/>
        <w:rPr>
          <w:rFonts w:hint="eastAsia" w:asciiTheme="majorEastAsia" w:hAnsiTheme="majorEastAsia" w:eastAsiaTheme="majorEastAsia"/>
          <w:sz w:val="24"/>
          <w:szCs w:val="24"/>
          <w:shd w:val="clear" w:color="auto" w:fill="auto"/>
          <w:lang w:val="en-US" w:eastAsia="zh-CN"/>
        </w:rPr>
      </w:pPr>
    </w:p>
    <w:p>
      <w:pPr>
        <w:pStyle w:val="15"/>
        <w:jc w:val="left"/>
        <w:rPr>
          <w:rFonts w:hint="default" w:asciiTheme="majorEastAsia" w:hAnsiTheme="majorEastAsia" w:eastAsiaTheme="majorEastAsia"/>
          <w:b/>
          <w:bCs/>
          <w:spacing w:val="1"/>
          <w:sz w:val="16"/>
          <w:szCs w:val="18"/>
          <w:lang w:val="en-US" w:eastAsia="zh-CN"/>
        </w:rPr>
      </w:pPr>
      <w:r>
        <w:rPr>
          <w:rFonts w:hint="eastAsia" w:ascii="宋体" w:hAnsi="宋体" w:eastAsia="宋体" w:cs="宋体"/>
          <w:b/>
          <w:bCs/>
          <w:sz w:val="32"/>
          <w:szCs w:val="48"/>
          <w:lang w:val="en-US" w:eastAsia="zh-CN"/>
        </w:rPr>
        <w:t>（请各投标人按照以上大目录提供企业资料相关文件，图片，内容清晰，排版舒适，详细编写各级子目录与对应页码供评标专家翻阅，提高评标效率）</w:t>
      </w:r>
    </w:p>
    <w:p>
      <w:pPr>
        <w:pStyle w:val="15"/>
        <w:jc w:val="left"/>
        <w:rPr>
          <w:rFonts w:hint="default" w:asciiTheme="majorEastAsia" w:hAnsiTheme="majorEastAsia" w:eastAsiaTheme="majorEastAsia"/>
          <w:b/>
          <w:bCs/>
          <w:spacing w:val="1"/>
          <w:sz w:val="16"/>
          <w:szCs w:val="18"/>
          <w:lang w:val="en-US" w:eastAsia="zh-CN"/>
        </w:rPr>
      </w:pPr>
    </w:p>
    <w:p>
      <w:pPr>
        <w:pStyle w:val="15"/>
        <w:jc w:val="left"/>
        <w:rPr>
          <w:rFonts w:hint="default" w:asciiTheme="majorEastAsia" w:hAnsiTheme="majorEastAsia" w:eastAsiaTheme="majorEastAsia"/>
          <w:b/>
          <w:bCs/>
          <w:spacing w:val="1"/>
          <w:sz w:val="16"/>
          <w:szCs w:val="18"/>
          <w:lang w:val="en-US" w:eastAsia="zh-CN"/>
        </w:rPr>
      </w:pPr>
    </w:p>
    <w:p>
      <w:pPr>
        <w:pStyle w:val="15"/>
        <w:jc w:val="left"/>
        <w:rPr>
          <w:rFonts w:hint="default" w:asciiTheme="majorEastAsia" w:hAnsiTheme="majorEastAsia" w:eastAsiaTheme="majorEastAsia"/>
          <w:b/>
          <w:bCs/>
          <w:spacing w:val="1"/>
          <w:sz w:val="16"/>
          <w:szCs w:val="18"/>
          <w:lang w:val="en-US" w:eastAsia="zh-CN"/>
        </w:rPr>
      </w:pPr>
    </w:p>
    <w:p>
      <w:pPr>
        <w:pStyle w:val="15"/>
        <w:jc w:val="left"/>
        <w:rPr>
          <w:rFonts w:hint="default" w:asciiTheme="majorEastAsia" w:hAnsiTheme="majorEastAsia" w:eastAsiaTheme="majorEastAsia"/>
          <w:b/>
          <w:bCs/>
          <w:spacing w:val="1"/>
          <w:sz w:val="16"/>
          <w:szCs w:val="18"/>
          <w:lang w:val="en-US" w:eastAsia="zh-CN"/>
        </w:rPr>
      </w:pPr>
      <w:r>
        <w:rPr>
          <w:rFonts w:hint="eastAsia" w:ascii="宋体" w:hAnsi="宋体" w:eastAsia="宋体" w:cs="宋体"/>
          <w:b/>
          <w:bCs/>
          <w:sz w:val="24"/>
          <w:szCs w:val="20"/>
        </w:rPr>
        <w:t>说明：附件没有的供应商可自拟格式。</w:t>
      </w:r>
      <w:r>
        <w:rPr>
          <w:rFonts w:hint="eastAsia" w:ascii="宋体" w:hAnsi="宋体" w:eastAsia="宋体" w:cs="宋体"/>
          <w:b/>
          <w:bCs/>
          <w:sz w:val="24"/>
          <w:szCs w:val="20"/>
          <w:lang w:val="en-US" w:eastAsia="zh-CN"/>
        </w:rPr>
        <w:t xml:space="preserve"> </w:t>
      </w:r>
    </w:p>
    <w:p>
      <w:pPr>
        <w:pStyle w:val="15"/>
        <w:rPr>
          <w:rFonts w:hint="default"/>
          <w:lang w:val="en-US" w:eastAsia="zh-CN"/>
        </w:rPr>
      </w:pPr>
    </w:p>
    <w:p>
      <w:pPr>
        <w:pStyle w:val="15"/>
        <w:rPr>
          <w:rFonts w:hint="eastAsia" w:asciiTheme="majorEastAsia" w:hAnsiTheme="majorEastAsia" w:eastAsiaTheme="majorEastAsia"/>
          <w:sz w:val="32"/>
          <w:szCs w:val="32"/>
          <w:shd w:val="clear" w:color="auto" w:fill="auto"/>
          <w:lang w:val="en-US" w:eastAsia="zh-CN"/>
        </w:rPr>
      </w:pPr>
    </w:p>
    <w:p>
      <w:pPr>
        <w:pStyle w:val="14"/>
        <w:keepNext w:val="0"/>
        <w:keepLines w:val="0"/>
        <w:pageBreakBefore w:val="0"/>
        <w:widowControl w:val="0"/>
        <w:kinsoku w:val="0"/>
        <w:overflowPunct w:val="0"/>
        <w:topLinePunct w:val="0"/>
        <w:autoSpaceDE/>
        <w:autoSpaceDN/>
        <w:bidi w:val="0"/>
        <w:adjustRightInd/>
        <w:snapToGrid/>
        <w:spacing w:after="0" w:afterLines="0" w:line="440" w:lineRule="exact"/>
        <w:ind w:right="0" w:firstLine="480"/>
        <w:jc w:val="center"/>
        <w:textAlignment w:val="auto"/>
        <w:rPr>
          <w:rFonts w:asciiTheme="majorEastAsia" w:hAnsiTheme="majorEastAsia" w:eastAsiaTheme="majorEastAsia"/>
          <w:b/>
          <w:bCs/>
          <w:sz w:val="36"/>
          <w:szCs w:val="36"/>
        </w:rPr>
      </w:pPr>
      <w:r>
        <w:rPr>
          <w:rFonts w:hint="eastAsia" w:asciiTheme="majorEastAsia" w:hAnsiTheme="majorEastAsia" w:eastAsiaTheme="majorEastAsia"/>
          <w:sz w:val="32"/>
          <w:szCs w:val="32"/>
          <w:shd w:val="clear" w:color="auto" w:fill="auto"/>
          <w:lang w:val="en-US" w:eastAsia="zh-CN"/>
        </w:rPr>
        <w:br w:type="page"/>
      </w:r>
      <w:r>
        <w:rPr>
          <w:rFonts w:hint="eastAsia" w:asciiTheme="majorEastAsia" w:hAnsiTheme="majorEastAsia" w:eastAsiaTheme="majorEastAsia"/>
          <w:b/>
          <w:bCs/>
          <w:sz w:val="36"/>
          <w:szCs w:val="36"/>
        </w:rPr>
        <w:t>一、投标函</w:t>
      </w:r>
    </w:p>
    <w:p>
      <w:pPr>
        <w:keepNext w:val="0"/>
        <w:keepLines w:val="0"/>
        <w:pageBreakBefore w:val="0"/>
        <w:widowControl w:val="0"/>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u w:val="single"/>
        </w:rPr>
      </w:pPr>
      <w:r>
        <w:rPr>
          <w:rFonts w:hint="eastAsia" w:cs="仿宋" w:asciiTheme="majorEastAsia" w:hAnsiTheme="majorEastAsia" w:eastAsiaTheme="majorEastAsia"/>
          <w:kern w:val="0"/>
          <w:sz w:val="24"/>
        </w:rPr>
        <w:t>致：</w:t>
      </w:r>
      <w:r>
        <w:rPr>
          <w:rFonts w:hint="eastAsia" w:cs="仿宋" w:asciiTheme="majorEastAsia" w:hAnsiTheme="majorEastAsia" w:eastAsiaTheme="majorEastAsia"/>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为响应你方组织的</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项目的招标[项目编号为：</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]，我方愿参与投标。</w:t>
      </w:r>
    </w:p>
    <w:p>
      <w:pPr>
        <w:keepNext w:val="0"/>
        <w:keepLines w:val="0"/>
        <w:pageBreakBefore w:val="0"/>
        <w:widowControl w:val="0"/>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我方确认收到贵方提供的</w:t>
      </w:r>
      <w:r>
        <w:rPr>
          <w:rFonts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u w:val="single"/>
        </w:rPr>
        <w:t xml:space="preserve">                                  </w:t>
      </w:r>
      <w:r>
        <w:rPr>
          <w:rFonts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招标文件的全部内容。</w:t>
      </w:r>
    </w:p>
    <w:p>
      <w:pPr>
        <w:keepNext w:val="0"/>
        <w:keepLines w:val="0"/>
        <w:pageBreakBefore w:val="0"/>
        <w:widowControl w:val="0"/>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u w:val="single"/>
        </w:rPr>
        <w:t xml:space="preserve">      (供应商名称)      </w:t>
      </w:r>
      <w:r>
        <w:rPr>
          <w:rFonts w:hint="eastAsia" w:cs="仿宋" w:asciiTheme="majorEastAsia" w:hAnsiTheme="majorEastAsia" w:eastAsiaTheme="majorEastAsia"/>
          <w:kern w:val="0"/>
          <w:sz w:val="24"/>
        </w:rPr>
        <w:t>作为投标供应商正式授权</w:t>
      </w:r>
      <w:r>
        <w:rPr>
          <w:rFonts w:hint="eastAsia" w:cs="仿宋" w:asciiTheme="majorEastAsia" w:hAnsiTheme="majorEastAsia" w:eastAsiaTheme="majorEastAsia"/>
          <w:kern w:val="0"/>
          <w:sz w:val="24"/>
          <w:u w:val="single"/>
        </w:rPr>
        <w:t xml:space="preserve">  (授权代表全名, 职务)  </w:t>
      </w:r>
      <w:r>
        <w:rPr>
          <w:rFonts w:hint="eastAsia" w:cs="仿宋" w:asciiTheme="majorEastAsia" w:hAnsiTheme="majorEastAsia" w:eastAsiaTheme="majorEastAsia"/>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在此提交的投标文件，正本壹份，副本肆份。</w:t>
      </w:r>
    </w:p>
    <w:p>
      <w:pPr>
        <w:keepNext w:val="0"/>
        <w:keepLines w:val="0"/>
        <w:pageBreakBefore w:val="0"/>
        <w:widowControl w:val="0"/>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我方已完全明白招标文件的所有条款要求，并申明如下：</w:t>
      </w:r>
    </w:p>
    <w:p>
      <w:pPr>
        <w:keepNext w:val="0"/>
        <w:keepLines w:val="0"/>
        <w:pageBreakBefore w:val="0"/>
        <w:widowControl w:val="0"/>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（一）按招标文件提供的全部货物与相关服务的投标总价详见《报价一览表》。</w:t>
      </w:r>
    </w:p>
    <w:p>
      <w:pPr>
        <w:keepNext w:val="0"/>
        <w:keepLines w:val="0"/>
        <w:pageBreakBefore w:val="0"/>
        <w:widowControl w:val="0"/>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（二）本投标文件的有效期为投标截止时间起</w:t>
      </w:r>
      <w:r>
        <w:rPr>
          <w:rFonts w:hint="eastAsia" w:cs="仿宋" w:asciiTheme="majorEastAsia" w:hAnsiTheme="majorEastAsia" w:eastAsiaTheme="majorEastAsia"/>
          <w:kern w:val="0"/>
          <w:sz w:val="24"/>
          <w:lang w:val="en-US" w:eastAsia="zh-CN"/>
        </w:rPr>
        <w:t>45</w:t>
      </w:r>
      <w:r>
        <w:rPr>
          <w:rFonts w:hint="eastAsia" w:cs="仿宋" w:asciiTheme="majorEastAsia" w:hAnsiTheme="majorEastAsia" w:eastAsiaTheme="majorEastAsia"/>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keepNext w:val="0"/>
        <w:keepLines w:val="0"/>
        <w:pageBreakBefore w:val="0"/>
        <w:widowControl w:val="0"/>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（三）我方明白并同意，在规定的开标日之后，投标有效期之内撤回投标或中标后不按规定与采购人签订合同或不提交履约保证金, 则贵方将不予退还投标保证金。</w:t>
      </w:r>
    </w:p>
    <w:p>
      <w:pPr>
        <w:keepNext w:val="0"/>
        <w:keepLines w:val="0"/>
        <w:pageBreakBefore w:val="0"/>
        <w:widowControl w:val="0"/>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（四）我方同意按照贵方可能提出的要求而提供与投标有关的任何其它数据、信息或资料。</w:t>
      </w:r>
    </w:p>
    <w:p>
      <w:pPr>
        <w:keepNext w:val="0"/>
        <w:keepLines w:val="0"/>
        <w:pageBreakBefore w:val="0"/>
        <w:widowControl w:val="0"/>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（五）我方理解贵方不一定接受最低投标价或任何贵方可能收到的投标。</w:t>
      </w:r>
    </w:p>
    <w:p>
      <w:pPr>
        <w:keepNext w:val="0"/>
        <w:keepLines w:val="0"/>
        <w:pageBreakBefore w:val="0"/>
        <w:widowControl w:val="0"/>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（六）我方如果中标，将保证履行招标文件及其澄清、修改文件（如果有）中的全部责任和义务，按质、按量、按期完成《招标内容》及《合同书》中的全部任务。</w:t>
      </w:r>
    </w:p>
    <w:p>
      <w:pPr>
        <w:keepNext w:val="0"/>
        <w:keepLines w:val="0"/>
        <w:pageBreakBefore w:val="0"/>
        <w:widowControl w:val="0"/>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（七）如我方被授予合同，我方承诺支付就本次招标应支付或将支付的中标服务费（详见按招标文件要求格式填写的《中标服务费支付承诺书》）。</w:t>
      </w:r>
    </w:p>
    <w:p>
      <w:pPr>
        <w:keepNext w:val="0"/>
        <w:keepLines w:val="0"/>
        <w:pageBreakBefore w:val="0"/>
        <w:widowControl w:val="0"/>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（八）我方作为</w:t>
      </w:r>
      <w:r>
        <w:rPr>
          <w:rFonts w:hint="eastAsia" w:cs="仿宋" w:asciiTheme="majorEastAsia" w:hAnsiTheme="majorEastAsia" w:eastAsiaTheme="majorEastAsia"/>
          <w:kern w:val="0"/>
          <w:sz w:val="24"/>
          <w:u w:val="single"/>
        </w:rPr>
        <w:t xml:space="preserve">   （制造商/代理商）   </w:t>
      </w:r>
      <w:r>
        <w:rPr>
          <w:rFonts w:hint="eastAsia" w:cs="仿宋" w:asciiTheme="majorEastAsia" w:hAnsiTheme="majorEastAsia" w:eastAsiaTheme="majorEastAsia"/>
          <w:kern w:val="0"/>
          <w:sz w:val="24"/>
        </w:rPr>
        <w:t>是在法律、财务和运作上独立于采购人、招标代理机构的投标供应商，在此保证所提交的所有文件和全部说明是真实的和正确的。</w:t>
      </w:r>
    </w:p>
    <w:p>
      <w:pPr>
        <w:keepNext w:val="0"/>
        <w:keepLines w:val="0"/>
        <w:pageBreakBefore w:val="0"/>
        <w:widowControl w:val="0"/>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（九）我方投标报价已包含应向知识产权所有权人支付的所有相关税费，并保证采购人在中国使用我方提供的货物时，如有第三方提出侵犯其知识产权主张的，责任由我方承担。</w:t>
      </w:r>
    </w:p>
    <w:p>
      <w:pPr>
        <w:keepNext w:val="0"/>
        <w:keepLines w:val="0"/>
        <w:pageBreakBefore w:val="0"/>
        <w:widowControl w:val="0"/>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（十）我</w:t>
      </w:r>
      <w:r>
        <w:rPr>
          <w:rFonts w:cs="仿宋" w:asciiTheme="majorEastAsia" w:hAnsiTheme="majorEastAsia" w:eastAsiaTheme="majorEastAsia"/>
          <w:kern w:val="0"/>
          <w:sz w:val="24"/>
        </w:rPr>
        <w:t>方与其他投标供应商</w:t>
      </w:r>
      <w:r>
        <w:rPr>
          <w:rFonts w:hint="eastAsia" w:cs="仿宋" w:asciiTheme="majorEastAsia" w:hAnsiTheme="majorEastAsia" w:eastAsiaTheme="majorEastAsia"/>
          <w:kern w:val="0"/>
          <w:sz w:val="24"/>
        </w:rPr>
        <w:t>不</w:t>
      </w:r>
      <w:r>
        <w:rPr>
          <w:rFonts w:cs="仿宋" w:asciiTheme="majorEastAsia" w:hAnsiTheme="majorEastAsia" w:eastAsiaTheme="majorEastAsia"/>
          <w:kern w:val="0"/>
          <w:sz w:val="24"/>
        </w:rPr>
        <w:t>存在</w:t>
      </w:r>
      <w:r>
        <w:rPr>
          <w:rFonts w:hint="eastAsia" w:cs="仿宋" w:asciiTheme="majorEastAsia" w:hAnsiTheme="majorEastAsia" w:eastAsiaTheme="majorEastAsia"/>
          <w:kern w:val="0"/>
          <w:sz w:val="24"/>
        </w:rPr>
        <w:t>单位负责人为同一人或者存在直接控股、管理关系。</w:t>
      </w:r>
    </w:p>
    <w:p>
      <w:pPr>
        <w:keepNext w:val="0"/>
        <w:keepLines w:val="0"/>
        <w:pageBreakBefore w:val="0"/>
        <w:widowControl w:val="0"/>
        <w:kinsoku/>
        <w:overflowPunct/>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（十一）我方承诺未为本项目提供整体设计、规范编制或者项目管理、监理、检测等服务。</w:t>
      </w:r>
    </w:p>
    <w:p>
      <w:pPr>
        <w:keepNext w:val="0"/>
        <w:keepLines w:val="0"/>
        <w:pageBreakBefore w:val="0"/>
        <w:widowControl w:val="0"/>
        <w:kinsoku/>
        <w:overflowPunct/>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（十二）我方具备《政府采购法》第二十二条规定的条件，</w:t>
      </w:r>
      <w:r>
        <w:rPr>
          <w:rFonts w:cs="仿宋" w:asciiTheme="majorEastAsia" w:hAnsiTheme="majorEastAsia" w:eastAsiaTheme="majorEastAsia"/>
          <w:kern w:val="0"/>
          <w:sz w:val="24"/>
        </w:rPr>
        <w:t>承诺如下：</w:t>
      </w:r>
    </w:p>
    <w:p>
      <w:pPr>
        <w:keepNext w:val="0"/>
        <w:keepLines w:val="0"/>
        <w:pageBreakBefore w:val="0"/>
        <w:widowControl w:val="0"/>
        <w:kinsoku/>
        <w:overflowPunct/>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（1）我方已依法缴纳了各项税费及社会保险费用，如有需要，可随时向采购人提供近三个月内的相关缴费证明，以便核查。</w:t>
      </w:r>
    </w:p>
    <w:p>
      <w:pPr>
        <w:keepNext w:val="0"/>
        <w:keepLines w:val="0"/>
        <w:pageBreakBefore w:val="0"/>
        <w:widowControl w:val="0"/>
        <w:kinsoku/>
        <w:overflowPunct/>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（2</w:t>
      </w:r>
      <w:r>
        <w:rPr>
          <w:rFonts w:cs="仿宋" w:asciiTheme="majorEastAsia" w:hAnsiTheme="majorEastAsia" w:eastAsiaTheme="majorEastAsia"/>
          <w:kern w:val="0"/>
          <w:sz w:val="24"/>
        </w:rPr>
        <w:t>）</w:t>
      </w:r>
      <w:r>
        <w:rPr>
          <w:rFonts w:hint="eastAsia" w:cs="仿宋" w:asciiTheme="majorEastAsia" w:hAnsiTheme="majorEastAsia" w:eastAsiaTheme="majorEastAsia"/>
          <w:kern w:val="0"/>
          <w:sz w:val="24"/>
        </w:rPr>
        <w:t>我方已依法建立健全的财务会计制度，如有需要，可随时向采购人提供相关的证明材料，以便核查。</w:t>
      </w:r>
    </w:p>
    <w:p>
      <w:pPr>
        <w:keepNext w:val="0"/>
        <w:keepLines w:val="0"/>
        <w:pageBreakBefore w:val="0"/>
        <w:widowControl w:val="0"/>
        <w:kinsoku/>
        <w:overflowPunct/>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（3）我</w:t>
      </w:r>
      <w:r>
        <w:rPr>
          <w:rFonts w:cs="仿宋" w:asciiTheme="majorEastAsia" w:hAnsiTheme="majorEastAsia" w:eastAsiaTheme="majorEastAsia"/>
          <w:kern w:val="0"/>
          <w:sz w:val="24"/>
        </w:rPr>
        <w:t>方</w:t>
      </w:r>
      <w:r>
        <w:rPr>
          <w:rFonts w:hint="eastAsia" w:cs="仿宋" w:asciiTheme="majorEastAsia" w:hAnsiTheme="majorEastAsia" w:eastAsiaTheme="majorEastAsia"/>
          <w:kern w:val="0"/>
          <w:sz w:val="24"/>
        </w:rPr>
        <w:t>参加本项目政府采购活动前3年内在经营活动中没有重大违法记录。</w:t>
      </w:r>
    </w:p>
    <w:p>
      <w:pPr>
        <w:keepNext w:val="0"/>
        <w:keepLines w:val="0"/>
        <w:pageBreakBefore w:val="0"/>
        <w:widowControl w:val="0"/>
        <w:kinsoku/>
        <w:overflowPunct/>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（4）我方具备履行合同所必需的设备和专业技术能力。</w:t>
      </w:r>
    </w:p>
    <w:p>
      <w:pPr>
        <w:keepNext w:val="0"/>
        <w:keepLines w:val="0"/>
        <w:pageBreakBefore w:val="0"/>
        <w:widowControl w:val="0"/>
        <w:kinsoku/>
        <w:overflowPunct/>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（5</w:t>
      </w:r>
      <w:r>
        <w:rPr>
          <w:rFonts w:cs="仿宋" w:asciiTheme="majorEastAsia" w:hAnsiTheme="majorEastAsia" w:eastAsiaTheme="majorEastAsia"/>
          <w:kern w:val="0"/>
          <w:sz w:val="24"/>
        </w:rPr>
        <w:t>）</w:t>
      </w:r>
      <w:r>
        <w:rPr>
          <w:rFonts w:hint="eastAsia" w:cs="仿宋" w:asciiTheme="majorEastAsia" w:hAnsiTheme="majorEastAsia" w:eastAsiaTheme="majorEastAsia"/>
          <w:kern w:val="0"/>
          <w:sz w:val="24"/>
        </w:rPr>
        <w:t>我</w:t>
      </w:r>
      <w:r>
        <w:rPr>
          <w:rFonts w:cs="仿宋" w:asciiTheme="majorEastAsia" w:hAnsiTheme="majorEastAsia" w:eastAsiaTheme="majorEastAsia"/>
          <w:kern w:val="0"/>
          <w:sz w:val="24"/>
        </w:rPr>
        <w:t>方</w:t>
      </w:r>
      <w:r>
        <w:rPr>
          <w:rFonts w:hint="eastAsia" w:cs="仿宋" w:asciiTheme="majorEastAsia" w:hAnsiTheme="majorEastAsia" w:eastAsiaTheme="majorEastAsia"/>
          <w:kern w:val="0"/>
          <w:sz w:val="24"/>
        </w:rPr>
        <w:t>符合法律、行政法规规定的其他条件。</w:t>
      </w:r>
    </w:p>
    <w:p>
      <w:pPr>
        <w:keepNext w:val="0"/>
        <w:keepLines w:val="0"/>
        <w:pageBreakBefore w:val="0"/>
        <w:widowControl w:val="0"/>
        <w:kinsoku/>
        <w:overflowPunct/>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以上内容如有虚假或与事实不符的，评审委员会可将我方做无效投标处理，我方愿意承担相应的法律责任。</w:t>
      </w:r>
    </w:p>
    <w:p>
      <w:pPr>
        <w:keepNext w:val="0"/>
        <w:keepLines w:val="0"/>
        <w:pageBreakBefore w:val="0"/>
        <w:widowControl w:val="0"/>
        <w:kinsoku/>
        <w:overflowPunct/>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（十三）我方对在本函及投标文件中所作的所有承诺承担法律责任。</w:t>
      </w:r>
    </w:p>
    <w:p>
      <w:pPr>
        <w:keepNext w:val="0"/>
        <w:keepLines w:val="0"/>
        <w:pageBreakBefore w:val="0"/>
        <w:widowControl w:val="0"/>
        <w:kinsoku/>
        <w:overflowPunct/>
        <w:topLinePunct w:val="0"/>
        <w:autoSpaceDE/>
        <w:autoSpaceDN/>
        <w:bidi w:val="0"/>
        <w:adjustRightInd/>
        <w:snapToGrid/>
        <w:spacing w:line="440" w:lineRule="exact"/>
        <w:ind w:right="0" w:firstLine="480" w:firstLineChars="20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（十四）所有与本招标有关的函件请发往下列地址：</w:t>
      </w:r>
    </w:p>
    <w:p>
      <w:pPr>
        <w:keepNext w:val="0"/>
        <w:keepLines w:val="0"/>
        <w:pageBreakBefore w:val="0"/>
        <w:widowControl w:val="0"/>
        <w:kinsoku/>
        <w:overflowPunct/>
        <w:topLinePunct w:val="0"/>
        <w:autoSpaceDE/>
        <w:autoSpaceDN/>
        <w:bidi w:val="0"/>
        <w:adjustRightInd/>
        <w:snapToGrid/>
        <w:spacing w:line="440" w:lineRule="exact"/>
        <w:ind w:right="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地    址：</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.邮政编码：</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w:t>
      </w:r>
    </w:p>
    <w:p>
      <w:pPr>
        <w:keepNext w:val="0"/>
        <w:keepLines w:val="0"/>
        <w:pageBreakBefore w:val="0"/>
        <w:widowControl w:val="0"/>
        <w:kinsoku/>
        <w:overflowPunct/>
        <w:topLinePunct w:val="0"/>
        <w:autoSpaceDE/>
        <w:autoSpaceDN/>
        <w:bidi w:val="0"/>
        <w:adjustRightInd/>
        <w:snapToGrid/>
        <w:spacing w:line="440" w:lineRule="exact"/>
        <w:ind w:right="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电    话：</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w:t>
      </w:r>
    </w:p>
    <w:p>
      <w:pPr>
        <w:keepNext w:val="0"/>
        <w:keepLines w:val="0"/>
        <w:pageBreakBefore w:val="0"/>
        <w:widowControl w:val="0"/>
        <w:kinsoku/>
        <w:overflowPunct/>
        <w:topLinePunct w:val="0"/>
        <w:autoSpaceDE/>
        <w:autoSpaceDN/>
        <w:bidi w:val="0"/>
        <w:adjustRightInd/>
        <w:snapToGrid/>
        <w:spacing w:line="440" w:lineRule="exact"/>
        <w:ind w:right="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传    真：</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w:t>
      </w:r>
    </w:p>
    <w:p>
      <w:pPr>
        <w:keepNext w:val="0"/>
        <w:keepLines w:val="0"/>
        <w:pageBreakBefore w:val="0"/>
        <w:widowControl w:val="0"/>
        <w:kinsoku/>
        <w:overflowPunct/>
        <w:topLinePunct w:val="0"/>
        <w:autoSpaceDE/>
        <w:autoSpaceDN/>
        <w:bidi w:val="0"/>
        <w:adjustRightInd/>
        <w:snapToGrid/>
        <w:spacing w:line="440" w:lineRule="exact"/>
        <w:ind w:right="0"/>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代表姓名：</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.职    务：</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w:t>
      </w:r>
    </w:p>
    <w:p>
      <w:pPr>
        <w:keepNext w:val="0"/>
        <w:keepLines w:val="0"/>
        <w:pageBreakBefore w:val="0"/>
        <w:widowControl w:val="0"/>
        <w:kinsoku/>
        <w:overflowPunct/>
        <w:topLinePunct w:val="0"/>
        <w:autoSpaceDE/>
        <w:autoSpaceDN/>
        <w:bidi w:val="0"/>
        <w:adjustRightInd/>
        <w:snapToGrid/>
        <w:spacing w:line="440" w:lineRule="exact"/>
        <w:ind w:right="0"/>
        <w:textAlignment w:val="auto"/>
        <w:rPr>
          <w:rFonts w:cs="仿宋" w:asciiTheme="majorEastAsia" w:hAnsiTheme="majorEastAsia" w:eastAsiaTheme="majorEastAsia"/>
          <w:kern w:val="0"/>
          <w:sz w:val="24"/>
        </w:rPr>
      </w:pPr>
    </w:p>
    <w:p>
      <w:pPr>
        <w:keepNext w:val="0"/>
        <w:keepLines w:val="0"/>
        <w:pageBreakBefore w:val="0"/>
        <w:widowControl w:val="0"/>
        <w:kinsoku/>
        <w:overflowPunct/>
        <w:topLinePunct w:val="0"/>
        <w:autoSpaceDE/>
        <w:autoSpaceDN/>
        <w:bidi w:val="0"/>
        <w:adjustRightInd/>
        <w:snapToGrid/>
        <w:spacing w:line="440" w:lineRule="exact"/>
        <w:ind w:right="0"/>
        <w:jc w:val="right"/>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供应商：</w:t>
      </w:r>
      <w:r>
        <w:rPr>
          <w:rFonts w:cs="仿宋" w:asciiTheme="majorEastAsia" w:hAnsiTheme="majorEastAsia" w:eastAsiaTheme="majorEastAsia"/>
          <w:kern w:val="0"/>
          <w:sz w:val="24"/>
          <w:u w:val="single"/>
        </w:rPr>
        <w:tab/>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（公章）</w:t>
      </w:r>
      <w:r>
        <w:rPr>
          <w:rFonts w:cs="仿宋" w:asciiTheme="majorEastAsia" w:hAnsiTheme="majorEastAsia" w:eastAsiaTheme="majorEastAsia"/>
          <w:kern w:val="0"/>
          <w:sz w:val="24"/>
        </w:rPr>
        <w:t xml:space="preserve"> </w:t>
      </w:r>
    </w:p>
    <w:p>
      <w:pPr>
        <w:keepNext w:val="0"/>
        <w:keepLines w:val="0"/>
        <w:pageBreakBefore w:val="0"/>
        <w:widowControl w:val="0"/>
        <w:kinsoku/>
        <w:wordWrap w:val="0"/>
        <w:overflowPunct/>
        <w:topLinePunct w:val="0"/>
        <w:autoSpaceDE/>
        <w:autoSpaceDN/>
        <w:bidi w:val="0"/>
        <w:adjustRightInd/>
        <w:snapToGrid/>
        <w:spacing w:line="440" w:lineRule="exact"/>
        <w:ind w:right="0" w:firstLine="480" w:firstLineChars="200"/>
        <w:jc w:val="right"/>
        <w:textAlignment w:val="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法定代表人或委托人：</w:t>
      </w:r>
      <w:r>
        <w:rPr>
          <w:rFonts w:cs="仿宋" w:asciiTheme="majorEastAsia" w:hAnsiTheme="majorEastAsia" w:eastAsiaTheme="majorEastAsia"/>
          <w:kern w:val="0"/>
          <w:sz w:val="24"/>
        </w:rPr>
        <w:tab/>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 xml:space="preserve">（签字或盖章）    </w:t>
      </w:r>
    </w:p>
    <w:p>
      <w:pPr>
        <w:keepNext w:val="0"/>
        <w:keepLines w:val="0"/>
        <w:pageBreakBefore w:val="0"/>
        <w:widowControl w:val="0"/>
        <w:kinsoku/>
        <w:overflowPunct/>
        <w:topLinePunct w:val="0"/>
        <w:autoSpaceDE/>
        <w:autoSpaceDN/>
        <w:bidi w:val="0"/>
        <w:adjustRightInd/>
        <w:snapToGrid/>
        <w:spacing w:line="440" w:lineRule="exact"/>
        <w:ind w:right="0"/>
        <w:jc w:val="right"/>
        <w:textAlignment w:val="auto"/>
        <w:rPr>
          <w:rFonts w:cs="仿宋" w:asciiTheme="majorEastAsia" w:hAnsiTheme="majorEastAsia" w:eastAsiaTheme="majorEastAsia"/>
          <w:kern w:val="0"/>
          <w:sz w:val="24"/>
        </w:rPr>
      </w:pPr>
      <w:r>
        <w:rPr>
          <w:rFonts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u w:val="single"/>
        </w:rPr>
        <w:t xml:space="preserve">     </w:t>
      </w:r>
      <w:r>
        <w:rPr>
          <w:rFonts w:cs="仿宋" w:asciiTheme="majorEastAsia" w:hAnsiTheme="majorEastAsia" w:eastAsiaTheme="majorEastAsia"/>
          <w:kern w:val="0"/>
          <w:sz w:val="24"/>
          <w:u w:val="single"/>
        </w:rPr>
        <w:tab/>
      </w:r>
      <w:r>
        <w:rPr>
          <w:rFonts w:hint="eastAsia" w:cs="仿宋" w:asciiTheme="majorEastAsia" w:hAnsiTheme="majorEastAsia" w:eastAsiaTheme="majorEastAsia"/>
          <w:kern w:val="0"/>
          <w:sz w:val="24"/>
        </w:rPr>
        <w:t>年</w:t>
      </w:r>
      <w:r>
        <w:rPr>
          <w:rFonts w:cs="仿宋" w:asciiTheme="majorEastAsia" w:hAnsiTheme="majorEastAsia" w:eastAsiaTheme="majorEastAsia"/>
          <w:kern w:val="0"/>
          <w:sz w:val="24"/>
          <w:u w:val="single"/>
        </w:rPr>
        <w:tab/>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月</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日</w:t>
      </w:r>
    </w:p>
    <w:p>
      <w:pPr>
        <w:pStyle w:val="14"/>
        <w:kinsoku w:val="0"/>
        <w:overflowPunct w:val="0"/>
        <w:spacing w:before="34" w:line="357" w:lineRule="auto"/>
        <w:ind w:right="126" w:firstLine="480"/>
        <w:jc w:val="center"/>
        <w:rPr>
          <w:rFonts w:asciiTheme="majorEastAsia" w:hAnsiTheme="majorEastAsia" w:eastAsiaTheme="majorEastAsia"/>
          <w:sz w:val="36"/>
          <w:szCs w:val="36"/>
        </w:rPr>
      </w:pPr>
      <w:r>
        <w:rPr>
          <w:rFonts w:asciiTheme="majorEastAsia" w:hAnsiTheme="majorEastAsia" w:eastAsiaTheme="majorEastAsia"/>
        </w:rPr>
        <w:br w:type="page"/>
      </w:r>
      <w:r>
        <w:rPr>
          <w:rFonts w:hint="eastAsia" w:asciiTheme="majorEastAsia" w:hAnsiTheme="majorEastAsia" w:eastAsiaTheme="majorEastAsia"/>
          <w:b/>
          <w:bCs/>
          <w:sz w:val="36"/>
          <w:szCs w:val="36"/>
        </w:rPr>
        <w:t>二、法定代表人身份证明</w:t>
      </w:r>
    </w:p>
    <w:p>
      <w:pPr>
        <w:spacing w:line="420" w:lineRule="exact"/>
        <w:ind w:firstLine="480" w:firstLineChars="200"/>
        <w:rPr>
          <w:rFonts w:cs="仿宋" w:asciiTheme="majorEastAsia" w:hAnsiTheme="majorEastAsia" w:eastAsiaTheme="majorEastAsia"/>
          <w:kern w:val="0"/>
          <w:sz w:val="24"/>
          <w:u w:val="single"/>
        </w:rPr>
      </w:pPr>
      <w:r>
        <w:rPr>
          <w:rFonts w:hint="eastAsia" w:cs="仿宋" w:asciiTheme="majorEastAsia" w:hAnsiTheme="majorEastAsia" w:eastAsiaTheme="majorEastAsia"/>
          <w:kern w:val="0"/>
          <w:sz w:val="24"/>
        </w:rPr>
        <w:t>投标单位名称：</w:t>
      </w:r>
      <w:r>
        <w:rPr>
          <w:rFonts w:hint="eastAsia" w:cs="仿宋" w:asciiTheme="majorEastAsia" w:hAnsiTheme="majorEastAsia" w:eastAsiaTheme="majorEastAsia"/>
          <w:kern w:val="0"/>
          <w:sz w:val="24"/>
          <w:u w:val="single"/>
        </w:rPr>
        <w:t xml:space="preserve">                       </w:t>
      </w:r>
    </w:p>
    <w:p>
      <w:pPr>
        <w:spacing w:line="420" w:lineRule="exact"/>
        <w:ind w:firstLine="480" w:firstLineChars="200"/>
        <w:rPr>
          <w:rFonts w:cs="仿宋" w:asciiTheme="majorEastAsia" w:hAnsiTheme="majorEastAsia" w:eastAsiaTheme="majorEastAsia"/>
          <w:kern w:val="0"/>
          <w:sz w:val="24"/>
          <w:u w:val="single"/>
        </w:rPr>
      </w:pPr>
      <w:r>
        <w:rPr>
          <w:rFonts w:hint="eastAsia" w:cs="仿宋" w:asciiTheme="majorEastAsia" w:hAnsiTheme="majorEastAsia" w:eastAsiaTheme="majorEastAsia"/>
          <w:kern w:val="0"/>
          <w:sz w:val="24"/>
        </w:rPr>
        <w:t>单位性质：</w:t>
      </w:r>
      <w:r>
        <w:rPr>
          <w:rFonts w:hint="eastAsia" w:cs="仿宋" w:asciiTheme="majorEastAsia" w:hAnsiTheme="majorEastAsia" w:eastAsiaTheme="majorEastAsia"/>
          <w:kern w:val="0"/>
          <w:sz w:val="24"/>
          <w:u w:val="single"/>
        </w:rPr>
        <w:t xml:space="preserve">                           </w:t>
      </w:r>
    </w:p>
    <w:p>
      <w:pPr>
        <w:spacing w:line="420" w:lineRule="exact"/>
        <w:ind w:firstLine="480" w:firstLineChars="200"/>
        <w:rPr>
          <w:rFonts w:cs="仿宋" w:asciiTheme="majorEastAsia" w:hAnsiTheme="majorEastAsia" w:eastAsiaTheme="majorEastAsia"/>
          <w:kern w:val="0"/>
          <w:sz w:val="24"/>
          <w:u w:val="single"/>
        </w:rPr>
      </w:pPr>
      <w:r>
        <w:rPr>
          <w:rFonts w:hint="eastAsia" w:cs="仿宋" w:asciiTheme="majorEastAsia" w:hAnsiTheme="majorEastAsia" w:eastAsiaTheme="majorEastAsia"/>
          <w:kern w:val="0"/>
          <w:sz w:val="24"/>
        </w:rPr>
        <w:t>地址：</w:t>
      </w:r>
      <w:r>
        <w:rPr>
          <w:rFonts w:hint="eastAsia" w:cs="仿宋" w:asciiTheme="majorEastAsia" w:hAnsiTheme="majorEastAsia" w:eastAsiaTheme="majorEastAsia"/>
          <w:kern w:val="0"/>
          <w:sz w:val="24"/>
          <w:u w:val="single"/>
        </w:rPr>
        <w:t xml:space="preserve">                               </w:t>
      </w:r>
    </w:p>
    <w:p>
      <w:pPr>
        <w:spacing w:line="42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成立时间：</w:t>
      </w:r>
      <w:r>
        <w:rPr>
          <w:rFonts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年</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月</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日</w:t>
      </w:r>
    </w:p>
    <w:p>
      <w:pPr>
        <w:spacing w:line="420" w:lineRule="exact"/>
        <w:ind w:firstLine="480" w:firstLineChars="200"/>
        <w:rPr>
          <w:rFonts w:cs="仿宋" w:asciiTheme="majorEastAsia" w:hAnsiTheme="majorEastAsia" w:eastAsiaTheme="majorEastAsia"/>
          <w:kern w:val="0"/>
          <w:sz w:val="24"/>
          <w:u w:val="single"/>
        </w:rPr>
      </w:pPr>
      <w:r>
        <w:rPr>
          <w:rFonts w:hint="eastAsia" w:cs="仿宋" w:asciiTheme="majorEastAsia" w:hAnsiTheme="majorEastAsia" w:eastAsiaTheme="majorEastAsia"/>
          <w:kern w:val="0"/>
          <w:sz w:val="24"/>
        </w:rPr>
        <w:t>经营期限：</w:t>
      </w:r>
      <w:r>
        <w:rPr>
          <w:rFonts w:hint="eastAsia" w:cs="仿宋" w:asciiTheme="majorEastAsia" w:hAnsiTheme="majorEastAsia" w:eastAsiaTheme="majorEastAsia"/>
          <w:kern w:val="0"/>
          <w:sz w:val="24"/>
          <w:u w:val="single"/>
        </w:rPr>
        <w:t xml:space="preserve">             </w:t>
      </w:r>
    </w:p>
    <w:p>
      <w:pPr>
        <w:spacing w:line="420" w:lineRule="exact"/>
        <w:ind w:firstLine="480" w:firstLineChars="200"/>
        <w:rPr>
          <w:rFonts w:cs="仿宋" w:asciiTheme="majorEastAsia" w:hAnsiTheme="majorEastAsia" w:eastAsiaTheme="majorEastAsia"/>
          <w:kern w:val="0"/>
          <w:sz w:val="24"/>
          <w:u w:val="single"/>
        </w:rPr>
      </w:pPr>
      <w:r>
        <w:rPr>
          <w:rFonts w:hint="eastAsia" w:cs="仿宋" w:asciiTheme="majorEastAsia" w:hAnsiTheme="majorEastAsia" w:eastAsiaTheme="majorEastAsia"/>
          <w:kern w:val="0"/>
          <w:sz w:val="24"/>
        </w:rPr>
        <w:t>姓名：</w:t>
      </w:r>
      <w:r>
        <w:rPr>
          <w:rFonts w:hint="eastAsia" w:cs="仿宋" w:asciiTheme="majorEastAsia" w:hAnsiTheme="majorEastAsia" w:eastAsiaTheme="majorEastAsia"/>
          <w:kern w:val="0"/>
          <w:sz w:val="24"/>
          <w:u w:val="single"/>
        </w:rPr>
        <w:t xml:space="preserve">            </w:t>
      </w:r>
      <w:r>
        <w:rPr>
          <w:rFonts w:cs="仿宋" w:asciiTheme="majorEastAsia" w:hAnsiTheme="majorEastAsia" w:eastAsiaTheme="majorEastAsia"/>
          <w:kern w:val="0"/>
          <w:sz w:val="24"/>
        </w:rPr>
        <w:t xml:space="preserve"> </w:t>
      </w:r>
      <w:r>
        <w:rPr>
          <w:rFonts w:hint="eastAsia" w:cs="仿宋" w:asciiTheme="majorEastAsia" w:hAnsiTheme="majorEastAsia" w:eastAsiaTheme="majorEastAsia"/>
          <w:kern w:val="0"/>
          <w:sz w:val="24"/>
        </w:rPr>
        <w:t>性别：</w:t>
      </w:r>
      <w:r>
        <w:rPr>
          <w:rFonts w:hint="eastAsia" w:cs="仿宋" w:asciiTheme="majorEastAsia" w:hAnsiTheme="majorEastAsia" w:eastAsiaTheme="majorEastAsia"/>
          <w:kern w:val="0"/>
          <w:sz w:val="24"/>
          <w:u w:val="single"/>
        </w:rPr>
        <w:t xml:space="preserve">     </w:t>
      </w:r>
      <w:r>
        <w:rPr>
          <w:rFonts w:cs="仿宋" w:asciiTheme="majorEastAsia" w:hAnsiTheme="majorEastAsia" w:eastAsiaTheme="majorEastAsia"/>
          <w:kern w:val="0"/>
          <w:sz w:val="24"/>
        </w:rPr>
        <w:t xml:space="preserve"> </w:t>
      </w:r>
      <w:r>
        <w:rPr>
          <w:rFonts w:hint="eastAsia" w:cs="仿宋" w:asciiTheme="majorEastAsia" w:hAnsiTheme="majorEastAsia" w:eastAsiaTheme="majorEastAsia"/>
          <w:kern w:val="0"/>
          <w:sz w:val="24"/>
        </w:rPr>
        <w:t>年龄：</w:t>
      </w:r>
      <w:r>
        <w:rPr>
          <w:rFonts w:hint="eastAsia" w:cs="仿宋" w:asciiTheme="majorEastAsia" w:hAnsiTheme="majorEastAsia" w:eastAsiaTheme="majorEastAsia"/>
          <w:kern w:val="0"/>
          <w:sz w:val="24"/>
          <w:u w:val="single"/>
        </w:rPr>
        <w:t xml:space="preserve">          </w:t>
      </w:r>
      <w:r>
        <w:rPr>
          <w:rFonts w:cs="仿宋" w:asciiTheme="majorEastAsia" w:hAnsiTheme="majorEastAsia" w:eastAsiaTheme="majorEastAsia"/>
          <w:kern w:val="0"/>
          <w:sz w:val="24"/>
        </w:rPr>
        <w:t xml:space="preserve"> </w:t>
      </w:r>
      <w:r>
        <w:rPr>
          <w:rFonts w:hint="eastAsia" w:cs="仿宋" w:asciiTheme="majorEastAsia" w:hAnsiTheme="majorEastAsia" w:eastAsiaTheme="majorEastAsia"/>
          <w:kern w:val="0"/>
          <w:sz w:val="24"/>
        </w:rPr>
        <w:t>职务：</w:t>
      </w:r>
      <w:r>
        <w:rPr>
          <w:rFonts w:hint="eastAsia" w:cs="仿宋" w:asciiTheme="majorEastAsia" w:hAnsiTheme="majorEastAsia" w:eastAsiaTheme="majorEastAsia"/>
          <w:kern w:val="0"/>
          <w:sz w:val="24"/>
          <w:u w:val="single"/>
        </w:rPr>
        <w:t xml:space="preserve">           </w:t>
      </w:r>
    </w:p>
    <w:p>
      <w:pPr>
        <w:spacing w:line="420" w:lineRule="exact"/>
        <w:ind w:firstLine="480" w:firstLineChars="200"/>
        <w:rPr>
          <w:rFonts w:cs="仿宋" w:asciiTheme="majorEastAsia" w:hAnsiTheme="majorEastAsia" w:eastAsiaTheme="majorEastAsia"/>
          <w:kern w:val="0"/>
          <w:sz w:val="24"/>
          <w:u w:val="single"/>
        </w:rPr>
      </w:pPr>
      <w:r>
        <w:rPr>
          <w:rFonts w:hint="eastAsia" w:cs="仿宋" w:asciiTheme="majorEastAsia" w:hAnsiTheme="majorEastAsia" w:eastAsiaTheme="majorEastAsia"/>
          <w:kern w:val="0"/>
          <w:sz w:val="24"/>
        </w:rPr>
        <w:t>身份证号码：</w:t>
      </w:r>
      <w:r>
        <w:rPr>
          <w:rFonts w:hint="eastAsia" w:cs="仿宋" w:asciiTheme="majorEastAsia" w:hAnsiTheme="majorEastAsia" w:eastAsiaTheme="majorEastAsia"/>
          <w:kern w:val="0"/>
          <w:sz w:val="24"/>
          <w:u w:val="single"/>
        </w:rPr>
        <w:t xml:space="preserve">                                  </w:t>
      </w:r>
    </w:p>
    <w:p>
      <w:pPr>
        <w:spacing w:line="42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系</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（投标单位名称）的法定代表人。</w:t>
      </w:r>
    </w:p>
    <w:p>
      <w:pPr>
        <w:spacing w:line="420" w:lineRule="exact"/>
        <w:ind w:firstLine="960" w:firstLineChars="4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特此证明。</w:t>
      </w:r>
    </w:p>
    <w:p>
      <w:pPr>
        <w:pStyle w:val="14"/>
        <w:kinsoku w:val="0"/>
        <w:overflowPunct w:val="0"/>
        <w:rPr>
          <w:rFonts w:asciiTheme="majorEastAsia" w:hAnsiTheme="majorEastAsia" w:eastAsiaTheme="majorEastAsia"/>
          <w:sz w:val="20"/>
          <w:szCs w:val="20"/>
        </w:rPr>
      </w:pPr>
    </w:p>
    <w:p>
      <w:pPr>
        <w:pStyle w:val="14"/>
        <w:kinsoku w:val="0"/>
        <w:overflowPunct w:val="0"/>
        <w:spacing w:before="7"/>
        <w:rPr>
          <w:rFonts w:asciiTheme="majorEastAsia" w:hAnsiTheme="majorEastAsia" w:eastAsiaTheme="majorEastAsia"/>
          <w:sz w:val="25"/>
          <w:szCs w:val="25"/>
        </w:rPr>
      </w:pPr>
    </w:p>
    <w:p>
      <w:pPr>
        <w:pStyle w:val="14"/>
        <w:kinsoku w:val="0"/>
        <w:overflowPunct w:val="0"/>
        <w:spacing w:line="200" w:lineRule="atLeast"/>
        <w:ind w:left="608"/>
        <w:rPr>
          <w:rFonts w:asciiTheme="majorEastAsia" w:hAnsiTheme="majorEastAsia" w:eastAsiaTheme="majorEastAsia"/>
          <w:sz w:val="20"/>
          <w:szCs w:val="20"/>
        </w:rPr>
      </w:pPr>
      <w:r>
        <w:rPr>
          <w:rFonts w:asciiTheme="majorEastAsia" w:hAnsiTheme="majorEastAsia" w:eastAsiaTheme="majorEastAsia"/>
          <w:sz w:val="20"/>
          <w:szCs w:val="20"/>
        </w:rPr>
        <mc:AlternateContent>
          <mc:Choice Requires="wpg">
            <w:drawing>
              <wp:inline distT="0" distB="0" distL="114300" distR="114300">
                <wp:extent cx="5136515" cy="1458595"/>
                <wp:effectExtent l="0" t="0" r="0" b="0"/>
                <wp:docPr id="95" name="Group 110"/>
                <wp:cNvGraphicFramePr/>
                <a:graphic xmlns:a="http://schemas.openxmlformats.org/drawingml/2006/main">
                  <a:graphicData uri="http://schemas.microsoft.com/office/word/2010/wordprocessingGroup">
                    <wpg:wgp>
                      <wpg:cNvGrpSpPr/>
                      <wpg:grpSpPr>
                        <a:xfrm>
                          <a:off x="0" y="0"/>
                          <a:ext cx="5136515" cy="1458595"/>
                          <a:chOff x="0" y="0"/>
                          <a:chExt cx="80" cy="22972"/>
                        </a:xfrm>
                      </wpg:grpSpPr>
                      <wps:wsp>
                        <wps:cNvPr id="1" name="AutoShape 122"/>
                        <wps:cNvSpPr/>
                        <wps:spPr>
                          <a:xfrm>
                            <a:off x="0" y="0"/>
                            <a:ext cx="80" cy="0"/>
                          </a:xfrm>
                          <a:custGeom>
                            <a:avLst/>
                            <a:gdLst/>
                            <a:ahLst/>
                            <a:cxnLst>
                              <a:cxn ang="0">
                                <a:pos x="0" y="0"/>
                              </a:cxn>
                              <a:cxn ang="0">
                                <a:pos x="80" y="0"/>
                              </a:cxn>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AutoShape 121"/>
                        <wps:cNvSpPr/>
                        <wps:spPr>
                          <a:xfrm>
                            <a:off x="0" y="0"/>
                            <a:ext cx="80" cy="0"/>
                          </a:xfrm>
                          <a:custGeom>
                            <a:avLst/>
                            <a:gdLst/>
                            <a:ahLst/>
                            <a:cxnLst>
                              <a:cxn ang="0">
                                <a:pos x="0" y="0"/>
                              </a:cxn>
                              <a:cxn ang="0">
                                <a:pos x="80" y="0"/>
                              </a:cxn>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AutoShape 120"/>
                        <wps:cNvSpPr/>
                        <wps:spPr>
                          <a:xfrm>
                            <a:off x="0" y="22"/>
                            <a:ext cx="80" cy="0"/>
                          </a:xfrm>
                          <a:custGeom>
                            <a:avLst/>
                            <a:gdLst/>
                            <a:ahLst/>
                            <a:cxnLst>
                              <a:cxn ang="0">
                                <a:pos x="0" y="0"/>
                              </a:cxn>
                              <a:cxn ang="0">
                                <a:pos x="80" y="0"/>
                              </a:cxn>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AutoShape 119"/>
                        <wps:cNvSpPr/>
                        <wps:spPr>
                          <a:xfrm>
                            <a:off x="0" y="22"/>
                            <a:ext cx="80" cy="1"/>
                          </a:xfrm>
                          <a:custGeom>
                            <a:avLst/>
                            <a:gdLst/>
                            <a:ahLst/>
                            <a:cxnLst>
                              <a:cxn ang="0">
                                <a:pos x="0" y="0"/>
                              </a:cxn>
                              <a:cxn ang="0">
                                <a:pos x="80" y="0"/>
                              </a:cxn>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AutoShape 118"/>
                        <wps:cNvSpPr/>
                        <wps:spPr>
                          <a:xfrm>
                            <a:off x="0" y="0"/>
                            <a:ext cx="0" cy="22"/>
                          </a:xfrm>
                          <a:custGeom>
                            <a:avLst/>
                            <a:gdLst/>
                            <a:ahLst/>
                            <a:cxnLst>
                              <a:cxn ang="0">
                                <a:pos x="0" y="0"/>
                              </a:cxn>
                              <a:cxn ang="0">
                                <a:pos x="0" y="22"/>
                              </a:cxn>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AutoShape 117"/>
                        <wps:cNvSpPr/>
                        <wps:spPr>
                          <a:xfrm>
                            <a:off x="0" y="0"/>
                            <a:ext cx="0" cy="22"/>
                          </a:xfrm>
                          <a:custGeom>
                            <a:avLst/>
                            <a:gdLst/>
                            <a:ahLst/>
                            <a:cxnLst>
                              <a:cxn ang="0">
                                <a:pos x="0" y="0"/>
                              </a:cxn>
                              <a:cxn ang="0">
                                <a:pos x="0" y="22"/>
                              </a:cxn>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AutoShape 116"/>
                        <wps:cNvSpPr/>
                        <wps:spPr>
                          <a:xfrm>
                            <a:off x="40" y="0"/>
                            <a:ext cx="0" cy="22"/>
                          </a:xfrm>
                          <a:custGeom>
                            <a:avLst/>
                            <a:gdLst/>
                            <a:ahLst/>
                            <a:cxnLst>
                              <a:cxn ang="0">
                                <a:pos x="0" y="0"/>
                              </a:cxn>
                              <a:cxn ang="0">
                                <a:pos x="0" y="22"/>
                              </a:cxn>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AutoShape 115"/>
                        <wps:cNvSpPr/>
                        <wps:spPr>
                          <a:xfrm>
                            <a:off x="40" y="0"/>
                            <a:ext cx="0" cy="22"/>
                          </a:xfrm>
                          <a:custGeom>
                            <a:avLst/>
                            <a:gdLst/>
                            <a:ahLst/>
                            <a:cxnLst>
                              <a:cxn ang="0">
                                <a:pos x="0" y="0"/>
                              </a:cxn>
                              <a:cxn ang="0">
                                <a:pos x="0" y="22"/>
                              </a:cxn>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AutoShape 114"/>
                        <wps:cNvSpPr/>
                        <wps:spPr>
                          <a:xfrm>
                            <a:off x="80" y="0"/>
                            <a:ext cx="0" cy="22"/>
                          </a:xfrm>
                          <a:custGeom>
                            <a:avLst/>
                            <a:gdLst/>
                            <a:ahLst/>
                            <a:cxnLst>
                              <a:cxn ang="0">
                                <a:pos x="0" y="0"/>
                              </a:cxn>
                              <a:cxn ang="0">
                                <a:pos x="0" y="22"/>
                              </a:cxn>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AutoShape 113"/>
                        <wps:cNvSpPr/>
                        <wps:spPr>
                          <a:xfrm>
                            <a:off x="80" y="0"/>
                            <a:ext cx="0" cy="22"/>
                          </a:xfrm>
                          <a:custGeom>
                            <a:avLst/>
                            <a:gdLst/>
                            <a:ahLst/>
                            <a:cxnLst>
                              <a:cxn ang="0">
                                <a:pos x="0" y="0"/>
                              </a:cxn>
                              <a:cxn ang="0">
                                <a:pos x="0" y="22"/>
                              </a:cxn>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Text Box 112"/>
                        <wps:cNvSpPr txBox="1"/>
                        <wps:spPr>
                          <a:xfrm>
                            <a:off x="0" y="0"/>
                            <a:ext cx="40" cy="22"/>
                          </a:xfrm>
                          <a:prstGeom prst="rect">
                            <a:avLst/>
                          </a:prstGeom>
                          <a:noFill/>
                          <a:ln>
                            <a:noFill/>
                          </a:ln>
                        </wps:spPr>
                        <wps:txbx>
                          <w:txbxContent>
                            <w:p>
                              <w:pPr>
                                <w:pStyle w:val="14"/>
                                <w:kinsoku w:val="0"/>
                                <w:overflowPunct w:val="0"/>
                              </w:pPr>
                            </w:p>
                            <w:p>
                              <w:pPr>
                                <w:pStyle w:val="14"/>
                                <w:kinsoku w:val="0"/>
                                <w:overflowPunct w:val="0"/>
                              </w:pPr>
                            </w:p>
                            <w:p>
                              <w:pPr>
                                <w:pStyle w:val="14"/>
                                <w:kinsoku w:val="0"/>
                                <w:overflowPunct w:val="0"/>
                                <w:spacing w:before="13"/>
                                <w:rPr>
                                  <w:sz w:val="28"/>
                                  <w:szCs w:val="28"/>
                                </w:rPr>
                              </w:pPr>
                            </w:p>
                            <w:p>
                              <w:pPr>
                                <w:pStyle w:val="14"/>
                                <w:kinsoku w:val="0"/>
                                <w:overflowPunct w:val="0"/>
                                <w:ind w:left="107"/>
                              </w:pPr>
                              <w:r>
                                <w:rPr>
                                  <w:rFonts w:hint="eastAsia"/>
                                </w:rPr>
                                <w:t>法定代表人身份证复印件（正面）</w:t>
                              </w:r>
                            </w:p>
                          </w:txbxContent>
                        </wps:txbx>
                        <wps:bodyPr lIns="0" tIns="0" rIns="0" bIns="0" upright="1"/>
                      </wps:wsp>
                      <wps:wsp>
                        <wps:cNvPr id="12" name="Text Box 111"/>
                        <wps:cNvSpPr txBox="1"/>
                        <wps:spPr>
                          <a:xfrm>
                            <a:off x="40" y="0"/>
                            <a:ext cx="40" cy="22"/>
                          </a:xfrm>
                          <a:prstGeom prst="rect">
                            <a:avLst/>
                          </a:prstGeom>
                          <a:noFill/>
                          <a:ln>
                            <a:noFill/>
                          </a:ln>
                        </wps:spPr>
                        <wps:txbx>
                          <w:txbxContent>
                            <w:p>
                              <w:pPr>
                                <w:pStyle w:val="14"/>
                                <w:kinsoku w:val="0"/>
                                <w:overflowPunct w:val="0"/>
                              </w:pPr>
                            </w:p>
                            <w:p>
                              <w:pPr>
                                <w:pStyle w:val="14"/>
                                <w:kinsoku w:val="0"/>
                                <w:overflowPunct w:val="0"/>
                              </w:pPr>
                            </w:p>
                            <w:p>
                              <w:pPr>
                                <w:pStyle w:val="14"/>
                                <w:kinsoku w:val="0"/>
                                <w:overflowPunct w:val="0"/>
                                <w:spacing w:before="13"/>
                                <w:rPr>
                                  <w:sz w:val="28"/>
                                  <w:szCs w:val="28"/>
                                </w:rPr>
                              </w:pPr>
                            </w:p>
                            <w:p>
                              <w:pPr>
                                <w:pStyle w:val="14"/>
                                <w:kinsoku w:val="0"/>
                                <w:overflowPunct w:val="0"/>
                                <w:ind w:left="107"/>
                              </w:pPr>
                              <w:r>
                                <w:rPr>
                                  <w:rFonts w:hint="eastAsia"/>
                                </w:rPr>
                                <w:t>法定代表人身份证复印件（反面）</w:t>
                              </w:r>
                            </w:p>
                          </w:txbxContent>
                        </wps:txbx>
                        <wps:bodyPr lIns="0" tIns="0" rIns="0" bIns="0" upright="1"/>
                      </wps:wsp>
                    </wpg:wgp>
                  </a:graphicData>
                </a:graphic>
              </wp:inline>
            </w:drawing>
          </mc:Choice>
          <mc:Fallback>
            <w:pict>
              <v:group id="Group 110" o:spid="_x0000_s1026" o:spt="203" style="height:114.85pt;width:404.45pt;" coordsize="80,22972"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">
                <o:lock v:ext="edit" aspectratio="f"/>
                <v:shape id="AutoShape 122" o:spid="_x0000_s1026" o:spt="100" style="position:absolute;left:0;top:0;height:0;width:80;" filled="f" stroked="t" coordsize="8079,20" o:gfxdata="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DUQHbgAAADaAAAA&#10;DwAAAAAAAAABACAAAAAiAAAAZHJzL2Rvd25yZXYueG1sUEsBAhQAFAAAAAgAh07iQDMvBZ47AAAA&#10;OQAAABAAAAAAAAAAAQAgAAAABwEAAGRycy9zaGFwZXhtbC54bWxQSwUGAAAAAAYABgBbAQAAsQMA&#10;AAAA&#10;" path="m0,0l8078,0e">
                  <v:path o:connectlocs="0,0;80,0" o:connectangles="0,0"/>
                  <v:fill on="f" focussize="0,0"/>
                  <v:stroke weight="0.48pt" color="#000000" joinstyle="round"/>
                  <v:imagedata o:title=""/>
                  <o:lock v:ext="edit" aspectratio="f"/>
                </v:shape>
                <v:shape id="AutoShape 121" o:spid="_x0000_s1026" o:spt="100" style="position:absolute;left:0;top:0;height:0;width:80;"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path o:connectlocs="0,0;80,0" o:connectangles="0,0"/>
                  <v:fill on="f" focussize="0,0"/>
                  <v:stroke weight="0.48pt" color="#000000" joinstyle="round"/>
                  <v:imagedata o:title=""/>
                  <o:lock v:ext="edit" aspectratio="f"/>
                </v:shape>
                <v:shape id="AutoShape 120" o:spid="_x0000_s1026" o:spt="100" style="position:absolute;left:0;top:22;height:0;width:80;"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path o:connectlocs="0,0;80,0" o:connectangles="0,0"/>
                  <v:fill on="f" focussize="0,0"/>
                  <v:stroke weight="0.48pt" color="#000000" joinstyle="round"/>
                  <v:imagedata o:title=""/>
                  <o:lock v:ext="edit" aspectratio="f"/>
                </v:shape>
                <v:shape id="AutoShape 119" o:spid="_x0000_s1026" o:spt="100" style="position:absolute;left:0;top:22;height:1;width:80;"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path o:connectlocs="0,0;80,0" o:connectangles="0,0"/>
                  <v:fill on="f" focussize="0,0"/>
                  <v:stroke weight="0.48pt" color="#000000" joinstyle="round"/>
                  <v:imagedata o:title=""/>
                  <o:lock v:ext="edit" aspectratio="f"/>
                </v:shape>
                <v:shape id="AutoShape 118" o:spid="_x0000_s1026" o:spt="100" style="position:absolute;left:0;top:0;height:22;width: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path o:connectlocs="0,0;0,22" o:connectangles="0,0"/>
                  <v:fill on="f" focussize="0,0"/>
                  <v:stroke weight="0.48pt" color="#000000" joinstyle="round"/>
                  <v:imagedata o:title=""/>
                  <o:lock v:ext="edit" aspectratio="f"/>
                </v:shape>
                <v:shape id="AutoShape 117" o:spid="_x0000_s1026" o:spt="100" style="position:absolute;left:0;top:0;height:22;width: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path o:connectlocs="0,0;0,22" o:connectangles="0,0"/>
                  <v:fill on="f" focussize="0,0"/>
                  <v:stroke weight="0.48pt" color="#000000" joinstyle="round"/>
                  <v:imagedata o:title=""/>
                  <o:lock v:ext="edit" aspectratio="f"/>
                </v:shape>
                <v:shape id="AutoShape 116" o:spid="_x0000_s1026" o:spt="100" style="position:absolute;left:40;top:0;height:22;width: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path o:connectlocs="0,0;0,22" o:connectangles="0,0"/>
                  <v:fill on="f" focussize="0,0"/>
                  <v:stroke weight="0.48pt" color="#000000" joinstyle="round"/>
                  <v:imagedata o:title=""/>
                  <o:lock v:ext="edit" aspectratio="f"/>
                </v:shape>
                <v:shape id="AutoShape 115" o:spid="_x0000_s1026" o:spt="100" style="position:absolute;left:40;top:0;height:22;width: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path o:connectlocs="0,0;0,22" o:connectangles="0,0"/>
                  <v:fill on="f" focussize="0,0"/>
                  <v:stroke weight="0.48pt" color="#000000" joinstyle="round"/>
                  <v:imagedata o:title=""/>
                  <o:lock v:ext="edit" aspectratio="f"/>
                </v:shape>
                <v:shape id="AutoShape 114" o:spid="_x0000_s1026" o:spt="100" style="position:absolute;left:80;top:0;height:22;width: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path o:connectlocs="0,0;0,22" o:connectangles="0,0"/>
                  <v:fill on="f" focussize="0,0"/>
                  <v:stroke weight="0.48pt" color="#000000" joinstyle="round"/>
                  <v:imagedata o:title=""/>
                  <o:lock v:ext="edit" aspectratio="f"/>
                </v:shape>
                <v:shape id="AutoShape 113" o:spid="_x0000_s1026" o:spt="100" style="position:absolute;left:80;top:0;height:22;width: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path o:connectlocs="0,0;0,22" o:connectangles="0,0"/>
                  <v:fill on="f" focussize="0,0"/>
                  <v:stroke weight="0.48pt" color="#000000" joinstyle="round"/>
                  <v:imagedata o:title=""/>
                  <o:lock v:ext="edit" aspectratio="f"/>
                </v:shape>
                <v:shape id="Text Box 112" o:spid="_x0000_s1026" o:spt="202" type="#_x0000_t202" style="position:absolute;left:0;top:0;height:22;width:40;"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14"/>
                          <w:kinsoku w:val="0"/>
                          <w:overflowPunct w:val="0"/>
                        </w:pPr>
                      </w:p>
                      <w:p>
                        <w:pPr>
                          <w:pStyle w:val="14"/>
                          <w:kinsoku w:val="0"/>
                          <w:overflowPunct w:val="0"/>
                        </w:pPr>
                      </w:p>
                      <w:p>
                        <w:pPr>
                          <w:pStyle w:val="14"/>
                          <w:kinsoku w:val="0"/>
                          <w:overflowPunct w:val="0"/>
                          <w:spacing w:before="13"/>
                          <w:rPr>
                            <w:sz w:val="28"/>
                            <w:szCs w:val="28"/>
                          </w:rPr>
                        </w:pPr>
                      </w:p>
                      <w:p>
                        <w:pPr>
                          <w:pStyle w:val="14"/>
                          <w:kinsoku w:val="0"/>
                          <w:overflowPunct w:val="0"/>
                          <w:ind w:left="107"/>
                        </w:pPr>
                        <w:r>
                          <w:rPr>
                            <w:rFonts w:hint="eastAsia"/>
                          </w:rPr>
                          <w:t>法定代表人身份证复印件（正面）</w:t>
                        </w:r>
                      </w:p>
                    </w:txbxContent>
                  </v:textbox>
                </v:shape>
                <v:shape id="Text Box 111" o:spid="_x0000_s1026" o:spt="202" type="#_x0000_t202" style="position:absolute;left:40;top:0;height:22;width:4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14"/>
                          <w:kinsoku w:val="0"/>
                          <w:overflowPunct w:val="0"/>
                        </w:pPr>
                      </w:p>
                      <w:p>
                        <w:pPr>
                          <w:pStyle w:val="14"/>
                          <w:kinsoku w:val="0"/>
                          <w:overflowPunct w:val="0"/>
                        </w:pPr>
                      </w:p>
                      <w:p>
                        <w:pPr>
                          <w:pStyle w:val="14"/>
                          <w:kinsoku w:val="0"/>
                          <w:overflowPunct w:val="0"/>
                          <w:spacing w:before="13"/>
                          <w:rPr>
                            <w:sz w:val="28"/>
                            <w:szCs w:val="28"/>
                          </w:rPr>
                        </w:pPr>
                      </w:p>
                      <w:p>
                        <w:pPr>
                          <w:pStyle w:val="14"/>
                          <w:kinsoku w:val="0"/>
                          <w:overflowPunct w:val="0"/>
                          <w:ind w:left="107"/>
                        </w:pPr>
                        <w:r>
                          <w:rPr>
                            <w:rFonts w:hint="eastAsia"/>
                          </w:rPr>
                          <w:t>法定代表人身份证复印件（反面）</w:t>
                        </w:r>
                      </w:p>
                    </w:txbxContent>
                  </v:textbox>
                </v:shape>
                <w10:wrap type="none"/>
                <w10:anchorlock/>
              </v:group>
            </w:pict>
          </mc:Fallback>
        </mc:AlternateContent>
      </w:r>
    </w:p>
    <w:p>
      <w:pPr>
        <w:pStyle w:val="14"/>
        <w:kinsoku w:val="0"/>
        <w:overflowPunct w:val="0"/>
        <w:rPr>
          <w:rFonts w:asciiTheme="majorEastAsia" w:hAnsiTheme="majorEastAsia" w:eastAsiaTheme="majorEastAsia"/>
          <w:sz w:val="20"/>
          <w:szCs w:val="20"/>
        </w:rPr>
      </w:pPr>
    </w:p>
    <w:p>
      <w:pPr>
        <w:wordWrap w:val="0"/>
        <w:spacing w:line="420" w:lineRule="exact"/>
        <w:ind w:firstLine="480" w:firstLineChars="200"/>
        <w:jc w:val="right"/>
        <w:rPr>
          <w:rFonts w:cs="仿宋" w:asciiTheme="majorEastAsia" w:hAnsiTheme="majorEastAsia" w:eastAsiaTheme="majorEastAsia"/>
          <w:kern w:val="0"/>
          <w:sz w:val="24"/>
        </w:rPr>
      </w:pPr>
    </w:p>
    <w:p>
      <w:pPr>
        <w:spacing w:line="420" w:lineRule="exact"/>
        <w:ind w:firstLine="480" w:firstLineChars="200"/>
        <w:jc w:val="right"/>
        <w:rPr>
          <w:rFonts w:cs="仿宋" w:asciiTheme="majorEastAsia" w:hAnsiTheme="majorEastAsia" w:eastAsiaTheme="majorEastAsia"/>
          <w:kern w:val="0"/>
          <w:sz w:val="24"/>
        </w:rPr>
      </w:pPr>
    </w:p>
    <w:p>
      <w:pPr>
        <w:spacing w:line="420" w:lineRule="exact"/>
        <w:ind w:firstLine="480" w:firstLineChars="200"/>
        <w:jc w:val="right"/>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供应商：</w:t>
      </w:r>
      <w:r>
        <w:rPr>
          <w:rFonts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（公章）</w:t>
      </w:r>
    </w:p>
    <w:p>
      <w:pPr>
        <w:wordWrap w:val="0"/>
        <w:spacing w:line="420" w:lineRule="exact"/>
        <w:ind w:right="480" w:firstLine="480" w:firstLineChars="200"/>
        <w:jc w:val="cente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 xml:space="preserve">                                                  </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年</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月</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 xml:space="preserve">日 </w:t>
      </w:r>
    </w:p>
    <w:p>
      <w:pPr>
        <w:pStyle w:val="14"/>
        <w:kinsoku w:val="0"/>
        <w:overflowPunct w:val="0"/>
        <w:spacing w:before="34" w:line="357" w:lineRule="auto"/>
        <w:ind w:right="126" w:firstLine="480"/>
        <w:jc w:val="center"/>
        <w:rPr>
          <w:rFonts w:asciiTheme="majorEastAsia" w:hAnsiTheme="majorEastAsia" w:eastAsiaTheme="majorEastAsia"/>
        </w:rPr>
      </w:pPr>
    </w:p>
    <w:p>
      <w:pPr>
        <w:pStyle w:val="14"/>
        <w:kinsoku w:val="0"/>
        <w:overflowPunct w:val="0"/>
        <w:spacing w:before="34" w:line="357" w:lineRule="auto"/>
        <w:ind w:right="126" w:firstLine="480"/>
        <w:jc w:val="center"/>
        <w:rPr>
          <w:rFonts w:asciiTheme="majorEastAsia" w:hAnsiTheme="majorEastAsia" w:eastAsiaTheme="majorEastAsia"/>
        </w:rPr>
      </w:pPr>
    </w:p>
    <w:p>
      <w:pPr>
        <w:pStyle w:val="14"/>
        <w:kinsoku w:val="0"/>
        <w:overflowPunct w:val="0"/>
        <w:spacing w:before="34" w:line="357" w:lineRule="auto"/>
        <w:ind w:right="126" w:firstLine="480"/>
        <w:jc w:val="center"/>
        <w:rPr>
          <w:rFonts w:asciiTheme="majorEastAsia" w:hAnsiTheme="majorEastAsia" w:eastAsiaTheme="majorEastAsia"/>
        </w:rPr>
      </w:pPr>
    </w:p>
    <w:p>
      <w:pPr>
        <w:pStyle w:val="14"/>
        <w:kinsoku w:val="0"/>
        <w:overflowPunct w:val="0"/>
        <w:spacing w:before="34" w:line="357" w:lineRule="auto"/>
        <w:ind w:right="126" w:firstLine="480"/>
        <w:jc w:val="center"/>
        <w:rPr>
          <w:rFonts w:asciiTheme="majorEastAsia" w:hAnsiTheme="majorEastAsia" w:eastAsiaTheme="majorEastAsia"/>
        </w:rPr>
      </w:pPr>
    </w:p>
    <w:p>
      <w:pPr>
        <w:pStyle w:val="14"/>
        <w:kinsoku w:val="0"/>
        <w:overflowPunct w:val="0"/>
        <w:spacing w:before="34" w:line="357" w:lineRule="auto"/>
        <w:ind w:right="126" w:firstLine="480"/>
        <w:jc w:val="left"/>
        <w:rPr>
          <w:rFonts w:asciiTheme="majorEastAsia" w:hAnsiTheme="majorEastAsia" w:eastAsiaTheme="majorEastAsia"/>
        </w:rPr>
      </w:pPr>
      <w:r>
        <w:rPr>
          <w:rFonts w:hint="eastAsia" w:asciiTheme="majorEastAsia" w:hAnsiTheme="majorEastAsia" w:eastAsiaTheme="majorEastAsia"/>
          <w:b/>
          <w:bCs/>
          <w:spacing w:val="1"/>
          <w:szCs w:val="21"/>
        </w:rPr>
        <w:t>★备注：</w:t>
      </w:r>
      <w:r>
        <w:rPr>
          <w:rFonts w:asciiTheme="majorEastAsia" w:hAnsiTheme="majorEastAsia" w:eastAsiaTheme="majorEastAsia"/>
        </w:rPr>
        <w:t>附法定代表人身份证复印件</w:t>
      </w:r>
    </w:p>
    <w:p>
      <w:pPr>
        <w:pStyle w:val="14"/>
        <w:kinsoku w:val="0"/>
        <w:overflowPunct w:val="0"/>
        <w:spacing w:before="34" w:line="357" w:lineRule="auto"/>
        <w:ind w:right="126" w:firstLine="480"/>
        <w:jc w:val="center"/>
        <w:rPr>
          <w:rFonts w:asciiTheme="majorEastAsia" w:hAnsiTheme="majorEastAsia" w:eastAsiaTheme="majorEastAsia"/>
          <w:b/>
          <w:bCs/>
        </w:rPr>
      </w:pPr>
      <w:r>
        <w:rPr>
          <w:rFonts w:asciiTheme="majorEastAsia" w:hAnsiTheme="majorEastAsia" w:eastAsiaTheme="majorEastAsia"/>
        </w:rPr>
        <w:br w:type="page"/>
      </w:r>
      <w:r>
        <w:rPr>
          <w:rFonts w:hint="eastAsia" w:asciiTheme="majorEastAsia" w:hAnsiTheme="majorEastAsia" w:eastAsiaTheme="majorEastAsia"/>
          <w:b/>
          <w:bCs/>
          <w:sz w:val="36"/>
          <w:szCs w:val="36"/>
        </w:rPr>
        <w:t>三、授权委托书</w:t>
      </w:r>
    </w:p>
    <w:p>
      <w:pPr>
        <w:pStyle w:val="14"/>
        <w:kinsoku w:val="0"/>
        <w:overflowPunct w:val="0"/>
        <w:spacing w:before="2"/>
        <w:rPr>
          <w:rFonts w:asciiTheme="majorEastAsia" w:hAnsiTheme="majorEastAsia" w:eastAsiaTheme="majorEastAsia"/>
          <w:b/>
          <w:bCs/>
          <w:szCs w:val="21"/>
        </w:rPr>
      </w:pPr>
    </w:p>
    <w:p>
      <w:pPr>
        <w:spacing w:line="420" w:lineRule="exact"/>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致：采购人名称</w:t>
      </w:r>
      <w:r>
        <w:rPr>
          <w:rFonts w:cs="仿宋" w:asciiTheme="majorEastAsia" w:hAnsiTheme="majorEastAsia" w:eastAsiaTheme="majorEastAsia"/>
          <w:kern w:val="0"/>
          <w:sz w:val="24"/>
        </w:rPr>
        <w:t xml:space="preserve"> </w:t>
      </w:r>
    </w:p>
    <w:p>
      <w:pPr>
        <w:spacing w:line="42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本授权书声明：注册于</w:t>
      </w:r>
      <w:r>
        <w:rPr>
          <w:rFonts w:hint="eastAsia" w:cs="仿宋" w:asciiTheme="majorEastAsia" w:hAnsiTheme="majorEastAsia" w:eastAsiaTheme="majorEastAsia"/>
          <w:kern w:val="0"/>
          <w:sz w:val="24"/>
          <w:u w:val="single"/>
        </w:rPr>
        <w:t>（投标人地址）</w:t>
      </w:r>
      <w:r>
        <w:rPr>
          <w:rFonts w:hint="eastAsia" w:cs="仿宋" w:asciiTheme="majorEastAsia" w:hAnsiTheme="majorEastAsia" w:eastAsiaTheme="majorEastAsia"/>
          <w:kern w:val="0"/>
          <w:sz w:val="24"/>
        </w:rPr>
        <w:t>的</w:t>
      </w:r>
      <w:r>
        <w:rPr>
          <w:rFonts w:hint="eastAsia" w:cs="仿宋" w:asciiTheme="majorEastAsia" w:hAnsiTheme="majorEastAsia" w:eastAsiaTheme="majorEastAsia"/>
          <w:kern w:val="0"/>
          <w:sz w:val="24"/>
          <w:u w:val="single"/>
        </w:rPr>
        <w:t>（投标人名称）</w:t>
      </w:r>
      <w:r>
        <w:rPr>
          <w:rFonts w:hint="eastAsia" w:cs="仿宋" w:asciiTheme="majorEastAsia" w:hAnsiTheme="majorEastAsia" w:eastAsiaTheme="majorEastAsia"/>
          <w:kern w:val="0"/>
          <w:sz w:val="24"/>
        </w:rPr>
        <w:t>法定代表人（负责人）</w:t>
      </w:r>
      <w:r>
        <w:rPr>
          <w:rFonts w:hint="eastAsia" w:cs="仿宋" w:asciiTheme="majorEastAsia" w:hAnsiTheme="majorEastAsia" w:eastAsiaTheme="majorEastAsia"/>
          <w:kern w:val="0"/>
          <w:sz w:val="24"/>
          <w:u w:val="single"/>
        </w:rPr>
        <w:t>姓名、职务或职称）</w:t>
      </w:r>
      <w:r>
        <w:rPr>
          <w:rFonts w:hint="eastAsia" w:cs="仿宋" w:asciiTheme="majorEastAsia" w:hAnsiTheme="majorEastAsia" w:eastAsiaTheme="majorEastAsia"/>
          <w:kern w:val="0"/>
          <w:sz w:val="24"/>
        </w:rPr>
        <w:t>代表本公司授权</w:t>
      </w:r>
      <w:r>
        <w:rPr>
          <w:rFonts w:hint="eastAsia" w:cs="仿宋" w:asciiTheme="majorEastAsia" w:hAnsiTheme="majorEastAsia" w:eastAsiaTheme="majorEastAsia"/>
          <w:kern w:val="0"/>
          <w:sz w:val="24"/>
          <w:u w:val="single"/>
        </w:rPr>
        <w:t>（姓名）</w:t>
      </w:r>
      <w:r>
        <w:rPr>
          <w:rFonts w:hint="eastAsia" w:cs="仿宋" w:asciiTheme="majorEastAsia" w:hAnsiTheme="majorEastAsia" w:eastAsiaTheme="majorEastAsia"/>
          <w:kern w:val="0"/>
          <w:sz w:val="24"/>
        </w:rPr>
        <w:t>为本单位的合法代理人，参与贵方组织的</w:t>
      </w:r>
      <w:r>
        <w:rPr>
          <w:rFonts w:hint="eastAsia" w:cs="仿宋" w:asciiTheme="majorEastAsia" w:hAnsiTheme="majorEastAsia" w:eastAsiaTheme="majorEastAsia"/>
          <w:kern w:val="0"/>
          <w:sz w:val="24"/>
          <w:u w:val="single"/>
        </w:rPr>
        <w:t>（项目名称及项目编号）</w:t>
      </w:r>
      <w:r>
        <w:rPr>
          <w:rFonts w:cs="仿宋" w:asciiTheme="majorEastAsia" w:hAnsiTheme="majorEastAsia" w:eastAsiaTheme="majorEastAsia"/>
          <w:kern w:val="0"/>
          <w:sz w:val="24"/>
        </w:rPr>
        <w:t xml:space="preserve"> </w:t>
      </w:r>
      <w:r>
        <w:rPr>
          <w:rFonts w:hint="eastAsia" w:cs="仿宋" w:asciiTheme="majorEastAsia" w:hAnsiTheme="majorEastAsia" w:eastAsiaTheme="majorEastAsia"/>
          <w:kern w:val="0"/>
          <w:sz w:val="24"/>
        </w:rPr>
        <w:t>的投标、谈判、签约等具体工作，并签署全部有关文件、协议及合同。</w:t>
      </w:r>
    </w:p>
    <w:p>
      <w:pPr>
        <w:spacing w:line="42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我单位对被授权人的上述经济活动负全部责任。在撤销授权的书面通知前，本授权书一直有效。被授权人在授权书有效期内签署的所有文件不因授权的撤消而失效。</w:t>
      </w:r>
    </w:p>
    <w:p>
      <w:pPr>
        <w:pStyle w:val="14"/>
        <w:kinsoku w:val="0"/>
        <w:overflowPunct w:val="0"/>
        <w:spacing w:before="12"/>
        <w:rPr>
          <w:rFonts w:asciiTheme="majorEastAsia" w:hAnsiTheme="majorEastAsia" w:eastAsiaTheme="majorEastAsia"/>
          <w:sz w:val="4"/>
          <w:szCs w:val="4"/>
        </w:rPr>
      </w:pPr>
    </w:p>
    <w:p>
      <w:pPr>
        <w:pStyle w:val="14"/>
        <w:kinsoku w:val="0"/>
        <w:overflowPunct w:val="0"/>
        <w:spacing w:line="200" w:lineRule="atLeast"/>
        <w:ind w:left="628"/>
        <w:rPr>
          <w:rFonts w:asciiTheme="majorEastAsia" w:hAnsiTheme="majorEastAsia" w:eastAsiaTheme="majorEastAsia"/>
          <w:sz w:val="20"/>
          <w:szCs w:val="20"/>
        </w:rPr>
      </w:pPr>
      <w:r>
        <w:rPr>
          <w:rFonts w:asciiTheme="majorEastAsia" w:hAnsiTheme="majorEastAsia" w:eastAsiaTheme="majorEastAsia"/>
          <w:sz w:val="20"/>
          <w:szCs w:val="20"/>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26035</wp:posOffset>
                </wp:positionV>
                <wp:extent cx="5088255" cy="1795780"/>
                <wp:effectExtent l="5080" t="4445" r="12065" b="9525"/>
                <wp:wrapNone/>
                <wp:docPr id="183" name="Text Box 124"/>
                <wp:cNvGraphicFramePr/>
                <a:graphic xmlns:a="http://schemas.openxmlformats.org/drawingml/2006/main">
                  <a:graphicData uri="http://schemas.microsoft.com/office/word/2010/wordprocessingShape">
                    <wps:wsp>
                      <wps:cNvSpPr txBox="1">
                        <a:spLocks noChangeArrowheads="1"/>
                      </wps:cNvSpPr>
                      <wps:spPr bwMode="auto">
                        <a:xfrm>
                          <a:off x="0" y="0"/>
                          <a:ext cx="5088255" cy="1795780"/>
                        </a:xfrm>
                        <a:prstGeom prst="rect">
                          <a:avLst/>
                        </a:prstGeom>
                        <a:solidFill>
                          <a:srgbClr val="FFFFFF"/>
                        </a:solidFill>
                        <a:ln w="9525">
                          <a:solidFill>
                            <a:srgbClr val="000000"/>
                          </a:solidFill>
                          <a:miter lim="800000"/>
                        </a:ln>
                        <a:effectLst/>
                      </wps:spPr>
                      <wps:txbx>
                        <w:txbxContent>
                          <w:p>
                            <w:pPr>
                              <w:rPr>
                                <w:rFonts w:asciiTheme="majorEastAsia" w:hAnsiTheme="majorEastAsia" w:eastAsiaTheme="majorEastAsia"/>
                                <w:b/>
                              </w:rPr>
                            </w:pPr>
                          </w:p>
                          <w:p>
                            <w:pPr>
                              <w:rPr>
                                <w:rFonts w:asciiTheme="majorEastAsia" w:hAnsiTheme="majorEastAsia" w:eastAsiaTheme="majorEastAsia"/>
                                <w:b/>
                              </w:rPr>
                            </w:pPr>
                          </w:p>
                          <w:p>
                            <w:r>
                              <w:rPr>
                                <w:rFonts w:hint="eastAsia" w:asciiTheme="majorEastAsia" w:hAnsiTheme="majorEastAsia" w:eastAsiaTheme="majorEastAsia"/>
                                <w:b/>
                              </w:rPr>
                              <w:t>粘贴法定代表人身份证明及委托代理人（被授权人）身份证（正方面）复印件处</w:t>
                            </w:r>
                          </w:p>
                        </w:txbxContent>
                      </wps:txbx>
                      <wps:bodyPr rot="0" vert="horz" wrap="square" lIns="91440" tIns="45720" rIns="91440" bIns="45720" anchor="t" anchorCtr="0" upright="1">
                        <a:noAutofit/>
                      </wps:bodyPr>
                    </wps:wsp>
                  </a:graphicData>
                </a:graphic>
              </wp:anchor>
            </w:drawing>
          </mc:Choice>
          <mc:Fallback>
            <w:pict>
              <v:shape id="Text Box 124" o:spid="_x0000_s1026" o:spt="202" type="#_x0000_t202" style="position:absolute;left:0pt;margin-top:2.05pt;height:141.4pt;width:400.65pt;mso-position-horizontal:center;z-index:251662336;mso-width-relative:page;mso-height-relative:page;" fillcolor="#FFFFFF" filled="t" stroked="t" coordsize="21600,21600" o:gfxdata="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bOjm01gAAAAYBAAAPAAAAAAAAAAEAIAAAACIAAABkcnMvZG93&#10;bnJldi54bWxQSwECFAAUAAAACACHTuJAOcJ8zTsCAACZBAAADgAAAAAAAAABACAAAAAlAQAAZHJz&#10;L2Uyb0RvYy54bWxQSwUGAAAAAAYABgBZAQAA0gUAAAAA&#10;">
                <v:fill on="t" focussize="0,0"/>
                <v:stroke color="#000000" miterlimit="8" joinstyle="miter"/>
                <v:imagedata o:title=""/>
                <o:lock v:ext="edit" aspectratio="f"/>
                <v:textbox>
                  <w:txbxContent>
                    <w:p>
                      <w:pPr>
                        <w:rPr>
                          <w:rFonts w:asciiTheme="majorEastAsia" w:hAnsiTheme="majorEastAsia" w:eastAsiaTheme="majorEastAsia"/>
                          <w:b/>
                        </w:rPr>
                      </w:pPr>
                    </w:p>
                    <w:p>
                      <w:pPr>
                        <w:rPr>
                          <w:rFonts w:asciiTheme="majorEastAsia" w:hAnsiTheme="majorEastAsia" w:eastAsiaTheme="majorEastAsia"/>
                          <w:b/>
                        </w:rPr>
                      </w:pPr>
                    </w:p>
                    <w:p>
                      <w:r>
                        <w:rPr>
                          <w:rFonts w:hint="eastAsia" w:asciiTheme="majorEastAsia" w:hAnsiTheme="majorEastAsia" w:eastAsiaTheme="majorEastAsia"/>
                          <w:b/>
                        </w:rPr>
                        <w:t>粘贴法定代表人身份证明及委托代理人（被授权人）身份证（正方面）复印件处</w:t>
                      </w:r>
                    </w:p>
                  </w:txbxContent>
                </v:textbox>
              </v:shape>
            </w:pict>
          </mc:Fallback>
        </mc:AlternateContent>
      </w:r>
    </w:p>
    <w:p>
      <w:pPr>
        <w:pStyle w:val="14"/>
        <w:kinsoku w:val="0"/>
        <w:overflowPunct w:val="0"/>
        <w:spacing w:line="200" w:lineRule="atLeast"/>
        <w:ind w:left="628"/>
        <w:rPr>
          <w:rFonts w:asciiTheme="majorEastAsia" w:hAnsiTheme="majorEastAsia" w:eastAsiaTheme="majorEastAsia"/>
          <w:sz w:val="20"/>
          <w:szCs w:val="20"/>
        </w:rPr>
      </w:pPr>
    </w:p>
    <w:p>
      <w:pPr>
        <w:pStyle w:val="15"/>
        <w:rPr>
          <w:rFonts w:asciiTheme="majorEastAsia" w:hAnsiTheme="majorEastAsia" w:eastAsiaTheme="majorEastAsia"/>
          <w:sz w:val="20"/>
          <w:szCs w:val="20"/>
        </w:rPr>
      </w:pPr>
    </w:p>
    <w:p>
      <w:pPr>
        <w:pStyle w:val="15"/>
        <w:rPr>
          <w:rFonts w:asciiTheme="majorEastAsia" w:hAnsiTheme="majorEastAsia" w:eastAsiaTheme="majorEastAsia"/>
          <w:sz w:val="20"/>
          <w:szCs w:val="20"/>
        </w:rPr>
      </w:pPr>
    </w:p>
    <w:p>
      <w:pPr>
        <w:pStyle w:val="14"/>
        <w:kinsoku w:val="0"/>
        <w:overflowPunct w:val="0"/>
        <w:spacing w:line="200" w:lineRule="atLeast"/>
        <w:ind w:left="628"/>
        <w:rPr>
          <w:rFonts w:asciiTheme="majorEastAsia" w:hAnsiTheme="majorEastAsia" w:eastAsiaTheme="majorEastAsia"/>
          <w:sz w:val="20"/>
          <w:szCs w:val="20"/>
        </w:rPr>
      </w:pPr>
    </w:p>
    <w:p>
      <w:pPr>
        <w:pStyle w:val="14"/>
        <w:kinsoku w:val="0"/>
        <w:overflowPunct w:val="0"/>
        <w:spacing w:line="200" w:lineRule="atLeast"/>
        <w:ind w:left="628"/>
        <w:rPr>
          <w:rFonts w:asciiTheme="majorEastAsia" w:hAnsiTheme="majorEastAsia" w:eastAsiaTheme="majorEastAsia"/>
          <w:sz w:val="20"/>
          <w:szCs w:val="20"/>
        </w:rPr>
      </w:pPr>
    </w:p>
    <w:p>
      <w:pPr>
        <w:pStyle w:val="14"/>
        <w:kinsoku w:val="0"/>
        <w:overflowPunct w:val="0"/>
        <w:spacing w:line="200" w:lineRule="atLeast"/>
        <w:ind w:left="628"/>
        <w:rPr>
          <w:rFonts w:asciiTheme="majorEastAsia" w:hAnsiTheme="majorEastAsia" w:eastAsiaTheme="majorEastAsia"/>
          <w:sz w:val="20"/>
          <w:szCs w:val="20"/>
        </w:rPr>
      </w:pPr>
    </w:p>
    <w:p>
      <w:pPr>
        <w:pStyle w:val="14"/>
        <w:kinsoku w:val="0"/>
        <w:overflowPunct w:val="0"/>
        <w:spacing w:before="7"/>
        <w:rPr>
          <w:rFonts w:asciiTheme="majorEastAsia" w:hAnsiTheme="majorEastAsia" w:eastAsiaTheme="majorEastAsia"/>
          <w:sz w:val="20"/>
          <w:szCs w:val="20"/>
        </w:rPr>
      </w:pPr>
    </w:p>
    <w:p>
      <w:pPr>
        <w:pStyle w:val="14"/>
        <w:tabs>
          <w:tab w:val="left" w:pos="5295"/>
        </w:tabs>
        <w:kinsoku w:val="0"/>
        <w:overflowPunct w:val="0"/>
        <w:spacing w:before="26"/>
        <w:ind w:left="618"/>
        <w:rPr>
          <w:rFonts w:asciiTheme="majorEastAsia" w:hAnsiTheme="majorEastAsia" w:eastAsiaTheme="majorEastAsia"/>
        </w:rPr>
      </w:pPr>
    </w:p>
    <w:p>
      <w:pPr>
        <w:pStyle w:val="14"/>
        <w:tabs>
          <w:tab w:val="left" w:pos="5295"/>
        </w:tabs>
        <w:kinsoku w:val="0"/>
        <w:overflowPunct w:val="0"/>
        <w:spacing w:before="26"/>
        <w:ind w:left="618"/>
        <w:rPr>
          <w:rFonts w:asciiTheme="majorEastAsia" w:hAnsiTheme="majorEastAsia" w:eastAsiaTheme="majorEastAsia"/>
        </w:rPr>
      </w:pPr>
    </w:p>
    <w:p>
      <w:pPr>
        <w:pStyle w:val="14"/>
        <w:tabs>
          <w:tab w:val="left" w:pos="5295"/>
        </w:tabs>
        <w:kinsoku w:val="0"/>
        <w:overflowPunct w:val="0"/>
        <w:spacing w:before="26"/>
        <w:ind w:left="618"/>
        <w:rPr>
          <w:rFonts w:asciiTheme="majorEastAsia" w:hAnsiTheme="majorEastAsia" w:eastAsiaTheme="majorEastAsia"/>
        </w:rPr>
      </w:pPr>
    </w:p>
    <w:p>
      <w:pPr>
        <w:pStyle w:val="14"/>
        <w:tabs>
          <w:tab w:val="left" w:pos="5295"/>
        </w:tabs>
        <w:kinsoku w:val="0"/>
        <w:overflowPunct w:val="0"/>
        <w:spacing w:before="26"/>
        <w:ind w:left="618"/>
        <w:rPr>
          <w:rFonts w:asciiTheme="majorEastAsia" w:hAnsiTheme="majorEastAsia" w:eastAsiaTheme="majorEastAsia"/>
        </w:rPr>
      </w:pPr>
    </w:p>
    <w:p>
      <w:pPr>
        <w:pStyle w:val="14"/>
        <w:tabs>
          <w:tab w:val="left" w:pos="5295"/>
        </w:tabs>
        <w:kinsoku w:val="0"/>
        <w:overflowPunct w:val="0"/>
        <w:spacing w:before="26"/>
        <w:ind w:left="618"/>
        <w:rPr>
          <w:rFonts w:hint="eastAsia" w:asciiTheme="majorEastAsia" w:hAnsiTheme="majorEastAsia" w:eastAsiaTheme="majorEastAsia"/>
        </w:rPr>
      </w:pPr>
    </w:p>
    <w:p>
      <w:pPr>
        <w:pStyle w:val="14"/>
        <w:tabs>
          <w:tab w:val="left" w:pos="5295"/>
        </w:tabs>
        <w:kinsoku w:val="0"/>
        <w:overflowPunct w:val="0"/>
        <w:spacing w:before="26"/>
        <w:ind w:left="618"/>
        <w:rPr>
          <w:rFonts w:hint="eastAsia" w:asciiTheme="majorEastAsia" w:hAnsiTheme="majorEastAsia" w:eastAsiaTheme="majorEastAsia"/>
        </w:rPr>
      </w:pPr>
    </w:p>
    <w:p>
      <w:pPr>
        <w:pStyle w:val="14"/>
        <w:tabs>
          <w:tab w:val="left" w:pos="5295"/>
        </w:tabs>
        <w:kinsoku w:val="0"/>
        <w:overflowPunct w:val="0"/>
        <w:spacing w:before="26"/>
        <w:ind w:left="618"/>
        <w:rPr>
          <w:rFonts w:hint="eastAsia" w:asciiTheme="majorEastAsia" w:hAnsiTheme="majorEastAsia" w:eastAsiaTheme="majorEastAsia"/>
        </w:rPr>
      </w:pPr>
    </w:p>
    <w:p>
      <w:pPr>
        <w:pStyle w:val="14"/>
        <w:tabs>
          <w:tab w:val="left" w:pos="5295"/>
        </w:tabs>
        <w:kinsoku w:val="0"/>
        <w:overflowPunct w:val="0"/>
        <w:spacing w:before="26"/>
        <w:ind w:left="618"/>
        <w:rPr>
          <w:rFonts w:asciiTheme="majorEastAsia" w:hAnsiTheme="majorEastAsia" w:eastAsiaTheme="majorEastAsia"/>
        </w:rPr>
      </w:pPr>
      <w:r>
        <w:rPr>
          <w:rFonts w:hint="eastAsia" w:asciiTheme="majorEastAsia" w:hAnsiTheme="majorEastAsia" w:eastAsiaTheme="majorEastAsia"/>
        </w:rPr>
        <w:t>被授权代表（签字）：</w:t>
      </w:r>
      <w:r>
        <w:rPr>
          <w:rFonts w:asciiTheme="majorEastAsia" w:hAnsiTheme="majorEastAsia" w:eastAsiaTheme="majorEastAsia"/>
        </w:rPr>
        <w:tab/>
      </w:r>
      <w:r>
        <w:rPr>
          <w:rFonts w:hint="eastAsia" w:asciiTheme="majorEastAsia" w:hAnsiTheme="majorEastAsia" w:eastAsiaTheme="majorEastAsia"/>
        </w:rPr>
        <w:t>供应商法定代表人（签字或盖章）：</w:t>
      </w:r>
    </w:p>
    <w:p>
      <w:pPr>
        <w:pStyle w:val="14"/>
        <w:tabs>
          <w:tab w:val="left" w:pos="1098"/>
          <w:tab w:val="left" w:pos="5298"/>
          <w:tab w:val="left" w:pos="5778"/>
        </w:tabs>
        <w:kinsoku w:val="0"/>
        <w:overflowPunct w:val="0"/>
        <w:spacing w:before="86"/>
        <w:ind w:left="618"/>
        <w:rPr>
          <w:rFonts w:asciiTheme="majorEastAsia" w:hAnsiTheme="majorEastAsia" w:eastAsiaTheme="majorEastAsia"/>
        </w:rPr>
      </w:pPr>
      <w:r>
        <w:rPr>
          <w:rFonts w:hint="eastAsia" w:asciiTheme="majorEastAsia" w:hAnsiTheme="majorEastAsia" w:eastAsiaTheme="majorEastAsia"/>
        </w:rPr>
        <w:t>职</w:t>
      </w:r>
      <w:r>
        <w:rPr>
          <w:rFonts w:asciiTheme="majorEastAsia" w:hAnsiTheme="majorEastAsia" w:eastAsiaTheme="majorEastAsia"/>
        </w:rPr>
        <w:tab/>
      </w:r>
      <w:r>
        <w:rPr>
          <w:rFonts w:hint="eastAsia" w:asciiTheme="majorEastAsia" w:hAnsiTheme="majorEastAsia" w:eastAsiaTheme="majorEastAsia"/>
        </w:rPr>
        <w:t>务：</w:t>
      </w:r>
      <w:r>
        <w:rPr>
          <w:rFonts w:asciiTheme="majorEastAsia" w:hAnsiTheme="majorEastAsia" w:eastAsiaTheme="majorEastAsia"/>
        </w:rPr>
        <w:tab/>
      </w:r>
      <w:r>
        <w:rPr>
          <w:rFonts w:hint="eastAsia" w:asciiTheme="majorEastAsia" w:hAnsiTheme="majorEastAsia" w:eastAsiaTheme="majorEastAsia"/>
        </w:rPr>
        <w:t>职</w:t>
      </w:r>
      <w:r>
        <w:rPr>
          <w:rFonts w:asciiTheme="majorEastAsia" w:hAnsiTheme="majorEastAsia" w:eastAsiaTheme="majorEastAsia"/>
        </w:rPr>
        <w:tab/>
      </w:r>
      <w:r>
        <w:rPr>
          <w:rFonts w:hint="eastAsia" w:asciiTheme="majorEastAsia" w:hAnsiTheme="majorEastAsia" w:eastAsiaTheme="majorEastAsia"/>
        </w:rPr>
        <w:t>务：</w:t>
      </w:r>
    </w:p>
    <w:p>
      <w:pPr>
        <w:pStyle w:val="14"/>
        <w:tabs>
          <w:tab w:val="left" w:pos="1098"/>
          <w:tab w:val="left" w:pos="5298"/>
          <w:tab w:val="left" w:pos="5778"/>
        </w:tabs>
        <w:kinsoku w:val="0"/>
        <w:overflowPunct w:val="0"/>
        <w:spacing w:before="84"/>
        <w:ind w:left="618"/>
        <w:rPr>
          <w:rFonts w:asciiTheme="majorEastAsia" w:hAnsiTheme="majorEastAsia" w:eastAsiaTheme="majorEastAsia"/>
        </w:rPr>
      </w:pPr>
      <w:r>
        <w:rPr>
          <w:rFonts w:hint="eastAsia" w:asciiTheme="majorEastAsia" w:hAnsiTheme="majorEastAsia" w:eastAsiaTheme="majorEastAsia"/>
        </w:rPr>
        <w:t>电</w:t>
      </w:r>
      <w:r>
        <w:rPr>
          <w:rFonts w:asciiTheme="majorEastAsia" w:hAnsiTheme="majorEastAsia" w:eastAsiaTheme="majorEastAsia"/>
        </w:rPr>
        <w:tab/>
      </w:r>
      <w:r>
        <w:rPr>
          <w:rFonts w:hint="eastAsia" w:asciiTheme="majorEastAsia" w:hAnsiTheme="majorEastAsia" w:eastAsiaTheme="majorEastAsia"/>
        </w:rPr>
        <w:t>话：</w:t>
      </w:r>
      <w:r>
        <w:rPr>
          <w:rFonts w:asciiTheme="majorEastAsia" w:hAnsiTheme="majorEastAsia" w:eastAsiaTheme="majorEastAsia"/>
        </w:rPr>
        <w:tab/>
      </w:r>
      <w:r>
        <w:rPr>
          <w:rFonts w:hint="eastAsia" w:asciiTheme="majorEastAsia" w:hAnsiTheme="majorEastAsia" w:eastAsiaTheme="majorEastAsia"/>
        </w:rPr>
        <w:t>电</w:t>
      </w:r>
      <w:r>
        <w:rPr>
          <w:rFonts w:asciiTheme="majorEastAsia" w:hAnsiTheme="majorEastAsia" w:eastAsiaTheme="majorEastAsia"/>
        </w:rPr>
        <w:tab/>
      </w:r>
      <w:r>
        <w:rPr>
          <w:rFonts w:hint="eastAsia" w:asciiTheme="majorEastAsia" w:hAnsiTheme="majorEastAsia" w:eastAsiaTheme="majorEastAsia"/>
        </w:rPr>
        <w:t>话：</w:t>
      </w:r>
    </w:p>
    <w:p>
      <w:pPr>
        <w:pStyle w:val="14"/>
        <w:tabs>
          <w:tab w:val="left" w:pos="5631"/>
          <w:tab w:val="left" w:pos="6591"/>
          <w:tab w:val="left" w:pos="7191"/>
          <w:tab w:val="left" w:pos="7791"/>
          <w:tab w:val="left" w:pos="8247"/>
        </w:tabs>
        <w:kinsoku w:val="0"/>
        <w:overflowPunct w:val="0"/>
        <w:spacing w:before="166" w:line="383" w:lineRule="auto"/>
        <w:ind w:right="238" w:firstLine="210" w:firstLineChars="100"/>
        <w:jc w:val="right"/>
        <w:rPr>
          <w:rFonts w:asciiTheme="majorEastAsia" w:hAnsiTheme="majorEastAsia" w:eastAsiaTheme="majorEastAsia"/>
        </w:rPr>
      </w:pPr>
      <w:r>
        <w:rPr>
          <w:rFonts w:hint="eastAsia" w:asciiTheme="majorEastAsia" w:hAnsiTheme="majorEastAsia" w:eastAsiaTheme="majorEastAsia"/>
        </w:rPr>
        <w:t>供应商</w:t>
      </w:r>
      <w:r>
        <w:rPr>
          <w:rFonts w:hint="eastAsia" w:asciiTheme="majorEastAsia" w:hAnsiTheme="majorEastAsia" w:eastAsiaTheme="majorEastAsia"/>
          <w:u w:val="single"/>
        </w:rPr>
        <w:t xml:space="preserve">                           </w:t>
      </w:r>
      <w:r>
        <w:rPr>
          <w:rFonts w:hint="eastAsia" w:asciiTheme="majorEastAsia" w:hAnsiTheme="majorEastAsia" w:eastAsiaTheme="majorEastAsia"/>
        </w:rPr>
        <w:t>（盖章）</w:t>
      </w:r>
    </w:p>
    <w:p>
      <w:pPr>
        <w:pStyle w:val="14"/>
        <w:tabs>
          <w:tab w:val="left" w:pos="5145"/>
          <w:tab w:val="left" w:pos="6591"/>
          <w:tab w:val="left" w:pos="7191"/>
          <w:tab w:val="left" w:pos="7791"/>
          <w:tab w:val="left" w:pos="8247"/>
        </w:tabs>
        <w:kinsoku w:val="0"/>
        <w:wordWrap w:val="0"/>
        <w:overflowPunct w:val="0"/>
        <w:spacing w:before="166" w:line="383" w:lineRule="auto"/>
        <w:ind w:left="105" w:leftChars="50" w:right="238"/>
        <w:jc w:val="right"/>
        <w:rPr>
          <w:rFonts w:asciiTheme="majorEastAsia" w:hAnsiTheme="majorEastAsia" w:eastAsiaTheme="majorEastAsia"/>
        </w:rPr>
      </w:pPr>
      <w:r>
        <w:rPr>
          <w:rFonts w:asciiTheme="majorEastAsia" w:hAnsiTheme="majorEastAsia" w:eastAsiaTheme="majorEastAsia"/>
        </w:rPr>
        <w:t xml:space="preserve"> </w:t>
      </w:r>
      <w:r>
        <w:rPr>
          <w:rFonts w:hint="eastAsia" w:asciiTheme="majorEastAsia" w:hAnsiTheme="majorEastAsia" w:eastAsiaTheme="majorEastAsia"/>
        </w:rPr>
        <w:t>日期：</w:t>
      </w:r>
      <w:r>
        <w:rPr>
          <w:rFonts w:hint="eastAsia" w:asciiTheme="majorEastAsia" w:hAnsiTheme="majorEastAsia" w:eastAsiaTheme="majorEastAsia"/>
          <w:u w:val="single"/>
        </w:rPr>
        <w:t xml:space="preserve">     </w:t>
      </w:r>
      <w:r>
        <w:rPr>
          <w:rFonts w:hint="eastAsia" w:asciiTheme="majorEastAsia" w:hAnsiTheme="majorEastAsia" w:eastAsiaTheme="majorEastAsia"/>
        </w:rPr>
        <w:t>年</w:t>
      </w:r>
      <w:r>
        <w:rPr>
          <w:rFonts w:hint="eastAsia" w:asciiTheme="majorEastAsia" w:hAnsiTheme="majorEastAsia" w:eastAsiaTheme="majorEastAsia"/>
          <w:u w:val="single"/>
        </w:rPr>
        <w:t xml:space="preserve">   </w:t>
      </w:r>
      <w:r>
        <w:rPr>
          <w:rFonts w:hint="eastAsia" w:asciiTheme="majorEastAsia" w:hAnsiTheme="majorEastAsia" w:eastAsiaTheme="majorEastAsia"/>
        </w:rPr>
        <w:t>月</w:t>
      </w:r>
      <w:r>
        <w:rPr>
          <w:rFonts w:hint="eastAsia" w:asciiTheme="majorEastAsia" w:hAnsiTheme="majorEastAsia" w:eastAsiaTheme="majorEastAsia"/>
          <w:u w:val="single"/>
        </w:rPr>
        <w:t xml:space="preserve">   </w:t>
      </w:r>
      <w:r>
        <w:rPr>
          <w:rFonts w:hint="eastAsia" w:asciiTheme="majorEastAsia" w:hAnsiTheme="majorEastAsia" w:eastAsiaTheme="majorEastAsia"/>
        </w:rPr>
        <w:t xml:space="preserve">日                </w:t>
      </w:r>
    </w:p>
    <w:p>
      <w:pPr>
        <w:pStyle w:val="14"/>
        <w:kinsoku w:val="0"/>
        <w:overflowPunct w:val="0"/>
        <w:spacing w:before="7"/>
        <w:rPr>
          <w:rFonts w:asciiTheme="majorEastAsia" w:hAnsiTheme="majorEastAsia" w:eastAsiaTheme="majorEastAsia"/>
          <w:sz w:val="22"/>
          <w:szCs w:val="22"/>
        </w:rPr>
      </w:pPr>
    </w:p>
    <w:p>
      <w:pPr>
        <w:pStyle w:val="14"/>
        <w:tabs>
          <w:tab w:val="left" w:pos="5418"/>
        </w:tabs>
        <w:kinsoku w:val="0"/>
        <w:overflowPunct w:val="0"/>
        <w:spacing w:before="26"/>
        <w:rPr>
          <w:rFonts w:asciiTheme="majorEastAsia" w:hAnsiTheme="majorEastAsia" w:eastAsiaTheme="majorEastAsia"/>
          <w:b/>
        </w:rPr>
      </w:pPr>
    </w:p>
    <w:p>
      <w:pPr>
        <w:pStyle w:val="14"/>
        <w:tabs>
          <w:tab w:val="left" w:pos="5418"/>
        </w:tabs>
        <w:kinsoku w:val="0"/>
        <w:overflowPunct w:val="0"/>
        <w:spacing w:before="26"/>
        <w:ind w:left="618"/>
        <w:rPr>
          <w:rFonts w:asciiTheme="majorEastAsia" w:hAnsiTheme="majorEastAsia" w:eastAsiaTheme="majorEastAsia"/>
          <w:b/>
        </w:rPr>
      </w:pPr>
    </w:p>
    <w:p>
      <w:pPr>
        <w:pStyle w:val="14"/>
        <w:tabs>
          <w:tab w:val="left" w:pos="5418"/>
        </w:tabs>
        <w:kinsoku w:val="0"/>
        <w:overflowPunct w:val="0"/>
        <w:spacing w:before="26"/>
        <w:ind w:left="618"/>
        <w:rPr>
          <w:rFonts w:asciiTheme="majorEastAsia" w:hAnsiTheme="majorEastAsia" w:eastAsiaTheme="majorEastAsia"/>
          <w:b/>
        </w:rPr>
      </w:pPr>
      <w:r>
        <w:rPr>
          <w:rFonts w:hint="eastAsia" w:asciiTheme="majorEastAsia" w:hAnsiTheme="majorEastAsia" w:eastAsiaTheme="majorEastAsia"/>
          <w:b/>
        </w:rPr>
        <w:t>★备注</w:t>
      </w:r>
      <w:r>
        <w:rPr>
          <w:rFonts w:asciiTheme="majorEastAsia" w:hAnsiTheme="majorEastAsia" w:eastAsiaTheme="majorEastAsia"/>
          <w:b/>
        </w:rPr>
        <w:t xml:space="preserve"> </w:t>
      </w:r>
      <w:r>
        <w:rPr>
          <w:rFonts w:hint="eastAsia" w:asciiTheme="majorEastAsia" w:hAnsiTheme="majorEastAsia" w:eastAsiaTheme="majorEastAsia"/>
          <w:b/>
        </w:rPr>
        <w:t>：本委托书递交投标文件时需单独递交一份。</w:t>
      </w:r>
    </w:p>
    <w:p>
      <w:pPr>
        <w:pStyle w:val="14"/>
        <w:kinsoku w:val="0"/>
        <w:overflowPunct w:val="0"/>
        <w:spacing w:before="34" w:line="357" w:lineRule="auto"/>
        <w:ind w:right="126" w:firstLine="480"/>
        <w:jc w:val="center"/>
        <w:outlineLvl w:val="0"/>
        <w:rPr>
          <w:rFonts w:hint="eastAsia" w:asciiTheme="majorEastAsia" w:hAnsiTheme="majorEastAsia" w:eastAsiaTheme="majorEastAsia"/>
          <w:b/>
          <w:bCs/>
          <w:sz w:val="36"/>
          <w:szCs w:val="36"/>
          <w:lang w:val="en-US" w:eastAsia="zh-CN"/>
        </w:rPr>
      </w:pPr>
    </w:p>
    <w:p>
      <w:pPr>
        <w:pStyle w:val="14"/>
        <w:kinsoku w:val="0"/>
        <w:overflowPunct w:val="0"/>
        <w:spacing w:before="34" w:line="357" w:lineRule="auto"/>
        <w:ind w:right="126" w:firstLine="480"/>
        <w:jc w:val="center"/>
        <w:outlineLvl w:val="0"/>
        <w:rPr>
          <w:rFonts w:hint="eastAsia" w:asciiTheme="majorEastAsia" w:hAnsiTheme="majorEastAsia" w:eastAsiaTheme="majorEastAsia"/>
          <w:b/>
          <w:bCs/>
          <w:sz w:val="36"/>
          <w:szCs w:val="36"/>
          <w:lang w:val="en-US" w:eastAsia="zh-CN"/>
        </w:rPr>
      </w:pPr>
    </w:p>
    <w:p>
      <w:pPr>
        <w:pStyle w:val="14"/>
        <w:kinsoku w:val="0"/>
        <w:overflowPunct w:val="0"/>
        <w:spacing w:before="34" w:line="357" w:lineRule="auto"/>
        <w:ind w:right="126" w:firstLine="480"/>
        <w:jc w:val="center"/>
        <w:outlineLvl w:val="0"/>
        <w:rPr>
          <w:rFonts w:hint="eastAsia" w:asciiTheme="majorEastAsia" w:hAnsiTheme="majorEastAsia" w:eastAsiaTheme="majorEastAsia"/>
          <w:b/>
          <w:bCs/>
          <w:sz w:val="36"/>
          <w:szCs w:val="36"/>
          <w:lang w:val="en-US" w:eastAsia="zh-CN"/>
        </w:rPr>
      </w:pPr>
    </w:p>
    <w:p>
      <w:pPr>
        <w:pStyle w:val="14"/>
        <w:kinsoku w:val="0"/>
        <w:overflowPunct w:val="0"/>
        <w:spacing w:before="34" w:line="357" w:lineRule="auto"/>
        <w:ind w:right="126" w:firstLine="480"/>
        <w:jc w:val="center"/>
        <w:outlineLvl w:val="0"/>
        <w:rPr>
          <w:rFonts w:hint="eastAsia" w:asciiTheme="majorEastAsia" w:hAnsiTheme="majorEastAsia" w:eastAsiaTheme="majorEastAsia"/>
          <w:b/>
          <w:bCs/>
          <w:sz w:val="36"/>
          <w:szCs w:val="36"/>
          <w:lang w:val="en-US" w:eastAsia="zh-CN"/>
        </w:rPr>
      </w:pPr>
    </w:p>
    <w:p>
      <w:pPr>
        <w:pStyle w:val="14"/>
        <w:kinsoku w:val="0"/>
        <w:overflowPunct w:val="0"/>
        <w:spacing w:before="34" w:line="357" w:lineRule="auto"/>
        <w:ind w:right="126" w:firstLine="480"/>
        <w:jc w:val="center"/>
        <w:outlineLvl w:val="0"/>
        <w:rPr>
          <w:rFonts w:hint="eastAsia" w:asciiTheme="majorEastAsia" w:hAnsiTheme="majorEastAsia" w:eastAsiaTheme="majorEastAsia"/>
          <w:b/>
          <w:bCs/>
          <w:sz w:val="36"/>
          <w:szCs w:val="36"/>
          <w:lang w:val="en-US" w:eastAsia="zh-CN"/>
        </w:rPr>
      </w:pPr>
    </w:p>
    <w:p>
      <w:pPr>
        <w:pStyle w:val="14"/>
        <w:kinsoku w:val="0"/>
        <w:overflowPunct w:val="0"/>
        <w:spacing w:before="34" w:line="357" w:lineRule="auto"/>
        <w:ind w:right="126" w:firstLine="480"/>
        <w:jc w:val="center"/>
        <w:outlineLvl w:val="0"/>
        <w:rPr>
          <w:rFonts w:asciiTheme="majorEastAsia" w:hAnsiTheme="majorEastAsia" w:eastAsiaTheme="majorEastAsia"/>
          <w:b/>
          <w:bCs/>
        </w:rPr>
      </w:pPr>
      <w:r>
        <w:rPr>
          <w:rFonts w:hint="eastAsia" w:asciiTheme="majorEastAsia" w:hAnsiTheme="majorEastAsia" w:eastAsiaTheme="majorEastAsia"/>
          <w:b/>
          <w:bCs/>
          <w:sz w:val="36"/>
          <w:szCs w:val="36"/>
          <w:lang w:val="en-US" w:eastAsia="zh-CN"/>
        </w:rPr>
        <w:t>四、</w:t>
      </w:r>
      <w:r>
        <w:rPr>
          <w:rFonts w:hint="eastAsia" w:asciiTheme="majorEastAsia" w:hAnsiTheme="majorEastAsia" w:eastAsiaTheme="majorEastAsia"/>
          <w:b/>
          <w:bCs/>
          <w:sz w:val="36"/>
          <w:szCs w:val="36"/>
        </w:rPr>
        <w:t>供应商基本情况</w:t>
      </w:r>
    </w:p>
    <w:p>
      <w:pPr>
        <w:pStyle w:val="14"/>
        <w:kinsoku w:val="0"/>
        <w:overflowPunct w:val="0"/>
        <w:ind w:left="3104" w:right="2998"/>
        <w:jc w:val="center"/>
        <w:rPr>
          <w:rFonts w:asciiTheme="majorEastAsia" w:hAnsiTheme="majorEastAsia" w:eastAsiaTheme="majorEastAsia"/>
          <w:b/>
          <w:bCs/>
          <w:sz w:val="6"/>
          <w:szCs w:val="6"/>
        </w:rPr>
      </w:pPr>
      <w:r>
        <w:rPr>
          <w:rFonts w:hint="eastAsia" w:asciiTheme="majorEastAsia" w:hAnsiTheme="majorEastAsia" w:eastAsiaTheme="majorEastAsia"/>
          <w:b/>
          <w:bCs/>
          <w:lang w:val="en-US" w:eastAsia="zh-CN"/>
        </w:rPr>
        <w:t>4.1</w:t>
      </w:r>
      <w:r>
        <w:rPr>
          <w:rFonts w:hint="eastAsia" w:asciiTheme="majorEastAsia" w:hAnsiTheme="majorEastAsia" w:eastAsiaTheme="majorEastAsia"/>
          <w:b/>
          <w:bCs/>
        </w:rPr>
        <w:t>供应商基本情表</w:t>
      </w:r>
    </w:p>
    <w:tbl>
      <w:tblPr>
        <w:tblStyle w:val="40"/>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137"/>
              <w:rPr>
                <w:rFonts w:asciiTheme="majorEastAsia" w:hAnsiTheme="majorEastAsia" w:eastAsiaTheme="majorEastAsia"/>
              </w:rPr>
            </w:pPr>
            <w:r>
              <w:rPr>
                <w:rFonts w:hint="eastAsia" w:cs="仿宋" w:asciiTheme="majorEastAsia" w:hAnsiTheme="majorEastAsia" w:eastAsiaTheme="majorEastAsia"/>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137"/>
              <w:rPr>
                <w:rFonts w:asciiTheme="majorEastAsia" w:hAnsiTheme="majorEastAsia" w:eastAsiaTheme="majorEastAsia"/>
              </w:rPr>
            </w:pPr>
            <w:r>
              <w:rPr>
                <w:rFonts w:hint="eastAsia" w:cs="仿宋" w:asciiTheme="majorEastAsia" w:hAnsiTheme="majorEastAsia" w:eastAsiaTheme="majorEastAsia"/>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137"/>
              <w:rPr>
                <w:rFonts w:asciiTheme="majorEastAsia" w:hAnsiTheme="majorEastAsia" w:eastAsiaTheme="majorEastAsia"/>
              </w:rPr>
            </w:pPr>
            <w:r>
              <w:rPr>
                <w:rFonts w:hint="eastAsia" w:cs="仿宋" w:asciiTheme="majorEastAsia" w:hAnsiTheme="majorEastAsia" w:eastAsiaTheme="majorEastAsia"/>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137"/>
              <w:rPr>
                <w:rFonts w:asciiTheme="majorEastAsia" w:hAnsiTheme="majorEastAsia" w:eastAsiaTheme="majorEastAsia"/>
              </w:rPr>
            </w:pPr>
            <w:r>
              <w:rPr>
                <w:rFonts w:hint="eastAsia" w:cs="仿宋" w:asciiTheme="majorEastAsia" w:hAnsiTheme="majorEastAsia" w:eastAsiaTheme="majorEastAsia"/>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2294" w:type="dxa"/>
            <w:gridSpan w:val="4"/>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181"/>
              <w:rPr>
                <w:rFonts w:asciiTheme="majorEastAsia" w:hAnsiTheme="majorEastAsia" w:eastAsiaTheme="majorEastAsia"/>
              </w:rPr>
            </w:pPr>
            <w:r>
              <w:rPr>
                <w:rFonts w:hint="eastAsia" w:cs="仿宋" w:asciiTheme="majorEastAsia" w:hAnsiTheme="majorEastAsia" w:eastAsiaTheme="majorEastAsia"/>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r>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6"/>
              <w:ind w:left="137"/>
              <w:rPr>
                <w:rFonts w:asciiTheme="majorEastAsia" w:hAnsiTheme="majorEastAsia" w:eastAsiaTheme="majorEastAsia"/>
              </w:rPr>
            </w:pPr>
            <w:r>
              <w:rPr>
                <w:rFonts w:hint="eastAsia" w:cs="仿宋" w:asciiTheme="majorEastAsia" w:hAnsiTheme="majorEastAsia" w:eastAsiaTheme="majorEastAsia"/>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r>
      <w:tr>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1" w:line="312" w:lineRule="exact"/>
              <w:ind w:left="257" w:right="133" w:hanging="120"/>
              <w:rPr>
                <w:rFonts w:asciiTheme="majorEastAsia" w:hAnsiTheme="majorEastAsia" w:eastAsiaTheme="majorEastAsia"/>
              </w:rPr>
            </w:pPr>
            <w:r>
              <w:rPr>
                <w:rFonts w:hint="eastAsia" w:cs="仿宋" w:asciiTheme="majorEastAsia" w:hAnsiTheme="majorEastAsia" w:eastAsiaTheme="majorEastAsia"/>
              </w:rPr>
              <w:t>投标期间</w:t>
            </w:r>
            <w:r>
              <w:rPr>
                <w:rFonts w:cs="仿宋" w:asciiTheme="majorEastAsia" w:hAnsiTheme="majorEastAsia" w:eastAsiaTheme="majorEastAsia"/>
              </w:rPr>
              <w:t xml:space="preserve"> </w:t>
            </w:r>
            <w:r>
              <w:rPr>
                <w:rFonts w:hint="eastAsia" w:cs="仿宋" w:asciiTheme="majorEastAsia" w:hAnsiTheme="majorEastAsia" w:eastAsiaTheme="majorEastAsia"/>
              </w:rPr>
              <w:t>联系人</w:t>
            </w: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1342" w:type="dxa"/>
            <w:gridSpan w:val="2"/>
            <w:tcBorders>
              <w:top w:val="single" w:color="000000" w:sz="4" w:space="0"/>
              <w:left w:val="single" w:color="000000" w:sz="4" w:space="0"/>
              <w:bottom w:val="single" w:color="000000" w:sz="4" w:space="0"/>
              <w:right w:val="single" w:color="000000" w:sz="4" w:space="0"/>
            </w:tcBorders>
          </w:tcPr>
          <w:p>
            <w:pPr>
              <w:pStyle w:val="118"/>
              <w:kinsoku w:val="0"/>
              <w:overflowPunct w:val="0"/>
              <w:spacing w:before="4"/>
              <w:rPr>
                <w:rFonts w:cs="仿宋" w:asciiTheme="majorEastAsia" w:hAnsiTheme="majorEastAsia" w:eastAsiaTheme="majorEastAsia"/>
                <w:b/>
                <w:bCs/>
                <w:sz w:val="20"/>
                <w:szCs w:val="20"/>
              </w:rPr>
            </w:pPr>
          </w:p>
          <w:p>
            <w:pPr>
              <w:pStyle w:val="118"/>
              <w:kinsoku w:val="0"/>
              <w:overflowPunct w:val="0"/>
              <w:ind w:left="366"/>
              <w:rPr>
                <w:rFonts w:asciiTheme="majorEastAsia" w:hAnsiTheme="majorEastAsia" w:eastAsiaTheme="majorEastAsia"/>
              </w:rPr>
            </w:pPr>
            <w:r>
              <w:rPr>
                <w:rFonts w:hint="eastAsia" w:cs="仿宋" w:asciiTheme="majorEastAsia" w:hAnsiTheme="majorEastAsia" w:eastAsiaTheme="majorEastAsia"/>
              </w:rPr>
              <w:t>电</w:t>
            </w:r>
            <w:r>
              <w:rPr>
                <w:rFonts w:cs="仿宋" w:asciiTheme="majorEastAsia" w:hAnsiTheme="majorEastAsia" w:eastAsiaTheme="majorEastAsia"/>
              </w:rPr>
              <w:t xml:space="preserve"> </w:t>
            </w:r>
            <w:r>
              <w:rPr>
                <w:rFonts w:hint="eastAsia" w:cs="仿宋" w:asciiTheme="majorEastAsia" w:hAnsiTheme="majorEastAsia" w:eastAsiaTheme="majorEastAsia"/>
              </w:rPr>
              <w:t>话</w:t>
            </w:r>
          </w:p>
        </w:tc>
        <w:tc>
          <w:tcPr>
            <w:tcW w:w="1343"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1377" w:type="dxa"/>
            <w:gridSpan w:val="3"/>
            <w:tcBorders>
              <w:top w:val="single" w:color="000000" w:sz="4" w:space="0"/>
              <w:left w:val="single" w:color="000000" w:sz="4" w:space="0"/>
              <w:bottom w:val="single" w:color="000000" w:sz="4" w:space="0"/>
              <w:right w:val="single" w:color="000000" w:sz="4" w:space="0"/>
            </w:tcBorders>
          </w:tcPr>
          <w:p>
            <w:pPr>
              <w:pStyle w:val="118"/>
              <w:kinsoku w:val="0"/>
              <w:overflowPunct w:val="0"/>
              <w:spacing w:before="4"/>
              <w:rPr>
                <w:rFonts w:cs="仿宋" w:asciiTheme="majorEastAsia" w:hAnsiTheme="majorEastAsia" w:eastAsiaTheme="majorEastAsia"/>
                <w:b/>
                <w:bCs/>
                <w:sz w:val="20"/>
                <w:szCs w:val="20"/>
              </w:rPr>
            </w:pPr>
          </w:p>
          <w:p>
            <w:pPr>
              <w:pStyle w:val="118"/>
              <w:kinsoku w:val="0"/>
              <w:overflowPunct w:val="0"/>
              <w:ind w:left="383"/>
              <w:rPr>
                <w:rFonts w:asciiTheme="majorEastAsia" w:hAnsiTheme="majorEastAsia" w:eastAsiaTheme="majorEastAsia"/>
              </w:rPr>
            </w:pPr>
            <w:r>
              <w:rPr>
                <w:rFonts w:hint="eastAsia" w:cs="仿宋" w:asciiTheme="majorEastAsia" w:hAnsiTheme="majorEastAsia" w:eastAsiaTheme="majorEastAsia"/>
              </w:rPr>
              <w:t>传</w:t>
            </w:r>
            <w:r>
              <w:rPr>
                <w:rFonts w:cs="仿宋" w:asciiTheme="majorEastAsia" w:hAnsiTheme="majorEastAsia" w:eastAsiaTheme="majorEastAsia"/>
              </w:rPr>
              <w:t xml:space="preserve"> </w:t>
            </w:r>
            <w:r>
              <w:rPr>
                <w:rFonts w:hint="eastAsia" w:cs="仿宋" w:asciiTheme="majorEastAsia" w:hAnsiTheme="majorEastAsia" w:eastAsiaTheme="majorEastAsia"/>
              </w:rPr>
              <w:t>真</w:t>
            </w:r>
          </w:p>
        </w:tc>
        <w:tc>
          <w:tcPr>
            <w:tcW w:w="196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r>
      <w:tr>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pPr>
              <w:pStyle w:val="118"/>
              <w:kinsoku w:val="0"/>
              <w:overflowPunct w:val="0"/>
              <w:rPr>
                <w:rFonts w:cs="仿宋" w:asciiTheme="majorEastAsia" w:hAnsiTheme="majorEastAsia" w:eastAsiaTheme="majorEastAsia"/>
                <w:b/>
                <w:bCs/>
              </w:rPr>
            </w:pPr>
          </w:p>
          <w:p>
            <w:pPr>
              <w:pStyle w:val="118"/>
              <w:kinsoku w:val="0"/>
              <w:overflowPunct w:val="0"/>
              <w:rPr>
                <w:rFonts w:cs="仿宋" w:asciiTheme="majorEastAsia" w:hAnsiTheme="majorEastAsia" w:eastAsiaTheme="majorEastAsia"/>
                <w:b/>
                <w:bCs/>
              </w:rPr>
            </w:pPr>
          </w:p>
          <w:p>
            <w:pPr>
              <w:pStyle w:val="118"/>
              <w:kinsoku w:val="0"/>
              <w:overflowPunct w:val="0"/>
              <w:rPr>
                <w:rFonts w:cs="仿宋" w:asciiTheme="majorEastAsia" w:hAnsiTheme="majorEastAsia" w:eastAsiaTheme="majorEastAsia"/>
                <w:b/>
                <w:bCs/>
              </w:rPr>
            </w:pPr>
          </w:p>
          <w:p>
            <w:pPr>
              <w:pStyle w:val="118"/>
              <w:kinsoku w:val="0"/>
              <w:overflowPunct w:val="0"/>
              <w:spacing w:line="475" w:lineRule="auto"/>
              <w:ind w:left="497" w:right="493"/>
              <w:jc w:val="both"/>
              <w:rPr>
                <w:rFonts w:asciiTheme="majorEastAsia" w:hAnsiTheme="majorEastAsia" w:eastAsiaTheme="majorEastAsia"/>
              </w:rPr>
            </w:pPr>
            <w:r>
              <w:rPr>
                <w:rFonts w:hint="eastAsia" w:cs="仿宋" w:asciiTheme="majorEastAsia" w:hAnsiTheme="majorEastAsia" w:eastAsiaTheme="majorEastAsia"/>
              </w:rPr>
              <w:t>职</w:t>
            </w:r>
            <w:r>
              <w:rPr>
                <w:rFonts w:cs="仿宋" w:asciiTheme="majorEastAsia" w:hAnsiTheme="majorEastAsia" w:eastAsiaTheme="majorEastAsia"/>
              </w:rPr>
              <w:t xml:space="preserve"> </w:t>
            </w:r>
            <w:r>
              <w:rPr>
                <w:rFonts w:hint="eastAsia" w:cs="仿宋" w:asciiTheme="majorEastAsia" w:hAnsiTheme="majorEastAsia" w:eastAsiaTheme="majorEastAsia"/>
              </w:rPr>
              <w:t>工</w:t>
            </w:r>
            <w:r>
              <w:rPr>
                <w:rFonts w:cs="仿宋" w:asciiTheme="majorEastAsia" w:hAnsiTheme="majorEastAsia" w:eastAsiaTheme="majorEastAsia"/>
              </w:rPr>
              <w:t xml:space="preserve"> </w:t>
            </w:r>
            <w:r>
              <w:rPr>
                <w:rFonts w:hint="eastAsia" w:cs="仿宋" w:asciiTheme="majorEastAsia" w:hAnsiTheme="majorEastAsia" w:eastAsiaTheme="majorEastAsia"/>
              </w:rPr>
              <w:t>概</w:t>
            </w:r>
            <w:r>
              <w:rPr>
                <w:rFonts w:cs="仿宋" w:asciiTheme="majorEastAsia" w:hAnsiTheme="majorEastAsia" w:eastAsiaTheme="majorEastAsia"/>
              </w:rPr>
              <w:t xml:space="preserve"> </w:t>
            </w:r>
            <w:r>
              <w:rPr>
                <w:rFonts w:hint="eastAsia" w:cs="仿宋" w:asciiTheme="majorEastAsia" w:hAnsiTheme="majorEastAsia" w:eastAsiaTheme="majorEastAsia"/>
              </w:rPr>
              <w:t>况</w:t>
            </w:r>
          </w:p>
        </w:tc>
        <w:tc>
          <w:tcPr>
            <w:tcW w:w="1445"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4"/>
              <w:ind w:left="236"/>
              <w:rPr>
                <w:rFonts w:asciiTheme="majorEastAsia" w:hAnsiTheme="majorEastAsia" w:eastAsiaTheme="majorEastAsia"/>
              </w:rPr>
            </w:pPr>
            <w:r>
              <w:rPr>
                <w:rFonts w:hint="eastAsia" w:cs="仿宋" w:asciiTheme="majorEastAsia" w:hAnsiTheme="majorEastAsia" w:eastAsiaTheme="majorEastAsia"/>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2168" w:type="dxa"/>
            <w:gridSpan w:val="4"/>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4"/>
              <w:ind w:left="118"/>
              <w:rPr>
                <w:rFonts w:asciiTheme="majorEastAsia" w:hAnsiTheme="majorEastAsia" w:eastAsiaTheme="majorEastAsia"/>
              </w:rPr>
            </w:pPr>
            <w:r>
              <w:rPr>
                <w:rFonts w:hint="eastAsia" w:cs="仿宋" w:asciiTheme="majorEastAsia" w:hAnsiTheme="majorEastAsia" w:eastAsiaTheme="majorEastAsia"/>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7472" w:type="dxa"/>
            <w:gridSpan w:val="9"/>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jc w:val="center"/>
              <w:rPr>
                <w:rFonts w:asciiTheme="majorEastAsia" w:hAnsiTheme="majorEastAsia" w:eastAsiaTheme="majorEastAsia"/>
                <w:lang w:eastAsia="zh-CN"/>
              </w:rPr>
            </w:pPr>
            <w:r>
              <w:rPr>
                <w:rFonts w:hint="eastAsia" w:cs="仿宋" w:asciiTheme="majorEastAsia" w:hAnsiTheme="majorEastAsia" w:eastAsiaTheme="majorEastAsia"/>
                <w:lang w:eastAsia="zh-CN"/>
              </w:rPr>
              <w:t>单位行政和技术负责人</w:t>
            </w: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jc w:val="center"/>
              <w:rPr>
                <w:rFonts w:asciiTheme="majorEastAsia" w:hAnsiTheme="majorEastAsia" w:eastAsiaTheme="majorEastAsia"/>
                <w:lang w:eastAsia="zh-CN"/>
              </w:rPr>
            </w:pPr>
          </w:p>
        </w:tc>
        <w:tc>
          <w:tcPr>
            <w:tcW w:w="1445"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416"/>
              <w:rPr>
                <w:rFonts w:asciiTheme="majorEastAsia" w:hAnsiTheme="majorEastAsia" w:eastAsiaTheme="majorEastAsia"/>
              </w:rPr>
            </w:pPr>
            <w:r>
              <w:rPr>
                <w:rFonts w:hint="eastAsia" w:cs="仿宋" w:asciiTheme="majorEastAsia" w:hAnsiTheme="majorEastAsia" w:eastAsiaTheme="majorEastAsia"/>
              </w:rPr>
              <w:t>姓</w:t>
            </w:r>
            <w:r>
              <w:rPr>
                <w:rFonts w:cs="仿宋" w:asciiTheme="majorEastAsia" w:hAnsiTheme="majorEastAsia" w:eastAsiaTheme="majorEastAsia"/>
              </w:rPr>
              <w:t xml:space="preserve"> </w:t>
            </w:r>
            <w:r>
              <w:rPr>
                <w:rFonts w:hint="eastAsia" w:cs="仿宋" w:asciiTheme="majorEastAsia" w:hAnsiTheme="majorEastAsia" w:eastAsiaTheme="majorEastAsia"/>
              </w:rPr>
              <w:t>名</w:t>
            </w:r>
          </w:p>
        </w:tc>
        <w:tc>
          <w:tcPr>
            <w:tcW w:w="1997" w:type="dxa"/>
            <w:gridSpan w:val="3"/>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452"/>
              <w:rPr>
                <w:rFonts w:asciiTheme="majorEastAsia" w:hAnsiTheme="majorEastAsia" w:eastAsiaTheme="majorEastAsia"/>
              </w:rPr>
            </w:pPr>
            <w:r>
              <w:rPr>
                <w:rFonts w:hint="eastAsia" w:cs="仿宋" w:asciiTheme="majorEastAsia" w:hAnsiTheme="majorEastAsia" w:eastAsiaTheme="majorEastAsia"/>
              </w:rPr>
              <w:t>职务</w:t>
            </w:r>
            <w:r>
              <w:rPr>
                <w:rFonts w:cs="仿宋" w:asciiTheme="majorEastAsia" w:hAnsiTheme="majorEastAsia" w:eastAsiaTheme="majorEastAsia"/>
              </w:rPr>
              <w:t>/</w:t>
            </w:r>
            <w:r>
              <w:rPr>
                <w:rFonts w:hint="eastAsia" w:cs="仿宋" w:asciiTheme="majorEastAsia" w:hAnsiTheme="majorEastAsia" w:eastAsiaTheme="majorEastAsia"/>
              </w:rPr>
              <w:t>职称</w:t>
            </w:r>
          </w:p>
        </w:tc>
        <w:tc>
          <w:tcPr>
            <w:tcW w:w="1513" w:type="dxa"/>
            <w:gridSpan w:val="3"/>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450"/>
              <w:rPr>
                <w:rFonts w:asciiTheme="majorEastAsia" w:hAnsiTheme="majorEastAsia" w:eastAsiaTheme="majorEastAsia"/>
              </w:rPr>
            </w:pPr>
            <w:r>
              <w:rPr>
                <w:rFonts w:hint="eastAsia" w:cs="仿宋" w:asciiTheme="majorEastAsia" w:hAnsiTheme="majorEastAsia" w:eastAsiaTheme="majorEastAsia"/>
              </w:rPr>
              <w:t>年</w:t>
            </w:r>
            <w:r>
              <w:rPr>
                <w:rFonts w:cs="仿宋" w:asciiTheme="majorEastAsia" w:hAnsiTheme="majorEastAsia" w:eastAsiaTheme="majorEastAsia"/>
              </w:rPr>
              <w:t xml:space="preserve"> </w:t>
            </w:r>
            <w:r>
              <w:rPr>
                <w:rFonts w:hint="eastAsia" w:cs="仿宋" w:asciiTheme="majorEastAsia" w:hAnsiTheme="majorEastAsia" w:eastAsiaTheme="majorEastAsia"/>
              </w:rPr>
              <w:t>龄</w:t>
            </w:r>
          </w:p>
        </w:tc>
        <w:tc>
          <w:tcPr>
            <w:tcW w:w="2517" w:type="dxa"/>
            <w:gridSpan w:val="2"/>
            <w:tcBorders>
              <w:top w:val="single" w:color="000000" w:sz="4" w:space="0"/>
              <w:left w:val="single" w:color="000000" w:sz="4" w:space="0"/>
              <w:bottom w:val="single" w:color="000000" w:sz="4" w:space="0"/>
              <w:right w:val="single" w:color="000000" w:sz="4" w:space="0"/>
            </w:tcBorders>
          </w:tcPr>
          <w:p>
            <w:pPr>
              <w:pStyle w:val="118"/>
              <w:tabs>
                <w:tab w:val="left" w:pos="479"/>
              </w:tabs>
              <w:kinsoku w:val="0"/>
              <w:overflowPunct w:val="0"/>
              <w:spacing w:before="145"/>
              <w:ind w:right="1"/>
              <w:jc w:val="center"/>
              <w:rPr>
                <w:rFonts w:asciiTheme="majorEastAsia" w:hAnsiTheme="majorEastAsia" w:eastAsiaTheme="majorEastAsia"/>
              </w:rPr>
            </w:pPr>
            <w:r>
              <w:rPr>
                <w:rFonts w:hint="eastAsia" w:cs="仿宋" w:asciiTheme="majorEastAsia" w:hAnsiTheme="majorEastAsia" w:eastAsiaTheme="majorEastAsia"/>
              </w:rPr>
              <w:t>专</w:t>
            </w:r>
            <w:r>
              <w:rPr>
                <w:rFonts w:cs="仿宋" w:asciiTheme="majorEastAsia" w:hAnsiTheme="majorEastAsia" w:eastAsiaTheme="majorEastAsia"/>
              </w:rPr>
              <w:tab/>
            </w:r>
            <w:r>
              <w:rPr>
                <w:rFonts w:hint="eastAsia" w:cs="仿宋" w:asciiTheme="majorEastAsia" w:hAnsiTheme="majorEastAsia" w:eastAsiaTheme="majorEastAsia"/>
              </w:rPr>
              <w:t>业</w:t>
            </w: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118"/>
              <w:tabs>
                <w:tab w:val="left" w:pos="479"/>
              </w:tabs>
              <w:kinsoku w:val="0"/>
              <w:overflowPunct w:val="0"/>
              <w:spacing w:before="145"/>
              <w:ind w:right="1"/>
              <w:jc w:val="center"/>
              <w:rPr>
                <w:rFonts w:asciiTheme="majorEastAsia" w:hAnsiTheme="majorEastAsia" w:eastAsiaTheme="majorEastAsia"/>
              </w:rPr>
            </w:pP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r>
      <w:tr>
        <w:tblPrEx>
          <w:tblCellMar>
            <w:top w:w="0" w:type="dxa"/>
            <w:left w:w="0" w:type="dxa"/>
            <w:bottom w:w="0" w:type="dxa"/>
            <w:right w:w="0" w:type="dxa"/>
          </w:tblCellMar>
        </w:tblPrEx>
        <w:trPr>
          <w:trHeight w:val="233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8"/>
              <w:kinsoku w:val="0"/>
              <w:overflowPunct w:val="0"/>
              <w:rPr>
                <w:rFonts w:cs="仿宋" w:asciiTheme="majorEastAsia" w:hAnsiTheme="majorEastAsia" w:eastAsiaTheme="majorEastAsia"/>
                <w:b/>
                <w:bCs/>
              </w:rPr>
            </w:pPr>
          </w:p>
          <w:p>
            <w:pPr>
              <w:pStyle w:val="118"/>
              <w:kinsoku w:val="0"/>
              <w:overflowPunct w:val="0"/>
              <w:spacing w:before="1"/>
              <w:rPr>
                <w:rFonts w:cs="仿宋" w:asciiTheme="majorEastAsia" w:hAnsiTheme="majorEastAsia" w:eastAsiaTheme="majorEastAsia"/>
                <w:b/>
                <w:bCs/>
                <w:sz w:val="23"/>
                <w:szCs w:val="23"/>
              </w:rPr>
            </w:pPr>
          </w:p>
          <w:p>
            <w:pPr>
              <w:pStyle w:val="118"/>
              <w:kinsoku w:val="0"/>
              <w:overflowPunct w:val="0"/>
              <w:spacing w:line="237" w:lineRule="auto"/>
              <w:ind w:left="497" w:right="493"/>
              <w:jc w:val="both"/>
              <w:rPr>
                <w:rFonts w:asciiTheme="majorEastAsia" w:hAnsiTheme="majorEastAsia" w:eastAsiaTheme="majorEastAsia"/>
              </w:rPr>
            </w:pPr>
            <w:r>
              <w:rPr>
                <w:rFonts w:hint="eastAsia" w:cs="仿宋" w:asciiTheme="majorEastAsia" w:hAnsiTheme="majorEastAsia" w:eastAsiaTheme="majorEastAsia"/>
              </w:rPr>
              <w:t>单</w:t>
            </w:r>
            <w:r>
              <w:rPr>
                <w:rFonts w:cs="仿宋" w:asciiTheme="majorEastAsia" w:hAnsiTheme="majorEastAsia" w:eastAsiaTheme="majorEastAsia"/>
              </w:rPr>
              <w:t xml:space="preserve"> </w:t>
            </w:r>
            <w:r>
              <w:rPr>
                <w:rFonts w:hint="eastAsia" w:cs="仿宋" w:asciiTheme="majorEastAsia" w:hAnsiTheme="majorEastAsia" w:eastAsiaTheme="majorEastAsia"/>
              </w:rPr>
              <w:t>位</w:t>
            </w:r>
            <w:r>
              <w:rPr>
                <w:rFonts w:cs="仿宋" w:asciiTheme="majorEastAsia" w:hAnsiTheme="majorEastAsia" w:eastAsiaTheme="majorEastAsia"/>
              </w:rPr>
              <w:t xml:space="preserve"> </w:t>
            </w:r>
            <w:r>
              <w:rPr>
                <w:rFonts w:hint="eastAsia" w:cs="仿宋" w:asciiTheme="majorEastAsia" w:hAnsiTheme="majorEastAsia" w:eastAsiaTheme="majorEastAsia"/>
              </w:rPr>
              <w:t>概</w:t>
            </w:r>
            <w:r>
              <w:rPr>
                <w:rFonts w:cs="仿宋" w:asciiTheme="majorEastAsia" w:hAnsiTheme="majorEastAsia" w:eastAsiaTheme="majorEastAsia"/>
              </w:rPr>
              <w:t xml:space="preserve"> </w:t>
            </w:r>
            <w:r>
              <w:rPr>
                <w:rFonts w:hint="eastAsia" w:cs="仿宋" w:asciiTheme="majorEastAsia" w:hAnsiTheme="majorEastAsia" w:eastAsiaTheme="majorEastAsia"/>
              </w:rPr>
              <w:t>况</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r>
    </w:tbl>
    <w:p>
      <w:pPr>
        <w:pStyle w:val="14"/>
        <w:kinsoku w:val="0"/>
        <w:overflowPunct w:val="0"/>
        <w:spacing w:before="26" w:line="320" w:lineRule="auto"/>
        <w:jc w:val="center"/>
        <w:rPr>
          <w:rFonts w:asciiTheme="majorEastAsia" w:hAnsiTheme="majorEastAsia" w:eastAsiaTheme="majorEastAsia"/>
          <w:b/>
          <w:bCs/>
          <w:w w:val="95"/>
        </w:rPr>
      </w:pPr>
      <w:r>
        <w:rPr>
          <w:rFonts w:asciiTheme="majorEastAsia" w:hAnsiTheme="majorEastAsia" w:eastAsiaTheme="majorEastAsia"/>
          <w:b/>
          <w:bCs/>
          <w:w w:val="95"/>
        </w:rPr>
        <w:br w:type="page"/>
      </w:r>
    </w:p>
    <w:p>
      <w:pPr>
        <w:pStyle w:val="14"/>
        <w:keepNext w:val="0"/>
        <w:keepLines w:val="0"/>
        <w:pageBreakBefore w:val="0"/>
        <w:widowControl w:val="0"/>
        <w:kinsoku w:val="0"/>
        <w:wordWrap/>
        <w:overflowPunct w:val="0"/>
        <w:topLinePunct w:val="0"/>
        <w:bidi w:val="0"/>
        <w:adjustRightInd/>
        <w:snapToGrid/>
        <w:spacing w:line="300" w:lineRule="exact"/>
        <w:ind w:left="0" w:right="0"/>
        <w:jc w:val="left"/>
        <w:textAlignment w:val="auto"/>
        <w:rPr>
          <w:rFonts w:hint="eastAsia" w:ascii="宋体" w:hAnsi="宋体" w:eastAsia="宋体" w:cs="宋体"/>
          <w:sz w:val="24"/>
          <w:szCs w:val="32"/>
        </w:rPr>
      </w:pPr>
      <w:r>
        <w:rPr>
          <w:rFonts w:hint="eastAsia" w:ascii="宋体" w:hAnsi="宋体" w:eastAsia="宋体" w:cs="宋体"/>
          <w:b/>
          <w:bCs/>
          <w:w w:val="95"/>
          <w:sz w:val="24"/>
          <w:szCs w:val="32"/>
          <w:lang w:val="en-US" w:eastAsia="zh-CN"/>
        </w:rPr>
        <w:t>4.2</w:t>
      </w:r>
      <w:r>
        <w:rPr>
          <w:rFonts w:hint="eastAsia" w:ascii="宋体" w:hAnsi="宋体" w:eastAsia="宋体" w:cs="宋体"/>
          <w:b/>
          <w:bCs/>
          <w:w w:val="95"/>
          <w:sz w:val="24"/>
          <w:szCs w:val="32"/>
        </w:rPr>
        <w:t>营</w:t>
      </w:r>
      <w:r>
        <w:rPr>
          <w:rFonts w:hint="eastAsia" w:ascii="宋体" w:hAnsi="宋体" w:eastAsia="宋体" w:cs="宋体"/>
          <w:b/>
          <w:bCs/>
          <w:spacing w:val="1"/>
          <w:w w:val="95"/>
          <w:sz w:val="24"/>
          <w:szCs w:val="32"/>
        </w:rPr>
        <w:t>业</w:t>
      </w:r>
      <w:r>
        <w:rPr>
          <w:rFonts w:hint="eastAsia" w:ascii="宋体" w:hAnsi="宋体" w:eastAsia="宋体" w:cs="宋体"/>
          <w:b/>
          <w:bCs/>
          <w:w w:val="95"/>
          <w:sz w:val="24"/>
          <w:szCs w:val="32"/>
        </w:rPr>
        <w:t>执</w:t>
      </w:r>
      <w:r>
        <w:rPr>
          <w:rFonts w:hint="eastAsia" w:ascii="宋体" w:hAnsi="宋体" w:eastAsia="宋体" w:cs="宋体"/>
          <w:b/>
          <w:bCs/>
          <w:spacing w:val="1"/>
          <w:w w:val="95"/>
          <w:sz w:val="24"/>
          <w:szCs w:val="32"/>
        </w:rPr>
        <w:t>照</w:t>
      </w:r>
      <w:r>
        <w:rPr>
          <w:rFonts w:hint="eastAsia" w:ascii="宋体" w:hAnsi="宋体" w:eastAsia="宋体" w:cs="宋体"/>
          <w:b/>
          <w:bCs/>
          <w:w w:val="95"/>
          <w:sz w:val="24"/>
          <w:szCs w:val="32"/>
        </w:rPr>
        <w:t>副本</w:t>
      </w:r>
      <w:r>
        <w:rPr>
          <w:rFonts w:hint="eastAsia" w:ascii="宋体" w:hAnsi="宋体" w:eastAsia="宋体" w:cs="宋体"/>
          <w:b/>
          <w:bCs/>
          <w:spacing w:val="-15"/>
          <w:w w:val="95"/>
          <w:sz w:val="24"/>
          <w:szCs w:val="32"/>
        </w:rPr>
        <w:t>、</w:t>
      </w:r>
      <w:r>
        <w:rPr>
          <w:rFonts w:hint="eastAsia" w:ascii="宋体" w:hAnsi="宋体" w:eastAsia="宋体" w:cs="宋体"/>
          <w:b/>
          <w:bCs/>
          <w:w w:val="95"/>
          <w:sz w:val="24"/>
          <w:szCs w:val="32"/>
        </w:rPr>
        <w:t>税</w:t>
      </w:r>
      <w:r>
        <w:rPr>
          <w:rFonts w:hint="eastAsia" w:ascii="宋体" w:hAnsi="宋体" w:eastAsia="宋体" w:cs="宋体"/>
          <w:b/>
          <w:bCs/>
          <w:spacing w:val="1"/>
          <w:w w:val="95"/>
          <w:sz w:val="24"/>
          <w:szCs w:val="32"/>
        </w:rPr>
        <w:t>务</w:t>
      </w:r>
      <w:r>
        <w:rPr>
          <w:rFonts w:hint="eastAsia" w:ascii="宋体" w:hAnsi="宋体" w:eastAsia="宋体" w:cs="宋体"/>
          <w:b/>
          <w:bCs/>
          <w:w w:val="95"/>
          <w:sz w:val="24"/>
          <w:szCs w:val="32"/>
        </w:rPr>
        <w:t>登</w:t>
      </w:r>
      <w:r>
        <w:rPr>
          <w:rFonts w:hint="eastAsia" w:ascii="宋体" w:hAnsi="宋体" w:eastAsia="宋体" w:cs="宋体"/>
          <w:b/>
          <w:bCs/>
          <w:spacing w:val="1"/>
          <w:w w:val="95"/>
          <w:sz w:val="24"/>
          <w:szCs w:val="32"/>
        </w:rPr>
        <w:t>记</w:t>
      </w:r>
      <w:r>
        <w:rPr>
          <w:rFonts w:hint="eastAsia" w:ascii="宋体" w:hAnsi="宋体" w:eastAsia="宋体" w:cs="宋体"/>
          <w:b/>
          <w:bCs/>
          <w:w w:val="95"/>
          <w:sz w:val="24"/>
          <w:szCs w:val="32"/>
        </w:rPr>
        <w:t>证</w:t>
      </w:r>
      <w:r>
        <w:rPr>
          <w:rFonts w:hint="eastAsia" w:ascii="宋体" w:hAnsi="宋体" w:eastAsia="宋体" w:cs="宋体"/>
          <w:b/>
          <w:bCs/>
          <w:spacing w:val="-17"/>
          <w:w w:val="95"/>
          <w:sz w:val="24"/>
          <w:szCs w:val="32"/>
        </w:rPr>
        <w:t>、</w:t>
      </w:r>
      <w:r>
        <w:rPr>
          <w:rFonts w:hint="eastAsia" w:ascii="宋体" w:hAnsi="宋体" w:eastAsia="宋体" w:cs="宋体"/>
          <w:b/>
          <w:bCs/>
          <w:w w:val="95"/>
          <w:sz w:val="24"/>
          <w:szCs w:val="32"/>
        </w:rPr>
        <w:t>组</w:t>
      </w:r>
      <w:r>
        <w:rPr>
          <w:rFonts w:hint="eastAsia" w:ascii="宋体" w:hAnsi="宋体" w:eastAsia="宋体" w:cs="宋体"/>
          <w:b/>
          <w:bCs/>
          <w:spacing w:val="1"/>
          <w:w w:val="95"/>
          <w:sz w:val="24"/>
          <w:szCs w:val="32"/>
        </w:rPr>
        <w:t>织</w:t>
      </w:r>
      <w:r>
        <w:rPr>
          <w:rFonts w:hint="eastAsia" w:ascii="宋体" w:hAnsi="宋体" w:eastAsia="宋体" w:cs="宋体"/>
          <w:b/>
          <w:bCs/>
          <w:w w:val="95"/>
          <w:sz w:val="24"/>
          <w:szCs w:val="32"/>
        </w:rPr>
        <w:t>机</w:t>
      </w:r>
      <w:r>
        <w:rPr>
          <w:rFonts w:hint="eastAsia" w:ascii="宋体" w:hAnsi="宋体" w:eastAsia="宋体" w:cs="宋体"/>
          <w:b/>
          <w:bCs/>
          <w:spacing w:val="1"/>
          <w:w w:val="95"/>
          <w:sz w:val="24"/>
          <w:szCs w:val="32"/>
        </w:rPr>
        <w:t>构</w:t>
      </w:r>
      <w:r>
        <w:rPr>
          <w:rFonts w:hint="eastAsia" w:ascii="宋体" w:hAnsi="宋体" w:eastAsia="宋体" w:cs="宋体"/>
          <w:b/>
          <w:bCs/>
          <w:w w:val="95"/>
          <w:sz w:val="24"/>
          <w:szCs w:val="32"/>
        </w:rPr>
        <w:t>代码</w:t>
      </w:r>
      <w:r>
        <w:rPr>
          <w:rFonts w:hint="eastAsia" w:ascii="宋体" w:hAnsi="宋体" w:eastAsia="宋体" w:cs="宋体"/>
          <w:b/>
          <w:bCs/>
          <w:spacing w:val="1"/>
          <w:w w:val="95"/>
          <w:sz w:val="24"/>
          <w:szCs w:val="32"/>
        </w:rPr>
        <w:t>证</w:t>
      </w:r>
      <w:r>
        <w:rPr>
          <w:rFonts w:hint="eastAsia" w:ascii="宋体" w:hAnsi="宋体" w:eastAsia="宋体" w:cs="宋体"/>
          <w:b/>
          <w:bCs/>
          <w:spacing w:val="-33"/>
          <w:w w:val="95"/>
          <w:sz w:val="24"/>
          <w:szCs w:val="32"/>
        </w:rPr>
        <w:t>、</w:t>
      </w:r>
      <w:r>
        <w:rPr>
          <w:rFonts w:hint="eastAsia" w:ascii="宋体" w:hAnsi="宋体" w:eastAsia="宋体" w:cs="宋体"/>
          <w:b/>
          <w:bCs/>
          <w:w w:val="95"/>
          <w:sz w:val="24"/>
          <w:szCs w:val="32"/>
        </w:rPr>
        <w:t>（三</w:t>
      </w:r>
      <w:r>
        <w:rPr>
          <w:rFonts w:hint="eastAsia" w:ascii="宋体" w:hAnsi="宋体" w:eastAsia="宋体" w:cs="宋体"/>
          <w:b/>
          <w:bCs/>
          <w:spacing w:val="1"/>
          <w:w w:val="95"/>
          <w:sz w:val="24"/>
          <w:szCs w:val="32"/>
        </w:rPr>
        <w:t>证</w:t>
      </w:r>
      <w:r>
        <w:rPr>
          <w:rFonts w:hint="eastAsia" w:ascii="宋体" w:hAnsi="宋体" w:eastAsia="宋体" w:cs="宋体"/>
          <w:b/>
          <w:bCs/>
          <w:w w:val="95"/>
          <w:sz w:val="24"/>
          <w:szCs w:val="32"/>
        </w:rPr>
        <w:t>合</w:t>
      </w:r>
      <w:r>
        <w:rPr>
          <w:rFonts w:hint="eastAsia" w:ascii="宋体" w:hAnsi="宋体" w:eastAsia="宋体" w:cs="宋体"/>
          <w:b/>
          <w:bCs/>
          <w:spacing w:val="1"/>
          <w:w w:val="95"/>
          <w:sz w:val="24"/>
          <w:szCs w:val="32"/>
        </w:rPr>
        <w:t>一</w:t>
      </w:r>
      <w:r>
        <w:rPr>
          <w:rFonts w:hint="eastAsia" w:ascii="宋体" w:hAnsi="宋体" w:eastAsia="宋体" w:cs="宋体"/>
          <w:b/>
          <w:bCs/>
          <w:w w:val="95"/>
          <w:sz w:val="24"/>
          <w:szCs w:val="32"/>
        </w:rPr>
        <w:t>的提</w:t>
      </w:r>
      <w:r>
        <w:rPr>
          <w:rFonts w:hint="eastAsia" w:ascii="宋体" w:hAnsi="宋体" w:eastAsia="宋体" w:cs="宋体"/>
          <w:b/>
          <w:bCs/>
          <w:spacing w:val="1"/>
          <w:w w:val="95"/>
          <w:sz w:val="24"/>
          <w:szCs w:val="32"/>
        </w:rPr>
        <w:t>供</w:t>
      </w:r>
      <w:r>
        <w:rPr>
          <w:rFonts w:hint="eastAsia" w:ascii="宋体" w:hAnsi="宋体" w:eastAsia="宋体" w:cs="宋体"/>
          <w:b/>
          <w:bCs/>
          <w:w w:val="95"/>
          <w:sz w:val="24"/>
          <w:szCs w:val="32"/>
        </w:rPr>
        <w:t>统</w:t>
      </w:r>
      <w:r>
        <w:rPr>
          <w:rFonts w:hint="eastAsia" w:ascii="宋体" w:hAnsi="宋体" w:eastAsia="宋体" w:cs="宋体"/>
          <w:b/>
          <w:bCs/>
          <w:spacing w:val="1"/>
          <w:w w:val="95"/>
          <w:sz w:val="24"/>
          <w:szCs w:val="32"/>
        </w:rPr>
        <w:t>一</w:t>
      </w:r>
      <w:r>
        <w:rPr>
          <w:rFonts w:hint="eastAsia" w:ascii="宋体" w:hAnsi="宋体" w:eastAsia="宋体" w:cs="宋体"/>
          <w:b/>
          <w:bCs/>
          <w:w w:val="95"/>
          <w:sz w:val="24"/>
          <w:szCs w:val="32"/>
        </w:rPr>
        <w:t>社会</w:t>
      </w:r>
      <w:r>
        <w:rPr>
          <w:rFonts w:hint="eastAsia" w:ascii="宋体" w:hAnsi="宋体" w:eastAsia="宋体" w:cs="宋体"/>
          <w:b/>
          <w:bCs/>
          <w:spacing w:val="1"/>
          <w:w w:val="95"/>
          <w:sz w:val="24"/>
          <w:szCs w:val="32"/>
        </w:rPr>
        <w:t>信</w:t>
      </w:r>
      <w:r>
        <w:rPr>
          <w:rFonts w:hint="eastAsia" w:ascii="宋体" w:hAnsi="宋体" w:eastAsia="宋体" w:cs="宋体"/>
          <w:b/>
          <w:bCs/>
          <w:w w:val="95"/>
          <w:sz w:val="24"/>
          <w:szCs w:val="32"/>
        </w:rPr>
        <w:t>用</w:t>
      </w:r>
      <w:r>
        <w:rPr>
          <w:rFonts w:hint="eastAsia" w:ascii="宋体" w:hAnsi="宋体" w:eastAsia="宋体" w:cs="宋体"/>
          <w:b/>
          <w:bCs/>
          <w:sz w:val="24"/>
          <w:szCs w:val="32"/>
        </w:rPr>
        <w:t>代码的营业执照）</w:t>
      </w:r>
    </w:p>
    <w:p>
      <w:pPr>
        <w:pStyle w:val="14"/>
        <w:keepNext w:val="0"/>
        <w:keepLines w:val="0"/>
        <w:pageBreakBefore w:val="0"/>
        <w:widowControl w:val="0"/>
        <w:kinsoku w:val="0"/>
        <w:wordWrap/>
        <w:overflowPunct w:val="0"/>
        <w:topLinePunct w:val="0"/>
        <w:bidi w:val="0"/>
        <w:adjustRightInd/>
        <w:snapToGrid/>
        <w:spacing w:line="300" w:lineRule="exact"/>
        <w:ind w:left="0" w:right="0" w:firstLine="480" w:firstLineChars="200"/>
        <w:jc w:val="both"/>
        <w:textAlignment w:val="auto"/>
        <w:rPr>
          <w:rFonts w:hint="eastAsia" w:ascii="宋体" w:hAnsi="宋体" w:eastAsia="宋体" w:cs="宋体"/>
          <w:sz w:val="24"/>
          <w:szCs w:val="32"/>
        </w:rPr>
      </w:pPr>
      <w:r>
        <w:rPr>
          <w:rFonts w:hint="eastAsia" w:ascii="宋体" w:hAnsi="宋体" w:eastAsia="宋体" w:cs="宋体"/>
          <w:sz w:val="24"/>
          <w:szCs w:val="32"/>
        </w:rPr>
        <w:t>如项目所在地有分支机构还需提供分支机构营业执照</w:t>
      </w:r>
    </w:p>
    <w:p>
      <w:pPr>
        <w:pStyle w:val="14"/>
        <w:keepNext w:val="0"/>
        <w:keepLines w:val="0"/>
        <w:pageBreakBefore w:val="0"/>
        <w:widowControl w:val="0"/>
        <w:kinsoku w:val="0"/>
        <w:wordWrap/>
        <w:overflowPunct w:val="0"/>
        <w:topLinePunct w:val="0"/>
        <w:bidi w:val="0"/>
        <w:adjustRightInd/>
        <w:snapToGrid/>
        <w:spacing w:line="300" w:lineRule="exact"/>
        <w:ind w:left="0" w:right="0"/>
        <w:jc w:val="both"/>
        <w:textAlignment w:val="auto"/>
        <w:rPr>
          <w:rFonts w:hint="eastAsia" w:ascii="宋体" w:hAnsi="宋体" w:eastAsia="宋体" w:cs="宋体"/>
          <w:sz w:val="24"/>
          <w:szCs w:val="32"/>
        </w:rPr>
      </w:pPr>
    </w:p>
    <w:p>
      <w:pPr>
        <w:pStyle w:val="14"/>
        <w:keepNext w:val="0"/>
        <w:keepLines w:val="0"/>
        <w:pageBreakBefore w:val="0"/>
        <w:widowControl w:val="0"/>
        <w:kinsoku w:val="0"/>
        <w:wordWrap/>
        <w:overflowPunct w:val="0"/>
        <w:topLinePunct w:val="0"/>
        <w:bidi w:val="0"/>
        <w:adjustRightInd/>
        <w:snapToGrid/>
        <w:spacing w:line="300" w:lineRule="exact"/>
        <w:ind w:left="0" w:right="0"/>
        <w:jc w:val="both"/>
        <w:textAlignment w:val="auto"/>
        <w:rPr>
          <w:rFonts w:hint="eastAsia" w:ascii="宋体" w:hAnsi="宋体" w:eastAsia="宋体" w:cs="宋体"/>
          <w:sz w:val="24"/>
          <w:szCs w:val="32"/>
        </w:rPr>
      </w:pPr>
    </w:p>
    <w:p>
      <w:pPr>
        <w:pStyle w:val="14"/>
        <w:keepNext w:val="0"/>
        <w:keepLines w:val="0"/>
        <w:pageBreakBefore w:val="0"/>
        <w:widowControl w:val="0"/>
        <w:kinsoku w:val="0"/>
        <w:wordWrap/>
        <w:overflowPunct w:val="0"/>
        <w:topLinePunct w:val="0"/>
        <w:bidi w:val="0"/>
        <w:adjustRightInd/>
        <w:snapToGrid/>
        <w:spacing w:line="300" w:lineRule="exact"/>
        <w:ind w:left="0" w:right="0"/>
        <w:jc w:val="both"/>
        <w:textAlignment w:val="auto"/>
        <w:rPr>
          <w:rFonts w:hint="eastAsia" w:ascii="宋体" w:hAnsi="宋体" w:eastAsia="宋体" w:cs="宋体"/>
          <w:sz w:val="24"/>
          <w:szCs w:val="32"/>
        </w:rPr>
      </w:pPr>
    </w:p>
    <w:p>
      <w:pPr>
        <w:pStyle w:val="14"/>
        <w:keepNext w:val="0"/>
        <w:keepLines w:val="0"/>
        <w:pageBreakBefore w:val="0"/>
        <w:widowControl w:val="0"/>
        <w:kinsoku w:val="0"/>
        <w:wordWrap/>
        <w:overflowPunct w:val="0"/>
        <w:topLinePunct w:val="0"/>
        <w:bidi w:val="0"/>
        <w:adjustRightInd/>
        <w:snapToGrid/>
        <w:spacing w:line="300" w:lineRule="exact"/>
        <w:ind w:left="0" w:right="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4.3</w:t>
      </w:r>
      <w:r>
        <w:rPr>
          <w:rFonts w:hint="eastAsia" w:ascii="宋体" w:hAnsi="宋体" w:eastAsia="宋体" w:cs="宋体"/>
          <w:b/>
          <w:bCs/>
          <w:sz w:val="24"/>
          <w:szCs w:val="24"/>
        </w:rPr>
        <w:t>近一年财务状况报告相关材料（复印件加盖单位公章）</w:t>
      </w:r>
    </w:p>
    <w:p>
      <w:pPr>
        <w:keepNext w:val="0"/>
        <w:keepLines w:val="0"/>
        <w:pageBreakBefore w:val="0"/>
        <w:widowControl w:val="0"/>
        <w:wordWrap/>
        <w:topLinePunct w:val="0"/>
        <w:bidi w:val="0"/>
        <w:adjustRightInd/>
        <w:snapToGrid/>
        <w:spacing w:line="300" w:lineRule="exact"/>
        <w:ind w:left="0" w:right="0"/>
        <w:jc w:val="center"/>
        <w:textAlignment w:val="auto"/>
        <w:rPr>
          <w:rFonts w:hint="eastAsia" w:ascii="宋体" w:hAnsi="宋体" w:eastAsia="宋体" w:cs="宋体"/>
          <w:sz w:val="24"/>
          <w:szCs w:val="32"/>
          <w:highlight w:val="none"/>
        </w:rPr>
      </w:pPr>
    </w:p>
    <w:p>
      <w:pPr>
        <w:keepNext w:val="0"/>
        <w:keepLines w:val="0"/>
        <w:pageBreakBefore w:val="0"/>
        <w:widowControl w:val="0"/>
        <w:wordWrap/>
        <w:topLinePunct w:val="0"/>
        <w:bidi w:val="0"/>
        <w:adjustRightInd/>
        <w:snapToGrid/>
        <w:spacing w:line="300" w:lineRule="exact"/>
        <w:ind w:left="0" w:right="0"/>
        <w:jc w:val="lef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 xml:space="preserve">   </w:t>
      </w:r>
      <w:r>
        <w:rPr>
          <w:rFonts w:hint="eastAsia" w:ascii="宋体" w:hAnsi="宋体" w:eastAsia="宋体" w:cs="宋体"/>
          <w:sz w:val="24"/>
          <w:szCs w:val="32"/>
          <w:highlight w:val="none"/>
        </w:rPr>
        <w:t>投标单位应提供近一年度（2020年）财务审计报告(</w:t>
      </w:r>
      <w:r>
        <w:rPr>
          <w:rFonts w:hint="eastAsia" w:ascii="宋体" w:hAnsi="宋体" w:eastAsia="宋体" w:cs="宋体"/>
          <w:sz w:val="24"/>
          <w:szCs w:val="32"/>
          <w:highlight w:val="none"/>
          <w:lang w:val="en-US" w:eastAsia="zh-CN"/>
        </w:rPr>
        <w:t>2021</w:t>
      </w:r>
      <w:r>
        <w:rPr>
          <w:rFonts w:hint="eastAsia" w:ascii="宋体" w:hAnsi="宋体" w:eastAsia="宋体" w:cs="宋体"/>
          <w:sz w:val="24"/>
          <w:szCs w:val="32"/>
          <w:highlight w:val="none"/>
          <w:lang w:eastAsia="zh-CN"/>
        </w:rPr>
        <w:t>新成立公司可不提供财务</w:t>
      </w:r>
      <w:r>
        <w:rPr>
          <w:rFonts w:hint="eastAsia" w:ascii="宋体" w:hAnsi="宋体" w:eastAsia="宋体" w:cs="宋体"/>
          <w:sz w:val="24"/>
          <w:szCs w:val="32"/>
          <w:highlight w:val="none"/>
          <w:lang w:val="en-US" w:eastAsia="zh-CN"/>
        </w:rPr>
        <w:t>审计</w:t>
      </w:r>
      <w:r>
        <w:rPr>
          <w:rFonts w:hint="eastAsia" w:ascii="宋体" w:hAnsi="宋体" w:eastAsia="宋体" w:cs="宋体"/>
          <w:sz w:val="24"/>
          <w:szCs w:val="32"/>
          <w:highlight w:val="none"/>
          <w:lang w:eastAsia="zh-CN"/>
        </w:rPr>
        <w:t>报告但必须</w:t>
      </w:r>
      <w:r>
        <w:rPr>
          <w:rFonts w:hint="eastAsia" w:ascii="宋体" w:hAnsi="宋体" w:eastAsia="宋体" w:cs="宋体"/>
          <w:sz w:val="24"/>
          <w:szCs w:val="32"/>
          <w:highlight w:val="none"/>
          <w:lang w:val="en-US" w:eastAsia="zh-CN"/>
        </w:rPr>
        <w:t>提供</w:t>
      </w:r>
      <w:r>
        <w:rPr>
          <w:rFonts w:hint="eastAsia" w:ascii="宋体" w:hAnsi="宋体" w:eastAsia="宋体" w:cs="宋体"/>
          <w:sz w:val="24"/>
          <w:szCs w:val="32"/>
          <w:highlight w:val="none"/>
          <w:lang w:eastAsia="zh-CN"/>
        </w:rPr>
        <w:t>健全的财务会计制度</w:t>
      </w:r>
      <w:r>
        <w:rPr>
          <w:rFonts w:hint="eastAsia" w:ascii="宋体" w:hAnsi="宋体" w:eastAsia="宋体" w:cs="宋体"/>
          <w:sz w:val="24"/>
          <w:szCs w:val="32"/>
          <w:highlight w:val="none"/>
          <w:lang w:val="en-US" w:eastAsia="zh-CN"/>
        </w:rPr>
        <w:t>并加盖鲜章</w:t>
      </w:r>
      <w:r>
        <w:rPr>
          <w:rFonts w:hint="eastAsia" w:ascii="宋体" w:hAnsi="宋体" w:eastAsia="宋体" w:cs="宋体"/>
          <w:sz w:val="24"/>
          <w:szCs w:val="32"/>
          <w:highlight w:val="none"/>
        </w:rPr>
        <w:t>)</w:t>
      </w:r>
    </w:p>
    <w:p>
      <w:pPr>
        <w:pStyle w:val="39"/>
        <w:keepNext w:val="0"/>
        <w:keepLines w:val="0"/>
        <w:pageBreakBefore w:val="0"/>
        <w:widowControl w:val="0"/>
        <w:wordWrap/>
        <w:topLinePunct w:val="0"/>
        <w:bidi w:val="0"/>
        <w:adjustRightInd/>
        <w:snapToGrid/>
        <w:spacing w:line="300" w:lineRule="exact"/>
        <w:ind w:left="0" w:right="0"/>
        <w:textAlignment w:val="auto"/>
        <w:rPr>
          <w:rFonts w:hint="eastAsia" w:ascii="宋体" w:hAnsi="宋体" w:eastAsia="宋体" w:cs="宋体"/>
          <w:sz w:val="24"/>
          <w:szCs w:val="32"/>
          <w:highlight w:val="none"/>
        </w:rPr>
      </w:pPr>
    </w:p>
    <w:p>
      <w:pPr>
        <w:pStyle w:val="39"/>
        <w:keepNext w:val="0"/>
        <w:keepLines w:val="0"/>
        <w:pageBreakBefore w:val="0"/>
        <w:widowControl w:val="0"/>
        <w:wordWrap/>
        <w:topLinePunct w:val="0"/>
        <w:bidi w:val="0"/>
        <w:adjustRightInd/>
        <w:snapToGrid/>
        <w:spacing w:line="300" w:lineRule="exact"/>
        <w:ind w:left="0" w:right="0"/>
        <w:textAlignment w:val="auto"/>
        <w:rPr>
          <w:rFonts w:hint="eastAsia" w:ascii="宋体" w:hAnsi="宋体" w:eastAsia="宋体" w:cs="宋体"/>
          <w:sz w:val="24"/>
          <w:szCs w:val="32"/>
          <w:highlight w:val="none"/>
        </w:rPr>
      </w:pPr>
    </w:p>
    <w:p>
      <w:pPr>
        <w:pStyle w:val="14"/>
        <w:keepNext w:val="0"/>
        <w:keepLines w:val="0"/>
        <w:pageBreakBefore w:val="0"/>
        <w:widowControl w:val="0"/>
        <w:kinsoku w:val="0"/>
        <w:wordWrap/>
        <w:overflowPunct w:val="0"/>
        <w:topLinePunct w:val="0"/>
        <w:bidi w:val="0"/>
        <w:adjustRightInd/>
        <w:snapToGrid/>
        <w:spacing w:line="300" w:lineRule="exact"/>
        <w:ind w:left="0" w:right="0"/>
        <w:jc w:val="center"/>
        <w:textAlignment w:val="auto"/>
        <w:rPr>
          <w:rFonts w:hint="eastAsia" w:ascii="宋体" w:hAnsi="宋体" w:eastAsia="宋体" w:cs="宋体"/>
          <w:b/>
          <w:bCs/>
          <w:sz w:val="24"/>
          <w:szCs w:val="32"/>
          <w:lang w:val="en-US" w:eastAsia="zh-CN"/>
        </w:rPr>
      </w:pPr>
    </w:p>
    <w:p>
      <w:pPr>
        <w:pStyle w:val="14"/>
        <w:keepNext w:val="0"/>
        <w:keepLines w:val="0"/>
        <w:pageBreakBefore w:val="0"/>
        <w:widowControl w:val="0"/>
        <w:kinsoku w:val="0"/>
        <w:wordWrap/>
        <w:overflowPunct w:val="0"/>
        <w:topLinePunct w:val="0"/>
        <w:bidi w:val="0"/>
        <w:adjustRightInd/>
        <w:snapToGrid/>
        <w:spacing w:line="300" w:lineRule="exact"/>
        <w:ind w:left="0" w:right="0"/>
        <w:jc w:val="both"/>
        <w:textAlignment w:val="auto"/>
        <w:rPr>
          <w:rFonts w:hint="eastAsia" w:ascii="宋体" w:hAnsi="宋体" w:eastAsia="宋体" w:cs="宋体"/>
          <w:b/>
          <w:bCs/>
          <w:sz w:val="24"/>
          <w:szCs w:val="32"/>
          <w:lang w:val="en-US" w:eastAsia="zh-CN"/>
        </w:rPr>
      </w:pPr>
    </w:p>
    <w:p>
      <w:pPr>
        <w:pStyle w:val="14"/>
        <w:keepNext w:val="0"/>
        <w:keepLines w:val="0"/>
        <w:pageBreakBefore w:val="0"/>
        <w:widowControl w:val="0"/>
        <w:kinsoku w:val="0"/>
        <w:wordWrap/>
        <w:overflowPunct w:val="0"/>
        <w:topLinePunct w:val="0"/>
        <w:bidi w:val="0"/>
        <w:adjustRightInd/>
        <w:snapToGrid/>
        <w:spacing w:line="300" w:lineRule="exact"/>
        <w:ind w:left="0" w:right="0"/>
        <w:jc w:val="both"/>
        <w:textAlignment w:val="auto"/>
        <w:rPr>
          <w:rFonts w:hint="eastAsia" w:ascii="宋体" w:hAnsi="宋体" w:eastAsia="宋体" w:cs="宋体"/>
          <w:b/>
          <w:bCs/>
          <w:sz w:val="24"/>
          <w:szCs w:val="32"/>
        </w:rPr>
      </w:pPr>
      <w:r>
        <w:rPr>
          <w:rFonts w:hint="eastAsia" w:ascii="宋体" w:hAnsi="宋体" w:eastAsia="宋体" w:cs="宋体"/>
          <w:b/>
          <w:bCs/>
          <w:sz w:val="24"/>
          <w:szCs w:val="32"/>
          <w:lang w:val="en-US" w:eastAsia="zh-CN"/>
        </w:rPr>
        <w:t>4.4</w:t>
      </w:r>
      <w:r>
        <w:rPr>
          <w:rFonts w:hint="eastAsia" w:ascii="宋体" w:hAnsi="宋体" w:eastAsia="宋体" w:cs="宋体"/>
          <w:b/>
          <w:bCs/>
          <w:sz w:val="24"/>
          <w:szCs w:val="32"/>
        </w:rPr>
        <w:t>依法缴纳税收证明</w:t>
      </w:r>
    </w:p>
    <w:p>
      <w:pPr>
        <w:pStyle w:val="39"/>
        <w:keepNext w:val="0"/>
        <w:keepLines w:val="0"/>
        <w:pageBreakBefore w:val="0"/>
        <w:widowControl w:val="0"/>
        <w:wordWrap/>
        <w:topLinePunct w:val="0"/>
        <w:bidi w:val="0"/>
        <w:adjustRightInd/>
        <w:snapToGrid/>
        <w:spacing w:line="300" w:lineRule="exact"/>
        <w:ind w:left="0" w:right="0"/>
        <w:textAlignment w:val="auto"/>
        <w:rPr>
          <w:rFonts w:hint="eastAsia" w:ascii="宋体" w:hAnsi="宋体" w:eastAsia="宋体" w:cs="宋体"/>
          <w:spacing w:val="6"/>
          <w:sz w:val="24"/>
          <w:szCs w:val="32"/>
          <w:highlight w:val="none"/>
        </w:rPr>
      </w:pPr>
    </w:p>
    <w:p>
      <w:pPr>
        <w:pStyle w:val="39"/>
        <w:keepNext w:val="0"/>
        <w:keepLines w:val="0"/>
        <w:pageBreakBefore w:val="0"/>
        <w:widowControl w:val="0"/>
        <w:wordWrap/>
        <w:topLinePunct w:val="0"/>
        <w:bidi w:val="0"/>
        <w:adjustRightInd/>
        <w:snapToGrid/>
        <w:spacing w:line="300" w:lineRule="exact"/>
        <w:ind w:left="0" w:leftChars="0" w:right="0" w:firstLine="504" w:firstLineChars="200"/>
        <w:textAlignment w:val="auto"/>
        <w:rPr>
          <w:rFonts w:hint="eastAsia" w:ascii="宋体" w:hAnsi="宋体" w:eastAsia="宋体" w:cs="宋体"/>
          <w:spacing w:val="6"/>
          <w:sz w:val="24"/>
          <w:szCs w:val="32"/>
          <w:highlight w:val="none"/>
        </w:rPr>
      </w:pPr>
      <w:r>
        <w:rPr>
          <w:rFonts w:hint="eastAsia" w:ascii="宋体" w:hAnsi="宋体" w:eastAsia="宋体" w:cs="宋体"/>
          <w:spacing w:val="6"/>
          <w:sz w:val="24"/>
          <w:szCs w:val="32"/>
          <w:highlight w:val="none"/>
        </w:rPr>
        <w:t>投标单位应有依法缴纳税收证明(附：</w:t>
      </w:r>
      <w:r>
        <w:rPr>
          <w:rFonts w:hint="eastAsia" w:ascii="宋体" w:hAnsi="宋体" w:eastAsia="宋体" w:cs="宋体"/>
          <w:bCs/>
          <w:color w:val="000000" w:themeColor="text1"/>
          <w:spacing w:val="6"/>
          <w:kern w:val="0"/>
          <w:sz w:val="24"/>
          <w:szCs w:val="24"/>
          <w:highlight w:val="none"/>
          <w14:textFill>
            <w14:solidFill>
              <w14:schemeClr w14:val="tx1"/>
            </w14:solidFill>
          </w14:textFill>
        </w:rPr>
        <w:t>近</w:t>
      </w:r>
      <w:r>
        <w:rPr>
          <w:rFonts w:hint="eastAsia" w:ascii="宋体" w:hAnsi="宋体" w:eastAsia="宋体" w:cs="宋体"/>
          <w:bCs/>
          <w:color w:val="000000" w:themeColor="text1"/>
          <w:spacing w:val="6"/>
          <w:kern w:val="0"/>
          <w:sz w:val="24"/>
          <w:szCs w:val="24"/>
          <w:highlight w:val="none"/>
          <w:lang w:val="en-US" w:eastAsia="zh-CN"/>
          <w14:textFill>
            <w14:solidFill>
              <w14:schemeClr w14:val="tx1"/>
            </w14:solidFill>
          </w14:textFill>
        </w:rPr>
        <w:t>三</w:t>
      </w:r>
      <w:r>
        <w:rPr>
          <w:rFonts w:hint="eastAsia" w:ascii="宋体" w:hAnsi="宋体" w:eastAsia="宋体" w:cs="宋体"/>
          <w:bCs/>
          <w:color w:val="000000" w:themeColor="text1"/>
          <w:spacing w:val="6"/>
          <w:kern w:val="0"/>
          <w:sz w:val="24"/>
          <w:szCs w:val="24"/>
          <w:highlight w:val="none"/>
          <w14:textFill>
            <w14:solidFill>
              <w14:schemeClr w14:val="tx1"/>
            </w14:solidFill>
          </w14:textFill>
        </w:rPr>
        <w:t>个月的完税证明</w:t>
      </w:r>
      <w:r>
        <w:rPr>
          <w:rFonts w:hint="eastAsia" w:ascii="宋体" w:hAnsi="宋体" w:eastAsia="宋体" w:cs="宋体"/>
          <w:bCs/>
          <w:color w:val="000000" w:themeColor="text1"/>
          <w:spacing w:val="6"/>
          <w:kern w:val="0"/>
          <w:sz w:val="24"/>
          <w:szCs w:val="24"/>
          <w:highlight w:val="none"/>
          <w:lang w:val="en-US" w:eastAsia="zh-CN"/>
          <w14:textFill>
            <w14:solidFill>
              <w14:schemeClr w14:val="tx1"/>
            </w14:solidFill>
          </w14:textFill>
        </w:rPr>
        <w:t>或税务局出具的无欠税证明</w:t>
      </w:r>
      <w:r>
        <w:rPr>
          <w:rFonts w:hint="eastAsia" w:ascii="宋体" w:hAnsi="宋体" w:eastAsia="宋体" w:cs="宋体"/>
          <w:bCs/>
          <w:color w:val="000000" w:themeColor="text1"/>
          <w:spacing w:val="6"/>
          <w:kern w:val="0"/>
          <w:sz w:val="24"/>
          <w:szCs w:val="24"/>
          <w:highlight w:val="none"/>
          <w:lang w:eastAsia="zh-CN"/>
          <w14:textFill>
            <w14:solidFill>
              <w14:schemeClr w14:val="tx1"/>
            </w14:solidFill>
          </w14:textFill>
        </w:rPr>
        <w:t>）</w:t>
      </w:r>
      <w:r>
        <w:rPr>
          <w:rFonts w:hint="eastAsia" w:ascii="宋体" w:hAnsi="宋体" w:eastAsia="宋体" w:cs="宋体"/>
          <w:spacing w:val="6"/>
          <w:sz w:val="24"/>
          <w:szCs w:val="32"/>
          <w:highlight w:val="none"/>
        </w:rPr>
        <w:t>；</w:t>
      </w:r>
    </w:p>
    <w:p>
      <w:pPr>
        <w:pStyle w:val="39"/>
        <w:keepNext w:val="0"/>
        <w:keepLines w:val="0"/>
        <w:pageBreakBefore w:val="0"/>
        <w:widowControl w:val="0"/>
        <w:wordWrap/>
        <w:topLinePunct w:val="0"/>
        <w:bidi w:val="0"/>
        <w:adjustRightInd/>
        <w:snapToGrid/>
        <w:spacing w:line="300" w:lineRule="exact"/>
        <w:ind w:left="0" w:right="0"/>
        <w:textAlignment w:val="auto"/>
        <w:rPr>
          <w:rFonts w:hint="eastAsia" w:ascii="宋体" w:hAnsi="宋体" w:eastAsia="宋体" w:cs="宋体"/>
          <w:spacing w:val="6"/>
          <w:sz w:val="24"/>
          <w:szCs w:val="32"/>
          <w:highlight w:val="none"/>
        </w:rPr>
      </w:pPr>
    </w:p>
    <w:p>
      <w:pPr>
        <w:pStyle w:val="39"/>
        <w:keepNext w:val="0"/>
        <w:keepLines w:val="0"/>
        <w:pageBreakBefore w:val="0"/>
        <w:widowControl w:val="0"/>
        <w:wordWrap/>
        <w:topLinePunct w:val="0"/>
        <w:bidi w:val="0"/>
        <w:adjustRightInd/>
        <w:snapToGrid/>
        <w:spacing w:line="300" w:lineRule="exact"/>
        <w:ind w:left="0" w:right="0"/>
        <w:textAlignment w:val="auto"/>
        <w:rPr>
          <w:rFonts w:hint="eastAsia" w:ascii="宋体" w:hAnsi="宋体" w:eastAsia="宋体" w:cs="宋体"/>
          <w:spacing w:val="6"/>
          <w:sz w:val="24"/>
          <w:szCs w:val="32"/>
          <w:highlight w:val="none"/>
        </w:rPr>
      </w:pPr>
    </w:p>
    <w:p>
      <w:pPr>
        <w:pStyle w:val="39"/>
        <w:keepNext w:val="0"/>
        <w:keepLines w:val="0"/>
        <w:pageBreakBefore w:val="0"/>
        <w:widowControl w:val="0"/>
        <w:wordWrap/>
        <w:topLinePunct w:val="0"/>
        <w:bidi w:val="0"/>
        <w:adjustRightInd/>
        <w:snapToGrid/>
        <w:spacing w:line="300" w:lineRule="exact"/>
        <w:ind w:left="0" w:right="0"/>
        <w:textAlignment w:val="auto"/>
        <w:rPr>
          <w:rFonts w:hint="eastAsia" w:ascii="宋体" w:hAnsi="宋体" w:eastAsia="宋体" w:cs="宋体"/>
          <w:spacing w:val="6"/>
          <w:sz w:val="24"/>
          <w:szCs w:val="32"/>
          <w:highlight w:val="none"/>
        </w:rPr>
      </w:pPr>
    </w:p>
    <w:p>
      <w:pPr>
        <w:pStyle w:val="14"/>
        <w:keepNext w:val="0"/>
        <w:keepLines w:val="0"/>
        <w:pageBreakBefore w:val="0"/>
        <w:widowControl w:val="0"/>
        <w:kinsoku w:val="0"/>
        <w:wordWrap/>
        <w:overflowPunct w:val="0"/>
        <w:topLinePunct w:val="0"/>
        <w:bidi w:val="0"/>
        <w:adjustRightInd/>
        <w:snapToGrid/>
        <w:spacing w:line="300" w:lineRule="exact"/>
        <w:ind w:left="0" w:right="0"/>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4.5社保证明</w:t>
      </w:r>
    </w:p>
    <w:p>
      <w:pPr>
        <w:pStyle w:val="15"/>
        <w:keepNext w:val="0"/>
        <w:keepLines w:val="0"/>
        <w:pageBreakBefore w:val="0"/>
        <w:widowControl w:val="0"/>
        <w:wordWrap/>
        <w:topLinePunct w:val="0"/>
        <w:bidi w:val="0"/>
        <w:adjustRightInd/>
        <w:snapToGrid/>
        <w:spacing w:line="300" w:lineRule="exact"/>
        <w:ind w:left="0" w:right="0" w:firstLine="504" w:firstLineChars="200"/>
        <w:textAlignment w:val="auto"/>
        <w:rPr>
          <w:rFonts w:hint="eastAsia" w:ascii="宋体" w:hAnsi="宋体" w:eastAsia="宋体" w:cs="宋体"/>
          <w:spacing w:val="6"/>
          <w:kern w:val="2"/>
          <w:sz w:val="24"/>
          <w:szCs w:val="32"/>
          <w:highlight w:val="none"/>
          <w:lang w:val="en-US" w:eastAsia="zh-CN" w:bidi="ar-SA"/>
        </w:rPr>
      </w:pPr>
      <w:r>
        <w:rPr>
          <w:rFonts w:hint="eastAsia" w:ascii="宋体" w:hAnsi="宋体" w:eastAsia="宋体" w:cs="宋体"/>
          <w:spacing w:val="6"/>
          <w:kern w:val="2"/>
          <w:sz w:val="24"/>
          <w:szCs w:val="32"/>
          <w:highlight w:val="none"/>
          <w:lang w:val="en-US" w:eastAsia="zh-CN" w:bidi="ar-SA"/>
        </w:rPr>
        <w:t>凡拟参加本次招标项目的投标企业法人或委托代理人须提供近六个月的社保个人明细表；（不足六个月的公司按实际发生）</w:t>
      </w:r>
    </w:p>
    <w:p>
      <w:pPr>
        <w:pStyle w:val="39"/>
        <w:keepNext w:val="0"/>
        <w:keepLines w:val="0"/>
        <w:pageBreakBefore w:val="0"/>
        <w:widowControl w:val="0"/>
        <w:wordWrap/>
        <w:topLinePunct w:val="0"/>
        <w:bidi w:val="0"/>
        <w:adjustRightInd/>
        <w:snapToGrid/>
        <w:spacing w:line="300" w:lineRule="exact"/>
        <w:ind w:left="0" w:right="0"/>
        <w:textAlignment w:val="auto"/>
        <w:rPr>
          <w:rFonts w:hint="eastAsia" w:ascii="宋体" w:hAnsi="宋体" w:eastAsia="宋体" w:cs="宋体"/>
          <w:spacing w:val="6"/>
          <w:sz w:val="24"/>
          <w:szCs w:val="32"/>
          <w:highlight w:val="none"/>
        </w:rPr>
      </w:pPr>
    </w:p>
    <w:p>
      <w:pPr>
        <w:pStyle w:val="39"/>
        <w:keepNext w:val="0"/>
        <w:keepLines w:val="0"/>
        <w:pageBreakBefore w:val="0"/>
        <w:widowControl w:val="0"/>
        <w:wordWrap/>
        <w:topLinePunct w:val="0"/>
        <w:bidi w:val="0"/>
        <w:adjustRightInd/>
        <w:snapToGrid/>
        <w:spacing w:line="300" w:lineRule="exact"/>
        <w:ind w:left="0" w:right="0"/>
        <w:textAlignment w:val="auto"/>
        <w:rPr>
          <w:rFonts w:hint="eastAsia" w:ascii="宋体" w:hAnsi="宋体" w:eastAsia="宋体" w:cs="宋体"/>
          <w:spacing w:val="6"/>
          <w:sz w:val="24"/>
          <w:szCs w:val="32"/>
          <w:highlight w:val="none"/>
        </w:rPr>
      </w:pPr>
    </w:p>
    <w:p>
      <w:pPr>
        <w:pStyle w:val="39"/>
        <w:keepNext w:val="0"/>
        <w:keepLines w:val="0"/>
        <w:pageBreakBefore w:val="0"/>
        <w:widowControl w:val="0"/>
        <w:wordWrap/>
        <w:topLinePunct w:val="0"/>
        <w:bidi w:val="0"/>
        <w:adjustRightInd/>
        <w:snapToGrid/>
        <w:spacing w:line="300" w:lineRule="exact"/>
        <w:ind w:left="0" w:right="0"/>
        <w:textAlignment w:val="auto"/>
        <w:rPr>
          <w:rFonts w:hint="eastAsia" w:ascii="宋体" w:hAnsi="宋体" w:eastAsia="宋体" w:cs="宋体"/>
          <w:spacing w:val="6"/>
          <w:sz w:val="24"/>
          <w:szCs w:val="32"/>
          <w:highlight w:val="none"/>
        </w:rPr>
      </w:pPr>
    </w:p>
    <w:p>
      <w:pPr>
        <w:pStyle w:val="39"/>
        <w:keepNext w:val="0"/>
        <w:keepLines w:val="0"/>
        <w:pageBreakBefore w:val="0"/>
        <w:widowControl w:val="0"/>
        <w:wordWrap/>
        <w:topLinePunct w:val="0"/>
        <w:bidi w:val="0"/>
        <w:adjustRightInd/>
        <w:snapToGrid/>
        <w:spacing w:line="300" w:lineRule="exact"/>
        <w:ind w:left="0" w:right="0"/>
        <w:textAlignment w:val="auto"/>
        <w:rPr>
          <w:rFonts w:hint="eastAsia" w:ascii="宋体" w:hAnsi="宋体" w:eastAsia="宋体" w:cs="宋体"/>
          <w:b/>
          <w:bCs/>
          <w:spacing w:val="6"/>
          <w:sz w:val="24"/>
          <w:szCs w:val="32"/>
          <w:highlight w:val="none"/>
        </w:rPr>
      </w:pPr>
    </w:p>
    <w:p>
      <w:pPr>
        <w:pStyle w:val="39"/>
        <w:keepNext w:val="0"/>
        <w:keepLines w:val="0"/>
        <w:pageBreakBefore w:val="0"/>
        <w:widowControl w:val="0"/>
        <w:wordWrap/>
        <w:topLinePunct w:val="0"/>
        <w:bidi w:val="0"/>
        <w:adjustRightInd/>
        <w:snapToGrid/>
        <w:spacing w:line="300" w:lineRule="exact"/>
        <w:ind w:left="0" w:leftChars="0" w:right="0" w:firstLine="0" w:firstLineChars="0"/>
        <w:textAlignment w:val="auto"/>
        <w:rPr>
          <w:rFonts w:hint="eastAsia" w:ascii="宋体" w:hAnsi="宋体" w:eastAsia="宋体" w:cs="宋体"/>
          <w:b/>
          <w:bCs/>
          <w:spacing w:val="6"/>
          <w:sz w:val="24"/>
          <w:szCs w:val="32"/>
          <w:highlight w:val="none"/>
          <w:lang w:val="en-US" w:eastAsia="zh-CN"/>
        </w:rPr>
      </w:pPr>
      <w:r>
        <w:rPr>
          <w:rFonts w:hint="eastAsia" w:ascii="宋体" w:hAnsi="宋体" w:eastAsia="宋体" w:cs="宋体"/>
          <w:b/>
          <w:bCs/>
          <w:spacing w:val="6"/>
          <w:sz w:val="24"/>
          <w:szCs w:val="32"/>
          <w:highlight w:val="none"/>
          <w:lang w:val="en-US" w:eastAsia="zh-CN"/>
        </w:rPr>
        <w:t>4.6信用情况</w:t>
      </w:r>
    </w:p>
    <w:p>
      <w:pPr>
        <w:pStyle w:val="39"/>
        <w:keepNext w:val="0"/>
        <w:keepLines w:val="0"/>
        <w:pageBreakBefore w:val="0"/>
        <w:widowControl w:val="0"/>
        <w:wordWrap/>
        <w:topLinePunct w:val="0"/>
        <w:bidi w:val="0"/>
        <w:adjustRightInd/>
        <w:snapToGrid/>
        <w:spacing w:line="300" w:lineRule="exact"/>
        <w:ind w:left="0" w:leftChars="0" w:right="0" w:firstLine="480" w:firstLineChars="200"/>
        <w:textAlignment w:val="auto"/>
        <w:rPr>
          <w:rFonts w:hint="eastAsia" w:ascii="宋体" w:hAnsi="宋体" w:eastAsia="宋体" w:cs="宋体"/>
          <w:b/>
          <w:bCs/>
          <w:spacing w:val="6"/>
          <w:sz w:val="24"/>
          <w:szCs w:val="32"/>
          <w:highlight w:val="none"/>
          <w:lang w:val="en-US" w:eastAsia="zh-CN"/>
        </w:rPr>
      </w:pPr>
      <w:r>
        <w:rPr>
          <w:rFonts w:hint="eastAsia" w:ascii="宋体" w:hAnsi="宋体" w:eastAsia="宋体" w:cs="宋体"/>
          <w:sz w:val="24"/>
          <w:szCs w:val="32"/>
        </w:rPr>
        <w:t>在</w:t>
      </w:r>
      <w:r>
        <w:rPr>
          <w:rFonts w:hint="eastAsia" w:ascii="宋体" w:hAnsi="宋体" w:eastAsia="宋体" w:cs="宋体"/>
          <w:sz w:val="24"/>
          <w:szCs w:val="32"/>
          <w:lang w:eastAsia="zh-CN"/>
        </w:rPr>
        <w:t>、</w:t>
      </w:r>
      <w:r>
        <w:rPr>
          <w:rFonts w:hint="eastAsia" w:ascii="宋体" w:hAnsi="宋体" w:eastAsia="宋体" w:cs="宋体"/>
          <w:sz w:val="24"/>
          <w:szCs w:val="32"/>
        </w:rPr>
        <w:t>“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列入经营异常名录信息、列入严重违法失信企业名单（黑名单）信息，</w:t>
      </w:r>
      <w:r>
        <w:rPr>
          <w:rFonts w:hint="eastAsia" w:ascii="宋体" w:hAnsi="宋体" w:eastAsia="宋体" w:cs="宋体"/>
          <w:bCs/>
          <w:color w:val="000000" w:themeColor="text1"/>
          <w:kern w:val="0"/>
          <w:sz w:val="24"/>
          <w:szCs w:val="24"/>
          <w:lang w:val="en-US" w:eastAsia="zh-CN"/>
          <w14:textFill>
            <w14:solidFill>
              <w14:schemeClr w14:val="tx1"/>
            </w14:solidFill>
          </w14:textFill>
        </w:rPr>
        <w:t>提供带有日期的截图并加盖鲜章，截图日期需为公告发出日至开标截止日之间。</w:t>
      </w:r>
    </w:p>
    <w:p>
      <w:pPr>
        <w:pStyle w:val="39"/>
        <w:keepNext w:val="0"/>
        <w:keepLines w:val="0"/>
        <w:pageBreakBefore w:val="0"/>
        <w:widowControl w:val="0"/>
        <w:wordWrap/>
        <w:topLinePunct w:val="0"/>
        <w:bidi w:val="0"/>
        <w:adjustRightInd/>
        <w:snapToGrid/>
        <w:spacing w:line="300" w:lineRule="exact"/>
        <w:ind w:left="0" w:right="0"/>
        <w:textAlignment w:val="auto"/>
        <w:rPr>
          <w:rFonts w:hint="eastAsia" w:ascii="宋体" w:hAnsi="宋体" w:eastAsia="宋体" w:cs="宋体"/>
          <w:spacing w:val="6"/>
          <w:sz w:val="24"/>
          <w:szCs w:val="32"/>
          <w:highlight w:val="none"/>
        </w:rPr>
      </w:pPr>
    </w:p>
    <w:p>
      <w:pPr>
        <w:pStyle w:val="39"/>
        <w:keepNext w:val="0"/>
        <w:keepLines w:val="0"/>
        <w:pageBreakBefore w:val="0"/>
        <w:widowControl w:val="0"/>
        <w:wordWrap/>
        <w:topLinePunct w:val="0"/>
        <w:bidi w:val="0"/>
        <w:adjustRightInd/>
        <w:snapToGrid/>
        <w:spacing w:line="300" w:lineRule="exact"/>
        <w:ind w:left="0" w:right="0"/>
        <w:textAlignment w:val="auto"/>
        <w:rPr>
          <w:rFonts w:hint="eastAsia" w:ascii="宋体" w:hAnsi="宋体" w:eastAsia="宋体" w:cs="宋体"/>
          <w:spacing w:val="6"/>
          <w:sz w:val="24"/>
          <w:szCs w:val="32"/>
          <w:highlight w:val="none"/>
        </w:rPr>
      </w:pPr>
    </w:p>
    <w:p>
      <w:pPr>
        <w:pStyle w:val="39"/>
        <w:rPr>
          <w:rFonts w:hint="eastAsia" w:ascii="宋体" w:hAnsi="宋体" w:eastAsia="宋体" w:cs="宋体"/>
          <w:spacing w:val="6"/>
          <w:sz w:val="21"/>
          <w:highlight w:val="none"/>
        </w:rPr>
      </w:pPr>
    </w:p>
    <w:p>
      <w:pPr>
        <w:pStyle w:val="39"/>
        <w:rPr>
          <w:rFonts w:hint="eastAsia" w:ascii="宋体" w:hAnsi="宋体" w:eastAsia="宋体" w:cs="宋体"/>
          <w:spacing w:val="6"/>
          <w:sz w:val="21"/>
          <w:highlight w:val="none"/>
        </w:rPr>
      </w:pPr>
    </w:p>
    <w:p>
      <w:pPr>
        <w:pStyle w:val="39"/>
        <w:rPr>
          <w:rFonts w:hint="eastAsia" w:ascii="宋体" w:hAnsi="宋体" w:eastAsia="宋体" w:cs="宋体"/>
          <w:spacing w:val="6"/>
          <w:sz w:val="21"/>
          <w:highlight w:val="none"/>
        </w:rPr>
      </w:pPr>
    </w:p>
    <w:p>
      <w:pPr>
        <w:pStyle w:val="39"/>
        <w:rPr>
          <w:rFonts w:hint="eastAsia" w:ascii="宋体" w:hAnsi="宋体" w:eastAsia="宋体" w:cs="宋体"/>
          <w:spacing w:val="6"/>
          <w:sz w:val="21"/>
          <w:highlight w:val="none"/>
        </w:rPr>
      </w:pPr>
    </w:p>
    <w:p>
      <w:pPr>
        <w:pStyle w:val="39"/>
        <w:rPr>
          <w:rFonts w:hint="eastAsia" w:ascii="宋体" w:hAnsi="宋体" w:eastAsia="宋体" w:cs="宋体"/>
          <w:spacing w:val="6"/>
          <w:sz w:val="21"/>
          <w:highlight w:val="none"/>
        </w:rPr>
      </w:pPr>
    </w:p>
    <w:p>
      <w:pPr>
        <w:pStyle w:val="39"/>
        <w:rPr>
          <w:rFonts w:hint="eastAsia" w:ascii="宋体" w:hAnsi="宋体" w:eastAsia="宋体" w:cs="宋体"/>
          <w:spacing w:val="6"/>
          <w:sz w:val="21"/>
          <w:highlight w:val="none"/>
        </w:rPr>
      </w:pPr>
    </w:p>
    <w:p>
      <w:pPr>
        <w:pStyle w:val="39"/>
        <w:rPr>
          <w:rFonts w:hint="eastAsia" w:ascii="宋体" w:hAnsi="宋体" w:eastAsia="宋体" w:cs="宋体"/>
          <w:spacing w:val="6"/>
          <w:sz w:val="21"/>
          <w:highlight w:val="none"/>
        </w:rPr>
      </w:pPr>
    </w:p>
    <w:p>
      <w:pPr>
        <w:pStyle w:val="39"/>
        <w:rPr>
          <w:rFonts w:hint="eastAsia" w:ascii="宋体" w:hAnsi="宋体" w:eastAsia="宋体" w:cs="宋体"/>
          <w:spacing w:val="6"/>
          <w:sz w:val="21"/>
          <w:highlight w:val="none"/>
        </w:rPr>
      </w:pPr>
    </w:p>
    <w:p>
      <w:pPr>
        <w:pStyle w:val="39"/>
        <w:rPr>
          <w:rFonts w:hint="eastAsia" w:ascii="宋体" w:hAnsi="宋体" w:eastAsia="宋体" w:cs="宋体"/>
          <w:spacing w:val="6"/>
          <w:sz w:val="21"/>
          <w:highlight w:val="none"/>
        </w:rPr>
      </w:pPr>
    </w:p>
    <w:p>
      <w:pPr>
        <w:pStyle w:val="39"/>
        <w:rPr>
          <w:rFonts w:hint="eastAsia" w:ascii="宋体" w:hAnsi="宋体" w:eastAsia="宋体" w:cs="宋体"/>
          <w:spacing w:val="6"/>
          <w:sz w:val="21"/>
          <w:highlight w:val="none"/>
        </w:rPr>
      </w:pPr>
    </w:p>
    <w:p>
      <w:pPr>
        <w:pStyle w:val="39"/>
        <w:ind w:left="0" w:leftChars="0" w:firstLine="0" w:firstLineChars="0"/>
        <w:rPr>
          <w:rFonts w:hint="default" w:ascii="宋体" w:hAnsi="宋体" w:eastAsia="宋体" w:cs="宋体"/>
          <w:spacing w:val="6"/>
          <w:sz w:val="21"/>
          <w:highlight w:val="none"/>
          <w:lang w:val="en-US" w:eastAsia="zh-CN"/>
        </w:rPr>
      </w:pPr>
    </w:p>
    <w:p>
      <w:pPr>
        <w:pStyle w:val="39"/>
        <w:rPr>
          <w:rFonts w:hint="default" w:ascii="宋体" w:hAnsi="宋体" w:eastAsia="宋体" w:cs="宋体"/>
          <w:spacing w:val="6"/>
          <w:sz w:val="21"/>
          <w:highlight w:val="none"/>
          <w:lang w:val="en-US" w:eastAsia="zh-CN"/>
        </w:rPr>
      </w:pPr>
    </w:p>
    <w:p>
      <w:pPr>
        <w:pStyle w:val="14"/>
        <w:kinsoku w:val="0"/>
        <w:overflowPunct w:val="0"/>
        <w:spacing w:before="34" w:line="357" w:lineRule="auto"/>
        <w:ind w:right="126" w:firstLine="480"/>
        <w:jc w:val="center"/>
        <w:rPr>
          <w:rFonts w:asciiTheme="majorEastAsia" w:hAnsiTheme="majorEastAsia" w:eastAsiaTheme="majorEastAsia"/>
          <w:b/>
          <w:bCs/>
          <w:sz w:val="20"/>
          <w:szCs w:val="20"/>
        </w:rPr>
      </w:pPr>
      <w:r>
        <w:rPr>
          <w:rFonts w:hint="eastAsia" w:asciiTheme="majorEastAsia" w:hAnsiTheme="majorEastAsia" w:eastAsiaTheme="majorEastAsia"/>
          <w:b/>
          <w:bCs/>
          <w:sz w:val="36"/>
          <w:szCs w:val="36"/>
          <w:lang w:val="en-US" w:eastAsia="zh-CN"/>
        </w:rPr>
        <w:t>五</w:t>
      </w:r>
      <w:r>
        <w:rPr>
          <w:rFonts w:hint="eastAsia" w:asciiTheme="majorEastAsia" w:hAnsiTheme="majorEastAsia" w:eastAsiaTheme="majorEastAsia"/>
          <w:b/>
          <w:bCs/>
          <w:sz w:val="36"/>
          <w:szCs w:val="36"/>
        </w:rPr>
        <w:t>、投标保证金缴纳凭证</w:t>
      </w:r>
    </w:p>
    <w:p>
      <w:pPr>
        <w:pStyle w:val="14"/>
        <w:kinsoku w:val="0"/>
        <w:overflowPunct w:val="0"/>
        <w:spacing w:before="4"/>
        <w:rPr>
          <w:rFonts w:asciiTheme="majorEastAsia" w:hAnsiTheme="majorEastAsia" w:eastAsiaTheme="majorEastAsia"/>
          <w:b/>
          <w:bCs/>
          <w:sz w:val="23"/>
          <w:szCs w:val="23"/>
        </w:rPr>
      </w:pPr>
    </w:p>
    <w:p>
      <w:pPr>
        <w:spacing w:line="420" w:lineRule="exact"/>
        <w:ind w:firstLine="480" w:firstLineChars="200"/>
        <w:rPr>
          <w:rFonts w:hint="eastAsia" w:cs="仿宋" w:asciiTheme="majorEastAsia" w:hAnsiTheme="majorEastAsia" w:eastAsiaTheme="majorEastAsia"/>
          <w:kern w:val="0"/>
          <w:sz w:val="24"/>
        </w:rPr>
      </w:pPr>
      <w:r>
        <w:rPr>
          <w:rFonts w:hint="eastAsia" w:cs="仿宋" w:asciiTheme="majorEastAsia" w:hAnsiTheme="majorEastAsia" w:eastAsiaTheme="majorEastAsia"/>
          <w:kern w:val="0"/>
          <w:sz w:val="24"/>
        </w:rPr>
        <w:t>致：（采购人）</w:t>
      </w:r>
    </w:p>
    <w:p>
      <w:pPr>
        <w:spacing w:line="42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我方于</w:t>
      </w:r>
      <w:r>
        <w:rPr>
          <w:rFonts w:cs="仿宋" w:asciiTheme="majorEastAsia" w:hAnsiTheme="majorEastAsia" w:eastAsiaTheme="majorEastAsia"/>
          <w:kern w:val="0"/>
          <w:sz w:val="24"/>
        </w:rPr>
        <w:tab/>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年</w:t>
      </w:r>
      <w:r>
        <w:rPr>
          <w:rFonts w:cs="仿宋" w:asciiTheme="majorEastAsia" w:hAnsiTheme="majorEastAsia" w:eastAsiaTheme="majorEastAsia"/>
          <w:kern w:val="0"/>
          <w:sz w:val="24"/>
          <w:u w:val="single"/>
        </w:rPr>
        <w:tab/>
      </w:r>
      <w:r>
        <w:rPr>
          <w:rFonts w:hint="eastAsia" w:cs="仿宋" w:asciiTheme="majorEastAsia" w:hAnsiTheme="majorEastAsia" w:eastAsiaTheme="majorEastAsia"/>
          <w:kern w:val="0"/>
          <w:sz w:val="24"/>
        </w:rPr>
        <w:t>月</w:t>
      </w:r>
      <w:r>
        <w:rPr>
          <w:rFonts w:cs="仿宋" w:asciiTheme="majorEastAsia" w:hAnsiTheme="majorEastAsia" w:eastAsiaTheme="majorEastAsia"/>
          <w:kern w:val="0"/>
          <w:sz w:val="24"/>
          <w:u w:val="single"/>
        </w:rPr>
        <w:tab/>
      </w:r>
      <w:r>
        <w:rPr>
          <w:rFonts w:hint="eastAsia" w:cs="仿宋" w:asciiTheme="majorEastAsia" w:hAnsiTheme="majorEastAsia" w:eastAsiaTheme="majorEastAsia"/>
          <w:kern w:val="0"/>
          <w:sz w:val="24"/>
        </w:rPr>
        <w:t xml:space="preserve"> 日参加</w:t>
      </w:r>
      <w:r>
        <w:rPr>
          <w:rFonts w:cs="仿宋" w:asciiTheme="majorEastAsia" w:hAnsiTheme="majorEastAsia" w:eastAsiaTheme="majorEastAsia"/>
          <w:kern w:val="0"/>
          <w:sz w:val="24"/>
          <w:u w:val="single"/>
        </w:rPr>
        <w:tab/>
      </w:r>
      <w:r>
        <w:rPr>
          <w:rFonts w:hint="eastAsia" w:cs="仿宋" w:asciiTheme="majorEastAsia" w:hAnsiTheme="majorEastAsia" w:eastAsiaTheme="majorEastAsia"/>
          <w:kern w:val="0"/>
          <w:sz w:val="24"/>
          <w:u w:val="single"/>
        </w:rPr>
        <w:t xml:space="preserve">（项目名称）   </w:t>
      </w:r>
      <w:r>
        <w:rPr>
          <w:rFonts w:hint="eastAsia" w:cs="仿宋" w:asciiTheme="majorEastAsia" w:hAnsiTheme="majorEastAsia" w:eastAsiaTheme="majorEastAsia"/>
          <w:kern w:val="0"/>
          <w:sz w:val="24"/>
        </w:rPr>
        <w:t>的投标，现保证：我方在规定的投标有效期内撤销或修改投标文件的，或者在收到中标通知书后无正当理由拒签合同或拒交规定履约担保的，投标保证金不予退还。</w:t>
      </w:r>
    </w:p>
    <w:p>
      <w:pPr>
        <w:pStyle w:val="14"/>
        <w:kinsoku w:val="0"/>
        <w:overflowPunct w:val="0"/>
        <w:rPr>
          <w:rFonts w:asciiTheme="majorEastAsia" w:hAnsiTheme="majorEastAsia" w:eastAsiaTheme="majorEastAsia"/>
        </w:rPr>
      </w:pPr>
    </w:p>
    <w:p>
      <w:pPr>
        <w:pStyle w:val="14"/>
        <w:kinsoku w:val="0"/>
        <w:overflowPunct w:val="0"/>
        <w:rPr>
          <w:rFonts w:asciiTheme="majorEastAsia" w:hAnsiTheme="majorEastAsia" w:eastAsiaTheme="majorEastAsia"/>
        </w:rPr>
      </w:pPr>
    </w:p>
    <w:p>
      <w:pPr>
        <w:pStyle w:val="14"/>
        <w:kinsoku w:val="0"/>
        <w:overflowPunct w:val="0"/>
        <w:spacing w:before="4"/>
        <w:rPr>
          <w:rFonts w:asciiTheme="majorEastAsia" w:hAnsiTheme="majorEastAsia" w:eastAsiaTheme="majorEastAsia"/>
          <w:sz w:val="34"/>
          <w:szCs w:val="34"/>
        </w:rPr>
      </w:pPr>
    </w:p>
    <w:p>
      <w:pPr>
        <w:pStyle w:val="14"/>
        <w:tabs>
          <w:tab w:val="left" w:pos="7590"/>
        </w:tabs>
        <w:kinsoku w:val="0"/>
        <w:overflowPunct w:val="0"/>
        <w:spacing w:line="381" w:lineRule="auto"/>
        <w:ind w:right="118" w:firstLine="2400" w:firstLineChars="1000"/>
        <w:rPr>
          <w:rFonts w:hint="eastAsia" w:cs="仿宋" w:asciiTheme="majorEastAsia" w:hAnsiTheme="majorEastAsia" w:eastAsiaTheme="majorEastAsia"/>
          <w:kern w:val="0"/>
          <w:sz w:val="24"/>
          <w:szCs w:val="24"/>
          <w:lang w:val="en-US" w:eastAsia="zh-CN" w:bidi="ar-SA"/>
        </w:rPr>
      </w:pPr>
      <w:r>
        <w:rPr>
          <w:rFonts w:hint="eastAsia" w:cs="仿宋" w:asciiTheme="majorEastAsia" w:hAnsiTheme="majorEastAsia" w:eastAsiaTheme="majorEastAsia"/>
          <w:kern w:val="0"/>
          <w:sz w:val="24"/>
          <w:szCs w:val="24"/>
          <w:lang w:val="en-US" w:eastAsia="zh-CN" w:bidi="ar-SA"/>
        </w:rPr>
        <w:t>供应商：</w:t>
      </w:r>
      <w:r>
        <w:rPr>
          <w:rFonts w:hint="eastAsia" w:cs="仿宋" w:asciiTheme="majorEastAsia" w:hAnsiTheme="majorEastAsia" w:eastAsiaTheme="majorEastAsia"/>
          <w:kern w:val="0"/>
          <w:sz w:val="24"/>
          <w:szCs w:val="24"/>
          <w:u w:val="single"/>
          <w:lang w:val="en-US" w:eastAsia="zh-CN" w:bidi="ar-SA"/>
        </w:rPr>
        <w:t xml:space="preserve">                         </w:t>
      </w:r>
      <w:r>
        <w:rPr>
          <w:rFonts w:hint="eastAsia" w:cs="仿宋" w:asciiTheme="majorEastAsia" w:hAnsiTheme="majorEastAsia" w:eastAsiaTheme="majorEastAsia"/>
          <w:kern w:val="0"/>
          <w:sz w:val="24"/>
          <w:szCs w:val="24"/>
          <w:lang w:val="en-US" w:eastAsia="zh-CN" w:bidi="ar-SA"/>
        </w:rPr>
        <w:t xml:space="preserve">（盖章） </w:t>
      </w:r>
    </w:p>
    <w:p>
      <w:pPr>
        <w:pStyle w:val="14"/>
        <w:tabs>
          <w:tab w:val="left" w:pos="7590"/>
        </w:tabs>
        <w:kinsoku w:val="0"/>
        <w:overflowPunct w:val="0"/>
        <w:spacing w:line="381" w:lineRule="auto"/>
        <w:ind w:right="118" w:firstLine="2400" w:firstLineChars="1000"/>
        <w:rPr>
          <w:rFonts w:hint="eastAsia" w:cs="仿宋" w:asciiTheme="majorEastAsia" w:hAnsiTheme="majorEastAsia" w:eastAsiaTheme="majorEastAsia"/>
          <w:kern w:val="0"/>
          <w:sz w:val="24"/>
          <w:szCs w:val="24"/>
          <w:lang w:val="en-US" w:eastAsia="zh-CN" w:bidi="ar-SA"/>
        </w:rPr>
      </w:pPr>
      <w:r>
        <w:rPr>
          <w:rFonts w:hint="eastAsia" w:cs="仿宋" w:asciiTheme="majorEastAsia" w:hAnsiTheme="majorEastAsia" w:eastAsiaTheme="majorEastAsia"/>
          <w:kern w:val="0"/>
          <w:sz w:val="24"/>
          <w:szCs w:val="24"/>
          <w:lang w:val="en-US" w:eastAsia="zh-CN" w:bidi="ar-SA"/>
        </w:rPr>
        <w:t>法定代表人或被授权人：</w:t>
      </w:r>
      <w:r>
        <w:rPr>
          <w:rFonts w:hint="eastAsia" w:cs="仿宋" w:asciiTheme="majorEastAsia" w:hAnsiTheme="majorEastAsia" w:eastAsiaTheme="majorEastAsia"/>
          <w:kern w:val="0"/>
          <w:sz w:val="24"/>
          <w:szCs w:val="24"/>
          <w:u w:val="single"/>
          <w:lang w:val="en-US" w:eastAsia="zh-CN" w:bidi="ar-SA"/>
        </w:rPr>
        <w:t xml:space="preserve">           </w:t>
      </w:r>
      <w:r>
        <w:rPr>
          <w:rFonts w:hint="eastAsia" w:cs="仿宋" w:asciiTheme="majorEastAsia" w:hAnsiTheme="majorEastAsia" w:eastAsiaTheme="majorEastAsia"/>
          <w:kern w:val="0"/>
          <w:sz w:val="24"/>
          <w:szCs w:val="24"/>
          <w:lang w:val="en-US" w:eastAsia="zh-CN" w:bidi="ar-SA"/>
        </w:rPr>
        <w:t>（签字或盖章）</w:t>
      </w:r>
    </w:p>
    <w:p>
      <w:pPr>
        <w:pStyle w:val="14"/>
        <w:tabs>
          <w:tab w:val="left" w:pos="5551"/>
          <w:tab w:val="left" w:pos="6511"/>
          <w:tab w:val="left" w:pos="7111"/>
          <w:tab w:val="left" w:pos="7711"/>
        </w:tabs>
        <w:kinsoku w:val="0"/>
        <w:overflowPunct w:val="0"/>
        <w:spacing w:before="46"/>
        <w:ind w:firstLine="2400" w:firstLineChars="1000"/>
        <w:rPr>
          <w:rFonts w:hint="eastAsia" w:cs="仿宋" w:asciiTheme="majorEastAsia" w:hAnsiTheme="majorEastAsia" w:eastAsiaTheme="majorEastAsia"/>
          <w:kern w:val="0"/>
          <w:sz w:val="24"/>
          <w:szCs w:val="24"/>
          <w:lang w:val="en-US" w:eastAsia="zh-CN" w:bidi="ar-SA"/>
        </w:rPr>
      </w:pPr>
      <w:r>
        <w:rPr>
          <w:rFonts w:hint="eastAsia" w:cs="仿宋" w:asciiTheme="majorEastAsia" w:hAnsiTheme="majorEastAsia" w:eastAsiaTheme="majorEastAsia"/>
          <w:kern w:val="0"/>
          <w:sz w:val="24"/>
          <w:szCs w:val="24"/>
          <w:lang w:val="en-US" w:eastAsia="zh-CN" w:bidi="ar-SA"/>
        </w:rPr>
        <w:t>日期：      年      月      日</w:t>
      </w:r>
    </w:p>
    <w:p>
      <w:pPr>
        <w:pStyle w:val="14"/>
        <w:kinsoku w:val="0"/>
        <w:overflowPunct w:val="0"/>
        <w:rPr>
          <w:rFonts w:hint="eastAsia" w:cs="仿宋" w:asciiTheme="majorEastAsia" w:hAnsiTheme="majorEastAsia" w:eastAsiaTheme="majorEastAsia"/>
          <w:kern w:val="0"/>
          <w:sz w:val="24"/>
          <w:szCs w:val="24"/>
          <w:lang w:val="en-US" w:eastAsia="zh-CN" w:bidi="ar-SA"/>
        </w:rPr>
      </w:pPr>
    </w:p>
    <w:p>
      <w:pPr>
        <w:pStyle w:val="14"/>
        <w:kinsoku w:val="0"/>
        <w:overflowPunct w:val="0"/>
        <w:spacing w:before="5"/>
        <w:rPr>
          <w:rFonts w:asciiTheme="majorEastAsia" w:hAnsiTheme="majorEastAsia" w:eastAsiaTheme="majorEastAsia"/>
          <w:sz w:val="25"/>
          <w:szCs w:val="25"/>
        </w:rPr>
      </w:pPr>
    </w:p>
    <w:p>
      <w:pPr>
        <w:pStyle w:val="14"/>
        <w:kinsoku w:val="0"/>
        <w:overflowPunct w:val="0"/>
        <w:jc w:val="center"/>
        <w:rPr>
          <w:rFonts w:asciiTheme="majorEastAsia" w:hAnsiTheme="majorEastAsia" w:eastAsiaTheme="majorEastAsia"/>
        </w:rPr>
      </w:pPr>
      <w:r>
        <w:rPr>
          <w:rFonts w:hint="eastAsia" w:asciiTheme="majorEastAsia" w:hAnsiTheme="majorEastAsia" w:eastAsiaTheme="majorEastAsia"/>
        </w:rPr>
        <w:t>（复印件应附在投标文件中）</w:t>
      </w:r>
    </w:p>
    <w:p>
      <w:pPr>
        <w:pStyle w:val="14"/>
        <w:kinsoku w:val="0"/>
        <w:overflowPunct w:val="0"/>
        <w:rPr>
          <w:rFonts w:asciiTheme="majorEastAsia" w:hAnsiTheme="majorEastAsia" w:eastAsiaTheme="majorEastAsia"/>
          <w:sz w:val="20"/>
          <w:szCs w:val="20"/>
        </w:rPr>
      </w:pPr>
    </w:p>
    <w:p>
      <w:pPr>
        <w:pStyle w:val="14"/>
        <w:kinsoku w:val="0"/>
        <w:overflowPunct w:val="0"/>
        <w:spacing w:before="8"/>
        <w:rPr>
          <w:rFonts w:asciiTheme="majorEastAsia" w:hAnsiTheme="majorEastAsia" w:eastAsiaTheme="majorEastAsia"/>
          <w:sz w:val="20"/>
          <w:szCs w:val="20"/>
        </w:rPr>
      </w:pPr>
    </w:p>
    <w:p>
      <w:pPr>
        <w:pStyle w:val="15"/>
        <w:rPr>
          <w:rFonts w:asciiTheme="majorEastAsia" w:hAnsiTheme="majorEastAsia" w:eastAsiaTheme="majorEastAsia"/>
          <w:sz w:val="20"/>
          <w:szCs w:val="20"/>
        </w:rPr>
      </w:pPr>
    </w:p>
    <w:p>
      <w:pPr>
        <w:pStyle w:val="15"/>
        <w:rPr>
          <w:rFonts w:asciiTheme="majorEastAsia" w:hAnsiTheme="majorEastAsia" w:eastAsiaTheme="majorEastAsia"/>
          <w:sz w:val="20"/>
          <w:szCs w:val="20"/>
        </w:rPr>
      </w:pPr>
    </w:p>
    <w:p>
      <w:pPr>
        <w:pStyle w:val="15"/>
        <w:rPr>
          <w:rFonts w:asciiTheme="majorEastAsia" w:hAnsiTheme="majorEastAsia" w:eastAsiaTheme="majorEastAsia"/>
          <w:sz w:val="20"/>
          <w:szCs w:val="20"/>
        </w:rPr>
      </w:pPr>
    </w:p>
    <w:p>
      <w:pPr>
        <w:pStyle w:val="15"/>
        <w:rPr>
          <w:rFonts w:asciiTheme="majorEastAsia" w:hAnsiTheme="majorEastAsia" w:eastAsiaTheme="majorEastAsia"/>
          <w:sz w:val="20"/>
          <w:szCs w:val="20"/>
        </w:rPr>
      </w:pPr>
    </w:p>
    <w:p>
      <w:pPr>
        <w:pStyle w:val="15"/>
        <w:rPr>
          <w:rFonts w:asciiTheme="majorEastAsia" w:hAnsiTheme="majorEastAsia" w:eastAsiaTheme="majorEastAsia"/>
          <w:sz w:val="20"/>
          <w:szCs w:val="20"/>
        </w:rPr>
      </w:pPr>
    </w:p>
    <w:p>
      <w:pPr>
        <w:pStyle w:val="15"/>
        <w:rPr>
          <w:rFonts w:asciiTheme="majorEastAsia" w:hAnsiTheme="majorEastAsia" w:eastAsiaTheme="majorEastAsia"/>
          <w:sz w:val="20"/>
          <w:szCs w:val="20"/>
        </w:rPr>
      </w:pPr>
    </w:p>
    <w:p>
      <w:pPr>
        <w:pStyle w:val="15"/>
        <w:rPr>
          <w:rFonts w:asciiTheme="majorEastAsia" w:hAnsiTheme="majorEastAsia" w:eastAsiaTheme="majorEastAsia"/>
          <w:sz w:val="20"/>
          <w:szCs w:val="20"/>
        </w:rPr>
      </w:pPr>
    </w:p>
    <w:p>
      <w:pPr>
        <w:pStyle w:val="15"/>
        <w:rPr>
          <w:rFonts w:asciiTheme="majorEastAsia" w:hAnsiTheme="majorEastAsia" w:eastAsiaTheme="majorEastAsia"/>
          <w:sz w:val="20"/>
          <w:szCs w:val="20"/>
        </w:rPr>
      </w:pPr>
    </w:p>
    <w:p>
      <w:pPr>
        <w:pStyle w:val="15"/>
        <w:rPr>
          <w:rFonts w:asciiTheme="majorEastAsia" w:hAnsiTheme="majorEastAsia" w:eastAsiaTheme="majorEastAsia"/>
          <w:sz w:val="20"/>
          <w:szCs w:val="20"/>
        </w:rPr>
      </w:pPr>
    </w:p>
    <w:p>
      <w:pPr>
        <w:pStyle w:val="15"/>
        <w:rPr>
          <w:rFonts w:asciiTheme="majorEastAsia" w:hAnsiTheme="majorEastAsia" w:eastAsiaTheme="majorEastAsia"/>
          <w:sz w:val="20"/>
          <w:szCs w:val="20"/>
        </w:rPr>
      </w:pPr>
    </w:p>
    <w:p>
      <w:pPr>
        <w:pStyle w:val="14"/>
        <w:kinsoku w:val="0"/>
        <w:overflowPunct w:val="0"/>
        <w:spacing w:before="174"/>
        <w:rPr>
          <w:rFonts w:asciiTheme="majorEastAsia" w:hAnsiTheme="majorEastAsia" w:eastAsiaTheme="majorEastAsia"/>
          <w:b/>
          <w:bCs/>
          <w:spacing w:val="1"/>
          <w:szCs w:val="21"/>
        </w:rPr>
      </w:pPr>
    </w:p>
    <w:p>
      <w:pPr>
        <w:pStyle w:val="14"/>
        <w:kinsoku w:val="0"/>
        <w:overflowPunct w:val="0"/>
        <w:spacing w:before="174"/>
        <w:rPr>
          <w:rFonts w:hint="eastAsia" w:asciiTheme="majorEastAsia" w:hAnsiTheme="majorEastAsia" w:eastAsiaTheme="majorEastAsia"/>
          <w:b/>
          <w:bCs/>
          <w:spacing w:val="1"/>
          <w:szCs w:val="21"/>
        </w:rPr>
      </w:pPr>
      <w:r>
        <w:rPr>
          <w:rFonts w:hint="eastAsia" w:asciiTheme="majorEastAsia" w:hAnsiTheme="majorEastAsia" w:eastAsiaTheme="majorEastAsia"/>
          <w:b/>
          <w:bCs/>
          <w:spacing w:val="1"/>
          <w:szCs w:val="21"/>
        </w:rPr>
        <w:t>★备注：投标保证金缴费凭证复印件加盖公章</w:t>
      </w:r>
    </w:p>
    <w:p>
      <w:pPr>
        <w:pStyle w:val="15"/>
        <w:rPr>
          <w:rFonts w:hint="eastAsia" w:asciiTheme="majorEastAsia" w:hAnsiTheme="majorEastAsia" w:eastAsiaTheme="majorEastAsia"/>
          <w:b/>
          <w:bCs/>
          <w:spacing w:val="1"/>
          <w:szCs w:val="21"/>
        </w:rPr>
      </w:pPr>
    </w:p>
    <w:p>
      <w:pPr>
        <w:pStyle w:val="15"/>
        <w:rPr>
          <w:rFonts w:hint="eastAsia" w:asciiTheme="majorEastAsia" w:hAnsiTheme="majorEastAsia" w:eastAsiaTheme="majorEastAsia"/>
          <w:b/>
          <w:bCs/>
          <w:spacing w:val="1"/>
          <w:szCs w:val="21"/>
        </w:rPr>
      </w:pPr>
    </w:p>
    <w:p>
      <w:pPr>
        <w:pStyle w:val="15"/>
        <w:rPr>
          <w:rFonts w:hint="eastAsia" w:asciiTheme="majorEastAsia" w:hAnsiTheme="majorEastAsia" w:eastAsiaTheme="majorEastAsia"/>
          <w:b/>
          <w:bCs/>
          <w:spacing w:val="1"/>
          <w:szCs w:val="21"/>
        </w:rPr>
      </w:pPr>
    </w:p>
    <w:p>
      <w:pPr>
        <w:pStyle w:val="15"/>
        <w:rPr>
          <w:rFonts w:hint="eastAsia" w:asciiTheme="majorEastAsia" w:hAnsiTheme="majorEastAsia" w:eastAsiaTheme="majorEastAsia"/>
          <w:b/>
          <w:bCs/>
          <w:spacing w:val="1"/>
          <w:szCs w:val="21"/>
        </w:rPr>
      </w:pPr>
    </w:p>
    <w:p>
      <w:pPr>
        <w:pStyle w:val="15"/>
        <w:rPr>
          <w:rFonts w:hint="eastAsia" w:asciiTheme="majorEastAsia" w:hAnsiTheme="majorEastAsia" w:eastAsiaTheme="majorEastAsia"/>
          <w:b/>
          <w:bCs/>
          <w:spacing w:val="1"/>
          <w:szCs w:val="21"/>
        </w:rPr>
      </w:pPr>
    </w:p>
    <w:p>
      <w:pPr>
        <w:pStyle w:val="15"/>
        <w:rPr>
          <w:rFonts w:hint="eastAsia" w:asciiTheme="majorEastAsia" w:hAnsiTheme="majorEastAsia" w:eastAsiaTheme="majorEastAsia"/>
          <w:b/>
          <w:bCs/>
          <w:spacing w:val="1"/>
          <w:szCs w:val="21"/>
        </w:rPr>
      </w:pPr>
    </w:p>
    <w:p>
      <w:pPr>
        <w:pStyle w:val="15"/>
        <w:rPr>
          <w:rFonts w:hint="eastAsia" w:asciiTheme="majorEastAsia" w:hAnsiTheme="majorEastAsia" w:eastAsiaTheme="majorEastAsia"/>
          <w:b/>
          <w:bCs/>
          <w:spacing w:val="1"/>
          <w:szCs w:val="21"/>
        </w:rPr>
      </w:pPr>
    </w:p>
    <w:p>
      <w:pPr>
        <w:pStyle w:val="15"/>
        <w:rPr>
          <w:rFonts w:hint="eastAsia" w:asciiTheme="majorEastAsia" w:hAnsiTheme="majorEastAsia" w:eastAsiaTheme="majorEastAsia"/>
          <w:b/>
          <w:bCs/>
          <w:spacing w:val="1"/>
          <w:szCs w:val="21"/>
        </w:rPr>
      </w:pPr>
    </w:p>
    <w:p>
      <w:pPr>
        <w:pStyle w:val="15"/>
        <w:rPr>
          <w:rFonts w:hint="eastAsia" w:asciiTheme="majorEastAsia" w:hAnsiTheme="majorEastAsia" w:eastAsiaTheme="majorEastAsia"/>
          <w:b/>
          <w:bCs/>
          <w:spacing w:val="1"/>
          <w:szCs w:val="21"/>
        </w:rPr>
      </w:pPr>
    </w:p>
    <w:p>
      <w:pPr>
        <w:pStyle w:val="15"/>
        <w:rPr>
          <w:rFonts w:hint="eastAsia" w:asciiTheme="majorEastAsia" w:hAnsiTheme="majorEastAsia" w:eastAsiaTheme="majorEastAsia"/>
          <w:b/>
          <w:bCs/>
          <w:spacing w:val="1"/>
          <w:szCs w:val="21"/>
        </w:rPr>
      </w:pPr>
    </w:p>
    <w:p>
      <w:pPr>
        <w:pStyle w:val="15"/>
        <w:rPr>
          <w:rFonts w:hint="eastAsia" w:asciiTheme="majorEastAsia" w:hAnsiTheme="majorEastAsia" w:eastAsiaTheme="majorEastAsia"/>
          <w:b/>
          <w:bCs/>
          <w:spacing w:val="1"/>
          <w:szCs w:val="21"/>
        </w:rPr>
      </w:pPr>
    </w:p>
    <w:p>
      <w:pPr>
        <w:pStyle w:val="15"/>
        <w:rPr>
          <w:rFonts w:hint="eastAsia" w:asciiTheme="majorEastAsia" w:hAnsiTheme="majorEastAsia" w:eastAsiaTheme="majorEastAsia"/>
          <w:b/>
          <w:bCs/>
          <w:spacing w:val="1"/>
          <w:szCs w:val="21"/>
        </w:rPr>
      </w:pPr>
    </w:p>
    <w:p>
      <w:pPr>
        <w:pStyle w:val="15"/>
        <w:rPr>
          <w:rFonts w:hint="eastAsia" w:asciiTheme="majorEastAsia" w:hAnsiTheme="majorEastAsia" w:eastAsiaTheme="majorEastAsia"/>
          <w:b/>
          <w:bCs/>
          <w:spacing w:val="1"/>
          <w:szCs w:val="21"/>
        </w:rPr>
      </w:pPr>
    </w:p>
    <w:p>
      <w:pPr>
        <w:pStyle w:val="15"/>
        <w:rPr>
          <w:rFonts w:hint="eastAsia" w:asciiTheme="majorEastAsia" w:hAnsiTheme="majorEastAsia" w:eastAsiaTheme="majorEastAsia"/>
          <w:b/>
          <w:bCs/>
          <w:spacing w:val="1"/>
          <w:szCs w:val="21"/>
        </w:rPr>
      </w:pPr>
    </w:p>
    <w:p>
      <w:pPr>
        <w:pStyle w:val="15"/>
        <w:rPr>
          <w:rFonts w:hint="eastAsia" w:asciiTheme="majorEastAsia" w:hAnsiTheme="majorEastAsia" w:eastAsiaTheme="majorEastAsia"/>
          <w:b/>
          <w:bCs/>
          <w:spacing w:val="1"/>
          <w:szCs w:val="21"/>
        </w:rPr>
      </w:pPr>
    </w:p>
    <w:p>
      <w:pPr>
        <w:pStyle w:val="14"/>
        <w:kinsoku w:val="0"/>
        <w:overflowPunct w:val="0"/>
        <w:spacing w:before="34" w:line="357" w:lineRule="auto"/>
        <w:ind w:right="126" w:firstLine="480"/>
        <w:jc w:val="center"/>
        <w:outlineLvl w:val="0"/>
        <w:rPr>
          <w:rFonts w:asciiTheme="majorEastAsia" w:hAnsiTheme="majorEastAsia" w:eastAsiaTheme="majorEastAsia"/>
          <w:b/>
          <w:bCs/>
        </w:rPr>
      </w:pPr>
      <w:r>
        <w:rPr>
          <w:rFonts w:hint="eastAsia" w:asciiTheme="majorEastAsia" w:hAnsiTheme="majorEastAsia" w:eastAsiaTheme="majorEastAsia"/>
          <w:b/>
          <w:bCs/>
          <w:sz w:val="36"/>
          <w:szCs w:val="36"/>
          <w:lang w:val="en-US" w:eastAsia="zh-CN"/>
        </w:rPr>
        <w:t>六、开标一览表</w:t>
      </w:r>
    </w:p>
    <w:p>
      <w:pPr>
        <w:pStyle w:val="14"/>
        <w:kinsoku w:val="0"/>
        <w:overflowPunct w:val="0"/>
        <w:spacing w:before="6"/>
        <w:rPr>
          <w:rFonts w:asciiTheme="majorEastAsia" w:hAnsiTheme="majorEastAsia" w:eastAsiaTheme="majorEastAsia"/>
          <w:b/>
          <w:bCs/>
          <w:sz w:val="26"/>
          <w:szCs w:val="26"/>
        </w:rPr>
      </w:pPr>
    </w:p>
    <w:p>
      <w:pPr>
        <w:rPr>
          <w:rFonts w:cs="仿宋" w:asciiTheme="majorEastAsia" w:hAnsiTheme="majorEastAsia" w:eastAsiaTheme="majorEastAsia"/>
          <w:kern w:val="0"/>
          <w:sz w:val="24"/>
          <w:u w:val="single"/>
        </w:rPr>
      </w:pPr>
      <w:r>
        <w:rPr>
          <w:rFonts w:hint="eastAsia" w:cs="仿宋" w:asciiTheme="majorEastAsia" w:hAnsiTheme="majorEastAsia" w:eastAsiaTheme="majorEastAsia"/>
          <w:kern w:val="0"/>
          <w:sz w:val="24"/>
        </w:rPr>
        <w:t>采购项目名称：</w:t>
      </w:r>
      <w:r>
        <w:rPr>
          <w:rFonts w:hint="eastAsia" w:cs="仿宋" w:asciiTheme="majorEastAsia" w:hAnsiTheme="majorEastAsia" w:eastAsiaTheme="majorEastAsia"/>
          <w:kern w:val="0"/>
          <w:sz w:val="24"/>
          <w:u w:val="single"/>
        </w:rPr>
        <w:t>　                              　　</w:t>
      </w:r>
    </w:p>
    <w:p>
      <w:pPr>
        <w:rPr>
          <w:rFonts w:cs="仿宋" w:asciiTheme="majorEastAsia" w:hAnsiTheme="majorEastAsia" w:eastAsiaTheme="majorEastAsia"/>
          <w:kern w:val="0"/>
          <w:sz w:val="24"/>
          <w:u w:val="single"/>
        </w:rPr>
      </w:pPr>
      <w:r>
        <w:rPr>
          <w:rFonts w:hint="eastAsia" w:cs="仿宋" w:asciiTheme="majorEastAsia" w:hAnsiTheme="majorEastAsia" w:eastAsiaTheme="majorEastAsia"/>
          <w:kern w:val="0"/>
          <w:sz w:val="24"/>
        </w:rPr>
        <w:t>采购项目编号：</w:t>
      </w:r>
      <w:r>
        <w:rPr>
          <w:rFonts w:hint="eastAsia" w:cs="仿宋" w:asciiTheme="majorEastAsia" w:hAnsiTheme="majorEastAsia" w:eastAsiaTheme="majorEastAsia"/>
          <w:kern w:val="0"/>
          <w:sz w:val="24"/>
          <w:u w:val="single"/>
        </w:rPr>
        <w:t>　                              　　</w:t>
      </w:r>
    </w:p>
    <w:tbl>
      <w:tblPr>
        <w:tblStyle w:val="40"/>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widowControl/>
              <w:spacing w:line="440" w:lineRule="exact"/>
              <w:jc w:val="center"/>
              <w:rPr>
                <w:rFonts w:cs="宋体" w:asciiTheme="majorEastAsia" w:hAnsiTheme="majorEastAsia" w:eastAsiaTheme="majorEastAsia"/>
                <w:b/>
                <w:bCs/>
                <w:kern w:val="0"/>
                <w:sz w:val="24"/>
              </w:rPr>
            </w:pPr>
            <w:r>
              <w:rPr>
                <w:rFonts w:hint="eastAsia" w:cs="宋体" w:asciiTheme="majorEastAsia" w:hAnsiTheme="majorEastAsia" w:eastAsiaTheme="majorEastAsia"/>
                <w:b/>
                <w:bCs/>
                <w:kern w:val="0"/>
                <w:sz w:val="24"/>
              </w:rPr>
              <w:t>投标内容</w:t>
            </w:r>
          </w:p>
        </w:tc>
        <w:tc>
          <w:tcPr>
            <w:tcW w:w="6267" w:type="dxa"/>
            <w:vAlign w:val="center"/>
          </w:tcPr>
          <w:p>
            <w:pPr>
              <w:widowControl/>
              <w:spacing w:line="440" w:lineRule="exact"/>
              <w:jc w:val="center"/>
              <w:rPr>
                <w:rFonts w:cs="宋体" w:asciiTheme="majorEastAsia" w:hAnsiTheme="majorEastAsia" w:eastAsiaTheme="majorEastAsia"/>
                <w:b/>
                <w:bCs/>
                <w:kern w:val="0"/>
                <w:sz w:val="24"/>
              </w:rPr>
            </w:pPr>
            <w:r>
              <w:rPr>
                <w:rFonts w:hint="eastAsia" w:cs="宋体" w:asciiTheme="majorEastAsia" w:hAnsiTheme="majorEastAsia" w:eastAsiaTheme="majorEastAsia"/>
                <w:b/>
                <w:bCs/>
                <w:kern w:val="0"/>
                <w:sz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widowControl/>
              <w:spacing w:line="440" w:lineRule="exact"/>
              <w:jc w:val="center"/>
              <w:rPr>
                <w:rFonts w:cs="宋体" w:asciiTheme="majorEastAsia" w:hAnsiTheme="majorEastAsia" w:eastAsiaTheme="majorEastAsia"/>
                <w:kern w:val="0"/>
                <w:sz w:val="24"/>
              </w:rPr>
            </w:pPr>
            <w:r>
              <w:rPr>
                <w:rFonts w:cs="宋体" w:asciiTheme="majorEastAsia" w:hAnsiTheme="majorEastAsia" w:eastAsiaTheme="majorEastAsia"/>
                <w:kern w:val="0"/>
                <w:sz w:val="24"/>
              </w:rPr>
              <w:t>报</w:t>
            </w:r>
            <w:r>
              <w:rPr>
                <w:rFonts w:hint="eastAsia" w:cs="宋体" w:asciiTheme="majorEastAsia" w:hAnsiTheme="majorEastAsia" w:eastAsiaTheme="majorEastAsia"/>
                <w:kern w:val="0"/>
                <w:sz w:val="24"/>
              </w:rPr>
              <w:t xml:space="preserve">    </w:t>
            </w:r>
            <w:r>
              <w:rPr>
                <w:rFonts w:cs="宋体" w:asciiTheme="majorEastAsia" w:hAnsiTheme="majorEastAsia" w:eastAsiaTheme="majorEastAsia"/>
                <w:kern w:val="0"/>
                <w:sz w:val="24"/>
              </w:rPr>
              <w:t>价</w:t>
            </w:r>
          </w:p>
        </w:tc>
        <w:tc>
          <w:tcPr>
            <w:tcW w:w="6267" w:type="dxa"/>
            <w:vAlign w:val="center"/>
          </w:tcPr>
          <w:p>
            <w:pPr>
              <w:widowControl/>
              <w:spacing w:line="440" w:lineRule="exact"/>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小写：￥</w:t>
            </w:r>
            <w:r>
              <w:rPr>
                <w:rFonts w:cs="宋体" w:asciiTheme="majorEastAsia" w:hAnsiTheme="majorEastAsia" w:eastAsiaTheme="majorEastAsia"/>
                <w:kern w:val="0"/>
                <w:sz w:val="24"/>
              </w:rPr>
              <w:t xml:space="preserve">                                      </w:t>
            </w:r>
            <w:r>
              <w:rPr>
                <w:rFonts w:hint="eastAsia" w:cs="宋体" w:asciiTheme="majorEastAsia" w:hAnsiTheme="majorEastAsia" w:eastAsiaTheme="majorEastAsia"/>
                <w:kern w:val="0"/>
                <w:sz w:val="24"/>
              </w:rPr>
              <w:t>元</w:t>
            </w:r>
            <w:r>
              <w:rPr>
                <w:rFonts w:cs="宋体" w:asciiTheme="majorEastAsia" w:hAnsiTheme="majorEastAsia" w:eastAsiaTheme="majorEastAsia"/>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widowControl/>
              <w:spacing w:line="440" w:lineRule="exact"/>
              <w:jc w:val="center"/>
              <w:rPr>
                <w:rFonts w:cs="宋体" w:asciiTheme="majorEastAsia" w:hAnsiTheme="majorEastAsia" w:eastAsiaTheme="majorEastAsia"/>
                <w:kern w:val="0"/>
                <w:sz w:val="24"/>
              </w:rPr>
            </w:pPr>
          </w:p>
        </w:tc>
        <w:tc>
          <w:tcPr>
            <w:tcW w:w="6267" w:type="dxa"/>
            <w:vAlign w:val="center"/>
          </w:tcPr>
          <w:p>
            <w:pPr>
              <w:spacing w:line="440" w:lineRule="exact"/>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供 货 期</w:t>
            </w:r>
          </w:p>
        </w:tc>
        <w:tc>
          <w:tcPr>
            <w:tcW w:w="6267" w:type="dxa"/>
            <w:vAlign w:val="center"/>
          </w:tcPr>
          <w:p>
            <w:pPr>
              <w:spacing w:line="440" w:lineRule="exact"/>
              <w:jc w:val="left"/>
              <w:rPr>
                <w:rFonts w:cs="宋体"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质 保 期</w:t>
            </w:r>
          </w:p>
        </w:tc>
        <w:tc>
          <w:tcPr>
            <w:tcW w:w="6267" w:type="dxa"/>
            <w:vAlign w:val="center"/>
          </w:tcPr>
          <w:p>
            <w:pPr>
              <w:spacing w:line="440" w:lineRule="exact"/>
              <w:jc w:val="left"/>
              <w:rPr>
                <w:rFonts w:cs="宋体"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备注</w:t>
            </w:r>
          </w:p>
        </w:tc>
        <w:tc>
          <w:tcPr>
            <w:tcW w:w="6267" w:type="dxa"/>
            <w:vAlign w:val="center"/>
          </w:tcPr>
          <w:p>
            <w:pPr>
              <w:spacing w:line="440" w:lineRule="exact"/>
              <w:jc w:val="left"/>
              <w:rPr>
                <w:rFonts w:cs="宋体" w:asciiTheme="majorEastAsia" w:hAnsiTheme="majorEastAsia" w:eastAsiaTheme="majorEastAsia"/>
                <w:kern w:val="0"/>
                <w:sz w:val="24"/>
              </w:rPr>
            </w:pPr>
          </w:p>
        </w:tc>
      </w:tr>
    </w:tbl>
    <w:p>
      <w:pPr>
        <w:spacing w:line="480" w:lineRule="exact"/>
        <w:ind w:firstLine="42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注：1.此表总报价是所有需采购人支付的金额总数，包括《招标内容》要求的全部内容。</w:t>
      </w:r>
    </w:p>
    <w:p>
      <w:pPr>
        <w:numPr>
          <w:ilvl w:val="0"/>
          <w:numId w:val="10"/>
        </w:numPr>
        <w:spacing w:line="480" w:lineRule="exact"/>
        <w:ind w:firstLine="960" w:firstLineChars="4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总报价中必须包含购置、安装、运输保险、装卸、培训辅导、质保期售后服务、全额含税发票、雇员费用、合同实施过程中应预见和不可预见费用等。所有价格均应予人民币报价，金额单位为元。</w:t>
      </w:r>
    </w:p>
    <w:p>
      <w:pPr>
        <w:numPr>
          <w:ilvl w:val="0"/>
          <w:numId w:val="10"/>
        </w:numPr>
        <w:spacing w:line="480" w:lineRule="exact"/>
        <w:ind w:firstLine="960" w:firstLineChars="400"/>
        <w:rPr>
          <w:rFonts w:asciiTheme="majorEastAsia" w:hAnsiTheme="majorEastAsia" w:eastAsiaTheme="majorEastAsia"/>
        </w:rPr>
      </w:pPr>
      <w:r>
        <w:rPr>
          <w:rFonts w:hint="eastAsia" w:cs="仿宋" w:asciiTheme="majorEastAsia" w:hAnsiTheme="majorEastAsia" w:eastAsiaTheme="majorEastAsia"/>
          <w:kern w:val="0"/>
          <w:sz w:val="24"/>
        </w:rPr>
        <w:t>请将本投标报价表另密封在一单独信封内（投标文件内同样装有），随同投标文件一起递交。</w:t>
      </w:r>
    </w:p>
    <w:p>
      <w:pPr>
        <w:pStyle w:val="14"/>
        <w:tabs>
          <w:tab w:val="left" w:pos="8227"/>
        </w:tabs>
        <w:kinsoku w:val="0"/>
        <w:overflowPunct w:val="0"/>
        <w:spacing w:line="381" w:lineRule="auto"/>
        <w:ind w:left="4027" w:right="118"/>
        <w:rPr>
          <w:rFonts w:asciiTheme="majorEastAsia" w:hAnsiTheme="majorEastAsia" w:eastAsiaTheme="majorEastAsia"/>
        </w:rPr>
      </w:pPr>
    </w:p>
    <w:p>
      <w:pPr>
        <w:pStyle w:val="14"/>
        <w:tabs>
          <w:tab w:val="left" w:pos="7905"/>
        </w:tabs>
        <w:kinsoku w:val="0"/>
        <w:overflowPunct w:val="0"/>
        <w:spacing w:line="381" w:lineRule="auto"/>
        <w:ind w:right="118"/>
        <w:rPr>
          <w:rFonts w:hint="eastAsia" w:cs="仿宋" w:asciiTheme="majorEastAsia" w:hAnsiTheme="majorEastAsia" w:eastAsiaTheme="majorEastAsia"/>
          <w:kern w:val="0"/>
          <w:sz w:val="24"/>
          <w:szCs w:val="24"/>
          <w:lang w:val="en-US" w:eastAsia="zh-CN" w:bidi="ar-SA"/>
        </w:rPr>
      </w:pPr>
      <w:r>
        <w:rPr>
          <w:rFonts w:hint="eastAsia" w:cs="仿宋" w:asciiTheme="majorEastAsia" w:hAnsiTheme="majorEastAsia" w:eastAsiaTheme="majorEastAsia"/>
          <w:kern w:val="0"/>
          <w:sz w:val="24"/>
          <w:szCs w:val="24"/>
          <w:lang w:val="en-US" w:eastAsia="zh-CN" w:bidi="ar-SA"/>
        </w:rPr>
        <w:t>供应商：</w:t>
      </w:r>
      <w:r>
        <w:rPr>
          <w:rFonts w:hint="eastAsia" w:cs="仿宋" w:asciiTheme="majorEastAsia" w:hAnsiTheme="majorEastAsia" w:eastAsiaTheme="majorEastAsia"/>
          <w:kern w:val="0"/>
          <w:sz w:val="24"/>
          <w:szCs w:val="24"/>
          <w:u w:val="single"/>
          <w:lang w:val="en-US" w:eastAsia="zh-CN" w:bidi="ar-SA"/>
        </w:rPr>
        <w:t xml:space="preserve">                         </w:t>
      </w:r>
      <w:r>
        <w:rPr>
          <w:rFonts w:hint="eastAsia" w:cs="仿宋" w:asciiTheme="majorEastAsia" w:hAnsiTheme="majorEastAsia" w:eastAsiaTheme="majorEastAsia"/>
          <w:kern w:val="0"/>
          <w:sz w:val="24"/>
          <w:szCs w:val="24"/>
          <w:lang w:val="en-US" w:eastAsia="zh-CN" w:bidi="ar-SA"/>
        </w:rPr>
        <w:t xml:space="preserve">（盖章） </w:t>
      </w:r>
    </w:p>
    <w:p>
      <w:pPr>
        <w:pStyle w:val="14"/>
        <w:tabs>
          <w:tab w:val="left" w:pos="7695"/>
        </w:tabs>
        <w:kinsoku w:val="0"/>
        <w:overflowPunct w:val="0"/>
        <w:spacing w:line="381" w:lineRule="auto"/>
        <w:ind w:right="118"/>
        <w:rPr>
          <w:rFonts w:hint="eastAsia" w:cs="仿宋" w:asciiTheme="majorEastAsia" w:hAnsiTheme="majorEastAsia" w:eastAsiaTheme="majorEastAsia"/>
          <w:kern w:val="0"/>
          <w:sz w:val="24"/>
          <w:szCs w:val="24"/>
          <w:lang w:val="en-US" w:eastAsia="zh-CN" w:bidi="ar-SA"/>
        </w:rPr>
      </w:pPr>
      <w:r>
        <w:rPr>
          <w:rFonts w:hint="eastAsia" w:cs="仿宋" w:asciiTheme="majorEastAsia" w:hAnsiTheme="majorEastAsia" w:eastAsiaTheme="majorEastAsia"/>
          <w:kern w:val="0"/>
          <w:sz w:val="24"/>
          <w:szCs w:val="24"/>
          <w:lang w:val="en-US" w:eastAsia="zh-CN" w:bidi="ar-SA"/>
        </w:rPr>
        <w:t>法定代表人或被授权人：</w:t>
      </w:r>
      <w:r>
        <w:rPr>
          <w:rFonts w:hint="eastAsia" w:cs="仿宋" w:asciiTheme="majorEastAsia" w:hAnsiTheme="majorEastAsia" w:eastAsiaTheme="majorEastAsia"/>
          <w:kern w:val="0"/>
          <w:sz w:val="24"/>
          <w:szCs w:val="24"/>
          <w:u w:val="single"/>
          <w:lang w:val="en-US" w:eastAsia="zh-CN" w:bidi="ar-SA"/>
        </w:rPr>
        <w:t xml:space="preserve">          </w:t>
      </w:r>
      <w:r>
        <w:rPr>
          <w:rFonts w:hint="eastAsia" w:cs="仿宋" w:asciiTheme="majorEastAsia" w:hAnsiTheme="majorEastAsia" w:eastAsiaTheme="majorEastAsia"/>
          <w:kern w:val="0"/>
          <w:sz w:val="24"/>
          <w:szCs w:val="24"/>
          <w:lang w:val="en-US" w:eastAsia="zh-CN" w:bidi="ar-SA"/>
        </w:rPr>
        <w:t>（签字或盖章）</w:t>
      </w:r>
    </w:p>
    <w:p>
      <w:pPr>
        <w:pStyle w:val="14"/>
        <w:tabs>
          <w:tab w:val="left" w:pos="5551"/>
          <w:tab w:val="left" w:pos="6511"/>
          <w:tab w:val="left" w:pos="7111"/>
          <w:tab w:val="left" w:pos="7711"/>
        </w:tabs>
        <w:kinsoku w:val="0"/>
        <w:overflowPunct w:val="0"/>
        <w:spacing w:before="46"/>
        <w:rPr>
          <w:rFonts w:hint="eastAsia" w:cs="仿宋" w:asciiTheme="majorEastAsia" w:hAnsiTheme="majorEastAsia" w:eastAsiaTheme="majorEastAsia"/>
          <w:kern w:val="0"/>
          <w:sz w:val="24"/>
          <w:szCs w:val="24"/>
          <w:lang w:val="en-US" w:eastAsia="zh-CN" w:bidi="ar-SA"/>
        </w:rPr>
      </w:pPr>
      <w:r>
        <w:rPr>
          <w:rFonts w:hint="eastAsia" w:cs="仿宋" w:asciiTheme="majorEastAsia" w:hAnsiTheme="majorEastAsia" w:eastAsiaTheme="majorEastAsia"/>
          <w:kern w:val="0"/>
          <w:sz w:val="24"/>
          <w:szCs w:val="24"/>
          <w:lang w:val="en-US" w:eastAsia="zh-CN" w:bidi="ar-SA"/>
        </w:rPr>
        <w:t>日期：</w:t>
      </w:r>
      <w:r>
        <w:rPr>
          <w:rFonts w:hint="eastAsia" w:cs="仿宋" w:asciiTheme="majorEastAsia" w:hAnsiTheme="majorEastAsia" w:eastAsiaTheme="majorEastAsia"/>
          <w:kern w:val="0"/>
          <w:sz w:val="24"/>
          <w:szCs w:val="24"/>
          <w:u w:val="single"/>
          <w:lang w:val="en-US" w:eastAsia="zh-CN" w:bidi="ar-SA"/>
        </w:rPr>
        <w:t xml:space="preserve">     </w:t>
      </w:r>
      <w:r>
        <w:rPr>
          <w:rFonts w:hint="eastAsia" w:cs="仿宋" w:asciiTheme="majorEastAsia" w:hAnsiTheme="majorEastAsia" w:eastAsiaTheme="majorEastAsia"/>
          <w:kern w:val="0"/>
          <w:sz w:val="24"/>
          <w:szCs w:val="24"/>
          <w:lang w:val="en-US" w:eastAsia="zh-CN" w:bidi="ar-SA"/>
        </w:rPr>
        <w:t>年</w:t>
      </w:r>
      <w:r>
        <w:rPr>
          <w:rFonts w:hint="eastAsia" w:cs="仿宋" w:asciiTheme="majorEastAsia" w:hAnsiTheme="majorEastAsia" w:eastAsiaTheme="majorEastAsia"/>
          <w:kern w:val="0"/>
          <w:sz w:val="24"/>
          <w:szCs w:val="24"/>
          <w:u w:val="single"/>
          <w:lang w:val="en-US" w:eastAsia="zh-CN" w:bidi="ar-SA"/>
        </w:rPr>
        <w:t xml:space="preserve">     </w:t>
      </w:r>
      <w:r>
        <w:rPr>
          <w:rFonts w:hint="eastAsia" w:cs="仿宋" w:asciiTheme="majorEastAsia" w:hAnsiTheme="majorEastAsia" w:eastAsiaTheme="majorEastAsia"/>
          <w:kern w:val="0"/>
          <w:sz w:val="24"/>
          <w:szCs w:val="24"/>
          <w:lang w:val="en-US" w:eastAsia="zh-CN" w:bidi="ar-SA"/>
        </w:rPr>
        <w:t>月</w:t>
      </w:r>
      <w:r>
        <w:rPr>
          <w:rFonts w:hint="eastAsia" w:cs="仿宋" w:asciiTheme="majorEastAsia" w:hAnsiTheme="majorEastAsia" w:eastAsiaTheme="majorEastAsia"/>
          <w:kern w:val="0"/>
          <w:sz w:val="24"/>
          <w:szCs w:val="24"/>
          <w:u w:val="single"/>
          <w:lang w:val="en-US" w:eastAsia="zh-CN" w:bidi="ar-SA"/>
        </w:rPr>
        <w:t xml:space="preserve">       </w:t>
      </w:r>
      <w:r>
        <w:rPr>
          <w:rFonts w:hint="eastAsia" w:cs="仿宋" w:asciiTheme="majorEastAsia" w:hAnsiTheme="majorEastAsia" w:eastAsiaTheme="majorEastAsia"/>
          <w:kern w:val="0"/>
          <w:sz w:val="24"/>
          <w:szCs w:val="24"/>
          <w:lang w:val="en-US" w:eastAsia="zh-CN" w:bidi="ar-SA"/>
        </w:rPr>
        <w:t>日</w:t>
      </w: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4"/>
        <w:kinsoku w:val="0"/>
        <w:overflowPunct w:val="0"/>
        <w:spacing w:before="34" w:line="357" w:lineRule="auto"/>
        <w:ind w:right="126" w:firstLine="480"/>
        <w:jc w:val="center"/>
        <w:outlineLvl w:val="0"/>
        <w:rPr>
          <w:rFonts w:asciiTheme="majorEastAsia" w:hAnsiTheme="majorEastAsia" w:eastAsiaTheme="majorEastAsia"/>
          <w:b/>
          <w:bCs/>
          <w:sz w:val="36"/>
          <w:szCs w:val="36"/>
        </w:rPr>
      </w:pPr>
      <w:r>
        <w:rPr>
          <w:rFonts w:hint="eastAsia" w:asciiTheme="majorEastAsia" w:hAnsiTheme="majorEastAsia" w:eastAsiaTheme="majorEastAsia"/>
          <w:b/>
          <w:bCs/>
          <w:sz w:val="36"/>
          <w:szCs w:val="36"/>
          <w:lang w:val="en-US" w:eastAsia="zh-CN"/>
        </w:rPr>
        <w:t>七、</w:t>
      </w:r>
      <w:r>
        <w:rPr>
          <w:rFonts w:hint="eastAsia" w:asciiTheme="majorEastAsia" w:hAnsiTheme="majorEastAsia" w:eastAsiaTheme="majorEastAsia"/>
          <w:b/>
          <w:bCs/>
          <w:sz w:val="36"/>
          <w:szCs w:val="36"/>
        </w:rPr>
        <w:t>投标报价汇总表</w:t>
      </w:r>
    </w:p>
    <w:p>
      <w:pPr>
        <w:rPr>
          <w:rFonts w:cs="仿宋" w:asciiTheme="majorEastAsia" w:hAnsiTheme="majorEastAsia" w:eastAsiaTheme="majorEastAsia"/>
          <w:kern w:val="0"/>
          <w:sz w:val="24"/>
          <w:u w:val="single"/>
        </w:rPr>
      </w:pPr>
      <w:r>
        <w:rPr>
          <w:rFonts w:hint="eastAsia" w:cs="仿宋" w:asciiTheme="majorEastAsia" w:hAnsiTheme="majorEastAsia" w:eastAsiaTheme="majorEastAsia"/>
          <w:kern w:val="0"/>
          <w:sz w:val="24"/>
        </w:rPr>
        <w:t>项目名称：</w:t>
      </w:r>
      <w:r>
        <w:rPr>
          <w:rFonts w:hint="eastAsia" w:cs="仿宋" w:asciiTheme="majorEastAsia" w:hAnsiTheme="majorEastAsia" w:eastAsiaTheme="majorEastAsia"/>
          <w:kern w:val="0"/>
          <w:sz w:val="24"/>
          <w:u w:val="single"/>
        </w:rPr>
        <w:t>　            　　</w:t>
      </w:r>
    </w:p>
    <w:p>
      <w:pPr>
        <w:rPr>
          <w:rFonts w:cs="仿宋" w:asciiTheme="majorEastAsia" w:hAnsiTheme="majorEastAsia" w:eastAsiaTheme="majorEastAsia"/>
          <w:kern w:val="0"/>
          <w:sz w:val="24"/>
          <w:u w:val="single"/>
        </w:rPr>
      </w:pPr>
      <w:r>
        <w:rPr>
          <w:rFonts w:hint="eastAsia" w:cs="仿宋" w:asciiTheme="majorEastAsia" w:hAnsiTheme="majorEastAsia" w:eastAsiaTheme="majorEastAsia"/>
          <w:kern w:val="0"/>
          <w:sz w:val="24"/>
        </w:rPr>
        <w:t>项目编号：</w:t>
      </w:r>
      <w:r>
        <w:rPr>
          <w:rFonts w:hint="eastAsia" w:cs="仿宋" w:asciiTheme="majorEastAsia" w:hAnsiTheme="majorEastAsia" w:eastAsiaTheme="majorEastAsia"/>
          <w:kern w:val="0"/>
          <w:sz w:val="24"/>
          <w:u w:val="single"/>
        </w:rPr>
        <w:t>　            　　</w:t>
      </w:r>
    </w:p>
    <w:tbl>
      <w:tblPr>
        <w:tblStyle w:val="4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序号</w:t>
            </w:r>
          </w:p>
        </w:tc>
        <w:tc>
          <w:tcPr>
            <w:tcW w:w="1864"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名称</w:t>
            </w:r>
          </w:p>
        </w:tc>
        <w:tc>
          <w:tcPr>
            <w:tcW w:w="1650"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规格及型号</w:t>
            </w:r>
          </w:p>
        </w:tc>
        <w:tc>
          <w:tcPr>
            <w:tcW w:w="960"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单位</w:t>
            </w:r>
          </w:p>
        </w:tc>
        <w:tc>
          <w:tcPr>
            <w:tcW w:w="1129"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数量</w:t>
            </w:r>
          </w:p>
        </w:tc>
        <w:tc>
          <w:tcPr>
            <w:tcW w:w="1265"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综合单价</w:t>
            </w:r>
          </w:p>
        </w:tc>
        <w:tc>
          <w:tcPr>
            <w:tcW w:w="991"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总价</w:t>
            </w:r>
          </w:p>
        </w:tc>
        <w:tc>
          <w:tcPr>
            <w:tcW w:w="1127"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品牌及</w:t>
            </w:r>
          </w:p>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sz w:val="24"/>
              </w:rPr>
            </w:pPr>
          </w:p>
        </w:tc>
        <w:tc>
          <w:tcPr>
            <w:tcW w:w="1864" w:type="dxa"/>
            <w:vAlign w:val="center"/>
          </w:tcPr>
          <w:p>
            <w:pPr>
              <w:spacing w:line="440" w:lineRule="exact"/>
              <w:rPr>
                <w:rFonts w:asciiTheme="majorEastAsia" w:hAnsiTheme="majorEastAsia" w:eastAsiaTheme="majorEastAsia"/>
                <w:sz w:val="24"/>
              </w:rPr>
            </w:pPr>
          </w:p>
        </w:tc>
        <w:tc>
          <w:tcPr>
            <w:tcW w:w="1650" w:type="dxa"/>
            <w:vAlign w:val="center"/>
          </w:tcPr>
          <w:p>
            <w:pPr>
              <w:spacing w:line="440" w:lineRule="exact"/>
              <w:rPr>
                <w:rFonts w:asciiTheme="majorEastAsia" w:hAnsiTheme="majorEastAsia" w:eastAsiaTheme="majorEastAsia"/>
                <w:sz w:val="24"/>
              </w:rPr>
            </w:pPr>
          </w:p>
        </w:tc>
        <w:tc>
          <w:tcPr>
            <w:tcW w:w="960" w:type="dxa"/>
            <w:vAlign w:val="center"/>
          </w:tcPr>
          <w:p>
            <w:pPr>
              <w:spacing w:line="440" w:lineRule="exact"/>
              <w:rPr>
                <w:rFonts w:asciiTheme="majorEastAsia" w:hAnsiTheme="majorEastAsia" w:eastAsiaTheme="majorEastAsia"/>
                <w:sz w:val="24"/>
              </w:rPr>
            </w:pPr>
          </w:p>
        </w:tc>
        <w:tc>
          <w:tcPr>
            <w:tcW w:w="1129" w:type="dxa"/>
            <w:vAlign w:val="center"/>
          </w:tcPr>
          <w:p>
            <w:pPr>
              <w:spacing w:line="440" w:lineRule="exact"/>
              <w:rPr>
                <w:rFonts w:asciiTheme="majorEastAsia" w:hAnsiTheme="majorEastAsia" w:eastAsiaTheme="majorEastAsia"/>
                <w:sz w:val="24"/>
              </w:rPr>
            </w:pPr>
          </w:p>
        </w:tc>
        <w:tc>
          <w:tcPr>
            <w:tcW w:w="1265" w:type="dxa"/>
            <w:vAlign w:val="center"/>
          </w:tcPr>
          <w:p>
            <w:pPr>
              <w:spacing w:line="440" w:lineRule="exact"/>
              <w:rPr>
                <w:rFonts w:asciiTheme="majorEastAsia" w:hAnsiTheme="majorEastAsia" w:eastAsiaTheme="majorEastAsia"/>
                <w:sz w:val="24"/>
              </w:rPr>
            </w:pPr>
          </w:p>
        </w:tc>
        <w:tc>
          <w:tcPr>
            <w:tcW w:w="991" w:type="dxa"/>
            <w:vAlign w:val="center"/>
          </w:tcPr>
          <w:p>
            <w:pPr>
              <w:spacing w:line="440" w:lineRule="exact"/>
              <w:rPr>
                <w:rFonts w:asciiTheme="majorEastAsia" w:hAnsiTheme="majorEastAsia" w:eastAsiaTheme="majorEastAsia"/>
                <w:sz w:val="24"/>
              </w:rPr>
            </w:pPr>
          </w:p>
        </w:tc>
        <w:tc>
          <w:tcPr>
            <w:tcW w:w="1127" w:type="dxa"/>
            <w:vAlign w:val="center"/>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sz w:val="24"/>
              </w:rPr>
            </w:pPr>
          </w:p>
        </w:tc>
        <w:tc>
          <w:tcPr>
            <w:tcW w:w="1864" w:type="dxa"/>
            <w:vAlign w:val="center"/>
          </w:tcPr>
          <w:p>
            <w:pPr>
              <w:spacing w:line="440" w:lineRule="exact"/>
              <w:rPr>
                <w:rFonts w:asciiTheme="majorEastAsia" w:hAnsiTheme="majorEastAsia" w:eastAsiaTheme="majorEastAsia"/>
                <w:sz w:val="24"/>
              </w:rPr>
            </w:pPr>
          </w:p>
        </w:tc>
        <w:tc>
          <w:tcPr>
            <w:tcW w:w="1650" w:type="dxa"/>
            <w:vAlign w:val="center"/>
          </w:tcPr>
          <w:p>
            <w:pPr>
              <w:spacing w:line="440" w:lineRule="exact"/>
              <w:rPr>
                <w:rFonts w:asciiTheme="majorEastAsia" w:hAnsiTheme="majorEastAsia" w:eastAsiaTheme="majorEastAsia"/>
                <w:sz w:val="24"/>
              </w:rPr>
            </w:pPr>
          </w:p>
        </w:tc>
        <w:tc>
          <w:tcPr>
            <w:tcW w:w="960" w:type="dxa"/>
            <w:vAlign w:val="center"/>
          </w:tcPr>
          <w:p>
            <w:pPr>
              <w:spacing w:line="440" w:lineRule="exact"/>
              <w:rPr>
                <w:rFonts w:asciiTheme="majorEastAsia" w:hAnsiTheme="majorEastAsia" w:eastAsiaTheme="majorEastAsia"/>
                <w:sz w:val="24"/>
              </w:rPr>
            </w:pPr>
          </w:p>
        </w:tc>
        <w:tc>
          <w:tcPr>
            <w:tcW w:w="1129" w:type="dxa"/>
            <w:vAlign w:val="center"/>
          </w:tcPr>
          <w:p>
            <w:pPr>
              <w:spacing w:line="440" w:lineRule="exact"/>
              <w:rPr>
                <w:rFonts w:asciiTheme="majorEastAsia" w:hAnsiTheme="majorEastAsia" w:eastAsiaTheme="majorEastAsia"/>
                <w:sz w:val="24"/>
              </w:rPr>
            </w:pPr>
          </w:p>
        </w:tc>
        <w:tc>
          <w:tcPr>
            <w:tcW w:w="1265" w:type="dxa"/>
            <w:vAlign w:val="center"/>
          </w:tcPr>
          <w:p>
            <w:pPr>
              <w:spacing w:line="440" w:lineRule="exact"/>
              <w:rPr>
                <w:rFonts w:asciiTheme="majorEastAsia" w:hAnsiTheme="majorEastAsia" w:eastAsiaTheme="majorEastAsia"/>
                <w:sz w:val="24"/>
              </w:rPr>
            </w:pPr>
          </w:p>
        </w:tc>
        <w:tc>
          <w:tcPr>
            <w:tcW w:w="991" w:type="dxa"/>
            <w:vAlign w:val="center"/>
          </w:tcPr>
          <w:p>
            <w:pPr>
              <w:spacing w:line="440" w:lineRule="exact"/>
              <w:rPr>
                <w:rFonts w:asciiTheme="majorEastAsia" w:hAnsiTheme="majorEastAsia" w:eastAsiaTheme="majorEastAsia"/>
                <w:sz w:val="24"/>
              </w:rPr>
            </w:pPr>
          </w:p>
        </w:tc>
        <w:tc>
          <w:tcPr>
            <w:tcW w:w="1127" w:type="dxa"/>
            <w:vAlign w:val="center"/>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8" w:type="dxa"/>
            <w:vAlign w:val="center"/>
          </w:tcPr>
          <w:p>
            <w:pPr>
              <w:spacing w:line="440" w:lineRule="exact"/>
              <w:rPr>
                <w:rFonts w:asciiTheme="majorEastAsia" w:hAnsiTheme="majorEastAsia" w:eastAsiaTheme="majorEastAsia"/>
                <w:sz w:val="24"/>
              </w:rPr>
            </w:pPr>
          </w:p>
        </w:tc>
        <w:tc>
          <w:tcPr>
            <w:tcW w:w="1864" w:type="dxa"/>
            <w:vAlign w:val="center"/>
          </w:tcPr>
          <w:p>
            <w:pPr>
              <w:spacing w:line="440" w:lineRule="exact"/>
              <w:rPr>
                <w:rFonts w:asciiTheme="majorEastAsia" w:hAnsiTheme="majorEastAsia" w:eastAsiaTheme="majorEastAsia"/>
                <w:sz w:val="24"/>
              </w:rPr>
            </w:pPr>
          </w:p>
        </w:tc>
        <w:tc>
          <w:tcPr>
            <w:tcW w:w="1650" w:type="dxa"/>
            <w:vAlign w:val="center"/>
          </w:tcPr>
          <w:p>
            <w:pPr>
              <w:spacing w:line="440" w:lineRule="exact"/>
              <w:rPr>
                <w:rFonts w:asciiTheme="majorEastAsia" w:hAnsiTheme="majorEastAsia" w:eastAsiaTheme="majorEastAsia"/>
                <w:sz w:val="24"/>
              </w:rPr>
            </w:pPr>
          </w:p>
        </w:tc>
        <w:tc>
          <w:tcPr>
            <w:tcW w:w="960" w:type="dxa"/>
            <w:vAlign w:val="center"/>
          </w:tcPr>
          <w:p>
            <w:pPr>
              <w:spacing w:line="440" w:lineRule="exact"/>
              <w:rPr>
                <w:rFonts w:asciiTheme="majorEastAsia" w:hAnsiTheme="majorEastAsia" w:eastAsiaTheme="majorEastAsia"/>
                <w:sz w:val="24"/>
              </w:rPr>
            </w:pPr>
          </w:p>
        </w:tc>
        <w:tc>
          <w:tcPr>
            <w:tcW w:w="1129" w:type="dxa"/>
            <w:vAlign w:val="center"/>
          </w:tcPr>
          <w:p>
            <w:pPr>
              <w:spacing w:line="440" w:lineRule="exact"/>
              <w:rPr>
                <w:rFonts w:asciiTheme="majorEastAsia" w:hAnsiTheme="majorEastAsia" w:eastAsiaTheme="majorEastAsia"/>
                <w:sz w:val="24"/>
              </w:rPr>
            </w:pPr>
          </w:p>
        </w:tc>
        <w:tc>
          <w:tcPr>
            <w:tcW w:w="1265" w:type="dxa"/>
            <w:vAlign w:val="center"/>
          </w:tcPr>
          <w:p>
            <w:pPr>
              <w:spacing w:line="440" w:lineRule="exact"/>
              <w:rPr>
                <w:rFonts w:asciiTheme="majorEastAsia" w:hAnsiTheme="majorEastAsia" w:eastAsiaTheme="majorEastAsia"/>
                <w:sz w:val="24"/>
              </w:rPr>
            </w:pPr>
          </w:p>
        </w:tc>
        <w:tc>
          <w:tcPr>
            <w:tcW w:w="991" w:type="dxa"/>
            <w:vAlign w:val="center"/>
          </w:tcPr>
          <w:p>
            <w:pPr>
              <w:spacing w:line="440" w:lineRule="exact"/>
              <w:rPr>
                <w:rFonts w:asciiTheme="majorEastAsia" w:hAnsiTheme="majorEastAsia" w:eastAsiaTheme="majorEastAsia"/>
                <w:sz w:val="24"/>
              </w:rPr>
            </w:pPr>
          </w:p>
        </w:tc>
        <w:tc>
          <w:tcPr>
            <w:tcW w:w="1127" w:type="dxa"/>
            <w:vAlign w:val="center"/>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sz w:val="24"/>
              </w:rPr>
            </w:pPr>
          </w:p>
        </w:tc>
        <w:tc>
          <w:tcPr>
            <w:tcW w:w="1864" w:type="dxa"/>
            <w:vAlign w:val="center"/>
          </w:tcPr>
          <w:p>
            <w:pPr>
              <w:spacing w:line="440" w:lineRule="exact"/>
              <w:rPr>
                <w:rFonts w:asciiTheme="majorEastAsia" w:hAnsiTheme="majorEastAsia" w:eastAsiaTheme="majorEastAsia"/>
                <w:sz w:val="24"/>
              </w:rPr>
            </w:pPr>
          </w:p>
        </w:tc>
        <w:tc>
          <w:tcPr>
            <w:tcW w:w="1650" w:type="dxa"/>
            <w:vAlign w:val="center"/>
          </w:tcPr>
          <w:p>
            <w:pPr>
              <w:spacing w:line="440" w:lineRule="exact"/>
              <w:rPr>
                <w:rFonts w:asciiTheme="majorEastAsia" w:hAnsiTheme="majorEastAsia" w:eastAsiaTheme="majorEastAsia"/>
                <w:sz w:val="24"/>
              </w:rPr>
            </w:pPr>
          </w:p>
        </w:tc>
        <w:tc>
          <w:tcPr>
            <w:tcW w:w="960" w:type="dxa"/>
            <w:vAlign w:val="center"/>
          </w:tcPr>
          <w:p>
            <w:pPr>
              <w:spacing w:line="440" w:lineRule="exact"/>
              <w:rPr>
                <w:rFonts w:asciiTheme="majorEastAsia" w:hAnsiTheme="majorEastAsia" w:eastAsiaTheme="majorEastAsia"/>
                <w:sz w:val="24"/>
              </w:rPr>
            </w:pPr>
          </w:p>
        </w:tc>
        <w:tc>
          <w:tcPr>
            <w:tcW w:w="1129" w:type="dxa"/>
            <w:vAlign w:val="center"/>
          </w:tcPr>
          <w:p>
            <w:pPr>
              <w:spacing w:line="440" w:lineRule="exact"/>
              <w:rPr>
                <w:rFonts w:asciiTheme="majorEastAsia" w:hAnsiTheme="majorEastAsia" w:eastAsiaTheme="majorEastAsia"/>
                <w:sz w:val="24"/>
              </w:rPr>
            </w:pPr>
          </w:p>
        </w:tc>
        <w:tc>
          <w:tcPr>
            <w:tcW w:w="1265" w:type="dxa"/>
            <w:vAlign w:val="center"/>
          </w:tcPr>
          <w:p>
            <w:pPr>
              <w:spacing w:line="440" w:lineRule="exact"/>
              <w:rPr>
                <w:rFonts w:asciiTheme="majorEastAsia" w:hAnsiTheme="majorEastAsia" w:eastAsiaTheme="majorEastAsia"/>
                <w:sz w:val="24"/>
              </w:rPr>
            </w:pPr>
          </w:p>
        </w:tc>
        <w:tc>
          <w:tcPr>
            <w:tcW w:w="991" w:type="dxa"/>
            <w:vAlign w:val="center"/>
          </w:tcPr>
          <w:p>
            <w:pPr>
              <w:spacing w:line="440" w:lineRule="exact"/>
              <w:rPr>
                <w:rFonts w:asciiTheme="majorEastAsia" w:hAnsiTheme="majorEastAsia" w:eastAsiaTheme="majorEastAsia"/>
                <w:sz w:val="24"/>
              </w:rPr>
            </w:pPr>
          </w:p>
        </w:tc>
        <w:tc>
          <w:tcPr>
            <w:tcW w:w="1127" w:type="dxa"/>
            <w:vAlign w:val="center"/>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sz w:val="24"/>
              </w:rPr>
            </w:pPr>
          </w:p>
        </w:tc>
        <w:tc>
          <w:tcPr>
            <w:tcW w:w="1864" w:type="dxa"/>
            <w:vAlign w:val="center"/>
          </w:tcPr>
          <w:p>
            <w:pPr>
              <w:spacing w:line="440" w:lineRule="exact"/>
              <w:rPr>
                <w:rFonts w:asciiTheme="majorEastAsia" w:hAnsiTheme="majorEastAsia" w:eastAsiaTheme="majorEastAsia"/>
                <w:sz w:val="24"/>
              </w:rPr>
            </w:pPr>
          </w:p>
        </w:tc>
        <w:tc>
          <w:tcPr>
            <w:tcW w:w="1650" w:type="dxa"/>
            <w:vAlign w:val="center"/>
          </w:tcPr>
          <w:p>
            <w:pPr>
              <w:spacing w:line="440" w:lineRule="exact"/>
              <w:rPr>
                <w:rFonts w:asciiTheme="majorEastAsia" w:hAnsiTheme="majorEastAsia" w:eastAsiaTheme="majorEastAsia"/>
                <w:sz w:val="24"/>
              </w:rPr>
            </w:pPr>
          </w:p>
        </w:tc>
        <w:tc>
          <w:tcPr>
            <w:tcW w:w="960" w:type="dxa"/>
            <w:vAlign w:val="center"/>
          </w:tcPr>
          <w:p>
            <w:pPr>
              <w:spacing w:line="440" w:lineRule="exact"/>
              <w:rPr>
                <w:rFonts w:asciiTheme="majorEastAsia" w:hAnsiTheme="majorEastAsia" w:eastAsiaTheme="majorEastAsia"/>
                <w:sz w:val="24"/>
              </w:rPr>
            </w:pPr>
          </w:p>
        </w:tc>
        <w:tc>
          <w:tcPr>
            <w:tcW w:w="1129" w:type="dxa"/>
            <w:vAlign w:val="center"/>
          </w:tcPr>
          <w:p>
            <w:pPr>
              <w:spacing w:line="440" w:lineRule="exact"/>
              <w:rPr>
                <w:rFonts w:asciiTheme="majorEastAsia" w:hAnsiTheme="majorEastAsia" w:eastAsiaTheme="majorEastAsia"/>
                <w:sz w:val="24"/>
              </w:rPr>
            </w:pPr>
          </w:p>
        </w:tc>
        <w:tc>
          <w:tcPr>
            <w:tcW w:w="1265" w:type="dxa"/>
            <w:vAlign w:val="center"/>
          </w:tcPr>
          <w:p>
            <w:pPr>
              <w:spacing w:line="440" w:lineRule="exact"/>
              <w:rPr>
                <w:rFonts w:asciiTheme="majorEastAsia" w:hAnsiTheme="majorEastAsia" w:eastAsiaTheme="majorEastAsia"/>
                <w:sz w:val="24"/>
              </w:rPr>
            </w:pPr>
          </w:p>
        </w:tc>
        <w:tc>
          <w:tcPr>
            <w:tcW w:w="991" w:type="dxa"/>
            <w:vAlign w:val="center"/>
          </w:tcPr>
          <w:p>
            <w:pPr>
              <w:spacing w:line="440" w:lineRule="exact"/>
              <w:rPr>
                <w:rFonts w:asciiTheme="majorEastAsia" w:hAnsiTheme="majorEastAsia" w:eastAsiaTheme="majorEastAsia"/>
                <w:sz w:val="24"/>
              </w:rPr>
            </w:pPr>
          </w:p>
        </w:tc>
        <w:tc>
          <w:tcPr>
            <w:tcW w:w="1127" w:type="dxa"/>
            <w:vAlign w:val="center"/>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sz w:val="24"/>
              </w:rPr>
            </w:pPr>
          </w:p>
        </w:tc>
        <w:tc>
          <w:tcPr>
            <w:tcW w:w="1864" w:type="dxa"/>
            <w:vAlign w:val="center"/>
          </w:tcPr>
          <w:p>
            <w:pPr>
              <w:spacing w:line="440" w:lineRule="exact"/>
              <w:rPr>
                <w:rFonts w:asciiTheme="majorEastAsia" w:hAnsiTheme="majorEastAsia" w:eastAsiaTheme="majorEastAsia"/>
                <w:sz w:val="24"/>
              </w:rPr>
            </w:pPr>
          </w:p>
        </w:tc>
        <w:tc>
          <w:tcPr>
            <w:tcW w:w="1650" w:type="dxa"/>
            <w:vAlign w:val="center"/>
          </w:tcPr>
          <w:p>
            <w:pPr>
              <w:spacing w:line="440" w:lineRule="exact"/>
              <w:rPr>
                <w:rFonts w:asciiTheme="majorEastAsia" w:hAnsiTheme="majorEastAsia" w:eastAsiaTheme="majorEastAsia"/>
                <w:sz w:val="24"/>
              </w:rPr>
            </w:pPr>
          </w:p>
        </w:tc>
        <w:tc>
          <w:tcPr>
            <w:tcW w:w="960" w:type="dxa"/>
            <w:vAlign w:val="center"/>
          </w:tcPr>
          <w:p>
            <w:pPr>
              <w:spacing w:line="440" w:lineRule="exact"/>
              <w:rPr>
                <w:rFonts w:asciiTheme="majorEastAsia" w:hAnsiTheme="majorEastAsia" w:eastAsiaTheme="majorEastAsia"/>
                <w:sz w:val="24"/>
              </w:rPr>
            </w:pPr>
          </w:p>
        </w:tc>
        <w:tc>
          <w:tcPr>
            <w:tcW w:w="1129" w:type="dxa"/>
            <w:vAlign w:val="center"/>
          </w:tcPr>
          <w:p>
            <w:pPr>
              <w:spacing w:line="440" w:lineRule="exact"/>
              <w:rPr>
                <w:rFonts w:asciiTheme="majorEastAsia" w:hAnsiTheme="majorEastAsia" w:eastAsiaTheme="majorEastAsia"/>
                <w:sz w:val="24"/>
              </w:rPr>
            </w:pPr>
          </w:p>
        </w:tc>
        <w:tc>
          <w:tcPr>
            <w:tcW w:w="1265" w:type="dxa"/>
            <w:vAlign w:val="center"/>
          </w:tcPr>
          <w:p>
            <w:pPr>
              <w:spacing w:line="440" w:lineRule="exact"/>
              <w:rPr>
                <w:rFonts w:asciiTheme="majorEastAsia" w:hAnsiTheme="majorEastAsia" w:eastAsiaTheme="majorEastAsia"/>
                <w:sz w:val="24"/>
              </w:rPr>
            </w:pPr>
          </w:p>
        </w:tc>
        <w:tc>
          <w:tcPr>
            <w:tcW w:w="991" w:type="dxa"/>
            <w:vAlign w:val="center"/>
          </w:tcPr>
          <w:p>
            <w:pPr>
              <w:spacing w:line="440" w:lineRule="exact"/>
              <w:rPr>
                <w:rFonts w:asciiTheme="majorEastAsia" w:hAnsiTheme="majorEastAsia" w:eastAsiaTheme="majorEastAsia"/>
                <w:sz w:val="24"/>
              </w:rPr>
            </w:pPr>
          </w:p>
        </w:tc>
        <w:tc>
          <w:tcPr>
            <w:tcW w:w="1127" w:type="dxa"/>
            <w:vAlign w:val="center"/>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sz w:val="24"/>
              </w:rPr>
            </w:pPr>
          </w:p>
        </w:tc>
        <w:tc>
          <w:tcPr>
            <w:tcW w:w="1864" w:type="dxa"/>
            <w:vAlign w:val="center"/>
          </w:tcPr>
          <w:p>
            <w:pPr>
              <w:spacing w:line="440" w:lineRule="exact"/>
              <w:rPr>
                <w:rFonts w:asciiTheme="majorEastAsia" w:hAnsiTheme="majorEastAsia" w:eastAsiaTheme="majorEastAsia"/>
                <w:sz w:val="24"/>
              </w:rPr>
            </w:pPr>
          </w:p>
        </w:tc>
        <w:tc>
          <w:tcPr>
            <w:tcW w:w="1650" w:type="dxa"/>
            <w:vAlign w:val="center"/>
          </w:tcPr>
          <w:p>
            <w:pPr>
              <w:spacing w:line="440" w:lineRule="exact"/>
              <w:rPr>
                <w:rFonts w:asciiTheme="majorEastAsia" w:hAnsiTheme="majorEastAsia" w:eastAsiaTheme="majorEastAsia"/>
                <w:sz w:val="24"/>
              </w:rPr>
            </w:pPr>
          </w:p>
        </w:tc>
        <w:tc>
          <w:tcPr>
            <w:tcW w:w="960" w:type="dxa"/>
            <w:vAlign w:val="center"/>
          </w:tcPr>
          <w:p>
            <w:pPr>
              <w:spacing w:line="440" w:lineRule="exact"/>
              <w:rPr>
                <w:rFonts w:asciiTheme="majorEastAsia" w:hAnsiTheme="majorEastAsia" w:eastAsiaTheme="majorEastAsia"/>
                <w:sz w:val="24"/>
              </w:rPr>
            </w:pPr>
          </w:p>
        </w:tc>
        <w:tc>
          <w:tcPr>
            <w:tcW w:w="1129" w:type="dxa"/>
            <w:vAlign w:val="center"/>
          </w:tcPr>
          <w:p>
            <w:pPr>
              <w:spacing w:line="440" w:lineRule="exact"/>
              <w:rPr>
                <w:rFonts w:asciiTheme="majorEastAsia" w:hAnsiTheme="majorEastAsia" w:eastAsiaTheme="majorEastAsia"/>
                <w:sz w:val="24"/>
              </w:rPr>
            </w:pPr>
          </w:p>
        </w:tc>
        <w:tc>
          <w:tcPr>
            <w:tcW w:w="1265" w:type="dxa"/>
            <w:vAlign w:val="center"/>
          </w:tcPr>
          <w:p>
            <w:pPr>
              <w:spacing w:line="440" w:lineRule="exact"/>
              <w:rPr>
                <w:rFonts w:asciiTheme="majorEastAsia" w:hAnsiTheme="majorEastAsia" w:eastAsiaTheme="majorEastAsia"/>
                <w:sz w:val="24"/>
              </w:rPr>
            </w:pPr>
          </w:p>
        </w:tc>
        <w:tc>
          <w:tcPr>
            <w:tcW w:w="991" w:type="dxa"/>
            <w:vAlign w:val="center"/>
          </w:tcPr>
          <w:p>
            <w:pPr>
              <w:spacing w:line="440" w:lineRule="exact"/>
              <w:rPr>
                <w:rFonts w:asciiTheme="majorEastAsia" w:hAnsiTheme="majorEastAsia" w:eastAsiaTheme="majorEastAsia"/>
                <w:sz w:val="24"/>
              </w:rPr>
            </w:pPr>
          </w:p>
        </w:tc>
        <w:tc>
          <w:tcPr>
            <w:tcW w:w="1127" w:type="dxa"/>
            <w:vAlign w:val="center"/>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sz w:val="24"/>
              </w:rPr>
            </w:pPr>
          </w:p>
        </w:tc>
        <w:tc>
          <w:tcPr>
            <w:tcW w:w="1864" w:type="dxa"/>
            <w:vAlign w:val="center"/>
          </w:tcPr>
          <w:p>
            <w:pPr>
              <w:spacing w:line="440" w:lineRule="exact"/>
              <w:rPr>
                <w:rFonts w:asciiTheme="majorEastAsia" w:hAnsiTheme="majorEastAsia" w:eastAsiaTheme="majorEastAsia"/>
                <w:sz w:val="24"/>
              </w:rPr>
            </w:pPr>
          </w:p>
        </w:tc>
        <w:tc>
          <w:tcPr>
            <w:tcW w:w="1650" w:type="dxa"/>
            <w:vAlign w:val="center"/>
          </w:tcPr>
          <w:p>
            <w:pPr>
              <w:spacing w:line="440" w:lineRule="exact"/>
              <w:rPr>
                <w:rFonts w:asciiTheme="majorEastAsia" w:hAnsiTheme="majorEastAsia" w:eastAsiaTheme="majorEastAsia"/>
                <w:sz w:val="24"/>
              </w:rPr>
            </w:pPr>
          </w:p>
        </w:tc>
        <w:tc>
          <w:tcPr>
            <w:tcW w:w="960" w:type="dxa"/>
            <w:vAlign w:val="center"/>
          </w:tcPr>
          <w:p>
            <w:pPr>
              <w:spacing w:line="440" w:lineRule="exact"/>
              <w:rPr>
                <w:rFonts w:asciiTheme="majorEastAsia" w:hAnsiTheme="majorEastAsia" w:eastAsiaTheme="majorEastAsia"/>
                <w:sz w:val="24"/>
              </w:rPr>
            </w:pPr>
          </w:p>
        </w:tc>
        <w:tc>
          <w:tcPr>
            <w:tcW w:w="1129" w:type="dxa"/>
            <w:vAlign w:val="center"/>
          </w:tcPr>
          <w:p>
            <w:pPr>
              <w:spacing w:line="440" w:lineRule="exact"/>
              <w:rPr>
                <w:rFonts w:asciiTheme="majorEastAsia" w:hAnsiTheme="majorEastAsia" w:eastAsiaTheme="majorEastAsia"/>
                <w:sz w:val="24"/>
              </w:rPr>
            </w:pPr>
          </w:p>
        </w:tc>
        <w:tc>
          <w:tcPr>
            <w:tcW w:w="1265" w:type="dxa"/>
            <w:vAlign w:val="center"/>
          </w:tcPr>
          <w:p>
            <w:pPr>
              <w:spacing w:line="440" w:lineRule="exact"/>
              <w:rPr>
                <w:rFonts w:asciiTheme="majorEastAsia" w:hAnsiTheme="majorEastAsia" w:eastAsiaTheme="majorEastAsia"/>
                <w:sz w:val="24"/>
              </w:rPr>
            </w:pPr>
          </w:p>
        </w:tc>
        <w:tc>
          <w:tcPr>
            <w:tcW w:w="991" w:type="dxa"/>
            <w:vAlign w:val="center"/>
          </w:tcPr>
          <w:p>
            <w:pPr>
              <w:spacing w:line="440" w:lineRule="exact"/>
              <w:rPr>
                <w:rFonts w:asciiTheme="majorEastAsia" w:hAnsiTheme="majorEastAsia" w:eastAsiaTheme="majorEastAsia"/>
                <w:sz w:val="24"/>
              </w:rPr>
            </w:pPr>
          </w:p>
        </w:tc>
        <w:tc>
          <w:tcPr>
            <w:tcW w:w="1127" w:type="dxa"/>
            <w:vAlign w:val="center"/>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sz w:val="24"/>
              </w:rPr>
            </w:pPr>
          </w:p>
        </w:tc>
        <w:tc>
          <w:tcPr>
            <w:tcW w:w="1864" w:type="dxa"/>
            <w:vAlign w:val="center"/>
          </w:tcPr>
          <w:p>
            <w:pPr>
              <w:spacing w:line="440" w:lineRule="exact"/>
              <w:rPr>
                <w:rFonts w:asciiTheme="majorEastAsia" w:hAnsiTheme="majorEastAsia" w:eastAsiaTheme="majorEastAsia"/>
                <w:sz w:val="24"/>
              </w:rPr>
            </w:pPr>
          </w:p>
        </w:tc>
        <w:tc>
          <w:tcPr>
            <w:tcW w:w="1650" w:type="dxa"/>
            <w:vAlign w:val="center"/>
          </w:tcPr>
          <w:p>
            <w:pPr>
              <w:spacing w:line="440" w:lineRule="exact"/>
              <w:rPr>
                <w:rFonts w:asciiTheme="majorEastAsia" w:hAnsiTheme="majorEastAsia" w:eastAsiaTheme="majorEastAsia"/>
                <w:sz w:val="24"/>
              </w:rPr>
            </w:pPr>
          </w:p>
        </w:tc>
        <w:tc>
          <w:tcPr>
            <w:tcW w:w="960" w:type="dxa"/>
            <w:vAlign w:val="center"/>
          </w:tcPr>
          <w:p>
            <w:pPr>
              <w:spacing w:line="440" w:lineRule="exact"/>
              <w:rPr>
                <w:rFonts w:asciiTheme="majorEastAsia" w:hAnsiTheme="majorEastAsia" w:eastAsiaTheme="majorEastAsia"/>
                <w:sz w:val="24"/>
              </w:rPr>
            </w:pPr>
          </w:p>
        </w:tc>
        <w:tc>
          <w:tcPr>
            <w:tcW w:w="1129" w:type="dxa"/>
            <w:vAlign w:val="center"/>
          </w:tcPr>
          <w:p>
            <w:pPr>
              <w:spacing w:line="440" w:lineRule="exact"/>
              <w:rPr>
                <w:rFonts w:asciiTheme="majorEastAsia" w:hAnsiTheme="majorEastAsia" w:eastAsiaTheme="majorEastAsia"/>
                <w:sz w:val="24"/>
              </w:rPr>
            </w:pPr>
          </w:p>
        </w:tc>
        <w:tc>
          <w:tcPr>
            <w:tcW w:w="1265" w:type="dxa"/>
            <w:vAlign w:val="center"/>
          </w:tcPr>
          <w:p>
            <w:pPr>
              <w:spacing w:line="440" w:lineRule="exact"/>
              <w:rPr>
                <w:rFonts w:asciiTheme="majorEastAsia" w:hAnsiTheme="majorEastAsia" w:eastAsiaTheme="majorEastAsia"/>
                <w:sz w:val="24"/>
              </w:rPr>
            </w:pPr>
          </w:p>
        </w:tc>
        <w:tc>
          <w:tcPr>
            <w:tcW w:w="991" w:type="dxa"/>
            <w:vAlign w:val="center"/>
          </w:tcPr>
          <w:p>
            <w:pPr>
              <w:spacing w:line="440" w:lineRule="exact"/>
              <w:rPr>
                <w:rFonts w:asciiTheme="majorEastAsia" w:hAnsiTheme="majorEastAsia" w:eastAsiaTheme="majorEastAsia"/>
                <w:sz w:val="24"/>
              </w:rPr>
            </w:pPr>
          </w:p>
        </w:tc>
        <w:tc>
          <w:tcPr>
            <w:tcW w:w="1127" w:type="dxa"/>
            <w:vAlign w:val="center"/>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spacing w:line="440" w:lineRule="exact"/>
              <w:rPr>
                <w:rFonts w:asciiTheme="majorEastAsia" w:hAnsiTheme="majorEastAsia" w:eastAsiaTheme="majorEastAsia"/>
                <w:sz w:val="24"/>
              </w:rPr>
            </w:pPr>
            <w:r>
              <w:rPr>
                <w:rFonts w:hint="eastAsia" w:asciiTheme="majorEastAsia" w:hAnsiTheme="majorEastAsia" w:eastAsiaTheme="majorEastAsia"/>
                <w:sz w:val="24"/>
              </w:rPr>
              <w:t>合计金额（小写）</w:t>
            </w:r>
          </w:p>
        </w:tc>
        <w:tc>
          <w:tcPr>
            <w:tcW w:w="7122" w:type="dxa"/>
            <w:gridSpan w:val="6"/>
            <w:vAlign w:val="center"/>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spacing w:line="440" w:lineRule="exact"/>
              <w:rPr>
                <w:rFonts w:asciiTheme="majorEastAsia" w:hAnsiTheme="majorEastAsia" w:eastAsiaTheme="majorEastAsia"/>
                <w:sz w:val="24"/>
              </w:rPr>
            </w:pPr>
            <w:r>
              <w:rPr>
                <w:rFonts w:hint="eastAsia" w:asciiTheme="majorEastAsia" w:hAnsiTheme="majorEastAsia" w:eastAsiaTheme="majorEastAsia"/>
                <w:sz w:val="24"/>
              </w:rPr>
              <w:t>合计金额（大写）：</w:t>
            </w:r>
          </w:p>
        </w:tc>
        <w:tc>
          <w:tcPr>
            <w:tcW w:w="7122" w:type="dxa"/>
            <w:gridSpan w:val="6"/>
            <w:vAlign w:val="center"/>
          </w:tcPr>
          <w:p>
            <w:pPr>
              <w:spacing w:line="440" w:lineRule="exact"/>
              <w:rPr>
                <w:rFonts w:asciiTheme="majorEastAsia" w:hAnsiTheme="majorEastAsia" w:eastAsiaTheme="majorEastAsia"/>
                <w:sz w:val="24"/>
              </w:rPr>
            </w:pPr>
          </w:p>
        </w:tc>
      </w:tr>
    </w:tbl>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注：</w:t>
      </w:r>
      <w:r>
        <w:rPr>
          <w:rFonts w:asciiTheme="majorEastAsia" w:hAnsiTheme="majorEastAsia" w:eastAsiaTheme="majorEastAsia"/>
          <w:bCs/>
          <w:sz w:val="24"/>
        </w:rPr>
        <w:t>1</w:t>
      </w:r>
      <w:r>
        <w:rPr>
          <w:rFonts w:hint="eastAsia" w:asciiTheme="majorEastAsia" w:hAnsiTheme="majorEastAsia" w:eastAsiaTheme="majorEastAsia"/>
          <w:bCs/>
          <w:sz w:val="24"/>
        </w:rPr>
        <w:t>、合计金额应为各分项价格之和。</w:t>
      </w:r>
    </w:p>
    <w:p>
      <w:pPr>
        <w:spacing w:line="440" w:lineRule="exact"/>
        <w:ind w:firstLine="470" w:firstLineChars="196"/>
        <w:rPr>
          <w:rFonts w:asciiTheme="majorEastAsia" w:hAnsiTheme="majorEastAsia" w:eastAsiaTheme="majorEastAsia"/>
          <w:bCs/>
          <w:sz w:val="24"/>
        </w:rPr>
      </w:pPr>
      <w:r>
        <w:rPr>
          <w:rFonts w:asciiTheme="majorEastAsia" w:hAnsiTheme="majorEastAsia" w:eastAsiaTheme="majorEastAsia"/>
          <w:bCs/>
          <w:sz w:val="24"/>
        </w:rPr>
        <w:t>2</w:t>
      </w:r>
      <w:r>
        <w:rPr>
          <w:rFonts w:hint="eastAsia" w:asciiTheme="majorEastAsia" w:hAnsiTheme="majorEastAsia" w:eastAsiaTheme="majorEastAsia"/>
          <w:bCs/>
          <w:sz w:val="24"/>
        </w:rPr>
        <w:t>、请各投标人根据投标方案，在本表中详细写明所有产品型号规格、主要技术参数、数量、综合单价、总价及品牌和产地。</w:t>
      </w:r>
    </w:p>
    <w:p>
      <w:pPr>
        <w:spacing w:line="440" w:lineRule="exact"/>
        <w:ind w:firstLine="470" w:firstLineChars="196"/>
        <w:rPr>
          <w:rFonts w:asciiTheme="majorEastAsia" w:hAnsiTheme="majorEastAsia" w:eastAsiaTheme="majorEastAsia"/>
          <w:bCs/>
          <w:sz w:val="24"/>
        </w:rPr>
      </w:pPr>
      <w:r>
        <w:rPr>
          <w:rFonts w:asciiTheme="majorEastAsia" w:hAnsiTheme="majorEastAsia" w:eastAsiaTheme="majorEastAsia"/>
          <w:bCs/>
          <w:sz w:val="24"/>
        </w:rPr>
        <w:t>3</w:t>
      </w:r>
      <w:r>
        <w:rPr>
          <w:rFonts w:hint="eastAsia" w:asciiTheme="majorEastAsia" w:hAnsiTheme="majorEastAsia" w:eastAsiaTheme="majorEastAsia"/>
          <w:bCs/>
          <w:sz w:val="24"/>
        </w:rPr>
        <w:t>、综合单价必须包括货物、安装、调试、技术支持、运输、保险、售后服务、培训及其它必需服务的报价。</w:t>
      </w:r>
    </w:p>
    <w:p>
      <w:pPr>
        <w:spacing w:line="480" w:lineRule="exact"/>
        <w:ind w:firstLine="480" w:firstLineChars="200"/>
        <w:rPr>
          <w:rFonts w:hint="default" w:cs="仿宋" w:asciiTheme="majorEastAsia" w:hAnsiTheme="majorEastAsia" w:eastAsiaTheme="majorEastAsia"/>
          <w:kern w:val="0"/>
          <w:sz w:val="24"/>
          <w:lang w:val="en-US" w:eastAsia="zh-CN"/>
        </w:rPr>
      </w:pPr>
      <w:r>
        <w:rPr>
          <w:rFonts w:hint="eastAsia" w:cs="仿宋" w:asciiTheme="majorEastAsia" w:hAnsiTheme="majorEastAsia" w:eastAsiaTheme="majorEastAsia"/>
          <w:kern w:val="0"/>
          <w:sz w:val="24"/>
          <w:lang w:val="en-US" w:eastAsia="zh-CN"/>
        </w:rPr>
        <w:t>4、请严格根据招标文件第五章项目内容、服务标准和要求设备需求一览表逐项填写，不得出现缺漏项目，否则做废标处理</w:t>
      </w:r>
    </w:p>
    <w:p>
      <w:pPr>
        <w:pStyle w:val="14"/>
        <w:tabs>
          <w:tab w:val="left" w:pos="7905"/>
        </w:tabs>
        <w:kinsoku w:val="0"/>
        <w:overflowPunct w:val="0"/>
        <w:spacing w:line="381" w:lineRule="auto"/>
        <w:ind w:right="118"/>
        <w:rPr>
          <w:rFonts w:hint="eastAsia" w:cs="仿宋" w:asciiTheme="majorEastAsia" w:hAnsiTheme="majorEastAsia" w:eastAsiaTheme="majorEastAsia"/>
          <w:kern w:val="0"/>
          <w:sz w:val="24"/>
          <w:szCs w:val="24"/>
          <w:lang w:val="en-US" w:eastAsia="zh-CN" w:bidi="ar-SA"/>
        </w:rPr>
      </w:pPr>
      <w:r>
        <w:rPr>
          <w:rFonts w:hint="eastAsia" w:cs="仿宋" w:asciiTheme="majorEastAsia" w:hAnsiTheme="majorEastAsia" w:eastAsiaTheme="majorEastAsia"/>
          <w:kern w:val="0"/>
          <w:sz w:val="24"/>
          <w:szCs w:val="24"/>
          <w:lang w:val="en-US" w:eastAsia="zh-CN" w:bidi="ar-SA"/>
        </w:rPr>
        <w:t>供应商：</w:t>
      </w:r>
      <w:r>
        <w:rPr>
          <w:rFonts w:hint="eastAsia" w:cs="仿宋" w:asciiTheme="majorEastAsia" w:hAnsiTheme="majorEastAsia" w:eastAsiaTheme="majorEastAsia"/>
          <w:kern w:val="0"/>
          <w:sz w:val="24"/>
          <w:szCs w:val="24"/>
          <w:u w:val="single"/>
          <w:lang w:val="en-US" w:eastAsia="zh-CN" w:bidi="ar-SA"/>
        </w:rPr>
        <w:t xml:space="preserve">                         </w:t>
      </w:r>
      <w:r>
        <w:rPr>
          <w:rFonts w:hint="eastAsia" w:cs="仿宋" w:asciiTheme="majorEastAsia" w:hAnsiTheme="majorEastAsia" w:eastAsiaTheme="majorEastAsia"/>
          <w:kern w:val="0"/>
          <w:sz w:val="24"/>
          <w:szCs w:val="24"/>
          <w:lang w:val="en-US" w:eastAsia="zh-CN" w:bidi="ar-SA"/>
        </w:rPr>
        <w:t xml:space="preserve">（盖章） </w:t>
      </w:r>
    </w:p>
    <w:p>
      <w:pPr>
        <w:pStyle w:val="14"/>
        <w:tabs>
          <w:tab w:val="left" w:pos="7695"/>
        </w:tabs>
        <w:kinsoku w:val="0"/>
        <w:overflowPunct w:val="0"/>
        <w:spacing w:line="381" w:lineRule="auto"/>
        <w:ind w:right="118"/>
        <w:rPr>
          <w:rFonts w:hint="eastAsia" w:cs="仿宋" w:asciiTheme="majorEastAsia" w:hAnsiTheme="majorEastAsia" w:eastAsiaTheme="majorEastAsia"/>
          <w:kern w:val="0"/>
          <w:sz w:val="24"/>
          <w:szCs w:val="24"/>
          <w:lang w:val="en-US" w:eastAsia="zh-CN" w:bidi="ar-SA"/>
        </w:rPr>
      </w:pPr>
      <w:r>
        <w:rPr>
          <w:rFonts w:hint="eastAsia" w:cs="仿宋" w:asciiTheme="majorEastAsia" w:hAnsiTheme="majorEastAsia" w:eastAsiaTheme="majorEastAsia"/>
          <w:kern w:val="0"/>
          <w:sz w:val="24"/>
          <w:szCs w:val="24"/>
          <w:lang w:val="en-US" w:eastAsia="zh-CN" w:bidi="ar-SA"/>
        </w:rPr>
        <w:t>法定代表人或被授权人：</w:t>
      </w:r>
      <w:r>
        <w:rPr>
          <w:rFonts w:hint="eastAsia" w:cs="仿宋" w:asciiTheme="majorEastAsia" w:hAnsiTheme="majorEastAsia" w:eastAsiaTheme="majorEastAsia"/>
          <w:kern w:val="0"/>
          <w:sz w:val="24"/>
          <w:szCs w:val="24"/>
          <w:u w:val="single"/>
          <w:lang w:val="en-US" w:eastAsia="zh-CN" w:bidi="ar-SA"/>
        </w:rPr>
        <w:t xml:space="preserve">          </w:t>
      </w:r>
      <w:r>
        <w:rPr>
          <w:rFonts w:hint="eastAsia" w:cs="仿宋" w:asciiTheme="majorEastAsia" w:hAnsiTheme="majorEastAsia" w:eastAsiaTheme="majorEastAsia"/>
          <w:kern w:val="0"/>
          <w:sz w:val="24"/>
          <w:szCs w:val="24"/>
          <w:lang w:val="en-US" w:eastAsia="zh-CN" w:bidi="ar-SA"/>
        </w:rPr>
        <w:t>（签字）</w:t>
      </w:r>
    </w:p>
    <w:p>
      <w:pPr>
        <w:pStyle w:val="14"/>
        <w:tabs>
          <w:tab w:val="left" w:pos="5551"/>
          <w:tab w:val="left" w:pos="6511"/>
          <w:tab w:val="left" w:pos="7111"/>
          <w:tab w:val="left" w:pos="7711"/>
        </w:tabs>
        <w:kinsoku w:val="0"/>
        <w:overflowPunct w:val="0"/>
        <w:spacing w:before="46"/>
        <w:rPr>
          <w:rFonts w:hint="eastAsia" w:cs="仿宋" w:asciiTheme="majorEastAsia" w:hAnsiTheme="majorEastAsia" w:eastAsiaTheme="majorEastAsia"/>
          <w:kern w:val="0"/>
          <w:sz w:val="24"/>
          <w:szCs w:val="24"/>
          <w:lang w:val="en-US" w:eastAsia="zh-CN" w:bidi="ar-SA"/>
        </w:rPr>
      </w:pPr>
      <w:r>
        <w:rPr>
          <w:rFonts w:hint="eastAsia" w:cs="仿宋" w:asciiTheme="majorEastAsia" w:hAnsiTheme="majorEastAsia" w:eastAsiaTheme="majorEastAsia"/>
          <w:kern w:val="0"/>
          <w:sz w:val="24"/>
          <w:szCs w:val="24"/>
          <w:lang w:val="en-US" w:eastAsia="zh-CN" w:bidi="ar-SA"/>
        </w:rPr>
        <w:t>日期：</w:t>
      </w:r>
      <w:r>
        <w:rPr>
          <w:rFonts w:hint="eastAsia" w:cs="仿宋" w:asciiTheme="majorEastAsia" w:hAnsiTheme="majorEastAsia" w:eastAsiaTheme="majorEastAsia"/>
          <w:kern w:val="0"/>
          <w:sz w:val="24"/>
          <w:szCs w:val="24"/>
          <w:u w:val="single"/>
          <w:lang w:val="en-US" w:eastAsia="zh-CN" w:bidi="ar-SA"/>
        </w:rPr>
        <w:t xml:space="preserve">     </w:t>
      </w:r>
      <w:r>
        <w:rPr>
          <w:rFonts w:hint="eastAsia" w:cs="仿宋" w:asciiTheme="majorEastAsia" w:hAnsiTheme="majorEastAsia" w:eastAsiaTheme="majorEastAsia"/>
          <w:kern w:val="0"/>
          <w:sz w:val="24"/>
          <w:szCs w:val="24"/>
          <w:lang w:val="en-US" w:eastAsia="zh-CN" w:bidi="ar-SA"/>
        </w:rPr>
        <w:t>年</w:t>
      </w:r>
      <w:r>
        <w:rPr>
          <w:rFonts w:hint="eastAsia" w:cs="仿宋" w:asciiTheme="majorEastAsia" w:hAnsiTheme="majorEastAsia" w:eastAsiaTheme="majorEastAsia"/>
          <w:kern w:val="0"/>
          <w:sz w:val="24"/>
          <w:szCs w:val="24"/>
          <w:u w:val="single"/>
          <w:lang w:val="en-US" w:eastAsia="zh-CN" w:bidi="ar-SA"/>
        </w:rPr>
        <w:t xml:space="preserve">     </w:t>
      </w:r>
      <w:r>
        <w:rPr>
          <w:rFonts w:hint="eastAsia" w:cs="仿宋" w:asciiTheme="majorEastAsia" w:hAnsiTheme="majorEastAsia" w:eastAsiaTheme="majorEastAsia"/>
          <w:kern w:val="0"/>
          <w:sz w:val="24"/>
          <w:szCs w:val="24"/>
          <w:lang w:val="en-US" w:eastAsia="zh-CN" w:bidi="ar-SA"/>
        </w:rPr>
        <w:t>月</w:t>
      </w:r>
      <w:r>
        <w:rPr>
          <w:rFonts w:hint="eastAsia" w:cs="仿宋" w:asciiTheme="majorEastAsia" w:hAnsiTheme="majorEastAsia" w:eastAsiaTheme="majorEastAsia"/>
          <w:kern w:val="0"/>
          <w:sz w:val="24"/>
          <w:szCs w:val="24"/>
          <w:u w:val="single"/>
          <w:lang w:val="en-US" w:eastAsia="zh-CN" w:bidi="ar-SA"/>
        </w:rPr>
        <w:t xml:space="preserve">       </w:t>
      </w:r>
      <w:r>
        <w:rPr>
          <w:rFonts w:hint="eastAsia" w:cs="仿宋" w:asciiTheme="majorEastAsia" w:hAnsiTheme="majorEastAsia" w:eastAsiaTheme="majorEastAsia"/>
          <w:kern w:val="0"/>
          <w:sz w:val="24"/>
          <w:szCs w:val="24"/>
          <w:lang w:val="en-US" w:eastAsia="zh-CN" w:bidi="ar-SA"/>
        </w:rPr>
        <w:t>日</w:t>
      </w:r>
    </w:p>
    <w:p>
      <w:pPr>
        <w:jc w:val="center"/>
        <w:rPr>
          <w:rFonts w:asciiTheme="majorEastAsia" w:hAnsiTheme="majorEastAsia" w:eastAsiaTheme="majorEastAsia"/>
        </w:rPr>
      </w:pPr>
      <w:r>
        <w:rPr>
          <w:rFonts w:asciiTheme="majorEastAsia" w:hAnsiTheme="majorEastAsia" w:eastAsiaTheme="majorEastAsia"/>
        </w:rPr>
        <w:br w:type="page"/>
      </w:r>
    </w:p>
    <w:p>
      <w:pPr>
        <w:spacing w:line="44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lang w:val="en-US" w:eastAsia="zh-CN"/>
        </w:rPr>
        <w:t>7.1</w:t>
      </w:r>
      <w:r>
        <w:rPr>
          <w:rFonts w:hint="eastAsia" w:asciiTheme="majorEastAsia" w:hAnsiTheme="majorEastAsia" w:eastAsiaTheme="majorEastAsia"/>
          <w:b/>
          <w:sz w:val="32"/>
          <w:szCs w:val="32"/>
        </w:rPr>
        <w:t>备品、备件清单</w:t>
      </w:r>
    </w:p>
    <w:p>
      <w:pPr>
        <w:tabs>
          <w:tab w:val="left" w:pos="5100"/>
        </w:tabs>
        <w:spacing w:line="440" w:lineRule="exact"/>
        <w:ind w:firstLine="352" w:firstLineChars="147"/>
        <w:rPr>
          <w:rFonts w:asciiTheme="majorEastAsia" w:hAnsiTheme="majorEastAsia" w:eastAsiaTheme="majorEastAsia"/>
          <w:bCs/>
          <w:sz w:val="24"/>
        </w:rPr>
      </w:pPr>
      <w:r>
        <w:rPr>
          <w:rFonts w:hint="eastAsia" w:asciiTheme="majorEastAsia" w:hAnsiTheme="majorEastAsia" w:eastAsiaTheme="majorEastAsia"/>
          <w:bCs/>
          <w:sz w:val="24"/>
        </w:rPr>
        <w:t>项目名称：</w:t>
      </w:r>
      <w:r>
        <w:rPr>
          <w:rFonts w:asciiTheme="majorEastAsia" w:hAnsiTheme="majorEastAsia" w:eastAsiaTheme="majorEastAsia"/>
          <w:bCs/>
          <w:sz w:val="24"/>
        </w:rPr>
        <w:t xml:space="preserve">                              </w:t>
      </w:r>
      <w:r>
        <w:rPr>
          <w:rFonts w:hint="eastAsia" w:asciiTheme="majorEastAsia" w:hAnsiTheme="majorEastAsia" w:eastAsiaTheme="majorEastAsia"/>
          <w:bCs/>
          <w:sz w:val="24"/>
        </w:rPr>
        <w:t xml:space="preserve">   招标编号：</w:t>
      </w:r>
      <w:r>
        <w:rPr>
          <w:rFonts w:asciiTheme="majorEastAsia" w:hAnsiTheme="majorEastAsia" w:eastAsiaTheme="majorEastAsia"/>
          <w:sz w:val="24"/>
        </w:rPr>
        <w:t xml:space="preserve"> </w:t>
      </w:r>
    </w:p>
    <w:p>
      <w:pPr>
        <w:pStyle w:val="110"/>
        <w:spacing w:line="440" w:lineRule="exact"/>
        <w:ind w:left="208" w:leftChars="99" w:firstLine="120" w:firstLineChars="50"/>
        <w:jc w:val="both"/>
        <w:rPr>
          <w:rFonts w:asciiTheme="majorEastAsia" w:hAnsiTheme="majorEastAsia" w:eastAsiaTheme="majorEastAsia"/>
          <w:bCs/>
          <w:kern w:val="2"/>
        </w:rPr>
      </w:pPr>
      <w:r>
        <w:rPr>
          <w:rFonts w:asciiTheme="majorEastAsia" w:hAnsiTheme="majorEastAsia" w:eastAsiaTheme="majorEastAsia"/>
          <w:bCs/>
          <w:kern w:val="2"/>
        </w:rPr>
        <w:t xml:space="preserve">   </w:t>
      </w:r>
    </w:p>
    <w:tbl>
      <w:tblPr>
        <w:tblStyle w:val="4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11"/>
        <w:gridCol w:w="1874"/>
        <w:gridCol w:w="2249"/>
        <w:gridCol w:w="881"/>
        <w:gridCol w:w="966"/>
        <w:gridCol w:w="93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01"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序号</w:t>
            </w:r>
          </w:p>
        </w:tc>
        <w:tc>
          <w:tcPr>
            <w:tcW w:w="1311"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备品、备件名称</w:t>
            </w:r>
          </w:p>
        </w:tc>
        <w:tc>
          <w:tcPr>
            <w:tcW w:w="1874"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规格、型号</w:t>
            </w:r>
          </w:p>
        </w:tc>
        <w:tc>
          <w:tcPr>
            <w:tcW w:w="2249"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生产厂家</w:t>
            </w:r>
          </w:p>
        </w:tc>
        <w:tc>
          <w:tcPr>
            <w:tcW w:w="881"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单位</w:t>
            </w:r>
          </w:p>
        </w:tc>
        <w:tc>
          <w:tcPr>
            <w:tcW w:w="966"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数量</w:t>
            </w:r>
          </w:p>
        </w:tc>
        <w:tc>
          <w:tcPr>
            <w:tcW w:w="936"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单价</w:t>
            </w:r>
          </w:p>
        </w:tc>
        <w:tc>
          <w:tcPr>
            <w:tcW w:w="936"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sz w:val="24"/>
              </w:rPr>
            </w:pPr>
            <w:r>
              <w:rPr>
                <w:rFonts w:asciiTheme="majorEastAsia" w:hAnsiTheme="majorEastAsia" w:eastAsiaTheme="majorEastAsia"/>
                <w:sz w:val="24"/>
              </w:rPr>
              <w:t>1</w:t>
            </w:r>
          </w:p>
        </w:tc>
        <w:tc>
          <w:tcPr>
            <w:tcW w:w="1311" w:type="dxa"/>
          </w:tcPr>
          <w:p>
            <w:pPr>
              <w:spacing w:line="440" w:lineRule="exact"/>
              <w:rPr>
                <w:rFonts w:asciiTheme="majorEastAsia" w:hAnsiTheme="majorEastAsia" w:eastAsiaTheme="majorEastAsia"/>
                <w:sz w:val="24"/>
              </w:rPr>
            </w:pPr>
          </w:p>
        </w:tc>
        <w:tc>
          <w:tcPr>
            <w:tcW w:w="1874" w:type="dxa"/>
          </w:tcPr>
          <w:p>
            <w:pPr>
              <w:spacing w:line="440" w:lineRule="exact"/>
              <w:rPr>
                <w:rFonts w:asciiTheme="majorEastAsia" w:hAnsiTheme="majorEastAsia" w:eastAsiaTheme="majorEastAsia"/>
                <w:sz w:val="24"/>
              </w:rPr>
            </w:pPr>
          </w:p>
        </w:tc>
        <w:tc>
          <w:tcPr>
            <w:tcW w:w="2249" w:type="dxa"/>
          </w:tcPr>
          <w:p>
            <w:pPr>
              <w:spacing w:line="440" w:lineRule="exact"/>
              <w:rPr>
                <w:rFonts w:asciiTheme="majorEastAsia" w:hAnsiTheme="majorEastAsia" w:eastAsiaTheme="majorEastAsia"/>
                <w:sz w:val="24"/>
              </w:rPr>
            </w:pPr>
          </w:p>
        </w:tc>
        <w:tc>
          <w:tcPr>
            <w:tcW w:w="881" w:type="dxa"/>
          </w:tcPr>
          <w:p>
            <w:pPr>
              <w:spacing w:line="440" w:lineRule="exact"/>
              <w:rPr>
                <w:rFonts w:asciiTheme="majorEastAsia" w:hAnsiTheme="majorEastAsia" w:eastAsiaTheme="majorEastAsia"/>
                <w:sz w:val="24"/>
              </w:rPr>
            </w:pPr>
          </w:p>
        </w:tc>
        <w:tc>
          <w:tcPr>
            <w:tcW w:w="966" w:type="dxa"/>
          </w:tcPr>
          <w:p>
            <w:pPr>
              <w:spacing w:line="440" w:lineRule="exact"/>
              <w:rPr>
                <w:rFonts w:asciiTheme="majorEastAsia" w:hAnsiTheme="majorEastAsia" w:eastAsiaTheme="majorEastAsia"/>
                <w:sz w:val="24"/>
              </w:rPr>
            </w:pPr>
          </w:p>
        </w:tc>
        <w:tc>
          <w:tcPr>
            <w:tcW w:w="936" w:type="dxa"/>
          </w:tcPr>
          <w:p>
            <w:pPr>
              <w:spacing w:line="440" w:lineRule="exact"/>
              <w:rPr>
                <w:rFonts w:asciiTheme="majorEastAsia" w:hAnsiTheme="majorEastAsia" w:eastAsiaTheme="majorEastAsia"/>
                <w:sz w:val="24"/>
              </w:rPr>
            </w:pPr>
          </w:p>
        </w:tc>
        <w:tc>
          <w:tcPr>
            <w:tcW w:w="936" w:type="dxa"/>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sz w:val="24"/>
              </w:rPr>
            </w:pPr>
            <w:r>
              <w:rPr>
                <w:rFonts w:asciiTheme="majorEastAsia" w:hAnsiTheme="majorEastAsia" w:eastAsiaTheme="majorEastAsia"/>
                <w:sz w:val="24"/>
              </w:rPr>
              <w:t>2</w:t>
            </w:r>
          </w:p>
        </w:tc>
        <w:tc>
          <w:tcPr>
            <w:tcW w:w="1311" w:type="dxa"/>
          </w:tcPr>
          <w:p>
            <w:pPr>
              <w:spacing w:line="440" w:lineRule="exact"/>
              <w:rPr>
                <w:rFonts w:asciiTheme="majorEastAsia" w:hAnsiTheme="majorEastAsia" w:eastAsiaTheme="majorEastAsia"/>
                <w:sz w:val="24"/>
              </w:rPr>
            </w:pPr>
          </w:p>
        </w:tc>
        <w:tc>
          <w:tcPr>
            <w:tcW w:w="1874" w:type="dxa"/>
          </w:tcPr>
          <w:p>
            <w:pPr>
              <w:spacing w:line="440" w:lineRule="exact"/>
              <w:rPr>
                <w:rFonts w:asciiTheme="majorEastAsia" w:hAnsiTheme="majorEastAsia" w:eastAsiaTheme="majorEastAsia"/>
                <w:sz w:val="24"/>
              </w:rPr>
            </w:pPr>
          </w:p>
        </w:tc>
        <w:tc>
          <w:tcPr>
            <w:tcW w:w="2249" w:type="dxa"/>
          </w:tcPr>
          <w:p>
            <w:pPr>
              <w:spacing w:line="440" w:lineRule="exact"/>
              <w:rPr>
                <w:rFonts w:asciiTheme="majorEastAsia" w:hAnsiTheme="majorEastAsia" w:eastAsiaTheme="majorEastAsia"/>
                <w:sz w:val="24"/>
              </w:rPr>
            </w:pPr>
          </w:p>
        </w:tc>
        <w:tc>
          <w:tcPr>
            <w:tcW w:w="881" w:type="dxa"/>
          </w:tcPr>
          <w:p>
            <w:pPr>
              <w:spacing w:line="440" w:lineRule="exact"/>
              <w:rPr>
                <w:rFonts w:asciiTheme="majorEastAsia" w:hAnsiTheme="majorEastAsia" w:eastAsiaTheme="majorEastAsia"/>
                <w:sz w:val="24"/>
              </w:rPr>
            </w:pPr>
          </w:p>
        </w:tc>
        <w:tc>
          <w:tcPr>
            <w:tcW w:w="966" w:type="dxa"/>
          </w:tcPr>
          <w:p>
            <w:pPr>
              <w:spacing w:line="440" w:lineRule="exact"/>
              <w:rPr>
                <w:rFonts w:asciiTheme="majorEastAsia" w:hAnsiTheme="majorEastAsia" w:eastAsiaTheme="majorEastAsia"/>
                <w:sz w:val="24"/>
              </w:rPr>
            </w:pPr>
          </w:p>
        </w:tc>
        <w:tc>
          <w:tcPr>
            <w:tcW w:w="936" w:type="dxa"/>
          </w:tcPr>
          <w:p>
            <w:pPr>
              <w:spacing w:line="440" w:lineRule="exact"/>
              <w:rPr>
                <w:rFonts w:asciiTheme="majorEastAsia" w:hAnsiTheme="majorEastAsia" w:eastAsiaTheme="majorEastAsia"/>
                <w:sz w:val="24"/>
              </w:rPr>
            </w:pPr>
          </w:p>
        </w:tc>
        <w:tc>
          <w:tcPr>
            <w:tcW w:w="936" w:type="dxa"/>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sz w:val="24"/>
              </w:rPr>
            </w:pPr>
            <w:r>
              <w:rPr>
                <w:rFonts w:asciiTheme="majorEastAsia" w:hAnsiTheme="majorEastAsia" w:eastAsiaTheme="majorEastAsia"/>
                <w:sz w:val="24"/>
              </w:rPr>
              <w:t>3</w:t>
            </w:r>
          </w:p>
        </w:tc>
        <w:tc>
          <w:tcPr>
            <w:tcW w:w="1311" w:type="dxa"/>
          </w:tcPr>
          <w:p>
            <w:pPr>
              <w:spacing w:line="440" w:lineRule="exact"/>
              <w:rPr>
                <w:rFonts w:asciiTheme="majorEastAsia" w:hAnsiTheme="majorEastAsia" w:eastAsiaTheme="majorEastAsia"/>
                <w:sz w:val="24"/>
              </w:rPr>
            </w:pPr>
          </w:p>
        </w:tc>
        <w:tc>
          <w:tcPr>
            <w:tcW w:w="1874" w:type="dxa"/>
          </w:tcPr>
          <w:p>
            <w:pPr>
              <w:spacing w:line="440" w:lineRule="exact"/>
              <w:rPr>
                <w:rFonts w:asciiTheme="majorEastAsia" w:hAnsiTheme="majorEastAsia" w:eastAsiaTheme="majorEastAsia"/>
                <w:sz w:val="24"/>
              </w:rPr>
            </w:pPr>
          </w:p>
        </w:tc>
        <w:tc>
          <w:tcPr>
            <w:tcW w:w="2249" w:type="dxa"/>
          </w:tcPr>
          <w:p>
            <w:pPr>
              <w:spacing w:line="440" w:lineRule="exact"/>
              <w:rPr>
                <w:rFonts w:asciiTheme="majorEastAsia" w:hAnsiTheme="majorEastAsia" w:eastAsiaTheme="majorEastAsia"/>
                <w:sz w:val="24"/>
              </w:rPr>
            </w:pPr>
          </w:p>
        </w:tc>
        <w:tc>
          <w:tcPr>
            <w:tcW w:w="881" w:type="dxa"/>
          </w:tcPr>
          <w:p>
            <w:pPr>
              <w:spacing w:line="440" w:lineRule="exact"/>
              <w:rPr>
                <w:rFonts w:asciiTheme="majorEastAsia" w:hAnsiTheme="majorEastAsia" w:eastAsiaTheme="majorEastAsia"/>
                <w:sz w:val="24"/>
              </w:rPr>
            </w:pPr>
          </w:p>
        </w:tc>
        <w:tc>
          <w:tcPr>
            <w:tcW w:w="966" w:type="dxa"/>
          </w:tcPr>
          <w:p>
            <w:pPr>
              <w:spacing w:line="440" w:lineRule="exact"/>
              <w:rPr>
                <w:rFonts w:asciiTheme="majorEastAsia" w:hAnsiTheme="majorEastAsia" w:eastAsiaTheme="majorEastAsia"/>
                <w:sz w:val="24"/>
              </w:rPr>
            </w:pPr>
          </w:p>
        </w:tc>
        <w:tc>
          <w:tcPr>
            <w:tcW w:w="936" w:type="dxa"/>
          </w:tcPr>
          <w:p>
            <w:pPr>
              <w:spacing w:line="440" w:lineRule="exact"/>
              <w:rPr>
                <w:rFonts w:asciiTheme="majorEastAsia" w:hAnsiTheme="majorEastAsia" w:eastAsiaTheme="majorEastAsia"/>
                <w:sz w:val="24"/>
              </w:rPr>
            </w:pPr>
          </w:p>
        </w:tc>
        <w:tc>
          <w:tcPr>
            <w:tcW w:w="936" w:type="dxa"/>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sz w:val="24"/>
              </w:rPr>
            </w:pPr>
            <w:r>
              <w:rPr>
                <w:rFonts w:hint="eastAsia" w:asciiTheme="majorEastAsia" w:hAnsiTheme="majorEastAsia" w:eastAsiaTheme="majorEastAsia"/>
                <w:sz w:val="24"/>
              </w:rPr>
              <w:t>…</w:t>
            </w:r>
          </w:p>
        </w:tc>
        <w:tc>
          <w:tcPr>
            <w:tcW w:w="1311" w:type="dxa"/>
          </w:tcPr>
          <w:p>
            <w:pPr>
              <w:spacing w:line="440" w:lineRule="exact"/>
              <w:rPr>
                <w:rFonts w:asciiTheme="majorEastAsia" w:hAnsiTheme="majorEastAsia" w:eastAsiaTheme="majorEastAsia"/>
                <w:sz w:val="24"/>
              </w:rPr>
            </w:pPr>
          </w:p>
        </w:tc>
        <w:tc>
          <w:tcPr>
            <w:tcW w:w="1874" w:type="dxa"/>
          </w:tcPr>
          <w:p>
            <w:pPr>
              <w:spacing w:line="440" w:lineRule="exact"/>
              <w:rPr>
                <w:rFonts w:asciiTheme="majorEastAsia" w:hAnsiTheme="majorEastAsia" w:eastAsiaTheme="majorEastAsia"/>
                <w:sz w:val="24"/>
              </w:rPr>
            </w:pPr>
          </w:p>
        </w:tc>
        <w:tc>
          <w:tcPr>
            <w:tcW w:w="2249" w:type="dxa"/>
          </w:tcPr>
          <w:p>
            <w:pPr>
              <w:spacing w:line="440" w:lineRule="exact"/>
              <w:rPr>
                <w:rFonts w:asciiTheme="majorEastAsia" w:hAnsiTheme="majorEastAsia" w:eastAsiaTheme="majorEastAsia"/>
                <w:sz w:val="24"/>
              </w:rPr>
            </w:pPr>
          </w:p>
        </w:tc>
        <w:tc>
          <w:tcPr>
            <w:tcW w:w="881" w:type="dxa"/>
          </w:tcPr>
          <w:p>
            <w:pPr>
              <w:spacing w:line="440" w:lineRule="exact"/>
              <w:rPr>
                <w:rFonts w:asciiTheme="majorEastAsia" w:hAnsiTheme="majorEastAsia" w:eastAsiaTheme="majorEastAsia"/>
                <w:sz w:val="24"/>
              </w:rPr>
            </w:pPr>
          </w:p>
        </w:tc>
        <w:tc>
          <w:tcPr>
            <w:tcW w:w="966" w:type="dxa"/>
          </w:tcPr>
          <w:p>
            <w:pPr>
              <w:spacing w:line="440" w:lineRule="exact"/>
              <w:rPr>
                <w:rFonts w:asciiTheme="majorEastAsia" w:hAnsiTheme="majorEastAsia" w:eastAsiaTheme="majorEastAsia"/>
                <w:sz w:val="24"/>
              </w:rPr>
            </w:pPr>
          </w:p>
        </w:tc>
        <w:tc>
          <w:tcPr>
            <w:tcW w:w="936" w:type="dxa"/>
          </w:tcPr>
          <w:p>
            <w:pPr>
              <w:spacing w:line="440" w:lineRule="exact"/>
              <w:rPr>
                <w:rFonts w:asciiTheme="majorEastAsia" w:hAnsiTheme="majorEastAsia" w:eastAsiaTheme="majorEastAsia"/>
                <w:sz w:val="24"/>
              </w:rPr>
            </w:pPr>
          </w:p>
        </w:tc>
        <w:tc>
          <w:tcPr>
            <w:tcW w:w="936" w:type="dxa"/>
          </w:tcPr>
          <w:p>
            <w:pPr>
              <w:spacing w:line="440" w:lineRule="exact"/>
              <w:rPr>
                <w:rFonts w:asciiTheme="majorEastAsia" w:hAnsiTheme="majorEastAsia" w:eastAsiaTheme="majorEastAsia"/>
                <w:sz w:val="24"/>
              </w:rPr>
            </w:pPr>
          </w:p>
        </w:tc>
      </w:tr>
    </w:tbl>
    <w:p>
      <w:pPr>
        <w:pStyle w:val="14"/>
        <w:tabs>
          <w:tab w:val="left" w:pos="7905"/>
        </w:tabs>
        <w:kinsoku w:val="0"/>
        <w:overflowPunct w:val="0"/>
        <w:spacing w:line="381" w:lineRule="auto"/>
        <w:ind w:right="118"/>
        <w:rPr>
          <w:rFonts w:hint="eastAsia" w:asciiTheme="majorEastAsia" w:hAnsiTheme="majorEastAsia" w:eastAsiaTheme="majorEastAsia"/>
          <w:sz w:val="24"/>
        </w:rPr>
      </w:pPr>
    </w:p>
    <w:p>
      <w:pPr>
        <w:pStyle w:val="14"/>
        <w:tabs>
          <w:tab w:val="left" w:pos="7905"/>
        </w:tabs>
        <w:kinsoku w:val="0"/>
        <w:overflowPunct w:val="0"/>
        <w:spacing w:line="381" w:lineRule="auto"/>
        <w:ind w:right="118"/>
        <w:rPr>
          <w:rFonts w:hint="eastAsia" w:asciiTheme="majorEastAsia" w:hAnsiTheme="majorEastAsia" w:eastAsiaTheme="majorEastAsia"/>
          <w:sz w:val="24"/>
        </w:rPr>
      </w:pPr>
      <w:r>
        <w:rPr>
          <w:rFonts w:hint="eastAsia" w:asciiTheme="majorEastAsia" w:hAnsiTheme="majorEastAsia" w:eastAsiaTheme="majorEastAsia"/>
          <w:sz w:val="24"/>
        </w:rPr>
        <w:t xml:space="preserve"> </w:t>
      </w:r>
    </w:p>
    <w:p>
      <w:pPr>
        <w:pStyle w:val="14"/>
        <w:tabs>
          <w:tab w:val="left" w:pos="7905"/>
        </w:tabs>
        <w:kinsoku w:val="0"/>
        <w:overflowPunct w:val="0"/>
        <w:spacing w:line="381" w:lineRule="auto"/>
        <w:ind w:right="118"/>
        <w:rPr>
          <w:rFonts w:hint="eastAsia" w:cs="仿宋" w:asciiTheme="majorEastAsia" w:hAnsiTheme="majorEastAsia" w:eastAsiaTheme="majorEastAsia"/>
          <w:kern w:val="0"/>
          <w:sz w:val="24"/>
          <w:szCs w:val="24"/>
          <w:lang w:val="en-US" w:eastAsia="zh-CN" w:bidi="ar-SA"/>
        </w:rPr>
      </w:pPr>
      <w:r>
        <w:rPr>
          <w:rFonts w:hint="eastAsia" w:asciiTheme="majorEastAsia" w:hAnsiTheme="majorEastAsia" w:eastAsiaTheme="majorEastAsia"/>
          <w:sz w:val="24"/>
          <w:lang w:val="en-US" w:eastAsia="zh-CN"/>
        </w:rPr>
        <w:t xml:space="preserve"> </w:t>
      </w:r>
      <w:r>
        <w:rPr>
          <w:rFonts w:hint="eastAsia" w:cs="仿宋" w:asciiTheme="majorEastAsia" w:hAnsiTheme="majorEastAsia" w:eastAsiaTheme="majorEastAsia"/>
          <w:kern w:val="0"/>
          <w:sz w:val="24"/>
          <w:szCs w:val="24"/>
          <w:lang w:val="en-US" w:eastAsia="zh-CN" w:bidi="ar-SA"/>
        </w:rPr>
        <w:t>供应商：</w:t>
      </w:r>
      <w:r>
        <w:rPr>
          <w:rFonts w:hint="eastAsia" w:cs="仿宋" w:asciiTheme="majorEastAsia" w:hAnsiTheme="majorEastAsia" w:eastAsiaTheme="majorEastAsia"/>
          <w:kern w:val="0"/>
          <w:sz w:val="24"/>
          <w:szCs w:val="24"/>
          <w:u w:val="single"/>
          <w:lang w:val="en-US" w:eastAsia="zh-CN" w:bidi="ar-SA"/>
        </w:rPr>
        <w:t xml:space="preserve">                         </w:t>
      </w:r>
      <w:r>
        <w:rPr>
          <w:rFonts w:hint="eastAsia" w:cs="仿宋" w:asciiTheme="majorEastAsia" w:hAnsiTheme="majorEastAsia" w:eastAsiaTheme="majorEastAsia"/>
          <w:kern w:val="0"/>
          <w:sz w:val="24"/>
          <w:szCs w:val="24"/>
          <w:lang w:val="en-US" w:eastAsia="zh-CN" w:bidi="ar-SA"/>
        </w:rPr>
        <w:t xml:space="preserve">（盖章） </w:t>
      </w:r>
    </w:p>
    <w:p>
      <w:pPr>
        <w:pStyle w:val="14"/>
        <w:tabs>
          <w:tab w:val="left" w:pos="7695"/>
        </w:tabs>
        <w:kinsoku w:val="0"/>
        <w:overflowPunct w:val="0"/>
        <w:spacing w:line="381" w:lineRule="auto"/>
        <w:ind w:right="118"/>
        <w:rPr>
          <w:rFonts w:hint="eastAsia" w:cs="仿宋" w:asciiTheme="majorEastAsia" w:hAnsiTheme="majorEastAsia" w:eastAsiaTheme="majorEastAsia"/>
          <w:kern w:val="0"/>
          <w:sz w:val="24"/>
          <w:szCs w:val="24"/>
          <w:lang w:val="en-US" w:eastAsia="zh-CN" w:bidi="ar-SA"/>
        </w:rPr>
      </w:pPr>
      <w:r>
        <w:rPr>
          <w:rFonts w:hint="eastAsia" w:cs="仿宋" w:asciiTheme="majorEastAsia" w:hAnsiTheme="majorEastAsia" w:eastAsiaTheme="majorEastAsia"/>
          <w:kern w:val="0"/>
          <w:sz w:val="24"/>
          <w:szCs w:val="24"/>
          <w:lang w:val="en-US" w:eastAsia="zh-CN" w:bidi="ar-SA"/>
        </w:rPr>
        <w:t>法定代表人或被授权人：</w:t>
      </w:r>
      <w:r>
        <w:rPr>
          <w:rFonts w:hint="eastAsia" w:cs="仿宋" w:asciiTheme="majorEastAsia" w:hAnsiTheme="majorEastAsia" w:eastAsiaTheme="majorEastAsia"/>
          <w:kern w:val="0"/>
          <w:sz w:val="24"/>
          <w:szCs w:val="24"/>
          <w:u w:val="single"/>
          <w:lang w:val="en-US" w:eastAsia="zh-CN" w:bidi="ar-SA"/>
        </w:rPr>
        <w:t xml:space="preserve">          </w:t>
      </w:r>
      <w:r>
        <w:rPr>
          <w:rFonts w:hint="eastAsia" w:cs="仿宋" w:asciiTheme="majorEastAsia" w:hAnsiTheme="majorEastAsia" w:eastAsiaTheme="majorEastAsia"/>
          <w:kern w:val="0"/>
          <w:sz w:val="24"/>
          <w:szCs w:val="24"/>
          <w:lang w:val="en-US" w:eastAsia="zh-CN" w:bidi="ar-SA"/>
        </w:rPr>
        <w:t>（签字）</w:t>
      </w:r>
    </w:p>
    <w:p>
      <w:pPr>
        <w:pStyle w:val="14"/>
        <w:tabs>
          <w:tab w:val="left" w:pos="5551"/>
          <w:tab w:val="left" w:pos="6511"/>
          <w:tab w:val="left" w:pos="7111"/>
          <w:tab w:val="left" w:pos="7711"/>
        </w:tabs>
        <w:kinsoku w:val="0"/>
        <w:overflowPunct w:val="0"/>
        <w:spacing w:before="46"/>
        <w:ind w:firstLine="240" w:firstLineChars="100"/>
        <w:rPr>
          <w:rFonts w:hint="eastAsia" w:cs="仿宋" w:asciiTheme="majorEastAsia" w:hAnsiTheme="majorEastAsia" w:eastAsiaTheme="majorEastAsia"/>
          <w:kern w:val="0"/>
          <w:sz w:val="24"/>
          <w:szCs w:val="24"/>
          <w:lang w:val="en-US" w:eastAsia="zh-CN" w:bidi="ar-SA"/>
        </w:rPr>
      </w:pPr>
      <w:r>
        <w:rPr>
          <w:rFonts w:hint="eastAsia" w:cs="仿宋" w:asciiTheme="majorEastAsia" w:hAnsiTheme="majorEastAsia" w:eastAsiaTheme="majorEastAsia"/>
          <w:kern w:val="0"/>
          <w:sz w:val="24"/>
          <w:szCs w:val="24"/>
          <w:lang w:val="en-US" w:eastAsia="zh-CN" w:bidi="ar-SA"/>
        </w:rPr>
        <w:t>日期：</w:t>
      </w:r>
      <w:r>
        <w:rPr>
          <w:rFonts w:hint="eastAsia" w:cs="仿宋" w:asciiTheme="majorEastAsia" w:hAnsiTheme="majorEastAsia" w:eastAsiaTheme="majorEastAsia"/>
          <w:kern w:val="0"/>
          <w:sz w:val="24"/>
          <w:szCs w:val="24"/>
          <w:u w:val="single"/>
          <w:lang w:val="en-US" w:eastAsia="zh-CN" w:bidi="ar-SA"/>
        </w:rPr>
        <w:t xml:space="preserve">     </w:t>
      </w:r>
      <w:r>
        <w:rPr>
          <w:rFonts w:hint="eastAsia" w:cs="仿宋" w:asciiTheme="majorEastAsia" w:hAnsiTheme="majorEastAsia" w:eastAsiaTheme="majorEastAsia"/>
          <w:kern w:val="0"/>
          <w:sz w:val="24"/>
          <w:szCs w:val="24"/>
          <w:lang w:val="en-US" w:eastAsia="zh-CN" w:bidi="ar-SA"/>
        </w:rPr>
        <w:t>年</w:t>
      </w:r>
      <w:r>
        <w:rPr>
          <w:rFonts w:hint="eastAsia" w:cs="仿宋" w:asciiTheme="majorEastAsia" w:hAnsiTheme="majorEastAsia" w:eastAsiaTheme="majorEastAsia"/>
          <w:kern w:val="0"/>
          <w:sz w:val="24"/>
          <w:szCs w:val="24"/>
          <w:u w:val="single"/>
          <w:lang w:val="en-US" w:eastAsia="zh-CN" w:bidi="ar-SA"/>
        </w:rPr>
        <w:t xml:space="preserve">     </w:t>
      </w:r>
      <w:r>
        <w:rPr>
          <w:rFonts w:hint="eastAsia" w:cs="仿宋" w:asciiTheme="majorEastAsia" w:hAnsiTheme="majorEastAsia" w:eastAsiaTheme="majorEastAsia"/>
          <w:kern w:val="0"/>
          <w:sz w:val="24"/>
          <w:szCs w:val="24"/>
          <w:lang w:val="en-US" w:eastAsia="zh-CN" w:bidi="ar-SA"/>
        </w:rPr>
        <w:t>月</w:t>
      </w:r>
      <w:r>
        <w:rPr>
          <w:rFonts w:hint="eastAsia" w:cs="仿宋" w:asciiTheme="majorEastAsia" w:hAnsiTheme="majorEastAsia" w:eastAsiaTheme="majorEastAsia"/>
          <w:kern w:val="0"/>
          <w:sz w:val="24"/>
          <w:szCs w:val="24"/>
          <w:u w:val="single"/>
          <w:lang w:val="en-US" w:eastAsia="zh-CN" w:bidi="ar-SA"/>
        </w:rPr>
        <w:t xml:space="preserve">       </w:t>
      </w:r>
      <w:r>
        <w:rPr>
          <w:rFonts w:hint="eastAsia" w:cs="仿宋" w:asciiTheme="majorEastAsia" w:hAnsiTheme="majorEastAsia" w:eastAsiaTheme="majorEastAsia"/>
          <w:kern w:val="0"/>
          <w:sz w:val="24"/>
          <w:szCs w:val="24"/>
          <w:lang w:val="en-US" w:eastAsia="zh-CN" w:bidi="ar-SA"/>
        </w:rPr>
        <w:t>日</w:t>
      </w:r>
    </w:p>
    <w:p>
      <w:pPr>
        <w:spacing w:line="440" w:lineRule="exact"/>
        <w:jc w:val="center"/>
        <w:rPr>
          <w:rFonts w:asciiTheme="majorEastAsia" w:hAnsiTheme="majorEastAsia" w:eastAsiaTheme="majorEastAsia"/>
          <w:bCs/>
          <w:sz w:val="24"/>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pStyle w:val="15"/>
        <w:rPr>
          <w:rFonts w:hint="default" w:asciiTheme="majorEastAsia" w:hAnsiTheme="majorEastAsia" w:eastAsiaTheme="majorEastAsia"/>
          <w:b/>
          <w:bCs/>
          <w:spacing w:val="1"/>
          <w:szCs w:val="21"/>
          <w:lang w:val="en-US" w:eastAsia="zh-CN"/>
        </w:rPr>
      </w:pPr>
    </w:p>
    <w:p>
      <w:pPr>
        <w:jc w:val="center"/>
        <w:outlineLvl w:val="0"/>
        <w:rPr>
          <w:rFonts w:asciiTheme="majorEastAsia" w:hAnsiTheme="majorEastAsia" w:eastAsiaTheme="majorEastAsia"/>
          <w:b/>
          <w:szCs w:val="21"/>
        </w:rPr>
      </w:pPr>
      <w:bookmarkStart w:id="52" w:name="_Toc31879"/>
      <w:r>
        <w:rPr>
          <w:rFonts w:hint="eastAsia" w:asciiTheme="majorEastAsia" w:hAnsiTheme="majorEastAsia" w:eastAsiaTheme="majorEastAsia"/>
          <w:b/>
          <w:bCs/>
          <w:sz w:val="36"/>
          <w:szCs w:val="36"/>
        </w:rPr>
        <w:t>八、一般商务条款偏离表</w:t>
      </w:r>
      <w:bookmarkEnd w:id="52"/>
    </w:p>
    <w:p>
      <w:pPr>
        <w:rPr>
          <w:rFonts w:asciiTheme="majorEastAsia" w:hAnsiTheme="majorEastAsia" w:eastAsiaTheme="majorEastAsia"/>
        </w:rPr>
      </w:pPr>
    </w:p>
    <w:tbl>
      <w:tblPr>
        <w:tblStyle w:val="40"/>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269"/>
        <w:gridCol w:w="1134"/>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序号</w:t>
            </w:r>
          </w:p>
        </w:tc>
        <w:tc>
          <w:tcPr>
            <w:tcW w:w="2154"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一般商务条款序号</w:t>
            </w:r>
          </w:p>
        </w:tc>
        <w:tc>
          <w:tcPr>
            <w:tcW w:w="2269"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条款内容</w:t>
            </w:r>
          </w:p>
        </w:tc>
        <w:tc>
          <w:tcPr>
            <w:tcW w:w="1134"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是否响应</w:t>
            </w:r>
          </w:p>
        </w:tc>
        <w:tc>
          <w:tcPr>
            <w:tcW w:w="265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1</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2</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3</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4</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5</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6</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7</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8</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9</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10</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11</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12</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13</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14</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15</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bl>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注：请在“偏离说明”栏内扼要说明偏离情况，如无偏离则不需列明。</w:t>
      </w:r>
    </w:p>
    <w:p>
      <w:pPr>
        <w:rPr>
          <w:rFonts w:asciiTheme="majorEastAsia" w:hAnsiTheme="majorEastAsia" w:eastAsiaTheme="majorEastAsia"/>
          <w:szCs w:val="21"/>
        </w:rPr>
      </w:pPr>
    </w:p>
    <w:p>
      <w:pPr>
        <w:pStyle w:val="14"/>
        <w:kinsoku w:val="0"/>
        <w:overflowPunct w:val="0"/>
        <w:spacing w:before="34" w:line="357" w:lineRule="auto"/>
        <w:ind w:right="126" w:firstLine="480"/>
        <w:jc w:val="center"/>
        <w:rPr>
          <w:rFonts w:asciiTheme="majorEastAsia" w:hAnsiTheme="majorEastAsia" w:eastAsiaTheme="majorEastAsia"/>
          <w:sz w:val="18"/>
          <w:szCs w:val="18"/>
        </w:rPr>
      </w:pPr>
    </w:p>
    <w:p>
      <w:pPr>
        <w:pStyle w:val="14"/>
        <w:tabs>
          <w:tab w:val="left" w:pos="7905"/>
        </w:tabs>
        <w:kinsoku w:val="0"/>
        <w:overflowPunct w:val="0"/>
        <w:spacing w:line="381" w:lineRule="auto"/>
        <w:ind w:right="118"/>
        <w:rPr>
          <w:rFonts w:hint="eastAsia" w:cs="仿宋" w:asciiTheme="majorEastAsia" w:hAnsiTheme="majorEastAsia" w:eastAsiaTheme="majorEastAsia"/>
          <w:kern w:val="0"/>
          <w:sz w:val="24"/>
          <w:szCs w:val="24"/>
          <w:lang w:val="en-US" w:eastAsia="zh-CN" w:bidi="ar-SA"/>
        </w:rPr>
      </w:pPr>
      <w:r>
        <w:rPr>
          <w:rFonts w:hint="eastAsia" w:cs="仿宋" w:asciiTheme="majorEastAsia" w:hAnsiTheme="majorEastAsia" w:eastAsiaTheme="majorEastAsia"/>
          <w:kern w:val="0"/>
          <w:sz w:val="24"/>
          <w:szCs w:val="24"/>
          <w:lang w:val="en-US" w:eastAsia="zh-CN" w:bidi="ar-SA"/>
        </w:rPr>
        <w:t>供应商：</w:t>
      </w:r>
      <w:r>
        <w:rPr>
          <w:rFonts w:hint="eastAsia" w:cs="仿宋" w:asciiTheme="majorEastAsia" w:hAnsiTheme="majorEastAsia" w:eastAsiaTheme="majorEastAsia"/>
          <w:kern w:val="0"/>
          <w:sz w:val="24"/>
          <w:szCs w:val="24"/>
          <w:u w:val="single"/>
          <w:lang w:val="en-US" w:eastAsia="zh-CN" w:bidi="ar-SA"/>
        </w:rPr>
        <w:t xml:space="preserve">                         </w:t>
      </w:r>
      <w:r>
        <w:rPr>
          <w:rFonts w:hint="eastAsia" w:cs="仿宋" w:asciiTheme="majorEastAsia" w:hAnsiTheme="majorEastAsia" w:eastAsiaTheme="majorEastAsia"/>
          <w:kern w:val="0"/>
          <w:sz w:val="24"/>
          <w:szCs w:val="24"/>
          <w:lang w:val="en-US" w:eastAsia="zh-CN" w:bidi="ar-SA"/>
        </w:rPr>
        <w:t xml:space="preserve">（盖章） </w:t>
      </w:r>
    </w:p>
    <w:p>
      <w:pPr>
        <w:pStyle w:val="14"/>
        <w:tabs>
          <w:tab w:val="left" w:pos="7695"/>
        </w:tabs>
        <w:kinsoku w:val="0"/>
        <w:overflowPunct w:val="0"/>
        <w:spacing w:line="381" w:lineRule="auto"/>
        <w:ind w:right="118"/>
        <w:rPr>
          <w:rFonts w:hint="eastAsia" w:cs="仿宋" w:asciiTheme="majorEastAsia" w:hAnsiTheme="majorEastAsia" w:eastAsiaTheme="majorEastAsia"/>
          <w:kern w:val="0"/>
          <w:sz w:val="24"/>
          <w:szCs w:val="24"/>
          <w:lang w:val="en-US" w:eastAsia="zh-CN" w:bidi="ar-SA"/>
        </w:rPr>
      </w:pPr>
      <w:r>
        <w:rPr>
          <w:rFonts w:hint="eastAsia" w:cs="仿宋" w:asciiTheme="majorEastAsia" w:hAnsiTheme="majorEastAsia" w:eastAsiaTheme="majorEastAsia"/>
          <w:kern w:val="0"/>
          <w:sz w:val="24"/>
          <w:szCs w:val="24"/>
          <w:lang w:val="en-US" w:eastAsia="zh-CN" w:bidi="ar-SA"/>
        </w:rPr>
        <w:t>法定代表人或被授权人：</w:t>
      </w:r>
      <w:r>
        <w:rPr>
          <w:rFonts w:hint="eastAsia" w:cs="仿宋" w:asciiTheme="majorEastAsia" w:hAnsiTheme="majorEastAsia" w:eastAsiaTheme="majorEastAsia"/>
          <w:kern w:val="0"/>
          <w:sz w:val="24"/>
          <w:szCs w:val="24"/>
          <w:u w:val="single"/>
          <w:lang w:val="en-US" w:eastAsia="zh-CN" w:bidi="ar-SA"/>
        </w:rPr>
        <w:t xml:space="preserve">          </w:t>
      </w:r>
      <w:r>
        <w:rPr>
          <w:rFonts w:hint="eastAsia" w:cs="仿宋" w:asciiTheme="majorEastAsia" w:hAnsiTheme="majorEastAsia" w:eastAsiaTheme="majorEastAsia"/>
          <w:kern w:val="0"/>
          <w:sz w:val="24"/>
          <w:szCs w:val="24"/>
          <w:lang w:val="en-US" w:eastAsia="zh-CN" w:bidi="ar-SA"/>
        </w:rPr>
        <w:t>（签字或盖章）</w:t>
      </w:r>
    </w:p>
    <w:p>
      <w:pPr>
        <w:pStyle w:val="14"/>
        <w:tabs>
          <w:tab w:val="left" w:pos="5551"/>
          <w:tab w:val="left" w:pos="6511"/>
          <w:tab w:val="left" w:pos="7111"/>
          <w:tab w:val="left" w:pos="7711"/>
        </w:tabs>
        <w:kinsoku w:val="0"/>
        <w:overflowPunct w:val="0"/>
        <w:spacing w:before="46"/>
        <w:rPr>
          <w:rFonts w:hint="eastAsia" w:cs="仿宋" w:asciiTheme="majorEastAsia" w:hAnsiTheme="majorEastAsia" w:eastAsiaTheme="majorEastAsia"/>
          <w:kern w:val="0"/>
          <w:sz w:val="24"/>
          <w:szCs w:val="24"/>
          <w:lang w:val="en-US" w:eastAsia="zh-CN" w:bidi="ar-SA"/>
        </w:rPr>
      </w:pPr>
      <w:r>
        <w:rPr>
          <w:rFonts w:hint="eastAsia" w:cs="仿宋" w:asciiTheme="majorEastAsia" w:hAnsiTheme="majorEastAsia" w:eastAsiaTheme="majorEastAsia"/>
          <w:kern w:val="0"/>
          <w:sz w:val="24"/>
          <w:szCs w:val="24"/>
          <w:lang w:val="en-US" w:eastAsia="zh-CN" w:bidi="ar-SA"/>
        </w:rPr>
        <w:t>日期：</w:t>
      </w:r>
      <w:r>
        <w:rPr>
          <w:rFonts w:hint="eastAsia" w:cs="仿宋" w:asciiTheme="majorEastAsia" w:hAnsiTheme="majorEastAsia" w:eastAsiaTheme="majorEastAsia"/>
          <w:kern w:val="0"/>
          <w:sz w:val="24"/>
          <w:szCs w:val="24"/>
          <w:u w:val="single"/>
          <w:lang w:val="en-US" w:eastAsia="zh-CN" w:bidi="ar-SA"/>
        </w:rPr>
        <w:t xml:space="preserve">     </w:t>
      </w:r>
      <w:r>
        <w:rPr>
          <w:rFonts w:hint="eastAsia" w:cs="仿宋" w:asciiTheme="majorEastAsia" w:hAnsiTheme="majorEastAsia" w:eastAsiaTheme="majorEastAsia"/>
          <w:kern w:val="0"/>
          <w:sz w:val="24"/>
          <w:szCs w:val="24"/>
          <w:lang w:val="en-US" w:eastAsia="zh-CN" w:bidi="ar-SA"/>
        </w:rPr>
        <w:t>年</w:t>
      </w:r>
      <w:r>
        <w:rPr>
          <w:rFonts w:hint="eastAsia" w:cs="仿宋" w:asciiTheme="majorEastAsia" w:hAnsiTheme="majorEastAsia" w:eastAsiaTheme="majorEastAsia"/>
          <w:kern w:val="0"/>
          <w:sz w:val="24"/>
          <w:szCs w:val="24"/>
          <w:u w:val="single"/>
          <w:lang w:val="en-US" w:eastAsia="zh-CN" w:bidi="ar-SA"/>
        </w:rPr>
        <w:t xml:space="preserve">     </w:t>
      </w:r>
      <w:r>
        <w:rPr>
          <w:rFonts w:hint="eastAsia" w:cs="仿宋" w:asciiTheme="majorEastAsia" w:hAnsiTheme="majorEastAsia" w:eastAsiaTheme="majorEastAsia"/>
          <w:kern w:val="0"/>
          <w:sz w:val="24"/>
          <w:szCs w:val="24"/>
          <w:lang w:val="en-US" w:eastAsia="zh-CN" w:bidi="ar-SA"/>
        </w:rPr>
        <w:t>月</w:t>
      </w:r>
      <w:r>
        <w:rPr>
          <w:rFonts w:hint="eastAsia" w:cs="仿宋" w:asciiTheme="majorEastAsia" w:hAnsiTheme="majorEastAsia" w:eastAsiaTheme="majorEastAsia"/>
          <w:kern w:val="0"/>
          <w:sz w:val="24"/>
          <w:szCs w:val="24"/>
          <w:u w:val="single"/>
          <w:lang w:val="en-US" w:eastAsia="zh-CN" w:bidi="ar-SA"/>
        </w:rPr>
        <w:t xml:space="preserve">       </w:t>
      </w:r>
      <w:r>
        <w:rPr>
          <w:rFonts w:hint="eastAsia" w:cs="仿宋" w:asciiTheme="majorEastAsia" w:hAnsiTheme="majorEastAsia" w:eastAsiaTheme="majorEastAsia"/>
          <w:kern w:val="0"/>
          <w:sz w:val="24"/>
          <w:szCs w:val="24"/>
          <w:lang w:val="en-US" w:eastAsia="zh-CN" w:bidi="ar-SA"/>
        </w:rPr>
        <w:t>日</w:t>
      </w:r>
    </w:p>
    <w:p>
      <w:pPr>
        <w:pStyle w:val="15"/>
        <w:rPr>
          <w:rFonts w:hint="eastAsia" w:cs="仿宋" w:asciiTheme="majorEastAsia" w:hAnsiTheme="majorEastAsia" w:eastAsiaTheme="majorEastAsia"/>
          <w:kern w:val="0"/>
          <w:sz w:val="24"/>
          <w:szCs w:val="24"/>
          <w:lang w:val="en-US" w:eastAsia="zh-CN" w:bidi="ar-SA"/>
        </w:rPr>
      </w:pPr>
    </w:p>
    <w:p>
      <w:pPr>
        <w:pStyle w:val="15"/>
        <w:rPr>
          <w:rFonts w:hint="eastAsia" w:cs="仿宋" w:asciiTheme="majorEastAsia" w:hAnsiTheme="majorEastAsia" w:eastAsiaTheme="majorEastAsia"/>
          <w:kern w:val="0"/>
          <w:sz w:val="24"/>
          <w:szCs w:val="24"/>
          <w:lang w:val="en-US" w:eastAsia="zh-CN" w:bidi="ar-SA"/>
        </w:rPr>
      </w:pPr>
    </w:p>
    <w:p>
      <w:pPr>
        <w:pStyle w:val="15"/>
        <w:rPr>
          <w:rFonts w:hint="eastAsia" w:cs="仿宋" w:asciiTheme="majorEastAsia" w:hAnsiTheme="majorEastAsia" w:eastAsiaTheme="majorEastAsia"/>
          <w:kern w:val="0"/>
          <w:sz w:val="24"/>
          <w:szCs w:val="24"/>
          <w:lang w:val="en-US" w:eastAsia="zh-CN" w:bidi="ar-SA"/>
        </w:rPr>
      </w:pPr>
    </w:p>
    <w:p>
      <w:pPr>
        <w:pStyle w:val="15"/>
        <w:rPr>
          <w:rFonts w:hint="eastAsia" w:cs="仿宋" w:asciiTheme="majorEastAsia" w:hAnsiTheme="majorEastAsia" w:eastAsiaTheme="majorEastAsia"/>
          <w:kern w:val="0"/>
          <w:sz w:val="24"/>
          <w:szCs w:val="24"/>
          <w:lang w:val="en-US" w:eastAsia="zh-CN" w:bidi="ar-SA"/>
        </w:rPr>
      </w:pPr>
    </w:p>
    <w:p>
      <w:pPr>
        <w:pStyle w:val="15"/>
        <w:rPr>
          <w:rFonts w:hint="eastAsia" w:cs="仿宋" w:asciiTheme="majorEastAsia" w:hAnsiTheme="majorEastAsia" w:eastAsiaTheme="majorEastAsia"/>
          <w:kern w:val="0"/>
          <w:sz w:val="24"/>
          <w:szCs w:val="24"/>
          <w:lang w:val="en-US" w:eastAsia="zh-CN" w:bidi="ar-SA"/>
        </w:rPr>
      </w:pPr>
    </w:p>
    <w:p>
      <w:pPr>
        <w:pStyle w:val="15"/>
        <w:rPr>
          <w:rFonts w:hint="eastAsia" w:cs="仿宋" w:asciiTheme="majorEastAsia" w:hAnsiTheme="majorEastAsia" w:eastAsiaTheme="majorEastAsia"/>
          <w:kern w:val="0"/>
          <w:sz w:val="24"/>
          <w:szCs w:val="24"/>
          <w:lang w:val="en-US" w:eastAsia="zh-CN" w:bidi="ar-SA"/>
        </w:rPr>
      </w:pPr>
    </w:p>
    <w:p>
      <w:pPr>
        <w:pStyle w:val="15"/>
        <w:rPr>
          <w:rFonts w:hint="eastAsia" w:cs="仿宋" w:asciiTheme="majorEastAsia" w:hAnsiTheme="majorEastAsia" w:eastAsiaTheme="majorEastAsia"/>
          <w:kern w:val="0"/>
          <w:sz w:val="24"/>
          <w:szCs w:val="24"/>
          <w:lang w:val="en-US" w:eastAsia="zh-CN" w:bidi="ar-SA"/>
        </w:rPr>
      </w:pPr>
    </w:p>
    <w:p>
      <w:pPr>
        <w:pStyle w:val="122"/>
        <w:kinsoku w:val="0"/>
        <w:overflowPunct w:val="0"/>
        <w:spacing w:line="940" w:lineRule="exact"/>
        <w:ind w:left="0" w:leftChars="0" w:firstLine="0" w:firstLineChars="0"/>
        <w:jc w:val="center"/>
        <w:outlineLvl w:val="9"/>
        <w:rPr>
          <w:rFonts w:hint="eastAsia" w:asciiTheme="majorEastAsia" w:hAnsiTheme="majorEastAsia" w:eastAsiaTheme="majorEastAsia"/>
          <w:lang w:val="en-US" w:eastAsia="zh-CN"/>
        </w:rPr>
      </w:pPr>
    </w:p>
    <w:p>
      <w:pPr>
        <w:spacing w:line="360" w:lineRule="auto"/>
        <w:jc w:val="center"/>
        <w:rPr>
          <w:rStyle w:val="129"/>
          <w:rFonts w:hint="eastAsia" w:ascii="宋体" w:hAnsi="宋体" w:cs="宋体"/>
          <w:bCs w:val="0"/>
          <w:sz w:val="28"/>
          <w:szCs w:val="28"/>
          <w:lang w:val="en-US" w:eastAsia="zh-CN"/>
        </w:rPr>
      </w:pPr>
      <w:bookmarkStart w:id="53" w:name="_Toc6627"/>
    </w:p>
    <w:p>
      <w:pPr>
        <w:spacing w:line="360" w:lineRule="auto"/>
        <w:jc w:val="center"/>
        <w:rPr>
          <w:rStyle w:val="129"/>
          <w:rFonts w:hint="eastAsia" w:ascii="宋体" w:hAnsi="宋体" w:cs="宋体"/>
          <w:bCs w:val="0"/>
          <w:sz w:val="28"/>
          <w:szCs w:val="28"/>
          <w:lang w:val="en-US" w:eastAsia="zh-CN"/>
        </w:rPr>
      </w:pPr>
    </w:p>
    <w:p>
      <w:pPr>
        <w:spacing w:line="360" w:lineRule="auto"/>
        <w:jc w:val="center"/>
        <w:rPr>
          <w:rStyle w:val="129"/>
          <w:rFonts w:hint="eastAsia" w:ascii="宋体" w:hAnsi="宋体" w:cs="宋体"/>
          <w:bCs w:val="0"/>
          <w:sz w:val="28"/>
          <w:szCs w:val="28"/>
          <w:lang w:val="en-US" w:eastAsia="zh-CN"/>
        </w:rPr>
      </w:pPr>
    </w:p>
    <w:p>
      <w:pPr>
        <w:spacing w:line="360" w:lineRule="auto"/>
        <w:jc w:val="center"/>
        <w:rPr>
          <w:rStyle w:val="129"/>
          <w:rFonts w:hint="eastAsia" w:ascii="宋体" w:hAnsi="宋体" w:cs="宋体"/>
          <w:bCs w:val="0"/>
          <w:sz w:val="28"/>
          <w:szCs w:val="28"/>
          <w:lang w:val="en-US" w:eastAsia="zh-CN"/>
        </w:rPr>
      </w:pPr>
    </w:p>
    <w:p>
      <w:pPr>
        <w:spacing w:line="360" w:lineRule="auto"/>
        <w:jc w:val="center"/>
        <w:rPr>
          <w:rFonts w:ascii="宋体" w:hAnsi="宋体" w:cs="宋体"/>
          <w:sz w:val="28"/>
          <w:szCs w:val="28"/>
        </w:rPr>
      </w:pPr>
      <w:r>
        <w:rPr>
          <w:rStyle w:val="129"/>
          <w:rFonts w:hint="eastAsia" w:ascii="宋体" w:hAnsi="宋体" w:cs="宋体"/>
          <w:bCs w:val="0"/>
          <w:sz w:val="28"/>
          <w:szCs w:val="28"/>
          <w:lang w:val="en-US" w:eastAsia="zh-CN"/>
        </w:rPr>
        <w:t>九、</w:t>
      </w:r>
      <w:r>
        <w:rPr>
          <w:rStyle w:val="129"/>
          <w:rFonts w:hint="eastAsia" w:ascii="宋体" w:hAnsi="宋体" w:cs="宋体"/>
          <w:bCs w:val="0"/>
          <w:sz w:val="28"/>
          <w:szCs w:val="28"/>
        </w:rPr>
        <w:t>投标单位（供应商）反商业贿赂承诺书</w:t>
      </w:r>
      <w:bookmarkEnd w:id="53"/>
    </w:p>
    <w:p>
      <w:pPr>
        <w:pStyle w:val="30"/>
        <w:spacing w:before="120"/>
        <w:rPr>
          <w:rFonts w:ascii="宋体" w:hAnsi="宋体" w:cs="宋体"/>
          <w:sz w:val="24"/>
          <w:szCs w:val="24"/>
        </w:rPr>
      </w:pPr>
      <w:r>
        <w:rPr>
          <w:rFonts w:hint="eastAsia" w:ascii="宋体" w:hAnsi="宋体" w:cs="宋体"/>
          <w:sz w:val="24"/>
          <w:szCs w:val="24"/>
        </w:rPr>
        <w:t xml:space="preserve">   </w:t>
      </w:r>
    </w:p>
    <w:p>
      <w:pPr>
        <w:pStyle w:val="30"/>
        <w:spacing w:before="120"/>
        <w:rPr>
          <w:rFonts w:ascii="宋体" w:hAnsi="宋体" w:cs="宋体"/>
          <w:sz w:val="24"/>
          <w:szCs w:val="24"/>
        </w:rPr>
      </w:pPr>
    </w:p>
    <w:p>
      <w:pPr>
        <w:pStyle w:val="30"/>
        <w:spacing w:before="120" w:line="360" w:lineRule="auto"/>
        <w:ind w:left="120" w:leftChars="57" w:firstLine="280" w:firstLineChars="117"/>
        <w:rPr>
          <w:rFonts w:ascii="宋体" w:hAnsi="宋体" w:cs="宋体"/>
          <w:sz w:val="24"/>
          <w:szCs w:val="24"/>
        </w:rPr>
      </w:pPr>
      <w:r>
        <w:rPr>
          <w:rFonts w:hint="eastAsia" w:ascii="宋体" w:hAnsi="宋体" w:cs="宋体"/>
          <w:sz w:val="24"/>
          <w:szCs w:val="24"/>
        </w:rPr>
        <w:t>我单位承诺在</w:t>
      </w:r>
      <w:r>
        <w:rPr>
          <w:rFonts w:hint="eastAsia" w:ascii="宋体" w:hAnsi="宋体" w:cs="宋体"/>
          <w:sz w:val="24"/>
          <w:szCs w:val="24"/>
          <w:u w:val="single"/>
        </w:rPr>
        <w:t xml:space="preserve">                                                （项目名称）</w:t>
      </w:r>
      <w:r>
        <w:rPr>
          <w:rFonts w:hint="eastAsia" w:ascii="宋体" w:hAnsi="宋体" w:cs="宋体"/>
          <w:sz w:val="24"/>
          <w:szCs w:val="24"/>
        </w:rPr>
        <w:t>公开招标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30"/>
        <w:spacing w:before="120" w:line="360" w:lineRule="auto"/>
        <w:ind w:firstLine="405"/>
        <w:rPr>
          <w:rFonts w:ascii="宋体" w:hAnsi="宋体" w:cs="宋体"/>
          <w:sz w:val="24"/>
          <w:szCs w:val="24"/>
        </w:rPr>
      </w:pPr>
      <w:r>
        <w:rPr>
          <w:rFonts w:hint="eastAsia" w:ascii="宋体" w:hAnsi="宋体" w:cs="宋体"/>
          <w:sz w:val="24"/>
          <w:szCs w:val="24"/>
        </w:rPr>
        <w:t xml:space="preserve"> </w:t>
      </w:r>
    </w:p>
    <w:p>
      <w:pPr>
        <w:pStyle w:val="30"/>
        <w:spacing w:before="120" w:line="360" w:lineRule="auto"/>
        <w:ind w:firstLine="405"/>
        <w:rPr>
          <w:rFonts w:ascii="宋体" w:hAnsi="宋体" w:cs="宋体"/>
          <w:sz w:val="24"/>
          <w:szCs w:val="24"/>
        </w:rPr>
      </w:pPr>
      <w:r>
        <w:rPr>
          <w:rFonts w:hint="eastAsia" w:ascii="宋体" w:hAnsi="宋体" w:cs="宋体"/>
          <w:sz w:val="24"/>
          <w:szCs w:val="24"/>
          <w:lang w:val="en-US" w:eastAsia="zh-CN"/>
        </w:rPr>
        <w:t>供应商</w:t>
      </w:r>
      <w:r>
        <w:rPr>
          <w:rFonts w:hint="eastAsia" w:ascii="宋体" w:hAnsi="宋体" w:cs="宋体"/>
          <w:sz w:val="24"/>
          <w:szCs w:val="24"/>
        </w:rPr>
        <w:t>：</w:t>
      </w:r>
      <w:r>
        <w:rPr>
          <w:rFonts w:hint="eastAsia" w:ascii="宋体" w:hAnsi="宋体" w:cs="宋体"/>
          <w:sz w:val="24"/>
          <w:szCs w:val="24"/>
          <w:u w:val="single"/>
          <w:lang w:val="en-US" w:eastAsia="zh-CN"/>
        </w:rPr>
        <w:t xml:space="preserve">      </w:t>
      </w:r>
      <w:r>
        <w:rPr>
          <w:rFonts w:hint="eastAsia" w:ascii="宋体" w:hAnsi="宋体" w:cs="宋体"/>
          <w:sz w:val="24"/>
          <w:szCs w:val="24"/>
        </w:rPr>
        <w:t>（盖章）</w:t>
      </w:r>
    </w:p>
    <w:p>
      <w:pPr>
        <w:pStyle w:val="30"/>
        <w:spacing w:before="120" w:line="360" w:lineRule="auto"/>
        <w:ind w:firstLine="405"/>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lang w:val="en-US" w:eastAsia="zh-CN"/>
        </w:rPr>
        <w:t xml:space="preserve">   </w:t>
      </w:r>
      <w:r>
        <w:rPr>
          <w:rFonts w:hint="eastAsia" w:ascii="宋体" w:hAnsi="宋体" w:cs="宋体"/>
          <w:sz w:val="24"/>
          <w:szCs w:val="24"/>
        </w:rPr>
        <w:t>（签字</w:t>
      </w:r>
      <w:r>
        <w:rPr>
          <w:rFonts w:hint="eastAsia" w:ascii="宋体" w:hAnsi="宋体" w:cs="宋体"/>
          <w:sz w:val="24"/>
          <w:szCs w:val="24"/>
          <w:lang w:val="en-US" w:eastAsia="zh-CN"/>
        </w:rPr>
        <w:t>或</w:t>
      </w:r>
      <w:r>
        <w:rPr>
          <w:rFonts w:hint="eastAsia" w:ascii="宋体" w:hAnsi="宋体" w:cs="宋体"/>
          <w:sz w:val="24"/>
          <w:szCs w:val="24"/>
        </w:rPr>
        <w:t>盖章）</w:t>
      </w:r>
    </w:p>
    <w:p>
      <w:pPr>
        <w:pStyle w:val="30"/>
        <w:spacing w:before="120" w:line="360" w:lineRule="auto"/>
        <w:ind w:firstLine="405"/>
        <w:rPr>
          <w:rFonts w:ascii="宋体" w:hAnsi="宋体" w:cs="宋体"/>
          <w:sz w:val="24"/>
          <w:szCs w:val="24"/>
        </w:rPr>
      </w:pPr>
      <w:r>
        <w:rPr>
          <w:rFonts w:hint="eastAsia" w:ascii="宋体" w:hAnsi="宋体" w:cs="宋体"/>
          <w:sz w:val="24"/>
          <w:szCs w:val="24"/>
        </w:rPr>
        <w:t>项目经办人：</w:t>
      </w:r>
    </w:p>
    <w:p>
      <w:pPr>
        <w:pStyle w:val="30"/>
        <w:spacing w:before="120" w:line="360" w:lineRule="auto"/>
        <w:ind w:firstLine="405"/>
        <w:rPr>
          <w:rFonts w:ascii="宋体" w:hAnsi="宋体" w:cs="宋体"/>
          <w:sz w:val="24"/>
          <w:szCs w:val="24"/>
        </w:rPr>
      </w:pPr>
    </w:p>
    <w:p>
      <w:pPr>
        <w:pStyle w:val="122"/>
        <w:numPr>
          <w:ilvl w:val="0"/>
          <w:numId w:val="0"/>
        </w:numPr>
        <w:kinsoku w:val="0"/>
        <w:overflowPunct w:val="0"/>
        <w:spacing w:line="940" w:lineRule="exact"/>
        <w:ind w:leftChars="0"/>
        <w:jc w:val="both"/>
        <w:outlineLvl w:val="9"/>
        <w:rPr>
          <w:rFonts w:hint="eastAsia" w:ascii="宋体" w:hAnsi="宋体" w:cs="宋体"/>
          <w:sz w:val="24"/>
          <w:szCs w:val="24"/>
        </w:rPr>
      </w:pPr>
      <w:r>
        <w:rPr>
          <w:rFonts w:hint="eastAsia" w:ascii="宋体" w:hAnsi="宋体" w:cs="宋体"/>
          <w:sz w:val="24"/>
          <w:szCs w:val="24"/>
        </w:rPr>
        <w:t xml:space="preserve">                        </w:t>
      </w:r>
      <w:r>
        <w:rPr>
          <w:rFonts w:hint="eastAsia" w:ascii="宋体" w:hAnsi="宋体" w:eastAsia="宋体" w:cs="宋体"/>
          <w:b w:val="0"/>
          <w:bCs w:val="0"/>
          <w:kern w:val="2"/>
          <w:sz w:val="24"/>
          <w:szCs w:val="24"/>
          <w:lang w:val="en-US" w:eastAsia="zh-CN" w:bidi="ar-SA"/>
        </w:rPr>
        <w:t xml:space="preserve">      日  期：   年   月   日</w:t>
      </w:r>
    </w:p>
    <w:p>
      <w:pPr>
        <w:pStyle w:val="122"/>
        <w:numPr>
          <w:ilvl w:val="0"/>
          <w:numId w:val="0"/>
        </w:numPr>
        <w:kinsoku w:val="0"/>
        <w:overflowPunct w:val="0"/>
        <w:spacing w:line="940" w:lineRule="exact"/>
        <w:ind w:leftChars="0"/>
        <w:jc w:val="center"/>
        <w:outlineLvl w:val="9"/>
        <w:rPr>
          <w:rFonts w:hint="eastAsia" w:asciiTheme="majorEastAsia" w:hAnsiTheme="majorEastAsia" w:eastAsiaTheme="majorEastAsia"/>
          <w:lang w:val="en-US" w:eastAsia="zh-CN"/>
        </w:rPr>
      </w:pPr>
    </w:p>
    <w:p>
      <w:pPr>
        <w:pStyle w:val="122"/>
        <w:numPr>
          <w:ilvl w:val="0"/>
          <w:numId w:val="0"/>
        </w:numPr>
        <w:kinsoku w:val="0"/>
        <w:overflowPunct w:val="0"/>
        <w:spacing w:line="940" w:lineRule="exact"/>
        <w:ind w:leftChars="0"/>
        <w:jc w:val="center"/>
        <w:outlineLvl w:val="9"/>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十、其他</w:t>
      </w:r>
    </w:p>
    <w:p>
      <w:pPr>
        <w:pStyle w:val="122"/>
        <w:kinsoku w:val="0"/>
        <w:overflowPunct w:val="0"/>
        <w:spacing w:line="940" w:lineRule="exact"/>
        <w:jc w:val="right"/>
        <w:outlineLvl w:val="9"/>
        <w:rPr>
          <w:rFonts w:hint="eastAsia" w:asciiTheme="majorEastAsia" w:hAnsiTheme="majorEastAsia" w:eastAsiaTheme="majorEastAsia"/>
          <w:lang w:val="en-US" w:eastAsia="zh-CN"/>
        </w:rPr>
      </w:pPr>
    </w:p>
    <w:p>
      <w:pPr>
        <w:pStyle w:val="122"/>
        <w:kinsoku w:val="0"/>
        <w:overflowPunct w:val="0"/>
        <w:spacing w:line="940" w:lineRule="exact"/>
        <w:jc w:val="right"/>
        <w:outlineLvl w:val="9"/>
        <w:rPr>
          <w:rFonts w:hint="eastAsia" w:asciiTheme="majorEastAsia" w:hAnsiTheme="majorEastAsia" w:eastAsiaTheme="majorEastAsia"/>
          <w:lang w:val="en-US" w:eastAsia="zh-CN"/>
        </w:rPr>
      </w:pPr>
    </w:p>
    <w:p>
      <w:pPr>
        <w:pStyle w:val="122"/>
        <w:kinsoku w:val="0"/>
        <w:overflowPunct w:val="0"/>
        <w:spacing w:line="940" w:lineRule="exact"/>
        <w:jc w:val="right"/>
        <w:outlineLvl w:val="9"/>
        <w:rPr>
          <w:rFonts w:hint="eastAsia" w:asciiTheme="majorEastAsia" w:hAnsiTheme="majorEastAsia" w:eastAsiaTheme="majorEastAsia"/>
          <w:lang w:val="en-US" w:eastAsia="zh-CN"/>
        </w:rPr>
      </w:pPr>
    </w:p>
    <w:p>
      <w:pPr>
        <w:pStyle w:val="122"/>
        <w:kinsoku w:val="0"/>
        <w:overflowPunct w:val="0"/>
        <w:spacing w:line="940" w:lineRule="exact"/>
        <w:jc w:val="right"/>
        <w:outlineLvl w:val="9"/>
        <w:rPr>
          <w:rFonts w:hint="eastAsia" w:asciiTheme="majorEastAsia" w:hAnsiTheme="majorEastAsia" w:eastAsiaTheme="majorEastAsia"/>
          <w:lang w:val="en-US" w:eastAsia="zh-CN"/>
        </w:rPr>
      </w:pPr>
    </w:p>
    <w:p>
      <w:pPr>
        <w:pStyle w:val="122"/>
        <w:kinsoku w:val="0"/>
        <w:overflowPunct w:val="0"/>
        <w:spacing w:line="940" w:lineRule="exact"/>
        <w:ind w:left="0" w:leftChars="0" w:firstLine="0" w:firstLineChars="0"/>
        <w:jc w:val="right"/>
        <w:outlineLvl w:val="9"/>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正本</w:t>
      </w:r>
    </w:p>
    <w:p>
      <w:pPr>
        <w:pStyle w:val="122"/>
        <w:kinsoku w:val="0"/>
        <w:overflowPunct w:val="0"/>
        <w:spacing w:line="940" w:lineRule="exact"/>
        <w:jc w:val="center"/>
        <w:outlineLvl w:val="9"/>
        <w:rPr>
          <w:rFonts w:hint="default" w:cs="仿宋" w:asciiTheme="majorEastAsia" w:hAnsiTheme="majorEastAsia" w:eastAsiaTheme="majorEastAsia"/>
          <w:b/>
          <w:bCs/>
          <w:spacing w:val="2"/>
          <w:kern w:val="2"/>
          <w:sz w:val="36"/>
          <w:szCs w:val="36"/>
          <w:lang w:val="en-US" w:eastAsia="zh-CN" w:bidi="ar-SA"/>
        </w:rPr>
      </w:pPr>
      <w:r>
        <w:rPr>
          <w:rFonts w:hint="default" w:cs="仿宋" w:asciiTheme="majorEastAsia" w:hAnsiTheme="majorEastAsia" w:eastAsiaTheme="majorEastAsia"/>
          <w:b/>
          <w:bCs/>
          <w:spacing w:val="2"/>
          <w:kern w:val="2"/>
          <w:sz w:val="36"/>
          <w:szCs w:val="36"/>
          <w:lang w:val="en-US" w:eastAsia="zh-CN" w:bidi="ar-SA"/>
        </w:rPr>
        <w:t>墨玉县福利蛋鸡养殖设备采购项目（一期）包二</w:t>
      </w:r>
    </w:p>
    <w:p>
      <w:pPr>
        <w:pStyle w:val="14"/>
        <w:kinsoku w:val="0"/>
        <w:overflowPunct w:val="0"/>
        <w:jc w:val="center"/>
        <w:outlineLvl w:val="0"/>
        <w:rPr>
          <w:rFonts w:hint="eastAsia" w:cs="仿宋" w:asciiTheme="majorEastAsia" w:hAnsiTheme="majorEastAsia" w:eastAsiaTheme="majorEastAsia"/>
          <w:b/>
          <w:bCs/>
          <w:spacing w:val="2"/>
          <w:sz w:val="44"/>
          <w:szCs w:val="44"/>
        </w:rPr>
      </w:pPr>
    </w:p>
    <w:p>
      <w:pPr>
        <w:pStyle w:val="14"/>
        <w:kinsoku w:val="0"/>
        <w:overflowPunct w:val="0"/>
        <w:jc w:val="center"/>
        <w:outlineLvl w:val="0"/>
        <w:rPr>
          <w:rFonts w:hint="eastAsia" w:cs="仿宋" w:asciiTheme="majorEastAsia" w:hAnsiTheme="majorEastAsia" w:eastAsiaTheme="majorEastAsia"/>
          <w:b/>
          <w:bCs/>
          <w:spacing w:val="2"/>
          <w:sz w:val="44"/>
          <w:szCs w:val="44"/>
        </w:rPr>
      </w:pPr>
    </w:p>
    <w:p>
      <w:pPr>
        <w:pStyle w:val="14"/>
        <w:kinsoku w:val="0"/>
        <w:overflowPunct w:val="0"/>
        <w:jc w:val="center"/>
        <w:outlineLvl w:val="0"/>
        <w:rPr>
          <w:rFonts w:hint="eastAsia" w:cs="仿宋" w:asciiTheme="majorEastAsia" w:hAnsiTheme="majorEastAsia" w:eastAsiaTheme="majorEastAsia"/>
          <w:b/>
          <w:bCs/>
          <w:spacing w:val="2"/>
          <w:sz w:val="44"/>
          <w:szCs w:val="44"/>
        </w:rPr>
      </w:pPr>
      <w:r>
        <w:rPr>
          <w:rFonts w:hint="eastAsia" w:cs="仿宋" w:asciiTheme="majorEastAsia" w:hAnsiTheme="majorEastAsia" w:eastAsiaTheme="majorEastAsia"/>
          <w:b/>
          <w:bCs/>
          <w:spacing w:val="2"/>
          <w:sz w:val="44"/>
          <w:szCs w:val="44"/>
        </w:rPr>
        <w:t>投标文件</w:t>
      </w:r>
    </w:p>
    <w:p>
      <w:pPr>
        <w:pStyle w:val="15"/>
        <w:rPr>
          <w:rFonts w:hint="eastAsia"/>
        </w:rPr>
      </w:pPr>
    </w:p>
    <w:p>
      <w:pPr>
        <w:pStyle w:val="14"/>
        <w:kinsoku w:val="0"/>
        <w:overflowPunct w:val="0"/>
        <w:jc w:val="center"/>
        <w:outlineLvl w:val="0"/>
        <w:rPr>
          <w:rFonts w:asciiTheme="majorEastAsia" w:hAnsiTheme="majorEastAsia" w:eastAsiaTheme="majorEastAsia"/>
          <w:b/>
          <w:bCs/>
          <w:sz w:val="86"/>
          <w:szCs w:val="86"/>
        </w:rPr>
      </w:pPr>
      <w:r>
        <w:rPr>
          <w:rFonts w:hint="eastAsia" w:cs="仿宋" w:asciiTheme="majorEastAsia" w:hAnsiTheme="majorEastAsia" w:eastAsiaTheme="majorEastAsia"/>
          <w:b/>
          <w:bCs/>
          <w:spacing w:val="2"/>
          <w:sz w:val="44"/>
          <w:szCs w:val="44"/>
          <w:lang w:val="en-US" w:eastAsia="zh-CN"/>
        </w:rPr>
        <w:t>技术部分</w:t>
      </w:r>
    </w:p>
    <w:p>
      <w:pPr>
        <w:spacing w:line="360" w:lineRule="auto"/>
        <w:ind w:left="1050" w:leftChars="500" w:firstLine="1800" w:firstLineChars="600"/>
        <w:outlineLvl w:val="0"/>
        <w:rPr>
          <w:rFonts w:asciiTheme="majorEastAsia" w:hAnsiTheme="majorEastAsia" w:eastAsiaTheme="majorEastAsia"/>
          <w:b/>
          <w:bCs/>
          <w:sz w:val="28"/>
          <w:szCs w:val="28"/>
        </w:rPr>
      </w:pPr>
      <w:r>
        <w:rPr>
          <w:rFonts w:hint="eastAsia" w:cs="仿宋" w:asciiTheme="majorEastAsia" w:hAnsiTheme="majorEastAsia" w:eastAsiaTheme="majorEastAsia"/>
          <w:sz w:val="30"/>
          <w:szCs w:val="30"/>
        </w:rPr>
        <w:t>招标编号：</w:t>
      </w:r>
      <w:r>
        <w:rPr>
          <w:rFonts w:hint="eastAsia" w:cs="仿宋" w:asciiTheme="majorEastAsia" w:hAnsiTheme="majorEastAsia" w:eastAsiaTheme="majorEastAsia"/>
          <w:sz w:val="30"/>
          <w:szCs w:val="30"/>
          <w:u w:val="single"/>
        </w:rPr>
        <w:t xml:space="preserve">           </w:t>
      </w:r>
      <w:r>
        <w:rPr>
          <w:rFonts w:hint="eastAsia" w:cs="仿宋" w:asciiTheme="majorEastAsia" w:hAnsiTheme="majorEastAsia" w:eastAsiaTheme="majorEastAsia"/>
          <w:sz w:val="30"/>
          <w:szCs w:val="30"/>
        </w:rPr>
        <w:t xml:space="preserve"> </w:t>
      </w:r>
    </w:p>
    <w:p>
      <w:pPr>
        <w:pStyle w:val="14"/>
        <w:kinsoku w:val="0"/>
        <w:overflowPunct w:val="0"/>
        <w:rPr>
          <w:rFonts w:asciiTheme="majorEastAsia" w:hAnsiTheme="majorEastAsia" w:eastAsiaTheme="majorEastAsia"/>
          <w:b/>
          <w:bCs/>
          <w:sz w:val="28"/>
          <w:szCs w:val="28"/>
        </w:rPr>
      </w:pPr>
    </w:p>
    <w:p>
      <w:pPr>
        <w:pStyle w:val="14"/>
        <w:tabs>
          <w:tab w:val="left" w:pos="6041"/>
        </w:tabs>
        <w:kinsoku w:val="0"/>
        <w:overflowPunct w:val="0"/>
        <w:spacing w:line="366" w:lineRule="auto"/>
        <w:ind w:left="1306" w:right="1998" w:firstLine="14"/>
        <w:jc w:val="both"/>
        <w:rPr>
          <w:rFonts w:hint="eastAsia" w:ascii="宋体" w:hAnsi="宋体" w:eastAsia="宋体" w:cs="宋体"/>
          <w:spacing w:val="16"/>
          <w:w w:val="95"/>
          <w:sz w:val="30"/>
          <w:szCs w:val="30"/>
        </w:rPr>
      </w:pPr>
    </w:p>
    <w:p>
      <w:pPr>
        <w:pStyle w:val="15"/>
        <w:rPr>
          <w:rFonts w:hint="eastAsia" w:ascii="宋体" w:hAnsi="宋体" w:eastAsia="宋体" w:cs="宋体"/>
          <w:spacing w:val="16"/>
          <w:w w:val="95"/>
          <w:sz w:val="30"/>
          <w:szCs w:val="30"/>
        </w:rPr>
      </w:pPr>
    </w:p>
    <w:p>
      <w:pPr>
        <w:pStyle w:val="15"/>
        <w:rPr>
          <w:rFonts w:hint="eastAsia" w:ascii="宋体" w:hAnsi="宋体" w:eastAsia="宋体" w:cs="宋体"/>
          <w:spacing w:val="16"/>
          <w:w w:val="95"/>
          <w:sz w:val="30"/>
          <w:szCs w:val="30"/>
        </w:rPr>
      </w:pPr>
    </w:p>
    <w:p>
      <w:pPr>
        <w:pStyle w:val="15"/>
        <w:rPr>
          <w:rFonts w:hint="eastAsia" w:ascii="宋体" w:hAnsi="宋体" w:eastAsia="宋体" w:cs="宋体"/>
          <w:spacing w:val="16"/>
          <w:w w:val="95"/>
          <w:sz w:val="30"/>
          <w:szCs w:val="30"/>
        </w:rPr>
      </w:pPr>
    </w:p>
    <w:p>
      <w:pPr>
        <w:pStyle w:val="14"/>
        <w:keepNext w:val="0"/>
        <w:keepLines w:val="0"/>
        <w:pageBreakBefore w:val="0"/>
        <w:widowControl w:val="0"/>
        <w:tabs>
          <w:tab w:val="left" w:pos="6041"/>
        </w:tabs>
        <w:kinsoku w:val="0"/>
        <w:wordWrap/>
        <w:overflowPunct w:val="0"/>
        <w:topLinePunct w:val="0"/>
        <w:autoSpaceDE/>
        <w:autoSpaceDN/>
        <w:bidi w:val="0"/>
        <w:adjustRightInd/>
        <w:snapToGrid/>
        <w:spacing w:line="365" w:lineRule="auto"/>
        <w:ind w:right="0"/>
        <w:jc w:val="center"/>
        <w:textAlignment w:val="auto"/>
        <w:rPr>
          <w:rFonts w:hint="eastAsia" w:ascii="宋体" w:hAnsi="宋体" w:eastAsia="宋体" w:cs="宋体"/>
          <w:spacing w:val="23"/>
          <w:sz w:val="30"/>
          <w:szCs w:val="30"/>
        </w:rPr>
      </w:pPr>
      <w:r>
        <w:rPr>
          <w:rFonts w:hint="eastAsia" w:ascii="宋体" w:hAnsi="宋体" w:eastAsia="宋体" w:cs="宋体"/>
          <w:spacing w:val="16"/>
          <w:w w:val="95"/>
          <w:sz w:val="30"/>
          <w:szCs w:val="30"/>
        </w:rPr>
        <w:t>供应商：</w:t>
      </w:r>
      <w:r>
        <w:rPr>
          <w:rFonts w:hint="eastAsia" w:ascii="宋体" w:hAnsi="宋体" w:eastAsia="宋体" w:cs="宋体"/>
          <w:spacing w:val="16"/>
          <w:w w:val="95"/>
          <w:sz w:val="30"/>
          <w:szCs w:val="30"/>
          <w:u w:val="single"/>
        </w:rPr>
        <w:tab/>
      </w:r>
      <w:r>
        <w:rPr>
          <w:rFonts w:hint="eastAsia" w:ascii="宋体" w:hAnsi="宋体" w:eastAsia="宋体" w:cs="宋体"/>
          <w:sz w:val="30"/>
          <w:szCs w:val="30"/>
          <w:u w:val="single"/>
        </w:rPr>
        <w:t>（公章）</w:t>
      </w:r>
    </w:p>
    <w:p>
      <w:pPr>
        <w:pStyle w:val="14"/>
        <w:keepNext w:val="0"/>
        <w:keepLines w:val="0"/>
        <w:pageBreakBefore w:val="0"/>
        <w:widowControl w:val="0"/>
        <w:tabs>
          <w:tab w:val="left" w:pos="6041"/>
        </w:tabs>
        <w:kinsoku w:val="0"/>
        <w:wordWrap/>
        <w:overflowPunct w:val="0"/>
        <w:topLinePunct w:val="0"/>
        <w:autoSpaceDE/>
        <w:autoSpaceDN/>
        <w:bidi w:val="0"/>
        <w:adjustRightInd/>
        <w:snapToGrid/>
        <w:spacing w:line="365" w:lineRule="auto"/>
        <w:ind w:right="0"/>
        <w:jc w:val="center"/>
        <w:textAlignment w:val="auto"/>
        <w:rPr>
          <w:rFonts w:hint="eastAsia" w:ascii="宋体" w:hAnsi="宋体" w:eastAsia="宋体" w:cs="宋体"/>
          <w:spacing w:val="16"/>
          <w:w w:val="95"/>
          <w:sz w:val="30"/>
          <w:szCs w:val="30"/>
          <w:lang w:val="en-US" w:eastAsia="zh-CN"/>
        </w:rPr>
      </w:pPr>
      <w:r>
        <w:rPr>
          <w:rFonts w:hint="eastAsia" w:ascii="宋体" w:hAnsi="宋体" w:eastAsia="宋体" w:cs="宋体"/>
          <w:spacing w:val="16"/>
          <w:w w:val="95"/>
          <w:sz w:val="30"/>
          <w:szCs w:val="30"/>
        </w:rPr>
        <w:t>法定代表人（或授权委托人）：</w:t>
      </w:r>
      <w:r>
        <w:rPr>
          <w:rFonts w:hint="eastAsia" w:ascii="宋体" w:hAnsi="宋体" w:eastAsia="宋体" w:cs="宋体"/>
          <w:spacing w:val="16"/>
          <w:w w:val="95"/>
          <w:sz w:val="30"/>
          <w:szCs w:val="30"/>
          <w:u w:val="single"/>
          <w:lang w:val="en-US" w:eastAsia="zh-CN"/>
        </w:rPr>
        <w:t xml:space="preserve">         </w:t>
      </w:r>
      <w:r>
        <w:rPr>
          <w:rFonts w:hint="eastAsia" w:ascii="宋体" w:hAnsi="宋体" w:eastAsia="宋体" w:cs="宋体"/>
          <w:spacing w:val="16"/>
          <w:w w:val="95"/>
          <w:sz w:val="30"/>
          <w:szCs w:val="30"/>
        </w:rPr>
        <w:t>（</w:t>
      </w:r>
      <w:r>
        <w:rPr>
          <w:rFonts w:hint="eastAsia" w:ascii="宋体" w:hAnsi="宋体" w:eastAsia="宋体" w:cs="宋体"/>
          <w:spacing w:val="16"/>
          <w:w w:val="95"/>
          <w:sz w:val="30"/>
          <w:szCs w:val="30"/>
          <w:lang w:val="en-US" w:eastAsia="zh-CN"/>
        </w:rPr>
        <w:t>签字</w:t>
      </w:r>
      <w:r>
        <w:rPr>
          <w:rFonts w:hint="eastAsia" w:ascii="宋体" w:hAnsi="宋体" w:eastAsia="宋体" w:cs="宋体"/>
          <w:spacing w:val="16"/>
          <w:w w:val="95"/>
          <w:sz w:val="30"/>
          <w:szCs w:val="30"/>
        </w:rPr>
        <w:t>或</w:t>
      </w:r>
      <w:r>
        <w:rPr>
          <w:rFonts w:hint="eastAsia" w:ascii="宋体" w:hAnsi="宋体" w:eastAsia="宋体" w:cs="宋体"/>
          <w:spacing w:val="16"/>
          <w:w w:val="95"/>
          <w:sz w:val="30"/>
          <w:szCs w:val="30"/>
          <w:lang w:val="en-US" w:eastAsia="zh-CN"/>
        </w:rPr>
        <w:t>盖章</w:t>
      </w:r>
      <w:r>
        <w:rPr>
          <w:rFonts w:hint="eastAsia" w:ascii="宋体" w:hAnsi="宋体" w:eastAsia="宋体" w:cs="宋体"/>
          <w:spacing w:val="16"/>
          <w:w w:val="95"/>
          <w:sz w:val="30"/>
          <w:szCs w:val="30"/>
        </w:rPr>
        <w:t>）</w:t>
      </w:r>
    </w:p>
    <w:p>
      <w:pPr>
        <w:pStyle w:val="14"/>
        <w:tabs>
          <w:tab w:val="left" w:pos="1314"/>
          <w:tab w:val="left" w:pos="1914"/>
          <w:tab w:val="left" w:pos="2514"/>
        </w:tabs>
        <w:kinsoku w:val="0"/>
        <w:overflowPunct w:val="0"/>
        <w:spacing w:before="7"/>
        <w:ind w:left="114"/>
        <w:jc w:val="center"/>
        <w:outlineLvl w:val="0"/>
        <w:rPr>
          <w:rFonts w:hint="eastAsia" w:ascii="宋体" w:hAnsi="宋体" w:eastAsia="宋体" w:cs="宋体"/>
          <w:sz w:val="30"/>
          <w:szCs w:val="30"/>
        </w:rPr>
      </w:pPr>
    </w:p>
    <w:p>
      <w:pPr>
        <w:pStyle w:val="14"/>
        <w:tabs>
          <w:tab w:val="left" w:pos="1314"/>
          <w:tab w:val="left" w:pos="1914"/>
          <w:tab w:val="left" w:pos="2514"/>
        </w:tabs>
        <w:kinsoku w:val="0"/>
        <w:overflowPunct w:val="0"/>
        <w:spacing w:before="7"/>
        <w:ind w:left="114"/>
        <w:jc w:val="center"/>
        <w:outlineLvl w:val="0"/>
        <w:rPr>
          <w:rFonts w:hint="eastAsia" w:ascii="宋体" w:hAnsi="宋体" w:eastAsia="宋体" w:cs="宋体"/>
          <w:sz w:val="30"/>
          <w:szCs w:val="30"/>
        </w:rPr>
      </w:pPr>
    </w:p>
    <w:p>
      <w:pPr>
        <w:pStyle w:val="14"/>
        <w:tabs>
          <w:tab w:val="left" w:pos="1314"/>
          <w:tab w:val="left" w:pos="1914"/>
          <w:tab w:val="left" w:pos="2514"/>
        </w:tabs>
        <w:kinsoku w:val="0"/>
        <w:overflowPunct w:val="0"/>
        <w:spacing w:before="7"/>
        <w:ind w:left="114"/>
        <w:jc w:val="center"/>
        <w:outlineLvl w:val="0"/>
      </w:pPr>
      <w:r>
        <w:rPr>
          <w:rFonts w:hint="eastAsia" w:ascii="宋体" w:hAnsi="宋体" w:eastAsia="宋体" w:cs="宋体"/>
          <w:sz w:val="30"/>
          <w:szCs w:val="30"/>
        </w:rPr>
        <w:t>日</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期：</w:t>
      </w:r>
      <w:r>
        <w:rPr>
          <w:rFonts w:hint="eastAsia" w:ascii="宋体" w:hAnsi="宋体" w:eastAsia="宋体" w:cs="宋体"/>
          <w:sz w:val="30"/>
          <w:szCs w:val="30"/>
        </w:rPr>
        <w:tab/>
      </w:r>
      <w:r>
        <w:rPr>
          <w:rFonts w:hint="eastAsia" w:ascii="宋体" w:hAnsi="宋体" w:eastAsia="宋体" w:cs="宋体"/>
          <w:sz w:val="30"/>
          <w:szCs w:val="30"/>
        </w:rPr>
        <w:t>年</w:t>
      </w:r>
      <w:r>
        <w:rPr>
          <w:rFonts w:hint="eastAsia" w:ascii="宋体" w:hAnsi="宋体" w:eastAsia="宋体" w:cs="宋体"/>
          <w:sz w:val="30"/>
          <w:szCs w:val="30"/>
        </w:rPr>
        <w:tab/>
      </w:r>
      <w:r>
        <w:rPr>
          <w:rFonts w:hint="eastAsia" w:ascii="宋体" w:hAnsi="宋体" w:eastAsia="宋体" w:cs="宋体"/>
          <w:sz w:val="30"/>
          <w:szCs w:val="30"/>
        </w:rPr>
        <w:t>月</w:t>
      </w:r>
      <w:r>
        <w:rPr>
          <w:rFonts w:hint="eastAsia" w:ascii="宋体" w:hAnsi="宋体" w:eastAsia="宋体" w:cs="宋体"/>
          <w:sz w:val="30"/>
          <w:szCs w:val="30"/>
        </w:rPr>
        <w:tab/>
      </w:r>
      <w:r>
        <w:rPr>
          <w:rFonts w:hint="eastAsia" w:ascii="宋体" w:hAnsi="宋体" w:eastAsia="宋体" w:cs="宋体"/>
          <w:sz w:val="30"/>
          <w:szCs w:val="30"/>
        </w:rPr>
        <w:t>日</w:t>
      </w:r>
    </w:p>
    <w:p>
      <w:pPr>
        <w:pStyle w:val="15"/>
        <w:jc w:val="center"/>
        <w:rPr>
          <w:rFonts w:hint="eastAsia" w:asciiTheme="majorEastAsia" w:hAnsiTheme="majorEastAsia" w:eastAsiaTheme="majorEastAsia"/>
          <w:b/>
          <w:bCs/>
          <w:spacing w:val="1"/>
          <w:szCs w:val="21"/>
          <w:lang w:val="en-US" w:eastAsia="zh-CN"/>
        </w:rPr>
      </w:pPr>
    </w:p>
    <w:p>
      <w:pPr>
        <w:pStyle w:val="15"/>
        <w:jc w:val="center"/>
        <w:rPr>
          <w:rFonts w:hint="eastAsia" w:asciiTheme="majorEastAsia" w:hAnsiTheme="majorEastAsia" w:eastAsiaTheme="majorEastAsia"/>
          <w:b/>
          <w:bCs/>
          <w:spacing w:val="1"/>
          <w:szCs w:val="21"/>
          <w:lang w:val="en-US" w:eastAsia="zh-CN"/>
        </w:rPr>
      </w:pPr>
    </w:p>
    <w:p>
      <w:pPr>
        <w:pStyle w:val="15"/>
        <w:jc w:val="center"/>
        <w:rPr>
          <w:rFonts w:hint="eastAsia" w:asciiTheme="majorEastAsia" w:hAnsiTheme="majorEastAsia" w:eastAsiaTheme="majorEastAsia"/>
          <w:b/>
          <w:bCs/>
          <w:spacing w:val="1"/>
          <w:szCs w:val="21"/>
          <w:lang w:val="en-US" w:eastAsia="zh-CN"/>
        </w:rPr>
      </w:pPr>
    </w:p>
    <w:p>
      <w:pPr>
        <w:pStyle w:val="15"/>
        <w:jc w:val="center"/>
        <w:rPr>
          <w:rFonts w:hint="eastAsia" w:asciiTheme="majorEastAsia" w:hAnsiTheme="majorEastAsia" w:eastAsiaTheme="majorEastAsia"/>
          <w:b/>
          <w:bCs/>
          <w:spacing w:val="1"/>
          <w:sz w:val="40"/>
          <w:szCs w:val="44"/>
          <w:lang w:val="en-US" w:eastAsia="zh-CN"/>
        </w:rPr>
      </w:pPr>
    </w:p>
    <w:p>
      <w:pPr>
        <w:pStyle w:val="15"/>
        <w:jc w:val="center"/>
        <w:rPr>
          <w:rFonts w:hint="eastAsia" w:asciiTheme="majorEastAsia" w:hAnsiTheme="majorEastAsia" w:eastAsiaTheme="majorEastAsia"/>
          <w:b/>
          <w:bCs/>
          <w:spacing w:val="1"/>
          <w:sz w:val="40"/>
          <w:szCs w:val="44"/>
          <w:lang w:val="en-US" w:eastAsia="zh-CN"/>
        </w:rPr>
      </w:pPr>
    </w:p>
    <w:p>
      <w:pPr>
        <w:pStyle w:val="15"/>
        <w:jc w:val="center"/>
        <w:rPr>
          <w:rFonts w:hint="eastAsia" w:asciiTheme="majorEastAsia" w:hAnsiTheme="majorEastAsia" w:eastAsiaTheme="majorEastAsia"/>
          <w:b/>
          <w:bCs/>
          <w:spacing w:val="1"/>
          <w:sz w:val="40"/>
          <w:szCs w:val="44"/>
          <w:lang w:val="en-US" w:eastAsia="zh-CN"/>
        </w:rPr>
      </w:pPr>
    </w:p>
    <w:p>
      <w:pPr>
        <w:pStyle w:val="15"/>
        <w:jc w:val="center"/>
        <w:rPr>
          <w:rFonts w:hint="eastAsia" w:asciiTheme="majorEastAsia" w:hAnsiTheme="majorEastAsia" w:eastAsiaTheme="majorEastAsia"/>
          <w:b/>
          <w:bCs/>
          <w:spacing w:val="1"/>
          <w:sz w:val="40"/>
          <w:szCs w:val="44"/>
          <w:lang w:val="en-US" w:eastAsia="zh-CN"/>
        </w:rPr>
      </w:pPr>
    </w:p>
    <w:p>
      <w:pPr>
        <w:pStyle w:val="15"/>
        <w:jc w:val="center"/>
        <w:rPr>
          <w:rFonts w:hint="eastAsia" w:asciiTheme="majorEastAsia" w:hAnsiTheme="majorEastAsia" w:eastAsiaTheme="majorEastAsia"/>
          <w:b/>
          <w:bCs/>
          <w:spacing w:val="1"/>
          <w:sz w:val="40"/>
          <w:szCs w:val="44"/>
          <w:lang w:val="en-US" w:eastAsia="zh-CN"/>
        </w:rPr>
      </w:pPr>
    </w:p>
    <w:p>
      <w:pPr>
        <w:pStyle w:val="15"/>
        <w:jc w:val="center"/>
        <w:rPr>
          <w:rFonts w:hint="eastAsia" w:asciiTheme="majorEastAsia" w:hAnsiTheme="majorEastAsia" w:eastAsiaTheme="majorEastAsia"/>
          <w:b/>
          <w:bCs/>
          <w:spacing w:val="1"/>
          <w:sz w:val="40"/>
          <w:szCs w:val="44"/>
          <w:lang w:val="en-US" w:eastAsia="zh-CN"/>
        </w:rPr>
      </w:pPr>
    </w:p>
    <w:p>
      <w:pPr>
        <w:pStyle w:val="15"/>
        <w:jc w:val="center"/>
        <w:rPr>
          <w:rFonts w:hint="eastAsia" w:asciiTheme="majorEastAsia" w:hAnsiTheme="majorEastAsia" w:eastAsiaTheme="majorEastAsia"/>
          <w:b/>
          <w:bCs/>
          <w:spacing w:val="1"/>
          <w:sz w:val="40"/>
          <w:szCs w:val="44"/>
          <w:lang w:val="en-US" w:eastAsia="zh-CN"/>
        </w:rPr>
      </w:pPr>
    </w:p>
    <w:p>
      <w:pPr>
        <w:pStyle w:val="15"/>
        <w:jc w:val="center"/>
        <w:rPr>
          <w:rFonts w:hint="eastAsia" w:asciiTheme="majorEastAsia" w:hAnsiTheme="majorEastAsia" w:eastAsiaTheme="majorEastAsia"/>
          <w:b/>
          <w:bCs/>
          <w:spacing w:val="1"/>
          <w:sz w:val="40"/>
          <w:szCs w:val="44"/>
          <w:lang w:val="en-US" w:eastAsia="zh-CN"/>
        </w:rPr>
      </w:pPr>
    </w:p>
    <w:p>
      <w:pPr>
        <w:pStyle w:val="15"/>
        <w:jc w:val="center"/>
        <w:rPr>
          <w:rFonts w:hint="eastAsia" w:asciiTheme="majorEastAsia" w:hAnsiTheme="majorEastAsia" w:eastAsiaTheme="majorEastAsia"/>
          <w:b/>
          <w:bCs/>
          <w:spacing w:val="1"/>
          <w:sz w:val="40"/>
          <w:szCs w:val="44"/>
          <w:lang w:val="en-US" w:eastAsia="zh-CN"/>
        </w:rPr>
      </w:pPr>
      <w:r>
        <w:rPr>
          <w:rFonts w:hint="eastAsia" w:asciiTheme="majorEastAsia" w:hAnsiTheme="majorEastAsia" w:eastAsiaTheme="majorEastAsia"/>
          <w:b/>
          <w:bCs/>
          <w:spacing w:val="1"/>
          <w:sz w:val="40"/>
          <w:szCs w:val="44"/>
          <w:lang w:val="en-US" w:eastAsia="zh-CN"/>
        </w:rPr>
        <w:t>目  录</w:t>
      </w:r>
    </w:p>
    <w:p>
      <w:pPr>
        <w:pStyle w:val="15"/>
        <w:jc w:val="left"/>
        <w:rPr>
          <w:rFonts w:hint="default" w:asciiTheme="majorEastAsia" w:hAnsiTheme="majorEastAsia" w:eastAsiaTheme="majorEastAsia"/>
          <w:b/>
          <w:bCs/>
          <w:spacing w:val="1"/>
          <w:szCs w:val="21"/>
          <w:lang w:val="en-US" w:eastAsia="zh-CN"/>
        </w:rPr>
      </w:pPr>
    </w:p>
    <w:p>
      <w:pPr>
        <w:pStyle w:val="15"/>
        <w:jc w:val="left"/>
        <w:rPr>
          <w:rFonts w:hint="eastAsia" w:ascii="宋体" w:hAnsi="宋体" w:eastAsia="宋体" w:cs="宋体"/>
          <w:color w:val="auto"/>
          <w:kern w:val="0"/>
          <w:sz w:val="32"/>
          <w:szCs w:val="32"/>
          <w:highlight w:val="none"/>
          <w:lang w:val="en-US" w:eastAsia="zh-CN"/>
        </w:rPr>
      </w:pPr>
      <w:r>
        <w:rPr>
          <w:rFonts w:hint="eastAsia" w:ascii="宋体" w:hAnsi="宋体" w:eastAsia="宋体" w:cs="宋体"/>
          <w:color w:val="auto"/>
          <w:kern w:val="0"/>
          <w:sz w:val="32"/>
          <w:szCs w:val="32"/>
          <w:highlight w:val="none"/>
          <w:lang w:val="en-US" w:eastAsia="zh-CN"/>
        </w:rPr>
        <w:t>1.技术偏离表</w:t>
      </w:r>
    </w:p>
    <w:p>
      <w:pPr>
        <w:pStyle w:val="15"/>
        <w:jc w:val="left"/>
        <w:rPr>
          <w:rFonts w:hint="eastAsia" w:ascii="宋体" w:hAnsi="宋体" w:eastAsia="宋体" w:cs="宋体"/>
          <w:color w:val="auto"/>
          <w:kern w:val="0"/>
          <w:sz w:val="32"/>
          <w:szCs w:val="32"/>
          <w:highlight w:val="none"/>
          <w:lang w:val="en-US" w:eastAsia="zh-CN"/>
        </w:rPr>
      </w:pPr>
      <w:r>
        <w:rPr>
          <w:rFonts w:hint="eastAsia" w:ascii="宋体" w:hAnsi="宋体" w:eastAsia="宋体" w:cs="宋体"/>
          <w:color w:val="auto"/>
          <w:kern w:val="0"/>
          <w:sz w:val="32"/>
          <w:szCs w:val="32"/>
          <w:highlight w:val="none"/>
          <w:lang w:val="en-US" w:eastAsia="zh-CN"/>
        </w:rPr>
        <w:t>（</w:t>
      </w:r>
      <w:r>
        <w:rPr>
          <w:rFonts w:hint="eastAsia" w:ascii="宋体" w:hAnsi="宋体" w:eastAsia="宋体" w:cs="宋体"/>
          <w:b/>
          <w:bCs/>
          <w:kern w:val="0"/>
          <w:sz w:val="24"/>
        </w:rPr>
        <w:t>后附资料应包括详细的</w:t>
      </w:r>
      <w:r>
        <w:rPr>
          <w:rFonts w:hint="eastAsia" w:ascii="宋体" w:hAnsi="宋体" w:eastAsia="宋体" w:cs="宋体"/>
          <w:b/>
          <w:bCs/>
          <w:kern w:val="0"/>
          <w:sz w:val="24"/>
          <w:lang w:val="en-US" w:eastAsia="zh-CN"/>
        </w:rPr>
        <w:t>生产设备厂家授权委托书</w:t>
      </w:r>
      <w:r>
        <w:rPr>
          <w:rFonts w:hint="eastAsia" w:ascii="宋体" w:hAnsi="宋体" w:cs="宋体"/>
          <w:b/>
          <w:bCs/>
          <w:kern w:val="0"/>
          <w:sz w:val="24"/>
          <w:lang w:val="en-US" w:eastAsia="zh-CN"/>
        </w:rPr>
        <w:t>，</w:t>
      </w:r>
      <w:r>
        <w:rPr>
          <w:rFonts w:hint="eastAsia" w:ascii="宋体" w:hAnsi="宋体" w:eastAsia="宋体" w:cs="宋体"/>
          <w:b/>
          <w:bCs/>
          <w:kern w:val="0"/>
          <w:sz w:val="24"/>
        </w:rPr>
        <w:t>技术参数描述、</w:t>
      </w:r>
      <w:r>
        <w:rPr>
          <w:rFonts w:hint="eastAsia" w:ascii="宋体" w:hAnsi="宋体" w:cs="宋体"/>
          <w:b/>
          <w:bCs/>
          <w:kern w:val="0"/>
          <w:sz w:val="24"/>
          <w:lang w:val="en-US" w:eastAsia="zh-CN"/>
        </w:rPr>
        <w:t>主要</w:t>
      </w:r>
      <w:r>
        <w:rPr>
          <w:rFonts w:hint="eastAsia" w:ascii="宋体" w:hAnsi="宋体" w:eastAsia="宋体" w:cs="宋体"/>
          <w:b/>
          <w:bCs/>
          <w:kern w:val="0"/>
          <w:sz w:val="24"/>
        </w:rPr>
        <w:t>产品彩页、</w:t>
      </w:r>
      <w:r>
        <w:rPr>
          <w:rFonts w:hint="eastAsia" w:ascii="宋体" w:hAnsi="宋体" w:eastAsia="宋体" w:cs="宋体"/>
          <w:b/>
          <w:bCs/>
          <w:kern w:val="0"/>
          <w:sz w:val="24"/>
          <w:lang w:val="en-US" w:eastAsia="zh-CN"/>
        </w:rPr>
        <w:t>主要</w:t>
      </w:r>
      <w:r>
        <w:rPr>
          <w:rFonts w:hint="eastAsia" w:ascii="宋体" w:hAnsi="宋体" w:eastAsia="宋体" w:cs="宋体"/>
          <w:b/>
          <w:bCs/>
          <w:kern w:val="0"/>
          <w:sz w:val="24"/>
        </w:rPr>
        <w:t>设备性能情况</w:t>
      </w:r>
      <w:r>
        <w:rPr>
          <w:rFonts w:hint="eastAsia" w:ascii="宋体" w:hAnsi="宋体" w:cs="宋体"/>
          <w:b/>
          <w:bCs/>
          <w:kern w:val="0"/>
          <w:sz w:val="24"/>
          <w:lang w:eastAsia="zh-CN"/>
        </w:rPr>
        <w:t>、</w:t>
      </w:r>
      <w:r>
        <w:rPr>
          <w:rFonts w:hint="eastAsia" w:ascii="宋体" w:hAnsi="宋体" w:cs="宋体"/>
          <w:b/>
          <w:bCs/>
          <w:kern w:val="0"/>
          <w:sz w:val="24"/>
          <w:lang w:val="en-US" w:eastAsia="zh-CN"/>
        </w:rPr>
        <w:t>主要产品资料，</w:t>
      </w:r>
      <w:r>
        <w:rPr>
          <w:rFonts w:hint="eastAsia" w:ascii="宋体" w:hAnsi="宋体" w:eastAsia="宋体" w:cs="宋体"/>
          <w:color w:val="auto"/>
          <w:kern w:val="0"/>
          <w:sz w:val="32"/>
          <w:szCs w:val="32"/>
          <w:highlight w:val="none"/>
          <w:lang w:val="en-US" w:eastAsia="zh-CN"/>
        </w:rPr>
        <w:t>）</w:t>
      </w:r>
    </w:p>
    <w:p>
      <w:pPr>
        <w:pStyle w:val="15"/>
        <w:jc w:val="left"/>
        <w:rPr>
          <w:rFonts w:hint="eastAsia" w:ascii="宋体" w:hAnsi="宋体" w:eastAsia="宋体" w:cs="宋体"/>
          <w:color w:val="auto"/>
          <w:kern w:val="0"/>
          <w:sz w:val="32"/>
          <w:szCs w:val="32"/>
          <w:highlight w:val="none"/>
          <w:lang w:val="en-US" w:eastAsia="zh-CN"/>
        </w:rPr>
      </w:pPr>
      <w:r>
        <w:rPr>
          <w:rFonts w:hint="eastAsia" w:ascii="宋体" w:hAnsi="宋体" w:eastAsia="宋体" w:cs="宋体"/>
          <w:color w:val="auto"/>
          <w:kern w:val="0"/>
          <w:sz w:val="32"/>
          <w:szCs w:val="32"/>
          <w:highlight w:val="none"/>
          <w:lang w:val="en-US" w:eastAsia="zh-CN"/>
        </w:rPr>
        <w:t>2.服务售后承诺书</w:t>
      </w:r>
    </w:p>
    <w:p>
      <w:pPr>
        <w:pStyle w:val="15"/>
        <w:jc w:val="left"/>
        <w:rPr>
          <w:rFonts w:hint="eastAsia" w:ascii="宋体" w:hAnsi="宋体" w:eastAsia="宋体" w:cs="宋体"/>
          <w:color w:val="auto"/>
          <w:kern w:val="0"/>
          <w:sz w:val="32"/>
          <w:szCs w:val="32"/>
          <w:highlight w:val="none"/>
          <w:lang w:val="en-US" w:eastAsia="zh-CN"/>
        </w:rPr>
      </w:pPr>
      <w:r>
        <w:rPr>
          <w:rFonts w:hint="eastAsia" w:ascii="宋体" w:hAnsi="宋体" w:eastAsia="宋体" w:cs="宋体"/>
          <w:b/>
          <w:bCs/>
          <w:spacing w:val="1"/>
          <w:sz w:val="28"/>
          <w:szCs w:val="32"/>
          <w:lang w:val="en-US" w:eastAsia="zh-CN"/>
        </w:rPr>
        <w:t>3.</w:t>
      </w:r>
      <w:r>
        <w:rPr>
          <w:rFonts w:hint="eastAsia" w:ascii="宋体" w:hAnsi="宋体" w:eastAsia="宋体" w:cs="宋体"/>
          <w:color w:val="auto"/>
          <w:kern w:val="0"/>
          <w:sz w:val="32"/>
          <w:szCs w:val="32"/>
          <w:highlight w:val="none"/>
          <w:lang w:val="en-US" w:eastAsia="zh-CN"/>
        </w:rPr>
        <w:t>供货服务方案</w:t>
      </w:r>
    </w:p>
    <w:p>
      <w:pPr>
        <w:pStyle w:val="15"/>
        <w:jc w:val="left"/>
        <w:rPr>
          <w:rFonts w:hint="eastAsia" w:ascii="宋体" w:hAnsi="宋体" w:eastAsia="宋体" w:cs="宋体"/>
          <w:color w:val="auto"/>
          <w:kern w:val="0"/>
          <w:sz w:val="32"/>
          <w:szCs w:val="32"/>
          <w:highlight w:val="none"/>
          <w:lang w:val="en-US" w:eastAsia="zh-CN"/>
        </w:rPr>
      </w:pPr>
      <w:r>
        <w:rPr>
          <w:rFonts w:hint="eastAsia" w:ascii="宋体" w:hAnsi="宋体" w:eastAsia="宋体" w:cs="宋体"/>
          <w:color w:val="auto"/>
          <w:kern w:val="0"/>
          <w:sz w:val="32"/>
          <w:szCs w:val="32"/>
          <w:highlight w:val="none"/>
          <w:lang w:val="en-US" w:eastAsia="zh-CN"/>
        </w:rPr>
        <w:t>4.产品质量保证承诺</w:t>
      </w:r>
    </w:p>
    <w:p>
      <w:pPr>
        <w:pStyle w:val="15"/>
        <w:jc w:val="left"/>
        <w:rPr>
          <w:rFonts w:hint="eastAsia" w:ascii="宋体" w:hAnsi="宋体" w:eastAsia="宋体" w:cs="宋体"/>
          <w:color w:val="auto"/>
          <w:kern w:val="0"/>
          <w:sz w:val="32"/>
          <w:szCs w:val="32"/>
          <w:highlight w:val="none"/>
          <w:lang w:val="en-US" w:eastAsia="zh-CN"/>
        </w:rPr>
      </w:pPr>
      <w:r>
        <w:rPr>
          <w:rFonts w:hint="eastAsia" w:ascii="宋体" w:hAnsi="宋体" w:eastAsia="宋体" w:cs="宋体"/>
          <w:color w:val="auto"/>
          <w:kern w:val="0"/>
          <w:sz w:val="32"/>
          <w:szCs w:val="32"/>
          <w:highlight w:val="none"/>
          <w:lang w:val="en-US" w:eastAsia="zh-CN"/>
        </w:rPr>
        <w:t>5.培训方案</w:t>
      </w:r>
    </w:p>
    <w:p>
      <w:pPr>
        <w:pStyle w:val="15"/>
        <w:jc w:val="left"/>
        <w:rPr>
          <w:rFonts w:hint="eastAsia" w:ascii="宋体" w:hAnsi="宋体" w:eastAsia="宋体" w:cs="宋体"/>
          <w:color w:val="auto"/>
          <w:kern w:val="0"/>
          <w:sz w:val="32"/>
          <w:szCs w:val="32"/>
          <w:highlight w:val="none"/>
          <w:lang w:val="en-US" w:eastAsia="zh-CN"/>
        </w:rPr>
      </w:pPr>
      <w:r>
        <w:rPr>
          <w:rFonts w:hint="eastAsia" w:ascii="宋体" w:hAnsi="宋体" w:eastAsia="宋体" w:cs="宋体"/>
          <w:color w:val="auto"/>
          <w:kern w:val="0"/>
          <w:sz w:val="32"/>
          <w:szCs w:val="32"/>
          <w:highlight w:val="none"/>
          <w:lang w:val="en-US" w:eastAsia="zh-CN"/>
        </w:rPr>
        <w:t>6.供应商认为需要提交的技术资料</w:t>
      </w:r>
    </w:p>
    <w:p>
      <w:pPr>
        <w:pStyle w:val="15"/>
        <w:jc w:val="left"/>
        <w:rPr>
          <w:rFonts w:hint="default" w:asciiTheme="majorEastAsia" w:hAnsiTheme="majorEastAsia" w:eastAsiaTheme="majorEastAsia"/>
          <w:b/>
          <w:bCs/>
          <w:spacing w:val="1"/>
          <w:sz w:val="16"/>
          <w:szCs w:val="18"/>
          <w:lang w:val="en-US" w:eastAsia="zh-CN"/>
        </w:rPr>
      </w:pPr>
    </w:p>
    <w:p>
      <w:pPr>
        <w:pStyle w:val="15"/>
        <w:jc w:val="left"/>
        <w:rPr>
          <w:rFonts w:hint="default" w:asciiTheme="majorEastAsia" w:hAnsiTheme="majorEastAsia" w:eastAsiaTheme="majorEastAsia"/>
          <w:b/>
          <w:bCs/>
          <w:spacing w:val="1"/>
          <w:sz w:val="16"/>
          <w:szCs w:val="18"/>
          <w:lang w:val="en-US" w:eastAsia="zh-CN"/>
        </w:rPr>
      </w:pPr>
    </w:p>
    <w:p>
      <w:pPr>
        <w:pStyle w:val="15"/>
        <w:jc w:val="left"/>
        <w:rPr>
          <w:rFonts w:hint="default" w:asciiTheme="majorEastAsia" w:hAnsiTheme="majorEastAsia" w:eastAsiaTheme="majorEastAsia"/>
          <w:b/>
          <w:bCs/>
          <w:spacing w:val="1"/>
          <w:sz w:val="16"/>
          <w:szCs w:val="18"/>
          <w:lang w:val="en-US" w:eastAsia="zh-CN"/>
        </w:rPr>
      </w:pPr>
    </w:p>
    <w:p>
      <w:pPr>
        <w:pStyle w:val="15"/>
        <w:jc w:val="left"/>
        <w:rPr>
          <w:rFonts w:hint="default" w:asciiTheme="majorEastAsia" w:hAnsiTheme="majorEastAsia" w:eastAsiaTheme="majorEastAsia"/>
          <w:b/>
          <w:bCs/>
          <w:spacing w:val="1"/>
          <w:sz w:val="16"/>
          <w:szCs w:val="18"/>
          <w:lang w:val="en-US" w:eastAsia="zh-CN"/>
        </w:rPr>
      </w:pPr>
      <w:r>
        <w:rPr>
          <w:rFonts w:hint="eastAsia" w:ascii="宋体" w:hAnsi="宋体" w:eastAsia="宋体" w:cs="宋体"/>
          <w:b/>
          <w:bCs/>
          <w:sz w:val="32"/>
          <w:szCs w:val="48"/>
          <w:lang w:val="en-US" w:eastAsia="zh-CN"/>
        </w:rPr>
        <w:t>（请各投标人按照以上大目录提供企业资料相关文件，图片，内容清晰，排版舒适，详细编写各级子目录与对应页码供评标专家翻阅，提高评标效率）</w:t>
      </w:r>
    </w:p>
    <w:p>
      <w:pPr>
        <w:pStyle w:val="15"/>
        <w:jc w:val="left"/>
        <w:rPr>
          <w:rFonts w:hint="default" w:asciiTheme="majorEastAsia" w:hAnsiTheme="majorEastAsia" w:eastAsiaTheme="majorEastAsia"/>
          <w:b/>
          <w:bCs/>
          <w:spacing w:val="1"/>
          <w:sz w:val="16"/>
          <w:szCs w:val="18"/>
          <w:lang w:val="en-US" w:eastAsia="zh-CN"/>
        </w:rPr>
      </w:pPr>
    </w:p>
    <w:p>
      <w:pPr>
        <w:pStyle w:val="15"/>
        <w:jc w:val="left"/>
        <w:rPr>
          <w:rFonts w:hint="default" w:asciiTheme="majorEastAsia" w:hAnsiTheme="majorEastAsia" w:eastAsiaTheme="majorEastAsia"/>
          <w:b/>
          <w:bCs/>
          <w:spacing w:val="1"/>
          <w:sz w:val="16"/>
          <w:szCs w:val="18"/>
          <w:lang w:val="en-US" w:eastAsia="zh-CN"/>
        </w:rPr>
      </w:pPr>
    </w:p>
    <w:p>
      <w:pPr>
        <w:pStyle w:val="15"/>
        <w:jc w:val="left"/>
        <w:rPr>
          <w:rFonts w:hint="default" w:asciiTheme="majorEastAsia" w:hAnsiTheme="majorEastAsia" w:eastAsiaTheme="majorEastAsia"/>
          <w:b/>
          <w:bCs/>
          <w:spacing w:val="1"/>
          <w:sz w:val="16"/>
          <w:szCs w:val="18"/>
          <w:lang w:val="en-US" w:eastAsia="zh-CN"/>
        </w:rPr>
      </w:pPr>
    </w:p>
    <w:p>
      <w:pPr>
        <w:pStyle w:val="15"/>
        <w:jc w:val="left"/>
        <w:rPr>
          <w:rFonts w:hint="default" w:asciiTheme="majorEastAsia" w:hAnsiTheme="majorEastAsia" w:eastAsiaTheme="majorEastAsia"/>
          <w:b/>
          <w:bCs/>
          <w:spacing w:val="1"/>
          <w:sz w:val="16"/>
          <w:szCs w:val="18"/>
          <w:lang w:val="en-US" w:eastAsia="zh-CN"/>
        </w:rPr>
      </w:pPr>
      <w:r>
        <w:rPr>
          <w:rFonts w:hint="eastAsia" w:ascii="宋体" w:hAnsi="宋体" w:eastAsia="宋体" w:cs="宋体"/>
          <w:b/>
          <w:bCs/>
          <w:sz w:val="24"/>
          <w:szCs w:val="20"/>
        </w:rPr>
        <w:t>说明：附件没有的供应商可自拟格式。</w:t>
      </w:r>
      <w:r>
        <w:rPr>
          <w:rFonts w:hint="eastAsia" w:ascii="宋体" w:hAnsi="宋体" w:eastAsia="宋体" w:cs="宋体"/>
          <w:b/>
          <w:bCs/>
          <w:sz w:val="24"/>
          <w:szCs w:val="20"/>
          <w:lang w:val="en-US" w:eastAsia="zh-CN"/>
        </w:rPr>
        <w:t xml:space="preserve"> </w:t>
      </w:r>
    </w:p>
    <w:p>
      <w:pPr>
        <w:pStyle w:val="15"/>
        <w:jc w:val="left"/>
        <w:rPr>
          <w:rFonts w:hint="default" w:asciiTheme="majorEastAsia" w:hAnsiTheme="majorEastAsia" w:eastAsiaTheme="majorEastAsia"/>
          <w:b/>
          <w:bCs/>
          <w:spacing w:val="1"/>
          <w:szCs w:val="21"/>
          <w:lang w:val="en-US" w:eastAsia="zh-CN"/>
        </w:rPr>
      </w:pPr>
    </w:p>
    <w:p>
      <w:pPr>
        <w:pStyle w:val="5"/>
        <w:numPr>
          <w:ilvl w:val="0"/>
          <w:numId w:val="0"/>
        </w:numPr>
        <w:bidi w:val="0"/>
        <w:jc w:val="center"/>
        <w:rPr>
          <w:rFonts w:hint="eastAsia"/>
          <w:lang w:val="en-US" w:eastAsia="zh-CN"/>
        </w:rPr>
      </w:pPr>
      <w:bookmarkStart w:id="54" w:name="_Toc11014"/>
      <w:bookmarkStart w:id="55" w:name="_Toc4666"/>
    </w:p>
    <w:p>
      <w:pPr>
        <w:pStyle w:val="5"/>
        <w:numPr>
          <w:ilvl w:val="0"/>
          <w:numId w:val="0"/>
        </w:numPr>
        <w:bidi w:val="0"/>
        <w:jc w:val="center"/>
        <w:rPr>
          <w:rFonts w:hint="eastAsia"/>
          <w:lang w:val="en-US" w:eastAsia="zh-CN"/>
        </w:rPr>
      </w:pPr>
    </w:p>
    <w:p>
      <w:pPr>
        <w:pStyle w:val="5"/>
        <w:numPr>
          <w:ilvl w:val="0"/>
          <w:numId w:val="0"/>
        </w:numPr>
        <w:bidi w:val="0"/>
        <w:jc w:val="center"/>
        <w:rPr>
          <w:rFonts w:hint="eastAsia"/>
          <w:lang w:val="en-US" w:eastAsia="zh-CN"/>
        </w:rPr>
      </w:pPr>
    </w:p>
    <w:p>
      <w:pPr>
        <w:pStyle w:val="5"/>
        <w:numPr>
          <w:ilvl w:val="0"/>
          <w:numId w:val="0"/>
        </w:numPr>
        <w:bidi w:val="0"/>
        <w:jc w:val="center"/>
        <w:rPr>
          <w:rFonts w:hint="eastAsia"/>
          <w:lang w:val="en-US" w:eastAsia="zh-CN"/>
        </w:rPr>
      </w:pPr>
    </w:p>
    <w:p>
      <w:pPr>
        <w:pStyle w:val="5"/>
        <w:numPr>
          <w:ilvl w:val="0"/>
          <w:numId w:val="0"/>
        </w:numPr>
        <w:bidi w:val="0"/>
        <w:jc w:val="center"/>
        <w:rPr>
          <w:rFonts w:hint="eastAsia"/>
          <w:lang w:val="en-US" w:eastAsia="zh-CN"/>
        </w:rPr>
      </w:pPr>
    </w:p>
    <w:p>
      <w:pPr>
        <w:pStyle w:val="5"/>
        <w:numPr>
          <w:ilvl w:val="0"/>
          <w:numId w:val="0"/>
        </w:numPr>
        <w:bidi w:val="0"/>
        <w:jc w:val="center"/>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5"/>
        <w:numPr>
          <w:ilvl w:val="0"/>
          <w:numId w:val="0"/>
        </w:numPr>
        <w:bidi w:val="0"/>
        <w:jc w:val="center"/>
        <w:rPr>
          <w:rFonts w:hint="eastAsia"/>
          <w:lang w:val="en-US" w:eastAsia="zh-CN"/>
        </w:rPr>
      </w:pPr>
    </w:p>
    <w:p>
      <w:pPr>
        <w:pStyle w:val="5"/>
        <w:numPr>
          <w:ilvl w:val="0"/>
          <w:numId w:val="0"/>
        </w:numPr>
        <w:bidi w:val="0"/>
        <w:jc w:val="center"/>
        <w:rPr>
          <w:rFonts w:hint="eastAsia"/>
        </w:rPr>
      </w:pPr>
      <w:r>
        <w:rPr>
          <w:rFonts w:hint="eastAsia"/>
          <w:lang w:val="en-US" w:eastAsia="zh-CN"/>
        </w:rPr>
        <w:t>一、</w:t>
      </w:r>
      <w:r>
        <w:rPr>
          <w:rFonts w:hint="eastAsia"/>
          <w:lang w:eastAsia="zh-CN"/>
        </w:rPr>
        <w:t>技术偏离表</w:t>
      </w:r>
      <w:bookmarkEnd w:id="54"/>
      <w:bookmarkEnd w:id="55"/>
    </w:p>
    <w:p>
      <w:pPr>
        <w:spacing w:line="480" w:lineRule="auto"/>
        <w:rPr>
          <w:rFonts w:hint="eastAsia" w:ascii="宋体" w:hAnsi="宋体" w:eastAsia="宋体" w:cs="宋体"/>
          <w:bCs/>
          <w:sz w:val="24"/>
        </w:rPr>
      </w:pPr>
      <w:r>
        <w:rPr>
          <w:rFonts w:hint="eastAsia" w:ascii="宋体" w:hAnsi="宋体" w:eastAsia="宋体" w:cs="宋体"/>
          <w:bCs/>
          <w:sz w:val="24"/>
        </w:rPr>
        <w:t>技术规格差异表</w:t>
      </w:r>
    </w:p>
    <w:tbl>
      <w:tblPr>
        <w:tblStyle w:val="40"/>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427"/>
        <w:gridCol w:w="2241"/>
        <w:gridCol w:w="2344"/>
        <w:gridCol w:w="1628"/>
        <w:gridCol w:w="8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blHeader/>
        </w:trPr>
        <w:tc>
          <w:tcPr>
            <w:tcW w:w="715" w:type="dxa"/>
            <w:shd w:val="clear" w:color="auto" w:fill="D9D9D9"/>
            <w:noWrap w:val="0"/>
            <w:vAlign w:val="center"/>
          </w:tcPr>
          <w:p>
            <w:pPr>
              <w:snapToGrid w:val="0"/>
              <w:spacing w:line="360" w:lineRule="auto"/>
              <w:jc w:val="center"/>
              <w:rPr>
                <w:rFonts w:hint="eastAsia" w:ascii="宋体" w:hAnsi="宋体" w:eastAsia="宋体" w:cs="宋体"/>
                <w:b/>
                <w:sz w:val="24"/>
              </w:rPr>
            </w:pPr>
            <w:r>
              <w:rPr>
                <w:rFonts w:hint="eastAsia" w:ascii="宋体" w:hAnsi="宋体" w:eastAsia="宋体" w:cs="宋体"/>
                <w:b/>
                <w:sz w:val="24"/>
              </w:rPr>
              <w:t>序号</w:t>
            </w:r>
          </w:p>
        </w:tc>
        <w:tc>
          <w:tcPr>
            <w:tcW w:w="1427" w:type="dxa"/>
            <w:shd w:val="clear" w:color="auto" w:fill="D9D9D9"/>
            <w:noWrap w:val="0"/>
            <w:vAlign w:val="center"/>
          </w:tcPr>
          <w:p>
            <w:pPr>
              <w:snapToGrid w:val="0"/>
              <w:spacing w:line="360" w:lineRule="auto"/>
              <w:jc w:val="center"/>
              <w:rPr>
                <w:rFonts w:hint="eastAsia" w:ascii="宋体" w:hAnsi="宋体" w:eastAsia="宋体" w:cs="宋体"/>
                <w:b/>
                <w:sz w:val="24"/>
              </w:rPr>
            </w:pPr>
            <w:r>
              <w:rPr>
                <w:rFonts w:hint="eastAsia" w:ascii="宋体" w:hAnsi="宋体" w:eastAsia="宋体" w:cs="宋体"/>
                <w:b/>
                <w:sz w:val="24"/>
              </w:rPr>
              <w:t>名称</w:t>
            </w:r>
          </w:p>
        </w:tc>
        <w:tc>
          <w:tcPr>
            <w:tcW w:w="2241" w:type="dxa"/>
            <w:shd w:val="clear" w:color="auto" w:fill="E0E0E0"/>
            <w:noWrap w:val="0"/>
            <w:vAlign w:val="center"/>
          </w:tcPr>
          <w:p>
            <w:pPr>
              <w:snapToGrid w:val="0"/>
              <w:spacing w:line="360" w:lineRule="auto"/>
              <w:ind w:left="-112" w:leftChars="-54" w:right="-105" w:rightChars="-50" w:hanging="1"/>
              <w:jc w:val="center"/>
              <w:rPr>
                <w:rFonts w:hint="eastAsia" w:ascii="宋体" w:hAnsi="宋体" w:eastAsia="宋体" w:cs="宋体"/>
                <w:b/>
                <w:sz w:val="24"/>
              </w:rPr>
            </w:pPr>
            <w:r>
              <w:rPr>
                <w:rFonts w:hint="eastAsia" w:ascii="宋体" w:hAnsi="宋体" w:eastAsia="宋体" w:cs="宋体"/>
                <w:b/>
                <w:sz w:val="24"/>
              </w:rPr>
              <w:t>原技术规范主要条款描述</w:t>
            </w:r>
          </w:p>
        </w:tc>
        <w:tc>
          <w:tcPr>
            <w:tcW w:w="2344" w:type="dxa"/>
            <w:shd w:val="clear" w:color="auto" w:fill="E0E0E0"/>
            <w:noWrap w:val="0"/>
            <w:vAlign w:val="center"/>
          </w:tcPr>
          <w:p>
            <w:pPr>
              <w:snapToGrid w:val="0"/>
              <w:spacing w:line="360" w:lineRule="auto"/>
              <w:ind w:left="-111" w:leftChars="-53" w:right="-105" w:rightChars="-50"/>
              <w:jc w:val="center"/>
              <w:rPr>
                <w:rFonts w:hint="eastAsia" w:ascii="宋体" w:hAnsi="宋体" w:eastAsia="宋体" w:cs="宋体"/>
                <w:b/>
                <w:sz w:val="24"/>
              </w:rPr>
            </w:pPr>
            <w:r>
              <w:rPr>
                <w:rFonts w:hint="eastAsia" w:ascii="宋体" w:hAnsi="宋体" w:eastAsia="宋体" w:cs="宋体"/>
                <w:b/>
                <w:sz w:val="24"/>
              </w:rPr>
              <w:t>投标人技术规范描述</w:t>
            </w:r>
          </w:p>
        </w:tc>
        <w:tc>
          <w:tcPr>
            <w:tcW w:w="1628" w:type="dxa"/>
            <w:shd w:val="clear" w:color="auto" w:fill="D9D9D9"/>
            <w:noWrap w:val="0"/>
            <w:vAlign w:val="center"/>
          </w:tcPr>
          <w:p>
            <w:pPr>
              <w:snapToGrid w:val="0"/>
              <w:spacing w:line="360" w:lineRule="auto"/>
              <w:jc w:val="center"/>
              <w:rPr>
                <w:rFonts w:hint="eastAsia" w:ascii="宋体" w:hAnsi="宋体" w:eastAsia="宋体" w:cs="宋体"/>
                <w:b/>
                <w:sz w:val="24"/>
              </w:rPr>
            </w:pPr>
            <w:r>
              <w:rPr>
                <w:rFonts w:hint="eastAsia" w:ascii="宋体" w:hAnsi="宋体" w:eastAsia="宋体" w:cs="宋体"/>
                <w:b/>
                <w:sz w:val="24"/>
              </w:rPr>
              <w:t>偏离情况</w:t>
            </w:r>
          </w:p>
          <w:p>
            <w:pPr>
              <w:snapToGrid w:val="0"/>
              <w:spacing w:line="360" w:lineRule="auto"/>
              <w:jc w:val="center"/>
              <w:rPr>
                <w:rFonts w:hint="eastAsia" w:ascii="宋体" w:hAnsi="宋体" w:eastAsia="宋体" w:cs="宋体"/>
                <w:b/>
                <w:sz w:val="24"/>
              </w:rPr>
            </w:pPr>
            <w:r>
              <w:rPr>
                <w:rFonts w:hint="eastAsia" w:ascii="宋体" w:hAnsi="宋体" w:eastAsia="宋体" w:cs="宋体"/>
                <w:b/>
                <w:sz w:val="24"/>
              </w:rPr>
              <w:t>说明</w:t>
            </w:r>
          </w:p>
          <w:p>
            <w:pPr>
              <w:snapToGrid w:val="0"/>
              <w:spacing w:line="360" w:lineRule="auto"/>
              <w:jc w:val="center"/>
              <w:rPr>
                <w:rFonts w:hint="eastAsia" w:ascii="宋体" w:hAnsi="宋体" w:eastAsia="宋体" w:cs="宋体"/>
                <w:b/>
                <w:sz w:val="24"/>
              </w:rPr>
            </w:pPr>
            <w:r>
              <w:rPr>
                <w:rFonts w:hint="eastAsia" w:ascii="宋体" w:hAnsi="宋体" w:eastAsia="宋体" w:cs="宋体"/>
                <w:b/>
                <w:sz w:val="24"/>
              </w:rPr>
              <w:t>（＋/-/=）</w:t>
            </w:r>
          </w:p>
        </w:tc>
        <w:tc>
          <w:tcPr>
            <w:tcW w:w="814" w:type="dxa"/>
            <w:shd w:val="clear" w:color="auto" w:fill="D9D9D9"/>
            <w:noWrap w:val="0"/>
            <w:vAlign w:val="center"/>
          </w:tcPr>
          <w:p>
            <w:pPr>
              <w:snapToGrid w:val="0"/>
              <w:spacing w:line="360" w:lineRule="auto"/>
              <w:jc w:val="center"/>
              <w:rPr>
                <w:rFonts w:hint="eastAsia" w:ascii="宋体" w:hAnsi="宋体" w:eastAsia="宋体" w:cs="宋体"/>
                <w:b/>
                <w:sz w:val="24"/>
              </w:rPr>
            </w:pPr>
            <w:r>
              <w:rPr>
                <w:rFonts w:hint="eastAsia" w:ascii="宋体" w:hAnsi="宋体" w:eastAsia="宋体" w:cs="宋体"/>
                <w:b/>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trPr>
        <w:tc>
          <w:tcPr>
            <w:tcW w:w="715"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w:t>
            </w:r>
          </w:p>
        </w:tc>
        <w:tc>
          <w:tcPr>
            <w:tcW w:w="1427" w:type="dxa"/>
            <w:noWrap w:val="0"/>
            <w:vAlign w:val="center"/>
          </w:tcPr>
          <w:p>
            <w:pPr>
              <w:snapToGrid w:val="0"/>
              <w:spacing w:line="360" w:lineRule="auto"/>
              <w:jc w:val="center"/>
              <w:rPr>
                <w:rFonts w:hint="eastAsia" w:ascii="宋体" w:hAnsi="宋体" w:eastAsia="宋体" w:cs="宋体"/>
                <w:sz w:val="24"/>
              </w:rPr>
            </w:pPr>
          </w:p>
        </w:tc>
        <w:tc>
          <w:tcPr>
            <w:tcW w:w="2241" w:type="dxa"/>
            <w:noWrap w:val="0"/>
            <w:vAlign w:val="center"/>
          </w:tcPr>
          <w:p>
            <w:pPr>
              <w:snapToGrid w:val="0"/>
              <w:spacing w:line="360" w:lineRule="auto"/>
              <w:jc w:val="center"/>
              <w:rPr>
                <w:rFonts w:hint="eastAsia" w:ascii="宋体" w:hAnsi="宋体" w:eastAsia="宋体" w:cs="宋体"/>
                <w:sz w:val="24"/>
              </w:rPr>
            </w:pPr>
          </w:p>
        </w:tc>
        <w:tc>
          <w:tcPr>
            <w:tcW w:w="2344" w:type="dxa"/>
            <w:noWrap w:val="0"/>
            <w:vAlign w:val="center"/>
          </w:tcPr>
          <w:p>
            <w:pPr>
              <w:snapToGrid w:val="0"/>
              <w:spacing w:line="360" w:lineRule="auto"/>
              <w:jc w:val="center"/>
              <w:rPr>
                <w:rFonts w:hint="eastAsia" w:ascii="宋体" w:hAnsi="宋体" w:eastAsia="宋体" w:cs="宋体"/>
                <w:sz w:val="24"/>
              </w:rPr>
            </w:pPr>
          </w:p>
        </w:tc>
        <w:tc>
          <w:tcPr>
            <w:tcW w:w="1628" w:type="dxa"/>
            <w:noWrap w:val="0"/>
            <w:vAlign w:val="center"/>
          </w:tcPr>
          <w:p>
            <w:pPr>
              <w:snapToGrid w:val="0"/>
              <w:spacing w:line="360" w:lineRule="auto"/>
              <w:jc w:val="center"/>
              <w:rPr>
                <w:rFonts w:hint="eastAsia" w:ascii="宋体" w:hAnsi="宋体" w:eastAsia="宋体" w:cs="宋体"/>
                <w:sz w:val="24"/>
              </w:rPr>
            </w:pPr>
          </w:p>
        </w:tc>
        <w:tc>
          <w:tcPr>
            <w:tcW w:w="814" w:type="dxa"/>
            <w:noWrap w:val="0"/>
            <w:vAlign w:val="center"/>
          </w:tcPr>
          <w:p>
            <w:pPr>
              <w:snapToGrid w:val="0"/>
              <w:spacing w:line="360" w:lineRule="auto"/>
              <w:jc w:val="center"/>
              <w:rPr>
                <w:rFonts w:hint="eastAsia" w:ascii="宋体" w:hAnsi="宋体" w:eastAsia="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trPr>
        <w:tc>
          <w:tcPr>
            <w:tcW w:w="715"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w:t>
            </w:r>
          </w:p>
        </w:tc>
        <w:tc>
          <w:tcPr>
            <w:tcW w:w="1427" w:type="dxa"/>
            <w:noWrap w:val="0"/>
            <w:vAlign w:val="center"/>
          </w:tcPr>
          <w:p>
            <w:pPr>
              <w:snapToGrid w:val="0"/>
              <w:spacing w:line="360" w:lineRule="auto"/>
              <w:jc w:val="center"/>
              <w:rPr>
                <w:rFonts w:hint="eastAsia" w:ascii="宋体" w:hAnsi="宋体" w:eastAsia="宋体" w:cs="宋体"/>
                <w:sz w:val="24"/>
              </w:rPr>
            </w:pPr>
          </w:p>
        </w:tc>
        <w:tc>
          <w:tcPr>
            <w:tcW w:w="2241" w:type="dxa"/>
            <w:noWrap w:val="0"/>
            <w:vAlign w:val="center"/>
          </w:tcPr>
          <w:p>
            <w:pPr>
              <w:snapToGrid w:val="0"/>
              <w:spacing w:line="360" w:lineRule="auto"/>
              <w:jc w:val="center"/>
              <w:rPr>
                <w:rFonts w:hint="eastAsia" w:ascii="宋体" w:hAnsi="宋体" w:eastAsia="宋体" w:cs="宋体"/>
                <w:sz w:val="24"/>
              </w:rPr>
            </w:pPr>
          </w:p>
        </w:tc>
        <w:tc>
          <w:tcPr>
            <w:tcW w:w="2344" w:type="dxa"/>
            <w:noWrap w:val="0"/>
            <w:vAlign w:val="center"/>
          </w:tcPr>
          <w:p>
            <w:pPr>
              <w:snapToGrid w:val="0"/>
              <w:spacing w:line="360" w:lineRule="auto"/>
              <w:jc w:val="center"/>
              <w:rPr>
                <w:rFonts w:hint="eastAsia" w:ascii="宋体" w:hAnsi="宋体" w:eastAsia="宋体" w:cs="宋体"/>
                <w:sz w:val="24"/>
              </w:rPr>
            </w:pPr>
          </w:p>
        </w:tc>
        <w:tc>
          <w:tcPr>
            <w:tcW w:w="1628" w:type="dxa"/>
            <w:noWrap w:val="0"/>
            <w:vAlign w:val="center"/>
          </w:tcPr>
          <w:p>
            <w:pPr>
              <w:snapToGrid w:val="0"/>
              <w:spacing w:line="360" w:lineRule="auto"/>
              <w:jc w:val="center"/>
              <w:rPr>
                <w:rFonts w:hint="eastAsia" w:ascii="宋体" w:hAnsi="宋体" w:eastAsia="宋体" w:cs="宋体"/>
                <w:sz w:val="24"/>
              </w:rPr>
            </w:pPr>
          </w:p>
        </w:tc>
        <w:tc>
          <w:tcPr>
            <w:tcW w:w="814" w:type="dxa"/>
            <w:noWrap w:val="0"/>
            <w:vAlign w:val="center"/>
          </w:tcPr>
          <w:p>
            <w:pPr>
              <w:snapToGrid w:val="0"/>
              <w:spacing w:line="360" w:lineRule="auto"/>
              <w:jc w:val="center"/>
              <w:rPr>
                <w:rFonts w:hint="eastAsia" w:ascii="宋体" w:hAnsi="宋体" w:eastAsia="宋体" w:cs="宋体"/>
                <w:sz w:val="24"/>
              </w:rPr>
            </w:pPr>
          </w:p>
        </w:tc>
      </w:tr>
    </w:tbl>
    <w:p>
      <w:pPr>
        <w:snapToGrid w:val="0"/>
        <w:rPr>
          <w:rFonts w:hint="eastAsia" w:ascii="宋体" w:hAnsi="宋体" w:eastAsia="宋体" w:cs="宋体"/>
          <w:bCs/>
          <w:sz w:val="24"/>
        </w:rPr>
      </w:pPr>
    </w:p>
    <w:p>
      <w:pPr>
        <w:spacing w:line="480" w:lineRule="auto"/>
        <w:rPr>
          <w:rFonts w:hint="eastAsia" w:ascii="宋体" w:hAnsi="宋体" w:eastAsia="宋体" w:cs="宋体"/>
          <w:bCs/>
          <w:sz w:val="24"/>
        </w:rPr>
      </w:pPr>
      <w:r>
        <w:rPr>
          <w:rFonts w:hint="eastAsia" w:ascii="宋体" w:hAnsi="宋体" w:cs="宋体"/>
          <w:bCs/>
          <w:sz w:val="24"/>
          <w:lang w:val="en-US" w:eastAsia="zh-CN"/>
        </w:rPr>
        <w:t>供应商</w:t>
      </w:r>
      <w:r>
        <w:rPr>
          <w:rFonts w:hint="eastAsia" w:ascii="宋体" w:hAnsi="宋体" w:eastAsia="宋体" w:cs="宋体"/>
          <w:bCs/>
          <w:sz w:val="24"/>
        </w:rPr>
        <w:t>全称（盖公章）：</w:t>
      </w:r>
    </w:p>
    <w:p>
      <w:pPr>
        <w:spacing w:line="480" w:lineRule="auto"/>
        <w:rPr>
          <w:rFonts w:hint="eastAsia" w:ascii="宋体" w:hAnsi="宋体" w:eastAsia="宋体" w:cs="宋体"/>
          <w:bCs/>
          <w:sz w:val="24"/>
        </w:rPr>
      </w:pPr>
      <w:r>
        <w:rPr>
          <w:rFonts w:hint="eastAsia" w:ascii="宋体" w:hAnsi="宋体" w:eastAsia="宋体" w:cs="宋体"/>
          <w:bCs/>
          <w:sz w:val="24"/>
        </w:rPr>
        <w:t>法定代表人或授权代表</w:t>
      </w:r>
      <w:r>
        <w:rPr>
          <w:rFonts w:hint="eastAsia" w:ascii="宋体" w:hAnsi="宋体" w:eastAsia="宋体" w:cs="宋体"/>
          <w:bCs/>
          <w:color w:val="000000"/>
          <w:sz w:val="24"/>
        </w:rPr>
        <w:t>（</w:t>
      </w:r>
      <w:r>
        <w:rPr>
          <w:rFonts w:hint="eastAsia" w:ascii="宋体" w:hAnsi="宋体" w:cs="宋体"/>
          <w:bCs/>
          <w:color w:val="000000"/>
          <w:sz w:val="24"/>
          <w:lang w:val="en-US" w:eastAsia="zh-CN"/>
        </w:rPr>
        <w:t>签字</w:t>
      </w:r>
      <w:r>
        <w:rPr>
          <w:rFonts w:hint="eastAsia" w:ascii="宋体" w:hAnsi="宋体" w:eastAsia="宋体" w:cs="宋体"/>
          <w:bCs/>
          <w:color w:val="000000"/>
          <w:sz w:val="24"/>
        </w:rPr>
        <w:t>或盖章）：</w:t>
      </w:r>
    </w:p>
    <w:p>
      <w:pPr>
        <w:spacing w:line="480" w:lineRule="auto"/>
        <w:rPr>
          <w:rFonts w:hint="eastAsia" w:ascii="宋体" w:hAnsi="宋体" w:eastAsia="宋体" w:cs="宋体"/>
          <w:sz w:val="24"/>
        </w:rPr>
      </w:pPr>
      <w:r>
        <w:rPr>
          <w:rFonts w:hint="eastAsia" w:ascii="宋体" w:hAnsi="宋体" w:eastAsia="宋体" w:cs="宋体"/>
          <w:bCs/>
          <w:sz w:val="24"/>
        </w:rPr>
        <w:t>日    期：     年   月   日</w:t>
      </w:r>
    </w:p>
    <w:p>
      <w:pPr>
        <w:tabs>
          <w:tab w:val="left" w:pos="11130"/>
        </w:tabs>
        <w:snapToGrid w:val="0"/>
        <w:rPr>
          <w:rFonts w:hint="eastAsia" w:ascii="宋体" w:hAnsi="宋体" w:eastAsia="宋体" w:cs="宋体"/>
          <w:bCs/>
          <w:sz w:val="24"/>
        </w:rPr>
      </w:pPr>
    </w:p>
    <w:p>
      <w:pPr>
        <w:tabs>
          <w:tab w:val="left" w:pos="11130"/>
        </w:tabs>
        <w:snapToGrid w:val="0"/>
        <w:rPr>
          <w:rFonts w:hint="eastAsia" w:ascii="宋体" w:hAnsi="宋体" w:eastAsia="宋体" w:cs="宋体"/>
          <w:bCs/>
          <w:sz w:val="24"/>
        </w:rPr>
      </w:pPr>
    </w:p>
    <w:p>
      <w:pPr>
        <w:spacing w:line="480" w:lineRule="auto"/>
        <w:rPr>
          <w:rFonts w:hint="eastAsia" w:ascii="宋体" w:hAnsi="宋体" w:eastAsia="宋体" w:cs="宋体"/>
          <w:bCs/>
          <w:sz w:val="24"/>
        </w:rPr>
      </w:pPr>
      <w:r>
        <w:rPr>
          <w:rFonts w:hint="eastAsia" w:ascii="宋体" w:hAnsi="宋体" w:eastAsia="宋体" w:cs="宋体"/>
          <w:bCs/>
          <w:sz w:val="24"/>
        </w:rPr>
        <w:t>注：1、此表为表样，行数可自行添加，但表式不变。</w:t>
      </w:r>
    </w:p>
    <w:p>
      <w:pPr>
        <w:spacing w:line="480" w:lineRule="auto"/>
        <w:rPr>
          <w:rFonts w:hint="eastAsia" w:ascii="宋体" w:hAnsi="宋体" w:eastAsia="宋体" w:cs="宋体"/>
          <w:bCs/>
          <w:sz w:val="24"/>
        </w:rPr>
      </w:pPr>
      <w:r>
        <w:rPr>
          <w:rFonts w:hint="eastAsia" w:ascii="宋体" w:hAnsi="宋体" w:eastAsia="宋体" w:cs="宋体"/>
          <w:bCs/>
          <w:sz w:val="24"/>
        </w:rPr>
        <w:t xml:space="preserve">    2、投标人根据系统方案添加的设备（货物）、材料等也请列出。</w:t>
      </w:r>
    </w:p>
    <w:p>
      <w:pPr>
        <w:spacing w:line="480" w:lineRule="auto"/>
        <w:rPr>
          <w:rFonts w:hint="eastAsia" w:ascii="宋体" w:hAnsi="宋体" w:eastAsia="宋体" w:cs="宋体"/>
          <w:bCs/>
          <w:sz w:val="24"/>
        </w:rPr>
      </w:pPr>
      <w:r>
        <w:rPr>
          <w:rFonts w:hint="eastAsia" w:ascii="宋体" w:hAnsi="宋体" w:eastAsia="宋体" w:cs="宋体"/>
          <w:bCs/>
          <w:sz w:val="24"/>
        </w:rPr>
        <w:t>3、请在“投标人技术规范描述” 中列出所投设备（货物）的详细技术参数情况。</w:t>
      </w:r>
    </w:p>
    <w:p>
      <w:pPr>
        <w:spacing w:line="480" w:lineRule="auto"/>
        <w:rPr>
          <w:rFonts w:hint="eastAsia" w:ascii="宋体" w:hAnsi="宋体" w:eastAsia="宋体" w:cs="宋体"/>
          <w:bCs/>
          <w:sz w:val="24"/>
        </w:rPr>
      </w:pPr>
      <w:r>
        <w:rPr>
          <w:rFonts w:hint="eastAsia" w:ascii="宋体" w:hAnsi="宋体" w:eastAsia="宋体" w:cs="宋体"/>
          <w:bCs/>
          <w:sz w:val="24"/>
        </w:rPr>
        <w:t>4、是否偏离用符号“+、=、-”分别表示正偏离、完全响应、负偏离，必须逐次对应响应。</w:t>
      </w:r>
    </w:p>
    <w:p>
      <w:pPr>
        <w:spacing w:line="480" w:lineRule="auto"/>
        <w:rPr>
          <w:rFonts w:hint="eastAsia" w:ascii="宋体" w:hAnsi="宋体" w:eastAsia="宋体" w:cs="宋体"/>
          <w:bCs/>
          <w:sz w:val="24"/>
        </w:rPr>
      </w:pPr>
      <w:r>
        <w:rPr>
          <w:rFonts w:hint="eastAsia" w:ascii="宋体" w:hAnsi="宋体" w:eastAsia="宋体" w:cs="宋体"/>
          <w:bCs/>
          <w:sz w:val="24"/>
        </w:rPr>
        <w:t>5、特别提示：投标制作投标文件时，必须严格按标书所排列的基本配置和主要技术参数顺序，对应填写自己投标设备（货物）配置和参数，并注明符合还是正负偏离。</w:t>
      </w:r>
    </w:p>
    <w:p>
      <w:pPr>
        <w:spacing w:line="480" w:lineRule="auto"/>
        <w:rPr>
          <w:rFonts w:hint="eastAsia" w:ascii="宋体" w:hAnsi="宋体" w:cs="宋体"/>
          <w:b/>
          <w:bCs/>
          <w:kern w:val="0"/>
          <w:sz w:val="24"/>
          <w:lang w:val="en-US" w:eastAsia="zh-CN"/>
        </w:rPr>
      </w:pPr>
      <w:r>
        <w:rPr>
          <w:rFonts w:hint="eastAsia" w:ascii="宋体" w:hAnsi="宋体" w:cs="宋体"/>
          <w:bCs/>
          <w:sz w:val="24"/>
          <w:lang w:val="en-US" w:eastAsia="zh-CN"/>
        </w:rPr>
        <w:t>6、</w:t>
      </w:r>
      <w:r>
        <w:rPr>
          <w:rFonts w:hint="eastAsia" w:ascii="宋体" w:hAnsi="宋体" w:eastAsia="宋体" w:cs="宋体"/>
          <w:b/>
          <w:bCs/>
          <w:kern w:val="0"/>
          <w:sz w:val="24"/>
        </w:rPr>
        <w:t>后附资料应包括详细的</w:t>
      </w:r>
      <w:r>
        <w:rPr>
          <w:rFonts w:hint="eastAsia" w:ascii="宋体" w:hAnsi="宋体" w:eastAsia="宋体" w:cs="宋体"/>
          <w:b/>
          <w:bCs/>
          <w:kern w:val="0"/>
          <w:sz w:val="24"/>
          <w:lang w:val="en-US" w:eastAsia="zh-CN"/>
        </w:rPr>
        <w:t>生产设备厂家授权委托书</w:t>
      </w:r>
      <w:r>
        <w:rPr>
          <w:rFonts w:hint="eastAsia" w:ascii="宋体" w:hAnsi="宋体" w:cs="宋体"/>
          <w:b/>
          <w:bCs/>
          <w:kern w:val="0"/>
          <w:sz w:val="24"/>
          <w:lang w:val="en-US" w:eastAsia="zh-CN"/>
        </w:rPr>
        <w:t>，</w:t>
      </w:r>
      <w:r>
        <w:rPr>
          <w:rFonts w:hint="eastAsia" w:ascii="宋体" w:hAnsi="宋体" w:eastAsia="宋体" w:cs="宋体"/>
          <w:b/>
          <w:bCs/>
          <w:kern w:val="0"/>
          <w:sz w:val="24"/>
        </w:rPr>
        <w:t>技术参数描述、</w:t>
      </w:r>
      <w:r>
        <w:rPr>
          <w:rFonts w:hint="eastAsia" w:ascii="宋体" w:hAnsi="宋体" w:cs="宋体"/>
          <w:b/>
          <w:bCs/>
          <w:kern w:val="0"/>
          <w:sz w:val="24"/>
          <w:lang w:val="en-US" w:eastAsia="zh-CN"/>
        </w:rPr>
        <w:t>主要</w:t>
      </w:r>
      <w:r>
        <w:rPr>
          <w:rFonts w:hint="eastAsia" w:ascii="宋体" w:hAnsi="宋体" w:eastAsia="宋体" w:cs="宋体"/>
          <w:b/>
          <w:bCs/>
          <w:kern w:val="0"/>
          <w:sz w:val="24"/>
        </w:rPr>
        <w:t>产品彩页、</w:t>
      </w:r>
      <w:r>
        <w:rPr>
          <w:rFonts w:hint="eastAsia" w:ascii="宋体" w:hAnsi="宋体" w:eastAsia="宋体" w:cs="宋体"/>
          <w:b/>
          <w:bCs/>
          <w:kern w:val="0"/>
          <w:sz w:val="24"/>
          <w:lang w:val="en-US" w:eastAsia="zh-CN"/>
        </w:rPr>
        <w:t>主要</w:t>
      </w:r>
      <w:r>
        <w:rPr>
          <w:rFonts w:hint="eastAsia" w:ascii="宋体" w:hAnsi="宋体" w:eastAsia="宋体" w:cs="宋体"/>
          <w:b/>
          <w:bCs/>
          <w:kern w:val="0"/>
          <w:sz w:val="24"/>
        </w:rPr>
        <w:t>设备性能情况</w:t>
      </w:r>
      <w:r>
        <w:rPr>
          <w:rFonts w:hint="eastAsia" w:ascii="宋体" w:hAnsi="宋体" w:cs="宋体"/>
          <w:b/>
          <w:bCs/>
          <w:kern w:val="0"/>
          <w:sz w:val="24"/>
          <w:lang w:eastAsia="zh-CN"/>
        </w:rPr>
        <w:t>、</w:t>
      </w:r>
      <w:r>
        <w:rPr>
          <w:rFonts w:hint="eastAsia" w:ascii="宋体" w:hAnsi="宋体" w:cs="宋体"/>
          <w:b/>
          <w:bCs/>
          <w:kern w:val="0"/>
          <w:sz w:val="24"/>
          <w:lang w:val="en-US" w:eastAsia="zh-CN"/>
        </w:rPr>
        <w:t>主要产品资料，</w:t>
      </w:r>
    </w:p>
    <w:p>
      <w:pPr>
        <w:pStyle w:val="5"/>
        <w:numPr>
          <w:ilvl w:val="0"/>
          <w:numId w:val="0"/>
        </w:numPr>
        <w:bidi w:val="0"/>
        <w:jc w:val="center"/>
        <w:rPr>
          <w:rFonts w:hint="eastAsia"/>
          <w:b/>
          <w:bCs/>
          <w:lang w:val="en-US" w:eastAsia="zh-CN"/>
        </w:rPr>
      </w:pPr>
      <w:bookmarkStart w:id="56" w:name="_Toc1646"/>
      <w:bookmarkStart w:id="57" w:name="_Toc25444"/>
      <w:bookmarkStart w:id="58" w:name="_Toc21860"/>
      <w:bookmarkStart w:id="59" w:name="_Toc13563"/>
    </w:p>
    <w:p>
      <w:pPr>
        <w:pStyle w:val="5"/>
        <w:numPr>
          <w:ilvl w:val="0"/>
          <w:numId w:val="0"/>
        </w:numPr>
        <w:bidi w:val="0"/>
        <w:jc w:val="center"/>
        <w:rPr>
          <w:rFonts w:hint="eastAsia"/>
          <w:b/>
          <w:bCs/>
          <w:lang w:val="en-US" w:eastAsia="zh-CN"/>
        </w:rPr>
      </w:pPr>
    </w:p>
    <w:p>
      <w:pPr>
        <w:pStyle w:val="5"/>
        <w:numPr>
          <w:ilvl w:val="0"/>
          <w:numId w:val="0"/>
        </w:numPr>
        <w:bidi w:val="0"/>
        <w:jc w:val="both"/>
        <w:rPr>
          <w:rFonts w:hint="eastAsia"/>
          <w:b/>
          <w:bCs/>
          <w:lang w:val="en-US" w:eastAsia="zh-CN"/>
        </w:rPr>
      </w:pPr>
    </w:p>
    <w:p>
      <w:pPr>
        <w:rPr>
          <w:rFonts w:hint="eastAsia"/>
          <w:b/>
          <w:bCs/>
          <w:lang w:val="en-US" w:eastAsia="zh-CN"/>
        </w:rPr>
      </w:pPr>
    </w:p>
    <w:p>
      <w:pPr>
        <w:pStyle w:val="2"/>
        <w:rPr>
          <w:rFonts w:hint="eastAsia"/>
          <w:b/>
          <w:bCs/>
          <w:lang w:val="en-US" w:eastAsia="zh-CN"/>
        </w:rPr>
      </w:pPr>
    </w:p>
    <w:p>
      <w:pPr>
        <w:rPr>
          <w:rFonts w:hint="eastAsia"/>
          <w:b/>
          <w:bCs/>
          <w:lang w:val="en-US" w:eastAsia="zh-CN"/>
        </w:rPr>
      </w:pPr>
    </w:p>
    <w:p>
      <w:pPr>
        <w:pStyle w:val="2"/>
        <w:rPr>
          <w:rFonts w:hint="eastAsia"/>
          <w:lang w:val="en-US" w:eastAsia="zh-CN"/>
        </w:rPr>
      </w:pPr>
    </w:p>
    <w:p>
      <w:pPr>
        <w:pStyle w:val="5"/>
        <w:numPr>
          <w:ilvl w:val="0"/>
          <w:numId w:val="0"/>
        </w:numPr>
        <w:bidi w:val="0"/>
        <w:jc w:val="center"/>
        <w:rPr>
          <w:rFonts w:hint="eastAsia"/>
        </w:rPr>
      </w:pPr>
      <w:r>
        <w:rPr>
          <w:rFonts w:hint="eastAsia"/>
          <w:b/>
          <w:bCs/>
          <w:lang w:val="en-US" w:eastAsia="zh-CN"/>
        </w:rPr>
        <w:t>二、</w:t>
      </w:r>
      <w:r>
        <w:rPr>
          <w:rFonts w:hint="eastAsia"/>
        </w:rPr>
        <w:t>售后服务承诺书</w:t>
      </w:r>
      <w:bookmarkEnd w:id="56"/>
      <w:bookmarkEnd w:id="57"/>
      <w:bookmarkEnd w:id="58"/>
      <w:bookmarkEnd w:id="59"/>
    </w:p>
    <w:p>
      <w:pPr>
        <w:spacing w:line="400" w:lineRule="exact"/>
        <w:ind w:firstLine="480"/>
        <w:rPr>
          <w:rFonts w:hint="eastAsia" w:ascii="宋体" w:hAnsi="宋体" w:eastAsia="宋体" w:cs="宋体"/>
          <w:b/>
          <w:color w:val="000000"/>
          <w:sz w:val="36"/>
          <w:szCs w:val="36"/>
        </w:rPr>
      </w:pPr>
      <w:r>
        <w:rPr>
          <w:rFonts w:hint="eastAsia" w:ascii="宋体" w:hAnsi="宋体" w:eastAsia="宋体" w:cs="宋体"/>
          <w:color w:val="000000"/>
          <w:kern w:val="0"/>
        </w:rPr>
        <w:t>我单位愿意对</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u w:val="single"/>
        </w:rPr>
        <w:t xml:space="preserve">（项目名称） </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rPr>
        <w:t xml:space="preserve"> 做出以下服务承诺（包括但不限于以下内容）：</w:t>
      </w:r>
    </w:p>
    <w:p>
      <w:pPr>
        <w:spacing w:line="400" w:lineRule="exact"/>
        <w:ind w:firstLine="417" w:firstLineChars="199"/>
        <w:rPr>
          <w:rFonts w:hint="eastAsia" w:ascii="宋体" w:hAnsi="宋体" w:eastAsia="宋体" w:cs="宋体"/>
          <w:color w:val="000000"/>
          <w:kern w:val="0"/>
        </w:rPr>
      </w:pPr>
      <w:r>
        <w:rPr>
          <w:rFonts w:hint="eastAsia" w:ascii="宋体" w:hAnsi="宋体" w:eastAsia="宋体" w:cs="宋体"/>
          <w:color w:val="000000"/>
          <w:kern w:val="0"/>
        </w:rPr>
        <w:t>一、按照招标书提供的相关规定，保质、保量供应所需货物，做到营业执照、税务登记证等各类资质齐全。若供应的货物出现质量问题，引发不良事件发生，由我方承担全部经济责任和法律责任。</w:t>
      </w:r>
    </w:p>
    <w:p>
      <w:pPr>
        <w:spacing w:line="400" w:lineRule="exact"/>
        <w:ind w:firstLine="417" w:firstLineChars="199"/>
        <w:rPr>
          <w:rFonts w:hint="eastAsia" w:ascii="宋体" w:hAnsi="宋体" w:eastAsia="宋体" w:cs="宋体"/>
          <w:color w:val="000000"/>
          <w:kern w:val="0"/>
        </w:rPr>
      </w:pPr>
      <w:r>
        <w:rPr>
          <w:rFonts w:hint="eastAsia" w:ascii="宋体" w:hAnsi="宋体" w:eastAsia="宋体" w:cs="宋体"/>
          <w:color w:val="000000"/>
          <w:kern w:val="0"/>
        </w:rPr>
        <w:t>二、在服务过程中，我方严格按照甲方要求的时间供货，由于我方原因未按时将货物送达指定地点，给甲方造成的损失概由我方承担。</w:t>
      </w:r>
    </w:p>
    <w:p>
      <w:pPr>
        <w:spacing w:line="400" w:lineRule="exact"/>
        <w:ind w:firstLine="417" w:firstLineChars="199"/>
        <w:rPr>
          <w:rFonts w:hint="eastAsia" w:ascii="宋体" w:hAnsi="宋体" w:eastAsia="宋体" w:cs="宋体"/>
          <w:color w:val="000000"/>
          <w:szCs w:val="21"/>
        </w:rPr>
      </w:pPr>
      <w:r>
        <w:rPr>
          <w:rFonts w:hint="eastAsia" w:ascii="宋体" w:hAnsi="宋体" w:eastAsia="宋体" w:cs="宋体"/>
          <w:color w:val="000000"/>
          <w:kern w:val="0"/>
        </w:rPr>
        <w:t>三、我方保证按照甲方</w:t>
      </w:r>
      <w:r>
        <w:rPr>
          <w:rFonts w:hint="eastAsia" w:ascii="宋体" w:hAnsi="宋体" w:eastAsia="宋体" w:cs="宋体"/>
          <w:color w:val="000000"/>
          <w:szCs w:val="21"/>
        </w:rPr>
        <w:t>要求的规格、数量进行配送，</w:t>
      </w:r>
      <w:r>
        <w:rPr>
          <w:rFonts w:hint="eastAsia" w:ascii="宋体" w:hAnsi="宋体" w:eastAsia="宋体" w:cs="宋体"/>
          <w:color w:val="000000"/>
          <w:kern w:val="0"/>
        </w:rPr>
        <w:t>验收时若发现货物质量未达到招标文件规定，我方无条件在甲方规定时间内更换，由此产生的相关费用由我方承担；</w:t>
      </w:r>
      <w:r>
        <w:rPr>
          <w:rFonts w:hint="eastAsia" w:ascii="宋体" w:hAnsi="宋体" w:eastAsia="宋体" w:cs="宋体"/>
          <w:color w:val="000000"/>
          <w:szCs w:val="21"/>
        </w:rPr>
        <w:t>若未更换或未按时更换，我方自愿接受甲方的处罚。</w:t>
      </w:r>
    </w:p>
    <w:p>
      <w:pPr>
        <w:pStyle w:val="115"/>
        <w:spacing w:line="400" w:lineRule="exact"/>
        <w:ind w:firstLineChars="0"/>
        <w:rPr>
          <w:rFonts w:hint="eastAsia" w:ascii="宋体" w:hAnsi="宋体" w:eastAsia="宋体" w:cs="宋体"/>
          <w:color w:val="000000"/>
          <w:szCs w:val="21"/>
        </w:rPr>
      </w:pPr>
      <w:r>
        <w:rPr>
          <w:rFonts w:hint="eastAsia" w:ascii="宋体" w:hAnsi="宋体" w:eastAsia="宋体" w:cs="宋体"/>
          <w:color w:val="000000"/>
          <w:szCs w:val="21"/>
        </w:rPr>
        <w:t>四、若我方出现对不符合质量要求的产品不予更换或未按时更换的情况三次，甲方有权扣除我方全部履约保证金并解除本合同。</w:t>
      </w:r>
    </w:p>
    <w:p>
      <w:pPr>
        <w:pStyle w:val="115"/>
        <w:spacing w:line="400" w:lineRule="exact"/>
        <w:ind w:firstLineChars="0"/>
        <w:rPr>
          <w:rFonts w:hint="eastAsia" w:ascii="宋体" w:hAnsi="宋体" w:eastAsia="宋体" w:cs="宋体"/>
          <w:color w:val="000000"/>
          <w:szCs w:val="21"/>
        </w:rPr>
      </w:pPr>
      <w:r>
        <w:rPr>
          <w:rFonts w:hint="eastAsia" w:ascii="宋体" w:hAnsi="宋体" w:eastAsia="宋体" w:cs="宋体"/>
          <w:color w:val="000000"/>
          <w:szCs w:val="21"/>
        </w:rPr>
        <w:t xml:space="preserve">五、我方接到甲方每批次送货通知后，超过1日未能履行送货义务，甲方有权解除本合同，履约保证金予以没收。 </w:t>
      </w:r>
    </w:p>
    <w:p>
      <w:pPr>
        <w:pStyle w:val="115"/>
        <w:spacing w:line="400" w:lineRule="exact"/>
        <w:ind w:firstLine="480"/>
        <w:rPr>
          <w:rFonts w:hint="eastAsia" w:ascii="宋体" w:hAnsi="宋体" w:eastAsia="宋体" w:cs="宋体"/>
          <w:color w:val="000000"/>
          <w:szCs w:val="21"/>
        </w:rPr>
      </w:pPr>
      <w:r>
        <w:rPr>
          <w:rFonts w:hint="eastAsia" w:ascii="宋体" w:hAnsi="宋体" w:eastAsia="宋体" w:cs="宋体"/>
          <w:color w:val="000000"/>
          <w:szCs w:val="21"/>
        </w:rPr>
        <w:t>六、甲方临时补货，我方按要求按时送货，若未按时送货造成的所有损失由我方承担。</w:t>
      </w:r>
    </w:p>
    <w:p>
      <w:pPr>
        <w:spacing w:line="400" w:lineRule="exact"/>
        <w:ind w:firstLine="417" w:firstLineChars="199"/>
        <w:rPr>
          <w:rFonts w:hint="eastAsia" w:ascii="宋体" w:hAnsi="宋体" w:eastAsia="宋体" w:cs="宋体"/>
          <w:color w:val="000000"/>
          <w:kern w:val="0"/>
        </w:rPr>
      </w:pPr>
      <w:r>
        <w:rPr>
          <w:rFonts w:hint="eastAsia" w:ascii="宋体" w:hAnsi="宋体" w:eastAsia="宋体" w:cs="宋体"/>
          <w:color w:val="000000"/>
          <w:kern w:val="0"/>
        </w:rPr>
        <w:t>七、在服务过程中，我方保证不得向</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u w:val="single"/>
        </w:rPr>
        <w:t xml:space="preserve">（采购人） </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rPr>
        <w:t xml:space="preserve"> 相关人员提供回扣等违纪事件的发生。</w:t>
      </w:r>
    </w:p>
    <w:p>
      <w:pPr>
        <w:spacing w:line="400" w:lineRule="exact"/>
        <w:ind w:firstLine="417" w:firstLineChars="199"/>
        <w:rPr>
          <w:rFonts w:hint="eastAsia" w:ascii="宋体" w:hAnsi="宋体" w:eastAsia="宋体" w:cs="宋体"/>
          <w:color w:val="000000"/>
          <w:kern w:val="0"/>
        </w:rPr>
      </w:pPr>
      <w:r>
        <w:rPr>
          <w:rFonts w:hint="eastAsia" w:ascii="宋体" w:hAnsi="宋体" w:eastAsia="宋体" w:cs="宋体"/>
          <w:color w:val="000000"/>
          <w:kern w:val="0"/>
        </w:rPr>
        <w:t>八、我方承诺参加此次招标采购活动前三年内，无违法违规行为，无行业处罚、惩戒等不良执业记录及不良反映。如有隐瞒，我单位将承担一切法律后果。</w:t>
      </w:r>
    </w:p>
    <w:p>
      <w:pPr>
        <w:spacing w:line="400" w:lineRule="exact"/>
        <w:ind w:firstLine="417" w:firstLineChars="199"/>
        <w:rPr>
          <w:rFonts w:hint="eastAsia" w:ascii="宋体" w:hAnsi="宋体" w:eastAsia="宋体" w:cs="宋体"/>
          <w:color w:val="000000"/>
          <w:kern w:val="0"/>
        </w:rPr>
      </w:pPr>
      <w:r>
        <w:rPr>
          <w:rFonts w:hint="eastAsia" w:ascii="宋体" w:hAnsi="宋体" w:eastAsia="宋体" w:cs="宋体"/>
          <w:color w:val="000000"/>
          <w:kern w:val="0"/>
        </w:rPr>
        <w:t>九、对于违反上述条款要求，</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u w:val="single"/>
        </w:rPr>
        <w:t xml:space="preserve">（采购人） </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rPr>
        <w:t xml:space="preserve"> 有权终止和取消我单位的供货资格。</w:t>
      </w:r>
    </w:p>
    <w:p>
      <w:pPr>
        <w:ind w:firstLine="1995" w:firstLineChars="950"/>
        <w:rPr>
          <w:rFonts w:hint="eastAsia" w:ascii="宋体" w:hAnsi="宋体" w:eastAsia="宋体" w:cs="宋体"/>
          <w:color w:val="000000"/>
          <w:szCs w:val="21"/>
        </w:rPr>
      </w:pPr>
    </w:p>
    <w:p>
      <w:pPr>
        <w:spacing w:line="360" w:lineRule="auto"/>
        <w:ind w:firstLine="420" w:firstLineChars="199"/>
        <w:rPr>
          <w:rFonts w:hint="eastAsia" w:ascii="宋体" w:hAnsi="宋体" w:eastAsia="宋体" w:cs="宋体"/>
          <w:b/>
          <w:color w:val="000000"/>
          <w:kern w:val="0"/>
        </w:rPr>
      </w:pPr>
      <w:r>
        <w:rPr>
          <w:rFonts w:hint="eastAsia" w:ascii="宋体" w:hAnsi="宋体" w:eastAsia="宋体" w:cs="宋体"/>
          <w:b/>
          <w:color w:val="000000"/>
          <w:kern w:val="0"/>
        </w:rPr>
        <w:t>注：投标人可根据本单位情况自行编写和增加售后服务承诺条款或服务方案，充分体现本单位优质高效的售后服务和竞争优势，但须承诺满足以上基本要求并在售后服务承诺书中明确体现以上条款。</w:t>
      </w:r>
    </w:p>
    <w:p>
      <w:pPr>
        <w:adjustRightInd w:val="0"/>
        <w:spacing w:line="360" w:lineRule="auto"/>
        <w:ind w:firstLine="4410" w:firstLineChars="2100"/>
        <w:jc w:val="left"/>
        <w:rPr>
          <w:rFonts w:hint="eastAsia" w:ascii="宋体" w:hAnsi="宋体" w:eastAsia="宋体" w:cs="宋体"/>
          <w:bCs/>
          <w:color w:val="000000"/>
          <w:szCs w:val="21"/>
          <w:u w:val="single"/>
        </w:rPr>
      </w:pPr>
      <w:r>
        <w:rPr>
          <w:rFonts w:hint="eastAsia" w:ascii="宋体" w:hAnsi="宋体" w:cs="宋体"/>
          <w:bCs/>
          <w:color w:val="000000"/>
          <w:szCs w:val="21"/>
          <w:lang w:val="en-US" w:eastAsia="zh-CN"/>
        </w:rPr>
        <w:t>供应商</w:t>
      </w:r>
      <w:r>
        <w:rPr>
          <w:rFonts w:hint="eastAsia" w:ascii="宋体" w:hAnsi="宋体" w:eastAsia="宋体" w:cs="宋体"/>
          <w:bCs/>
          <w:color w:val="000000"/>
          <w:szCs w:val="21"/>
        </w:rPr>
        <w:t>名称：</w:t>
      </w:r>
      <w:r>
        <w:rPr>
          <w:rFonts w:hint="eastAsia" w:ascii="宋体" w:hAnsi="宋体" w:eastAsia="宋体" w:cs="宋体"/>
          <w:bCs/>
          <w:color w:val="000000"/>
          <w:szCs w:val="21"/>
          <w:u w:val="single"/>
        </w:rPr>
        <w:t xml:space="preserve">                  （盖章）</w:t>
      </w:r>
    </w:p>
    <w:p>
      <w:pPr>
        <w:adjustRightInd w:val="0"/>
        <w:spacing w:line="360" w:lineRule="auto"/>
        <w:ind w:firstLine="4410" w:firstLineChars="2100"/>
        <w:jc w:val="left"/>
        <w:rPr>
          <w:rFonts w:hint="eastAsia" w:ascii="宋体" w:hAnsi="宋体" w:eastAsia="宋体" w:cs="宋体"/>
          <w:bCs/>
          <w:color w:val="000000"/>
          <w:szCs w:val="21"/>
        </w:rPr>
      </w:pPr>
      <w:r>
        <w:rPr>
          <w:rFonts w:hint="eastAsia" w:ascii="宋体" w:hAnsi="宋体" w:eastAsia="宋体" w:cs="宋体"/>
          <w:color w:val="000000"/>
          <w:szCs w:val="21"/>
        </w:rPr>
        <w:t>法定代表人</w:t>
      </w:r>
      <w:r>
        <w:rPr>
          <w:rFonts w:hint="eastAsia" w:ascii="宋体" w:hAnsi="宋体" w:eastAsia="宋体" w:cs="宋体"/>
          <w:bCs/>
          <w:color w:val="000000"/>
          <w:szCs w:val="21"/>
        </w:rPr>
        <w:t>：</w:t>
      </w:r>
      <w:r>
        <w:rPr>
          <w:rFonts w:hint="eastAsia" w:ascii="宋体" w:hAnsi="宋体" w:eastAsia="宋体" w:cs="宋体"/>
          <w:bCs/>
          <w:color w:val="000000"/>
          <w:szCs w:val="21"/>
          <w:u w:val="single"/>
        </w:rPr>
        <w:t xml:space="preserve">              </w:t>
      </w:r>
      <w:r>
        <w:rPr>
          <w:rFonts w:hint="eastAsia" w:ascii="宋体" w:hAnsi="宋体" w:eastAsia="宋体" w:cs="宋体"/>
          <w:color w:val="000000"/>
          <w:szCs w:val="21"/>
          <w:u w:val="single"/>
        </w:rPr>
        <w:t>（签</w:t>
      </w:r>
      <w:r>
        <w:rPr>
          <w:rFonts w:hint="eastAsia" w:ascii="宋体" w:hAnsi="宋体" w:cs="宋体"/>
          <w:color w:val="000000"/>
          <w:szCs w:val="21"/>
          <w:u w:val="single"/>
          <w:lang w:val="en-US" w:eastAsia="zh-CN"/>
        </w:rPr>
        <w:t>字</w:t>
      </w:r>
      <w:r>
        <w:rPr>
          <w:rFonts w:hint="eastAsia" w:ascii="宋体" w:hAnsi="宋体" w:eastAsia="宋体" w:cs="宋体"/>
          <w:color w:val="000000"/>
          <w:szCs w:val="21"/>
          <w:u w:val="single"/>
        </w:rPr>
        <w:t>或盖章）</w:t>
      </w:r>
    </w:p>
    <w:p>
      <w:pPr>
        <w:pStyle w:val="128"/>
        <w:rPr>
          <w:rFonts w:hint="default" w:ascii="宋体" w:hAnsi="宋体" w:cs="宋体"/>
          <w:b/>
          <w:bCs/>
          <w:kern w:val="0"/>
          <w:sz w:val="24"/>
          <w:lang w:val="en-US" w:eastAsia="zh-CN"/>
        </w:rPr>
      </w:pPr>
      <w:r>
        <w:rPr>
          <w:rFonts w:hint="eastAsia" w:ascii="宋体" w:hAnsi="宋体" w:eastAsia="宋体" w:cs="宋体"/>
          <w:b w:val="0"/>
          <w:color w:val="000000"/>
          <w:sz w:val="21"/>
          <w:szCs w:val="21"/>
        </w:rPr>
        <w:t xml:space="preserve">      </w:t>
      </w:r>
      <w:r>
        <w:rPr>
          <w:rFonts w:hint="eastAsia" w:ascii="宋体" w:hAnsi="宋体" w:cs="宋体"/>
          <w:b w:val="0"/>
          <w:color w:val="000000"/>
          <w:sz w:val="21"/>
          <w:szCs w:val="21"/>
          <w:lang w:val="en-US" w:eastAsia="zh-CN"/>
        </w:rPr>
        <w:t xml:space="preserve">                             </w:t>
      </w:r>
      <w:r>
        <w:rPr>
          <w:rFonts w:hint="eastAsia" w:ascii="宋体" w:hAnsi="宋体" w:eastAsia="宋体" w:cs="宋体"/>
          <w:b w:val="0"/>
          <w:color w:val="000000"/>
          <w:sz w:val="21"/>
          <w:szCs w:val="21"/>
        </w:rPr>
        <w:t xml:space="preserve">   </w:t>
      </w:r>
      <w:bookmarkStart w:id="60" w:name="_Toc20444"/>
      <w:bookmarkStart w:id="61" w:name="_Toc31120"/>
      <w:bookmarkStart w:id="62" w:name="_Toc32649"/>
      <w:bookmarkStart w:id="63" w:name="_Toc23096"/>
      <w:bookmarkStart w:id="64" w:name="_Toc8620"/>
      <w:bookmarkStart w:id="65" w:name="_Toc29837"/>
      <w:r>
        <w:rPr>
          <w:rFonts w:hint="eastAsia" w:ascii="宋体" w:hAnsi="宋体" w:eastAsia="宋体" w:cs="宋体"/>
          <w:b w:val="0"/>
          <w:color w:val="000000"/>
          <w:sz w:val="21"/>
          <w:szCs w:val="21"/>
        </w:rPr>
        <w:t>日      期:</w:t>
      </w:r>
      <w:bookmarkEnd w:id="60"/>
      <w:bookmarkEnd w:id="61"/>
      <w:bookmarkEnd w:id="62"/>
      <w:bookmarkEnd w:id="63"/>
      <w:bookmarkEnd w:id="64"/>
      <w:bookmarkEnd w:id="65"/>
      <w:r>
        <w:rPr>
          <w:rFonts w:hint="eastAsia" w:ascii="宋体" w:hAnsi="宋体" w:eastAsia="宋体" w:cs="宋体"/>
          <w:b w:val="0"/>
          <w:color w:val="000000"/>
          <w:sz w:val="21"/>
          <w:szCs w:val="21"/>
        </w:rPr>
        <w:t xml:space="preserve">  </w:t>
      </w:r>
    </w:p>
    <w:p>
      <w:pPr>
        <w:pStyle w:val="15"/>
        <w:jc w:val="left"/>
        <w:rPr>
          <w:rFonts w:hint="default" w:asciiTheme="majorEastAsia" w:hAnsiTheme="majorEastAsia" w:eastAsiaTheme="majorEastAsia"/>
          <w:b/>
          <w:bCs/>
          <w:spacing w:val="1"/>
          <w:szCs w:val="21"/>
          <w:lang w:val="en-US" w:eastAsia="zh-CN"/>
        </w:rPr>
      </w:pPr>
    </w:p>
    <w:p>
      <w:pPr>
        <w:pStyle w:val="15"/>
        <w:jc w:val="left"/>
        <w:rPr>
          <w:rFonts w:hint="default" w:asciiTheme="majorEastAsia" w:hAnsiTheme="majorEastAsia" w:eastAsiaTheme="majorEastAsia"/>
          <w:b/>
          <w:bCs/>
          <w:spacing w:val="1"/>
          <w:szCs w:val="21"/>
          <w:lang w:val="en-US" w:eastAsia="zh-CN"/>
        </w:rPr>
      </w:pPr>
    </w:p>
    <w:p>
      <w:pPr>
        <w:pStyle w:val="15"/>
        <w:jc w:val="left"/>
        <w:rPr>
          <w:rFonts w:hint="default" w:asciiTheme="majorEastAsia" w:hAnsiTheme="majorEastAsia" w:eastAsiaTheme="majorEastAsia"/>
          <w:b/>
          <w:bCs/>
          <w:spacing w:val="1"/>
          <w:szCs w:val="21"/>
          <w:lang w:val="en-US" w:eastAsia="zh-CN"/>
        </w:rPr>
      </w:pPr>
    </w:p>
    <w:p>
      <w:pPr>
        <w:pStyle w:val="15"/>
        <w:jc w:val="left"/>
        <w:rPr>
          <w:rFonts w:hint="default" w:asciiTheme="majorEastAsia" w:hAnsiTheme="majorEastAsia" w:eastAsiaTheme="majorEastAsia"/>
          <w:b/>
          <w:bCs/>
          <w:spacing w:val="1"/>
          <w:szCs w:val="21"/>
          <w:lang w:val="en-US" w:eastAsia="zh-CN"/>
        </w:rPr>
      </w:pPr>
    </w:p>
    <w:p>
      <w:pPr>
        <w:pStyle w:val="5"/>
        <w:numPr>
          <w:ilvl w:val="0"/>
          <w:numId w:val="11"/>
        </w:numPr>
        <w:bidi w:val="0"/>
        <w:jc w:val="center"/>
        <w:rPr>
          <w:rFonts w:hint="eastAsia"/>
          <w:b/>
          <w:bCs/>
          <w:lang w:val="en-US" w:eastAsia="zh-CN"/>
        </w:rPr>
      </w:pPr>
      <w:r>
        <w:rPr>
          <w:rFonts w:hint="eastAsia"/>
          <w:b/>
          <w:bCs/>
          <w:lang w:val="en-US" w:eastAsia="zh-CN"/>
        </w:rPr>
        <w:t>供货服务方案</w:t>
      </w:r>
    </w:p>
    <w:p>
      <w:pPr>
        <w:adjustRightInd w:val="0"/>
        <w:spacing w:line="360" w:lineRule="auto"/>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lang w:eastAsia="zh-CN"/>
          <w14:textFill>
            <w14:solidFill>
              <w14:schemeClr w14:val="tx1"/>
            </w14:solidFill>
          </w14:textFill>
        </w:rPr>
        <w:t>供应商</w:t>
      </w:r>
      <w:r>
        <w:rPr>
          <w:rFonts w:hint="eastAsia" w:ascii="宋体" w:hAnsi="宋体" w:cs="宋体"/>
          <w:color w:val="000000" w:themeColor="text1"/>
          <w14:textFill>
            <w14:solidFill>
              <w14:schemeClr w14:val="tx1"/>
            </w14:solidFill>
          </w14:textFill>
        </w:rPr>
        <w:t>自行编写</w:t>
      </w:r>
      <w:r>
        <w:rPr>
          <w:rFonts w:hint="eastAsia" w:ascii="宋体" w:hAnsi="宋体" w:cs="宋体"/>
          <w:color w:val="000000" w:themeColor="text1"/>
          <w:lang w:eastAsia="zh-CN"/>
          <w14:textFill>
            <w14:solidFill>
              <w14:schemeClr w14:val="tx1"/>
            </w14:solidFill>
          </w14:textFill>
        </w:rPr>
        <w:t>）</w:t>
      </w:r>
    </w:p>
    <w:p>
      <w:pPr>
        <w:adjustRightInd w:val="0"/>
        <w:spacing w:line="360" w:lineRule="auto"/>
        <w:jc w:val="center"/>
        <w:rPr>
          <w:rFonts w:hint="default" w:ascii="宋体" w:hAnsi="宋体" w:eastAsia="宋体" w:cs="宋体"/>
          <w:bCs/>
          <w:color w:val="000000"/>
          <w:szCs w:val="21"/>
          <w:lang w:val="en-US" w:eastAsia="zh-CN"/>
        </w:rPr>
      </w:pPr>
      <w:r>
        <w:rPr>
          <w:rFonts w:hint="eastAsia" w:ascii="宋体" w:hAnsi="宋体" w:eastAsia="宋体" w:cs="宋体"/>
          <w:b/>
          <w:color w:val="000000"/>
          <w:kern w:val="0"/>
        </w:rPr>
        <w:t>充分体现本单位优质高效</w:t>
      </w:r>
      <w:r>
        <w:rPr>
          <w:rFonts w:hint="eastAsia" w:ascii="宋体" w:hAnsi="宋体" w:cs="宋体"/>
          <w:b/>
          <w:color w:val="000000"/>
          <w:kern w:val="0"/>
          <w:lang w:val="en-US" w:eastAsia="zh-CN"/>
        </w:rPr>
        <w:t>的供货服务</w:t>
      </w:r>
    </w:p>
    <w:p>
      <w:pPr>
        <w:adjustRightInd w:val="0"/>
        <w:spacing w:line="360" w:lineRule="auto"/>
        <w:ind w:firstLine="4410" w:firstLineChars="2100"/>
        <w:jc w:val="left"/>
        <w:rPr>
          <w:rFonts w:hint="eastAsia" w:ascii="宋体" w:hAnsi="宋体" w:cs="宋体"/>
          <w:bCs/>
          <w:color w:val="000000"/>
          <w:szCs w:val="21"/>
          <w:lang w:val="en-US" w:eastAsia="zh-CN"/>
        </w:rPr>
      </w:pPr>
    </w:p>
    <w:p>
      <w:pPr>
        <w:adjustRightInd w:val="0"/>
        <w:spacing w:line="360" w:lineRule="auto"/>
        <w:ind w:firstLine="4410" w:firstLineChars="2100"/>
        <w:jc w:val="left"/>
        <w:rPr>
          <w:rFonts w:hint="eastAsia" w:ascii="宋体" w:hAnsi="宋体" w:eastAsia="宋体" w:cs="宋体"/>
          <w:bCs/>
          <w:color w:val="000000"/>
          <w:szCs w:val="21"/>
          <w:u w:val="single"/>
        </w:rPr>
      </w:pPr>
      <w:r>
        <w:rPr>
          <w:rFonts w:hint="eastAsia" w:ascii="宋体" w:hAnsi="宋体" w:cs="宋体"/>
          <w:bCs/>
          <w:color w:val="000000"/>
          <w:szCs w:val="21"/>
          <w:lang w:val="en-US" w:eastAsia="zh-CN"/>
        </w:rPr>
        <w:t>供应商</w:t>
      </w:r>
      <w:r>
        <w:rPr>
          <w:rFonts w:hint="eastAsia" w:ascii="宋体" w:hAnsi="宋体" w:eastAsia="宋体" w:cs="宋体"/>
          <w:bCs/>
          <w:color w:val="000000"/>
          <w:szCs w:val="21"/>
        </w:rPr>
        <w:t>名称：</w:t>
      </w:r>
      <w:r>
        <w:rPr>
          <w:rFonts w:hint="eastAsia" w:ascii="宋体" w:hAnsi="宋体" w:eastAsia="宋体" w:cs="宋体"/>
          <w:bCs/>
          <w:color w:val="000000"/>
          <w:szCs w:val="21"/>
          <w:u w:val="single"/>
        </w:rPr>
        <w:t xml:space="preserve">                  （盖章）</w:t>
      </w:r>
    </w:p>
    <w:p>
      <w:pPr>
        <w:adjustRightInd w:val="0"/>
        <w:spacing w:line="360" w:lineRule="auto"/>
        <w:ind w:firstLine="4410" w:firstLineChars="2100"/>
        <w:jc w:val="left"/>
        <w:rPr>
          <w:rFonts w:hint="eastAsia" w:ascii="宋体" w:hAnsi="宋体" w:eastAsia="宋体" w:cs="宋体"/>
          <w:bCs/>
          <w:color w:val="000000"/>
          <w:szCs w:val="21"/>
        </w:rPr>
      </w:pPr>
      <w:r>
        <w:rPr>
          <w:rFonts w:hint="eastAsia" w:ascii="宋体" w:hAnsi="宋体" w:eastAsia="宋体" w:cs="宋体"/>
          <w:color w:val="000000"/>
          <w:szCs w:val="21"/>
        </w:rPr>
        <w:t>法定代表人</w:t>
      </w:r>
      <w:r>
        <w:rPr>
          <w:rFonts w:hint="eastAsia" w:ascii="宋体" w:hAnsi="宋体" w:eastAsia="宋体" w:cs="宋体"/>
          <w:bCs/>
          <w:color w:val="000000"/>
          <w:szCs w:val="21"/>
        </w:rPr>
        <w:t>：</w:t>
      </w:r>
      <w:r>
        <w:rPr>
          <w:rFonts w:hint="eastAsia" w:ascii="宋体" w:hAnsi="宋体" w:eastAsia="宋体" w:cs="宋体"/>
          <w:bCs/>
          <w:color w:val="000000"/>
          <w:szCs w:val="21"/>
          <w:u w:val="single"/>
        </w:rPr>
        <w:t xml:space="preserve">              </w:t>
      </w:r>
      <w:r>
        <w:rPr>
          <w:rFonts w:hint="eastAsia" w:ascii="宋体" w:hAnsi="宋体" w:eastAsia="宋体" w:cs="宋体"/>
          <w:color w:val="000000"/>
          <w:szCs w:val="21"/>
          <w:u w:val="single"/>
        </w:rPr>
        <w:t>（签</w:t>
      </w:r>
      <w:r>
        <w:rPr>
          <w:rFonts w:hint="eastAsia" w:ascii="宋体" w:hAnsi="宋体" w:cs="宋体"/>
          <w:color w:val="000000"/>
          <w:szCs w:val="21"/>
          <w:u w:val="single"/>
          <w:lang w:val="en-US" w:eastAsia="zh-CN"/>
        </w:rPr>
        <w:t>字</w:t>
      </w:r>
      <w:r>
        <w:rPr>
          <w:rFonts w:hint="eastAsia" w:ascii="宋体" w:hAnsi="宋体" w:eastAsia="宋体" w:cs="宋体"/>
          <w:color w:val="000000"/>
          <w:szCs w:val="21"/>
          <w:u w:val="single"/>
        </w:rPr>
        <w:t>或盖章）</w:t>
      </w:r>
    </w:p>
    <w:p>
      <w:pPr>
        <w:pStyle w:val="128"/>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 xml:space="preserve">      </w:t>
      </w:r>
      <w:r>
        <w:rPr>
          <w:rFonts w:hint="eastAsia" w:ascii="宋体" w:hAnsi="宋体" w:cs="宋体"/>
          <w:b w:val="0"/>
          <w:color w:val="000000"/>
          <w:sz w:val="21"/>
          <w:szCs w:val="21"/>
          <w:lang w:val="en-US" w:eastAsia="zh-CN"/>
        </w:rPr>
        <w:t xml:space="preserve">                             </w:t>
      </w:r>
      <w:r>
        <w:rPr>
          <w:rFonts w:hint="eastAsia" w:ascii="宋体" w:hAnsi="宋体" w:eastAsia="宋体" w:cs="宋体"/>
          <w:b w:val="0"/>
          <w:color w:val="000000"/>
          <w:sz w:val="21"/>
          <w:szCs w:val="21"/>
        </w:rPr>
        <w:t xml:space="preserve">   日      期: </w:t>
      </w:r>
    </w:p>
    <w:p>
      <w:pPr>
        <w:pStyle w:val="5"/>
        <w:numPr>
          <w:ilvl w:val="0"/>
          <w:numId w:val="0"/>
        </w:numPr>
        <w:bidi w:val="0"/>
        <w:jc w:val="both"/>
        <w:rPr>
          <w:rFonts w:hint="eastAsia"/>
          <w:b/>
          <w:bCs/>
          <w:lang w:val="en-US" w:eastAsia="zh-CN"/>
        </w:rPr>
      </w:pPr>
    </w:p>
    <w:p>
      <w:pPr>
        <w:pStyle w:val="5"/>
        <w:numPr>
          <w:ilvl w:val="0"/>
          <w:numId w:val="0"/>
        </w:numPr>
        <w:bidi w:val="0"/>
        <w:jc w:val="center"/>
        <w:rPr>
          <w:rFonts w:hint="eastAsia"/>
          <w:b/>
          <w:bCs/>
          <w:lang w:val="en-US" w:eastAsia="zh-CN"/>
        </w:rPr>
      </w:pPr>
    </w:p>
    <w:p>
      <w:pPr>
        <w:pStyle w:val="4"/>
        <w:jc w:val="center"/>
        <w:rPr>
          <w:rFonts w:hint="eastAsia" w:ascii="宋体" w:hAnsi="宋体" w:cs="宋体"/>
          <w:color w:val="000000" w:themeColor="text1"/>
          <w:sz w:val="28"/>
          <w14:textFill>
            <w14:solidFill>
              <w14:schemeClr w14:val="tx1"/>
            </w14:solidFill>
          </w14:textFill>
        </w:rPr>
      </w:pPr>
      <w:r>
        <w:rPr>
          <w:rFonts w:hint="eastAsia"/>
          <w:b/>
          <w:bCs/>
          <w:lang w:val="en-US" w:eastAsia="zh-CN"/>
        </w:rPr>
        <w:t>四、产品质量保证承诺</w:t>
      </w:r>
    </w:p>
    <w:p>
      <w:pPr>
        <w:pStyle w:val="2"/>
        <w:ind w:firstLine="0" w:firstLineChars="0"/>
        <w:jc w:val="center"/>
        <w:rPr>
          <w:rFonts w:hint="eastAsia" w:ascii="宋体" w:hAnsi="宋体" w:cs="宋体"/>
          <w:color w:val="000000" w:themeColor="text1"/>
          <w14:textFill>
            <w14:solidFill>
              <w14:schemeClr w14:val="tx1"/>
            </w14:solidFill>
          </w14:textFill>
        </w:rPr>
      </w:pPr>
    </w:p>
    <w:p>
      <w:pPr>
        <w:pStyle w:val="2"/>
        <w:ind w:firstLine="0" w:firstLineChars="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lang w:eastAsia="zh-CN"/>
          <w14:textFill>
            <w14:solidFill>
              <w14:schemeClr w14:val="tx1"/>
            </w14:solidFill>
          </w14:textFill>
        </w:rPr>
        <w:t>供应商</w:t>
      </w:r>
      <w:r>
        <w:rPr>
          <w:rFonts w:hint="eastAsia" w:ascii="宋体" w:hAnsi="宋体" w:cs="宋体"/>
          <w:color w:val="000000" w:themeColor="text1"/>
          <w14:textFill>
            <w14:solidFill>
              <w14:schemeClr w14:val="tx1"/>
            </w14:solidFill>
          </w14:textFill>
        </w:rPr>
        <w:t>自行编写）</w:t>
      </w:r>
    </w:p>
    <w:p>
      <w:pPr>
        <w:pStyle w:val="2"/>
        <w:ind w:firstLine="0" w:firstLineChars="0"/>
        <w:jc w:val="center"/>
        <w:rPr>
          <w:rFonts w:hint="eastAsia" w:ascii="宋体" w:hAnsi="宋体" w:cs="宋体"/>
          <w:color w:val="000000" w:themeColor="text1"/>
          <w14:textFill>
            <w14:solidFill>
              <w14:schemeClr w14:val="tx1"/>
            </w14:solidFill>
          </w14:textFill>
        </w:rPr>
      </w:pPr>
    </w:p>
    <w:p>
      <w:pPr>
        <w:adjustRightInd w:val="0"/>
        <w:spacing w:line="360" w:lineRule="auto"/>
        <w:jc w:val="center"/>
        <w:rPr>
          <w:rFonts w:hint="eastAsia" w:ascii="宋体" w:hAnsi="宋体" w:cs="宋体"/>
          <w:b/>
          <w:color w:val="000000"/>
          <w:kern w:val="0"/>
          <w:lang w:val="en-US" w:eastAsia="zh-CN"/>
        </w:rPr>
      </w:pPr>
      <w:r>
        <w:rPr>
          <w:rFonts w:hint="eastAsia" w:ascii="宋体" w:hAnsi="宋体" w:eastAsia="宋体" w:cs="宋体"/>
          <w:b/>
          <w:color w:val="000000"/>
          <w:kern w:val="0"/>
        </w:rPr>
        <w:t>充分体现本单位</w:t>
      </w:r>
      <w:r>
        <w:rPr>
          <w:rFonts w:hint="eastAsia" w:ascii="宋体" w:hAnsi="宋体" w:cs="宋体"/>
          <w:b/>
          <w:color w:val="000000"/>
          <w:kern w:val="0"/>
          <w:lang w:val="en-US" w:eastAsia="zh-CN"/>
        </w:rPr>
        <w:t>提供产品的优良质量</w:t>
      </w:r>
    </w:p>
    <w:p>
      <w:pPr>
        <w:adjustRightInd w:val="0"/>
        <w:spacing w:line="360" w:lineRule="auto"/>
        <w:ind w:firstLine="4410" w:firstLineChars="2100"/>
        <w:jc w:val="left"/>
        <w:rPr>
          <w:rFonts w:hint="eastAsia" w:ascii="宋体" w:hAnsi="宋体" w:eastAsia="宋体" w:cs="宋体"/>
          <w:bCs/>
          <w:color w:val="000000"/>
          <w:szCs w:val="21"/>
          <w:u w:val="single"/>
        </w:rPr>
      </w:pPr>
      <w:r>
        <w:rPr>
          <w:rFonts w:hint="eastAsia" w:ascii="宋体" w:hAnsi="宋体" w:cs="宋体"/>
          <w:bCs/>
          <w:color w:val="000000"/>
          <w:szCs w:val="21"/>
          <w:lang w:val="en-US" w:eastAsia="zh-CN"/>
        </w:rPr>
        <w:t>供应商</w:t>
      </w:r>
      <w:r>
        <w:rPr>
          <w:rFonts w:hint="eastAsia" w:ascii="宋体" w:hAnsi="宋体" w:eastAsia="宋体" w:cs="宋体"/>
          <w:bCs/>
          <w:color w:val="000000"/>
          <w:szCs w:val="21"/>
        </w:rPr>
        <w:t>名称：</w:t>
      </w:r>
      <w:r>
        <w:rPr>
          <w:rFonts w:hint="eastAsia" w:ascii="宋体" w:hAnsi="宋体" w:eastAsia="宋体" w:cs="宋体"/>
          <w:bCs/>
          <w:color w:val="000000"/>
          <w:szCs w:val="21"/>
          <w:u w:val="single"/>
        </w:rPr>
        <w:t xml:space="preserve">                  （盖章）</w:t>
      </w:r>
    </w:p>
    <w:p>
      <w:pPr>
        <w:adjustRightInd w:val="0"/>
        <w:spacing w:line="360" w:lineRule="auto"/>
        <w:ind w:firstLine="4410" w:firstLineChars="2100"/>
        <w:jc w:val="left"/>
        <w:rPr>
          <w:rFonts w:hint="eastAsia" w:ascii="宋体" w:hAnsi="宋体" w:eastAsia="宋体" w:cs="宋体"/>
          <w:bCs/>
          <w:color w:val="000000"/>
          <w:szCs w:val="21"/>
        </w:rPr>
      </w:pPr>
      <w:r>
        <w:rPr>
          <w:rFonts w:hint="eastAsia" w:ascii="宋体" w:hAnsi="宋体" w:eastAsia="宋体" w:cs="宋体"/>
          <w:color w:val="000000"/>
          <w:szCs w:val="21"/>
        </w:rPr>
        <w:t>法定代表人</w:t>
      </w:r>
      <w:r>
        <w:rPr>
          <w:rFonts w:hint="eastAsia" w:ascii="宋体" w:hAnsi="宋体" w:eastAsia="宋体" w:cs="宋体"/>
          <w:bCs/>
          <w:color w:val="000000"/>
          <w:szCs w:val="21"/>
        </w:rPr>
        <w:t>：</w:t>
      </w:r>
      <w:r>
        <w:rPr>
          <w:rFonts w:hint="eastAsia" w:ascii="宋体" w:hAnsi="宋体" w:eastAsia="宋体" w:cs="宋体"/>
          <w:bCs/>
          <w:color w:val="000000"/>
          <w:szCs w:val="21"/>
          <w:u w:val="single"/>
        </w:rPr>
        <w:t xml:space="preserve">              </w:t>
      </w:r>
      <w:r>
        <w:rPr>
          <w:rFonts w:hint="eastAsia" w:ascii="宋体" w:hAnsi="宋体" w:eastAsia="宋体" w:cs="宋体"/>
          <w:color w:val="000000"/>
          <w:szCs w:val="21"/>
          <w:u w:val="single"/>
        </w:rPr>
        <w:t>（签</w:t>
      </w:r>
      <w:r>
        <w:rPr>
          <w:rFonts w:hint="eastAsia" w:ascii="宋体" w:hAnsi="宋体" w:cs="宋体"/>
          <w:color w:val="000000"/>
          <w:szCs w:val="21"/>
          <w:u w:val="single"/>
          <w:lang w:val="en-US" w:eastAsia="zh-CN"/>
        </w:rPr>
        <w:t>字</w:t>
      </w:r>
      <w:r>
        <w:rPr>
          <w:rFonts w:hint="eastAsia" w:ascii="宋体" w:hAnsi="宋体" w:eastAsia="宋体" w:cs="宋体"/>
          <w:color w:val="000000"/>
          <w:szCs w:val="21"/>
          <w:u w:val="single"/>
        </w:rPr>
        <w:t>或盖章）</w:t>
      </w:r>
    </w:p>
    <w:p>
      <w:pPr>
        <w:pStyle w:val="128"/>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 xml:space="preserve">      </w:t>
      </w:r>
      <w:r>
        <w:rPr>
          <w:rFonts w:hint="eastAsia" w:ascii="宋体" w:hAnsi="宋体" w:cs="宋体"/>
          <w:b w:val="0"/>
          <w:color w:val="000000"/>
          <w:sz w:val="21"/>
          <w:szCs w:val="21"/>
          <w:lang w:val="en-US" w:eastAsia="zh-CN"/>
        </w:rPr>
        <w:t xml:space="preserve">                             </w:t>
      </w:r>
      <w:r>
        <w:rPr>
          <w:rFonts w:hint="eastAsia" w:ascii="宋体" w:hAnsi="宋体" w:eastAsia="宋体" w:cs="宋体"/>
          <w:b w:val="0"/>
          <w:color w:val="000000"/>
          <w:sz w:val="21"/>
          <w:szCs w:val="21"/>
        </w:rPr>
        <w:t xml:space="preserve">  </w:t>
      </w:r>
      <w:r>
        <w:rPr>
          <w:rFonts w:hint="eastAsia" w:ascii="宋体" w:hAnsi="宋体" w:cs="宋体"/>
          <w:b w:val="0"/>
          <w:color w:val="000000"/>
          <w:sz w:val="21"/>
          <w:szCs w:val="21"/>
          <w:lang w:val="en-US" w:eastAsia="zh-CN"/>
        </w:rPr>
        <w:t xml:space="preserve"> </w:t>
      </w:r>
      <w:r>
        <w:rPr>
          <w:rFonts w:hint="eastAsia" w:ascii="宋体" w:hAnsi="宋体" w:eastAsia="宋体" w:cs="宋体"/>
          <w:b w:val="0"/>
          <w:color w:val="000000"/>
          <w:sz w:val="21"/>
          <w:szCs w:val="21"/>
        </w:rPr>
        <w:t xml:space="preserve"> 日      期: </w:t>
      </w:r>
    </w:p>
    <w:p>
      <w:pPr>
        <w:pStyle w:val="128"/>
        <w:rPr>
          <w:rFonts w:hint="eastAsia" w:ascii="宋体" w:hAnsi="宋体" w:eastAsia="宋体" w:cs="宋体"/>
          <w:b w:val="0"/>
          <w:color w:val="000000"/>
          <w:sz w:val="21"/>
          <w:szCs w:val="21"/>
        </w:rPr>
      </w:pPr>
    </w:p>
    <w:p>
      <w:pPr>
        <w:keepNext w:val="0"/>
        <w:keepLines w:val="0"/>
        <w:pageBreakBefore w:val="0"/>
        <w:widowControl/>
        <w:kinsoku/>
        <w:wordWrap/>
        <w:overflowPunct/>
        <w:topLinePunct w:val="0"/>
        <w:autoSpaceDE/>
        <w:autoSpaceDN/>
        <w:bidi w:val="0"/>
        <w:adjustRightInd/>
        <w:snapToGrid/>
        <w:spacing w:line="480" w:lineRule="exact"/>
        <w:ind w:right="0"/>
        <w:jc w:val="center"/>
        <w:textAlignment w:val="auto"/>
        <w:rPr>
          <w:rFonts w:hint="eastAsia" w:ascii="黑体" w:hAnsi="黑体" w:eastAsia="宋体" w:cs="Times New Roman"/>
          <w:b/>
          <w:bCs/>
          <w:kern w:val="2"/>
          <w:sz w:val="30"/>
          <w:szCs w:val="32"/>
          <w:lang w:val="en-US" w:eastAsia="zh-CN" w:bidi="ar-SA"/>
        </w:rPr>
      </w:pPr>
      <w:r>
        <w:rPr>
          <w:rFonts w:hint="eastAsia" w:ascii="黑体" w:hAnsi="黑体" w:eastAsia="宋体" w:cs="Times New Roman"/>
          <w:b/>
          <w:bCs/>
          <w:kern w:val="2"/>
          <w:sz w:val="30"/>
          <w:szCs w:val="32"/>
          <w:lang w:val="en-US" w:eastAsia="zh-CN" w:bidi="ar-SA"/>
        </w:rPr>
        <w:t>五、培训方案</w:t>
      </w:r>
    </w:p>
    <w:p>
      <w:pPr>
        <w:pStyle w:val="128"/>
        <w:rPr>
          <w:rFonts w:hint="eastAsia" w:ascii="宋体" w:hAnsi="宋体" w:eastAsia="宋体" w:cs="宋体"/>
          <w:b w:val="0"/>
          <w:color w:val="000000"/>
          <w:sz w:val="21"/>
          <w:szCs w:val="21"/>
          <w:lang w:val="en-US" w:eastAsia="zh-CN"/>
        </w:rPr>
      </w:pPr>
    </w:p>
    <w:p>
      <w:pPr>
        <w:pStyle w:val="2"/>
        <w:ind w:firstLine="0" w:firstLineChars="0"/>
        <w:jc w:val="center"/>
        <w:rPr>
          <w:rFonts w:hint="eastAsia"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（供应商自行编写）</w:t>
      </w:r>
    </w:p>
    <w:p>
      <w:pPr>
        <w:rPr>
          <w:rFonts w:hint="default"/>
          <w:lang w:val="en-US" w:eastAsia="zh-CN"/>
        </w:rPr>
      </w:pPr>
    </w:p>
    <w:p>
      <w:pPr>
        <w:pStyle w:val="5"/>
        <w:numPr>
          <w:ilvl w:val="0"/>
          <w:numId w:val="0"/>
        </w:numPr>
        <w:bidi w:val="0"/>
        <w:ind w:lef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供应商提供完整、合理、针对性强得项目培训方案，方案内容包括但不限于培训的资料、方式、技术、人员、时间安排等</w:t>
      </w:r>
    </w:p>
    <w:p>
      <w:pPr>
        <w:adjustRightInd w:val="0"/>
        <w:spacing w:line="360" w:lineRule="auto"/>
        <w:ind w:firstLine="4410" w:firstLineChars="2100"/>
        <w:jc w:val="left"/>
        <w:rPr>
          <w:rFonts w:hint="eastAsia" w:ascii="宋体" w:hAnsi="宋体" w:cs="宋体"/>
          <w:bCs/>
          <w:color w:val="000000"/>
          <w:szCs w:val="21"/>
          <w:lang w:val="en-US" w:eastAsia="zh-CN"/>
        </w:rPr>
      </w:pPr>
    </w:p>
    <w:p>
      <w:pPr>
        <w:adjustRightInd w:val="0"/>
        <w:spacing w:line="360" w:lineRule="auto"/>
        <w:ind w:firstLine="4410" w:firstLineChars="2100"/>
        <w:jc w:val="left"/>
        <w:rPr>
          <w:rFonts w:hint="eastAsia" w:ascii="宋体" w:hAnsi="宋体" w:cs="宋体"/>
          <w:bCs/>
          <w:color w:val="000000"/>
          <w:szCs w:val="21"/>
          <w:lang w:val="en-US" w:eastAsia="zh-CN"/>
        </w:rPr>
      </w:pPr>
    </w:p>
    <w:p>
      <w:pPr>
        <w:adjustRightInd w:val="0"/>
        <w:spacing w:line="360" w:lineRule="auto"/>
        <w:ind w:firstLine="4410" w:firstLineChars="2100"/>
        <w:jc w:val="left"/>
        <w:rPr>
          <w:rFonts w:hint="eastAsia" w:ascii="宋体" w:hAnsi="宋体" w:eastAsia="宋体" w:cs="宋体"/>
          <w:bCs/>
          <w:color w:val="000000"/>
          <w:szCs w:val="21"/>
          <w:u w:val="single"/>
        </w:rPr>
      </w:pPr>
      <w:r>
        <w:rPr>
          <w:rFonts w:hint="eastAsia" w:ascii="宋体" w:hAnsi="宋体" w:cs="宋体"/>
          <w:bCs/>
          <w:color w:val="000000"/>
          <w:szCs w:val="21"/>
          <w:lang w:val="en-US" w:eastAsia="zh-CN"/>
        </w:rPr>
        <w:t>供应商</w:t>
      </w:r>
      <w:r>
        <w:rPr>
          <w:rFonts w:hint="eastAsia" w:ascii="宋体" w:hAnsi="宋体" w:eastAsia="宋体" w:cs="宋体"/>
          <w:bCs/>
          <w:color w:val="000000"/>
          <w:szCs w:val="21"/>
        </w:rPr>
        <w:t>名称：</w:t>
      </w:r>
      <w:r>
        <w:rPr>
          <w:rFonts w:hint="eastAsia" w:ascii="宋体" w:hAnsi="宋体" w:eastAsia="宋体" w:cs="宋体"/>
          <w:bCs/>
          <w:color w:val="000000"/>
          <w:szCs w:val="21"/>
          <w:u w:val="single"/>
        </w:rPr>
        <w:t xml:space="preserve">                  （盖章）</w:t>
      </w:r>
    </w:p>
    <w:p>
      <w:pPr>
        <w:adjustRightInd w:val="0"/>
        <w:spacing w:line="360" w:lineRule="auto"/>
        <w:ind w:firstLine="4410" w:firstLineChars="2100"/>
        <w:jc w:val="left"/>
        <w:rPr>
          <w:rFonts w:hint="eastAsia" w:ascii="宋体" w:hAnsi="宋体" w:eastAsia="宋体" w:cs="宋体"/>
          <w:bCs/>
          <w:color w:val="000000"/>
          <w:szCs w:val="21"/>
        </w:rPr>
      </w:pPr>
      <w:r>
        <w:rPr>
          <w:rFonts w:hint="eastAsia" w:ascii="宋体" w:hAnsi="宋体" w:eastAsia="宋体" w:cs="宋体"/>
          <w:color w:val="000000"/>
          <w:szCs w:val="21"/>
        </w:rPr>
        <w:t>法定代表人</w:t>
      </w:r>
      <w:r>
        <w:rPr>
          <w:rFonts w:hint="eastAsia" w:ascii="宋体" w:hAnsi="宋体" w:eastAsia="宋体" w:cs="宋体"/>
          <w:bCs/>
          <w:color w:val="000000"/>
          <w:szCs w:val="21"/>
        </w:rPr>
        <w:t>：</w:t>
      </w:r>
      <w:r>
        <w:rPr>
          <w:rFonts w:hint="eastAsia" w:ascii="宋体" w:hAnsi="宋体" w:eastAsia="宋体" w:cs="宋体"/>
          <w:bCs/>
          <w:color w:val="000000"/>
          <w:szCs w:val="21"/>
          <w:u w:val="single"/>
        </w:rPr>
        <w:t xml:space="preserve">              </w:t>
      </w:r>
      <w:r>
        <w:rPr>
          <w:rFonts w:hint="eastAsia" w:ascii="宋体" w:hAnsi="宋体" w:eastAsia="宋体" w:cs="宋体"/>
          <w:color w:val="000000"/>
          <w:szCs w:val="21"/>
          <w:u w:val="single"/>
        </w:rPr>
        <w:t>（签</w:t>
      </w:r>
      <w:r>
        <w:rPr>
          <w:rFonts w:hint="eastAsia" w:ascii="宋体" w:hAnsi="宋体" w:cs="宋体"/>
          <w:color w:val="000000"/>
          <w:szCs w:val="21"/>
          <w:u w:val="single"/>
          <w:lang w:val="en-US" w:eastAsia="zh-CN"/>
        </w:rPr>
        <w:t>字</w:t>
      </w:r>
      <w:r>
        <w:rPr>
          <w:rFonts w:hint="eastAsia" w:ascii="宋体" w:hAnsi="宋体" w:eastAsia="宋体" w:cs="宋体"/>
          <w:color w:val="000000"/>
          <w:szCs w:val="21"/>
          <w:u w:val="single"/>
        </w:rPr>
        <w:t>或盖章）</w:t>
      </w:r>
    </w:p>
    <w:p>
      <w:pP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 xml:space="preserve">      </w:t>
      </w:r>
      <w:r>
        <w:rPr>
          <w:rFonts w:hint="eastAsia" w:ascii="宋体" w:hAnsi="宋体" w:cs="宋体"/>
          <w:b w:val="0"/>
          <w:color w:val="000000"/>
          <w:sz w:val="21"/>
          <w:szCs w:val="21"/>
          <w:lang w:val="en-US" w:eastAsia="zh-CN"/>
        </w:rPr>
        <w:t xml:space="preserve">                             </w:t>
      </w:r>
      <w:r>
        <w:rPr>
          <w:rFonts w:hint="eastAsia" w:ascii="宋体" w:hAnsi="宋体" w:eastAsia="宋体" w:cs="宋体"/>
          <w:b w:val="0"/>
          <w:color w:val="000000"/>
          <w:sz w:val="21"/>
          <w:szCs w:val="21"/>
        </w:rPr>
        <w:t xml:space="preserve">  </w:t>
      </w:r>
      <w:r>
        <w:rPr>
          <w:rFonts w:hint="eastAsia" w:ascii="宋体" w:hAnsi="宋体" w:cs="宋体"/>
          <w:b w:val="0"/>
          <w:color w:val="000000"/>
          <w:sz w:val="21"/>
          <w:szCs w:val="21"/>
          <w:lang w:val="en-US" w:eastAsia="zh-CN"/>
        </w:rPr>
        <w:t xml:space="preserve">     </w:t>
      </w:r>
      <w:r>
        <w:rPr>
          <w:rFonts w:hint="eastAsia" w:ascii="宋体" w:hAnsi="宋体" w:eastAsia="宋体" w:cs="宋体"/>
          <w:b w:val="0"/>
          <w:color w:val="000000"/>
          <w:sz w:val="21"/>
          <w:szCs w:val="21"/>
        </w:rPr>
        <w:t>日      期:</w:t>
      </w:r>
    </w:p>
    <w:p>
      <w:pPr>
        <w:pStyle w:val="5"/>
        <w:rPr>
          <w:rFonts w:hint="eastAsia" w:ascii="宋体" w:hAnsi="宋体" w:eastAsia="宋体" w:cs="宋体"/>
          <w:b w:val="0"/>
          <w:color w:val="000000"/>
          <w:sz w:val="21"/>
          <w:szCs w:val="21"/>
        </w:rPr>
      </w:pPr>
    </w:p>
    <w:p>
      <w:pPr>
        <w:rPr>
          <w:rFonts w:hint="eastAsia" w:ascii="宋体" w:hAnsi="宋体" w:eastAsia="宋体" w:cs="宋体"/>
          <w:b w:val="0"/>
          <w:color w:val="000000"/>
          <w:sz w:val="21"/>
          <w:szCs w:val="21"/>
        </w:rPr>
      </w:pPr>
    </w:p>
    <w:p>
      <w:pPr>
        <w:numPr>
          <w:ilvl w:val="0"/>
          <w:numId w:val="0"/>
        </w:numPr>
        <w:jc w:val="both"/>
        <w:rPr>
          <w:rFonts w:hint="eastAsia" w:ascii="黑体" w:hAnsi="黑体" w:eastAsia="宋体" w:cs="Times New Roman"/>
          <w:b/>
          <w:bCs/>
          <w:kern w:val="2"/>
          <w:sz w:val="28"/>
          <w:szCs w:val="32"/>
          <w:lang w:val="en-US" w:eastAsia="zh-CN" w:bidi="ar-SA"/>
        </w:rPr>
      </w:pPr>
    </w:p>
    <w:p>
      <w:pPr>
        <w:pStyle w:val="2"/>
        <w:rPr>
          <w:rFonts w:hint="eastAsia" w:ascii="黑体" w:hAnsi="黑体" w:eastAsia="宋体" w:cs="Times New Roman"/>
          <w:b/>
          <w:bCs/>
          <w:kern w:val="2"/>
          <w:sz w:val="28"/>
          <w:szCs w:val="32"/>
          <w:lang w:val="en-US" w:eastAsia="zh-CN" w:bidi="ar-SA"/>
        </w:rPr>
      </w:pPr>
    </w:p>
    <w:p>
      <w:pPr>
        <w:pStyle w:val="2"/>
        <w:rPr>
          <w:rFonts w:hint="eastAsia" w:ascii="黑体" w:hAnsi="黑体" w:eastAsia="宋体" w:cs="Times New Roman"/>
          <w:b/>
          <w:bCs/>
          <w:kern w:val="2"/>
          <w:sz w:val="28"/>
          <w:szCs w:val="32"/>
          <w:lang w:val="en-US" w:eastAsia="zh-CN" w:bidi="ar-SA"/>
        </w:rPr>
      </w:pPr>
    </w:p>
    <w:p>
      <w:pPr>
        <w:pStyle w:val="2"/>
        <w:rPr>
          <w:rFonts w:hint="eastAsia" w:ascii="黑体" w:hAnsi="黑体" w:eastAsia="宋体" w:cs="Times New Roman"/>
          <w:b/>
          <w:bCs/>
          <w:kern w:val="2"/>
          <w:sz w:val="28"/>
          <w:szCs w:val="32"/>
          <w:lang w:val="en-US" w:eastAsia="zh-CN" w:bidi="ar-SA"/>
        </w:rPr>
      </w:pPr>
    </w:p>
    <w:p>
      <w:pPr>
        <w:numPr>
          <w:ilvl w:val="0"/>
          <w:numId w:val="12"/>
        </w:numPr>
        <w:jc w:val="center"/>
        <w:rPr>
          <w:rFonts w:hint="eastAsia" w:ascii="黑体" w:hAnsi="黑体" w:eastAsia="宋体" w:cs="Times New Roman"/>
          <w:b/>
          <w:bCs/>
          <w:kern w:val="2"/>
          <w:sz w:val="28"/>
          <w:szCs w:val="32"/>
          <w:lang w:val="en-US" w:eastAsia="zh-CN" w:bidi="ar-SA"/>
        </w:rPr>
      </w:pPr>
      <w:r>
        <w:rPr>
          <w:rFonts w:hint="eastAsia" w:ascii="黑体" w:hAnsi="黑体" w:eastAsia="宋体" w:cs="Times New Roman"/>
          <w:b/>
          <w:bCs/>
          <w:kern w:val="2"/>
          <w:sz w:val="28"/>
          <w:szCs w:val="32"/>
          <w:lang w:val="en-US" w:eastAsia="zh-CN" w:bidi="ar-SA"/>
        </w:rPr>
        <w:t>供应商认为需要提交的技术资料</w:t>
      </w:r>
    </w:p>
    <w:p>
      <w:pPr>
        <w:rPr>
          <w:rFonts w:cs="Arial" w:asciiTheme="majorEastAsia" w:hAnsiTheme="majorEastAsia" w:eastAsiaTheme="majorEastAsia"/>
          <w:sz w:val="15"/>
          <w:szCs w:val="15"/>
        </w:rPr>
      </w:pPr>
    </w:p>
    <w:sectPr>
      <w:footerReference r:id="rId12" w:type="first"/>
      <w:footerReference r:id="rId11" w:type="default"/>
      <w:pgSz w:w="11910" w:h="16840"/>
      <w:pgMar w:top="1040" w:right="1137" w:bottom="960" w:left="1080" w:header="763" w:footer="766" w:gutter="0"/>
      <w:pgNumType w:fmt="decimal"/>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Style w:val="44"/>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70</w:t>
                    </w:r>
                    <w:r>
                      <w:fldChar w:fldCharType="end"/>
                    </w:r>
                  </w:p>
                </w:txbxContent>
              </v:textbox>
            </v:shape>
          </w:pict>
        </mc:Fallback>
      </mc:AlternateContent>
    </w:r>
  </w:p>
  <w:p>
    <w:pPr>
      <w:pStyle w:val="25"/>
      <w:rPr>
        <w:rFonts w:ascii="仿宋" w:hAnsi="仿宋" w:eastAsia="仿宋" w:cs="仿宋"/>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249BF"/>
    <w:multiLevelType w:val="singleLevel"/>
    <w:tmpl w:val="C6B249BF"/>
    <w:lvl w:ilvl="0" w:tentative="0">
      <w:start w:val="5"/>
      <w:numFmt w:val="chineseCounting"/>
      <w:suff w:val="space"/>
      <w:lvlText w:val="第%1章"/>
      <w:lvlJc w:val="left"/>
      <w:rPr>
        <w:rFonts w:hint="eastAsia"/>
      </w:rPr>
    </w:lvl>
  </w:abstractNum>
  <w:abstractNum w:abstractNumId="1">
    <w:nsid w:val="C9A5E43F"/>
    <w:multiLevelType w:val="singleLevel"/>
    <w:tmpl w:val="C9A5E43F"/>
    <w:lvl w:ilvl="0" w:tentative="0">
      <w:start w:val="6"/>
      <w:numFmt w:val="chineseCounting"/>
      <w:suff w:val="nothing"/>
      <w:lvlText w:val="%1、"/>
      <w:lvlJc w:val="left"/>
      <w:rPr>
        <w:rFonts w:hint="eastAsia"/>
      </w:rPr>
    </w:lvl>
  </w:abstractNum>
  <w:abstractNum w:abstractNumId="2">
    <w:nsid w:val="DA84B741"/>
    <w:multiLevelType w:val="singleLevel"/>
    <w:tmpl w:val="DA84B741"/>
    <w:lvl w:ilvl="0" w:tentative="0">
      <w:start w:val="2"/>
      <w:numFmt w:val="chineseCounting"/>
      <w:suff w:val="space"/>
      <w:lvlText w:val="第%1章"/>
      <w:lvlJc w:val="left"/>
      <w:rPr>
        <w:rFonts w:hint="eastAsia"/>
      </w:rPr>
    </w:lvl>
  </w:abstractNum>
  <w:abstractNum w:abstractNumId="3">
    <w:nsid w:val="23C69ABA"/>
    <w:multiLevelType w:val="singleLevel"/>
    <w:tmpl w:val="23C69ABA"/>
    <w:lvl w:ilvl="0" w:tentative="0">
      <w:start w:val="1"/>
      <w:numFmt w:val="decimal"/>
      <w:lvlText w:val="%1."/>
      <w:lvlJc w:val="left"/>
      <w:pPr>
        <w:tabs>
          <w:tab w:val="left" w:pos="312"/>
        </w:tabs>
        <w:ind w:left="179" w:firstLine="0"/>
      </w:pPr>
    </w:lvl>
  </w:abstractNum>
  <w:abstractNum w:abstractNumId="4">
    <w:nsid w:val="38C13600"/>
    <w:multiLevelType w:val="singleLevel"/>
    <w:tmpl w:val="38C13600"/>
    <w:lvl w:ilvl="0" w:tentative="0">
      <w:start w:val="3"/>
      <w:numFmt w:val="chineseCounting"/>
      <w:suff w:val="nothing"/>
      <w:lvlText w:val="%1、"/>
      <w:lvlJc w:val="left"/>
      <w:rPr>
        <w:rFonts w:hint="eastAsia"/>
      </w:rPr>
    </w:lvl>
  </w:abstractNum>
  <w:abstractNum w:abstractNumId="5">
    <w:nsid w:val="3E8AB405"/>
    <w:multiLevelType w:val="singleLevel"/>
    <w:tmpl w:val="3E8AB405"/>
    <w:lvl w:ilvl="0" w:tentative="0">
      <w:start w:val="8"/>
      <w:numFmt w:val="decimal"/>
      <w:lvlText w:val="%1."/>
      <w:lvlJc w:val="left"/>
      <w:pPr>
        <w:tabs>
          <w:tab w:val="left" w:pos="312"/>
        </w:tabs>
      </w:pPr>
    </w:lvl>
  </w:abstractNum>
  <w:abstractNum w:abstractNumId="6">
    <w:nsid w:val="5A3CD190"/>
    <w:multiLevelType w:val="singleLevel"/>
    <w:tmpl w:val="5A3CD190"/>
    <w:lvl w:ilvl="0" w:tentative="0">
      <w:start w:val="1"/>
      <w:numFmt w:val="decimal"/>
      <w:suff w:val="nothing"/>
      <w:lvlText w:val="（%1）"/>
      <w:lvlJc w:val="left"/>
      <w:rPr>
        <w:rFonts w:cs="Times New Roman"/>
      </w:rPr>
    </w:lvl>
  </w:abstractNum>
  <w:abstractNum w:abstractNumId="7">
    <w:nsid w:val="5A460490"/>
    <w:multiLevelType w:val="singleLevel"/>
    <w:tmpl w:val="5A460490"/>
    <w:lvl w:ilvl="0" w:tentative="0">
      <w:start w:val="1"/>
      <w:numFmt w:val="decimal"/>
      <w:suff w:val="nothing"/>
      <w:lvlText w:val="（%1）"/>
      <w:lvlJc w:val="left"/>
      <w:rPr>
        <w:rFonts w:cs="Times New Roman"/>
      </w:rPr>
    </w:lvl>
  </w:abstractNum>
  <w:abstractNum w:abstractNumId="8">
    <w:nsid w:val="5A4604BA"/>
    <w:multiLevelType w:val="singleLevel"/>
    <w:tmpl w:val="5A4604BA"/>
    <w:lvl w:ilvl="0" w:tentative="0">
      <w:start w:val="1"/>
      <w:numFmt w:val="decimal"/>
      <w:suff w:val="nothing"/>
      <w:lvlText w:val="（%1）"/>
      <w:lvlJc w:val="left"/>
      <w:rPr>
        <w:rFonts w:cs="Times New Roman"/>
      </w:rPr>
    </w:lvl>
  </w:abstractNum>
  <w:abstractNum w:abstractNumId="9">
    <w:nsid w:val="5DBF1635"/>
    <w:multiLevelType w:val="singleLevel"/>
    <w:tmpl w:val="5DBF1635"/>
    <w:lvl w:ilvl="0" w:tentative="0">
      <w:start w:val="3"/>
      <w:numFmt w:val="decimal"/>
      <w:suff w:val="nothing"/>
      <w:lvlText w:val="（%1）"/>
      <w:lvlJc w:val="left"/>
    </w:lvl>
  </w:abstractNum>
  <w:abstractNum w:abstractNumId="10">
    <w:nsid w:val="6496F1CA"/>
    <w:multiLevelType w:val="singleLevel"/>
    <w:tmpl w:val="6496F1CA"/>
    <w:lvl w:ilvl="0" w:tentative="0">
      <w:start w:val="1"/>
      <w:numFmt w:val="decimal"/>
      <w:suff w:val="nothing"/>
      <w:lvlText w:val="%1、"/>
      <w:lvlJc w:val="left"/>
    </w:lvl>
  </w:abstractNum>
  <w:abstractNum w:abstractNumId="11">
    <w:nsid w:val="6D8CDAE6"/>
    <w:multiLevelType w:val="singleLevel"/>
    <w:tmpl w:val="6D8CDAE6"/>
    <w:lvl w:ilvl="0" w:tentative="0">
      <w:start w:val="2"/>
      <w:numFmt w:val="decimal"/>
      <w:lvlText w:val="%1."/>
      <w:lvlJc w:val="left"/>
      <w:pPr>
        <w:tabs>
          <w:tab w:val="left" w:pos="312"/>
        </w:tabs>
      </w:pPr>
    </w:lvl>
  </w:abstractNum>
  <w:num w:numId="1">
    <w:abstractNumId w:val="2"/>
  </w:num>
  <w:num w:numId="2">
    <w:abstractNumId w:val="10"/>
  </w:num>
  <w:num w:numId="3">
    <w:abstractNumId w:val="3"/>
  </w:num>
  <w:num w:numId="4">
    <w:abstractNumId w:val="9"/>
  </w:num>
  <w:num w:numId="5">
    <w:abstractNumId w:val="7"/>
  </w:num>
  <w:num w:numId="6">
    <w:abstractNumId w:val="8"/>
  </w:num>
  <w:num w:numId="7">
    <w:abstractNumId w:val="6"/>
  </w:num>
  <w:num w:numId="8">
    <w:abstractNumId w:val="0"/>
  </w:num>
  <w:num w:numId="9">
    <w:abstractNumId w:val="5"/>
  </w:num>
  <w:num w:numId="10">
    <w:abstractNumId w:val="11"/>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E7C"/>
    <w:rsid w:val="00000DBF"/>
    <w:rsid w:val="0000224F"/>
    <w:rsid w:val="000055EA"/>
    <w:rsid w:val="000070FA"/>
    <w:rsid w:val="000076B3"/>
    <w:rsid w:val="00007E68"/>
    <w:rsid w:val="0001145D"/>
    <w:rsid w:val="000117DC"/>
    <w:rsid w:val="00011BC4"/>
    <w:rsid w:val="0001237D"/>
    <w:rsid w:val="000138F4"/>
    <w:rsid w:val="00013EAE"/>
    <w:rsid w:val="0001413B"/>
    <w:rsid w:val="0001469F"/>
    <w:rsid w:val="00014C40"/>
    <w:rsid w:val="00017E07"/>
    <w:rsid w:val="0002157F"/>
    <w:rsid w:val="00024891"/>
    <w:rsid w:val="00025B31"/>
    <w:rsid w:val="00031089"/>
    <w:rsid w:val="00031D17"/>
    <w:rsid w:val="00031E8A"/>
    <w:rsid w:val="00033A2F"/>
    <w:rsid w:val="00034662"/>
    <w:rsid w:val="0003594B"/>
    <w:rsid w:val="00037552"/>
    <w:rsid w:val="00043927"/>
    <w:rsid w:val="00044284"/>
    <w:rsid w:val="00050251"/>
    <w:rsid w:val="00054A54"/>
    <w:rsid w:val="00054C9B"/>
    <w:rsid w:val="0005594F"/>
    <w:rsid w:val="00055C23"/>
    <w:rsid w:val="00057203"/>
    <w:rsid w:val="00060AFE"/>
    <w:rsid w:val="00060E21"/>
    <w:rsid w:val="0006107B"/>
    <w:rsid w:val="00061183"/>
    <w:rsid w:val="00061AF7"/>
    <w:rsid w:val="000624D1"/>
    <w:rsid w:val="00062E6A"/>
    <w:rsid w:val="00064D5F"/>
    <w:rsid w:val="00065124"/>
    <w:rsid w:val="00066873"/>
    <w:rsid w:val="00067378"/>
    <w:rsid w:val="0006771F"/>
    <w:rsid w:val="00070CF5"/>
    <w:rsid w:val="00070F4E"/>
    <w:rsid w:val="00071F9E"/>
    <w:rsid w:val="000720D2"/>
    <w:rsid w:val="00073212"/>
    <w:rsid w:val="00073D93"/>
    <w:rsid w:val="00073E71"/>
    <w:rsid w:val="00074AB4"/>
    <w:rsid w:val="0007682C"/>
    <w:rsid w:val="00076D8D"/>
    <w:rsid w:val="000774FC"/>
    <w:rsid w:val="00080B88"/>
    <w:rsid w:val="00081B64"/>
    <w:rsid w:val="000835C0"/>
    <w:rsid w:val="00083901"/>
    <w:rsid w:val="00084440"/>
    <w:rsid w:val="00085668"/>
    <w:rsid w:val="00085BD6"/>
    <w:rsid w:val="00091F3F"/>
    <w:rsid w:val="00094329"/>
    <w:rsid w:val="000951B4"/>
    <w:rsid w:val="000968AE"/>
    <w:rsid w:val="00097AA9"/>
    <w:rsid w:val="00097D55"/>
    <w:rsid w:val="000A0040"/>
    <w:rsid w:val="000A48CC"/>
    <w:rsid w:val="000A5C53"/>
    <w:rsid w:val="000B00FE"/>
    <w:rsid w:val="000B14CD"/>
    <w:rsid w:val="000B207C"/>
    <w:rsid w:val="000B29D4"/>
    <w:rsid w:val="000B32FC"/>
    <w:rsid w:val="000B7243"/>
    <w:rsid w:val="000B76FC"/>
    <w:rsid w:val="000C08BC"/>
    <w:rsid w:val="000C3E4B"/>
    <w:rsid w:val="000C48F0"/>
    <w:rsid w:val="000C4B3D"/>
    <w:rsid w:val="000C594A"/>
    <w:rsid w:val="000C7E7A"/>
    <w:rsid w:val="000D1135"/>
    <w:rsid w:val="000D2892"/>
    <w:rsid w:val="000D6104"/>
    <w:rsid w:val="000D62F4"/>
    <w:rsid w:val="000D70F2"/>
    <w:rsid w:val="000D7C6D"/>
    <w:rsid w:val="000E0B9B"/>
    <w:rsid w:val="000E2091"/>
    <w:rsid w:val="000E2131"/>
    <w:rsid w:val="000E2350"/>
    <w:rsid w:val="000E44DB"/>
    <w:rsid w:val="000E4D32"/>
    <w:rsid w:val="000E5860"/>
    <w:rsid w:val="000E75B2"/>
    <w:rsid w:val="000F12BE"/>
    <w:rsid w:val="000F6964"/>
    <w:rsid w:val="001013F9"/>
    <w:rsid w:val="00102ABC"/>
    <w:rsid w:val="00102DA9"/>
    <w:rsid w:val="00103E96"/>
    <w:rsid w:val="001055CE"/>
    <w:rsid w:val="001057C3"/>
    <w:rsid w:val="0010674E"/>
    <w:rsid w:val="001079BF"/>
    <w:rsid w:val="00111BA1"/>
    <w:rsid w:val="001126B7"/>
    <w:rsid w:val="00112F10"/>
    <w:rsid w:val="00113C69"/>
    <w:rsid w:val="001207AB"/>
    <w:rsid w:val="00121511"/>
    <w:rsid w:val="00122907"/>
    <w:rsid w:val="0012505E"/>
    <w:rsid w:val="001258C6"/>
    <w:rsid w:val="00125937"/>
    <w:rsid w:val="00125EEB"/>
    <w:rsid w:val="001272DA"/>
    <w:rsid w:val="00127C96"/>
    <w:rsid w:val="0013104F"/>
    <w:rsid w:val="001325ED"/>
    <w:rsid w:val="001336E3"/>
    <w:rsid w:val="00133A66"/>
    <w:rsid w:val="0013756C"/>
    <w:rsid w:val="00142072"/>
    <w:rsid w:val="0014477E"/>
    <w:rsid w:val="00145A86"/>
    <w:rsid w:val="001463F5"/>
    <w:rsid w:val="00146876"/>
    <w:rsid w:val="00146B93"/>
    <w:rsid w:val="00147B3A"/>
    <w:rsid w:val="00147C54"/>
    <w:rsid w:val="001501C8"/>
    <w:rsid w:val="00151E3B"/>
    <w:rsid w:val="001542FA"/>
    <w:rsid w:val="00154739"/>
    <w:rsid w:val="001555A9"/>
    <w:rsid w:val="00156523"/>
    <w:rsid w:val="00157B90"/>
    <w:rsid w:val="00161024"/>
    <w:rsid w:val="00161184"/>
    <w:rsid w:val="00161EDA"/>
    <w:rsid w:val="00163E53"/>
    <w:rsid w:val="00163E72"/>
    <w:rsid w:val="0016603D"/>
    <w:rsid w:val="00166A81"/>
    <w:rsid w:val="0017056F"/>
    <w:rsid w:val="00171ED9"/>
    <w:rsid w:val="00174CEA"/>
    <w:rsid w:val="001766B6"/>
    <w:rsid w:val="00181159"/>
    <w:rsid w:val="0018230C"/>
    <w:rsid w:val="00187CAD"/>
    <w:rsid w:val="00190254"/>
    <w:rsid w:val="00197C7E"/>
    <w:rsid w:val="001A04B8"/>
    <w:rsid w:val="001A0D73"/>
    <w:rsid w:val="001A0F98"/>
    <w:rsid w:val="001A23FC"/>
    <w:rsid w:val="001A450A"/>
    <w:rsid w:val="001A4D00"/>
    <w:rsid w:val="001A546B"/>
    <w:rsid w:val="001A5C9E"/>
    <w:rsid w:val="001A7850"/>
    <w:rsid w:val="001B103E"/>
    <w:rsid w:val="001B1143"/>
    <w:rsid w:val="001B1753"/>
    <w:rsid w:val="001B5352"/>
    <w:rsid w:val="001B6BDF"/>
    <w:rsid w:val="001B72E4"/>
    <w:rsid w:val="001C21F7"/>
    <w:rsid w:val="001C696D"/>
    <w:rsid w:val="001D2884"/>
    <w:rsid w:val="001D52A0"/>
    <w:rsid w:val="001D5A00"/>
    <w:rsid w:val="001D5AC9"/>
    <w:rsid w:val="001D5CE0"/>
    <w:rsid w:val="001D6DE2"/>
    <w:rsid w:val="001D7CF8"/>
    <w:rsid w:val="001E0F5E"/>
    <w:rsid w:val="001E3A2E"/>
    <w:rsid w:val="001E3CD4"/>
    <w:rsid w:val="001E565D"/>
    <w:rsid w:val="001E6154"/>
    <w:rsid w:val="001E628B"/>
    <w:rsid w:val="001F0CD8"/>
    <w:rsid w:val="001F1209"/>
    <w:rsid w:val="001F22C5"/>
    <w:rsid w:val="001F37D2"/>
    <w:rsid w:val="001F5C77"/>
    <w:rsid w:val="001F5F29"/>
    <w:rsid w:val="001F6F25"/>
    <w:rsid w:val="001F6FEF"/>
    <w:rsid w:val="001F78B5"/>
    <w:rsid w:val="0020097F"/>
    <w:rsid w:val="0020138C"/>
    <w:rsid w:val="002022FB"/>
    <w:rsid w:val="0020233A"/>
    <w:rsid w:val="00203690"/>
    <w:rsid w:val="0020452C"/>
    <w:rsid w:val="00205329"/>
    <w:rsid w:val="00211327"/>
    <w:rsid w:val="00213D00"/>
    <w:rsid w:val="00215658"/>
    <w:rsid w:val="002204F3"/>
    <w:rsid w:val="0022286E"/>
    <w:rsid w:val="002243C5"/>
    <w:rsid w:val="00225917"/>
    <w:rsid w:val="00226853"/>
    <w:rsid w:val="002278EC"/>
    <w:rsid w:val="0023031E"/>
    <w:rsid w:val="00230ABC"/>
    <w:rsid w:val="002334FD"/>
    <w:rsid w:val="00235875"/>
    <w:rsid w:val="00236263"/>
    <w:rsid w:val="002373D4"/>
    <w:rsid w:val="0023782C"/>
    <w:rsid w:val="002431B8"/>
    <w:rsid w:val="00243585"/>
    <w:rsid w:val="00244BFA"/>
    <w:rsid w:val="00244F67"/>
    <w:rsid w:val="00245C6A"/>
    <w:rsid w:val="0024619E"/>
    <w:rsid w:val="00250812"/>
    <w:rsid w:val="00254026"/>
    <w:rsid w:val="00254956"/>
    <w:rsid w:val="00254D13"/>
    <w:rsid w:val="002551DE"/>
    <w:rsid w:val="00256280"/>
    <w:rsid w:val="00260344"/>
    <w:rsid w:val="00260831"/>
    <w:rsid w:val="00260DAC"/>
    <w:rsid w:val="002638B9"/>
    <w:rsid w:val="00263C08"/>
    <w:rsid w:val="00263EE9"/>
    <w:rsid w:val="00264B92"/>
    <w:rsid w:val="002651C5"/>
    <w:rsid w:val="00265783"/>
    <w:rsid w:val="00267238"/>
    <w:rsid w:val="002672FA"/>
    <w:rsid w:val="00270437"/>
    <w:rsid w:val="00271E51"/>
    <w:rsid w:val="00272683"/>
    <w:rsid w:val="002779BD"/>
    <w:rsid w:val="002802B4"/>
    <w:rsid w:val="00282DEA"/>
    <w:rsid w:val="00284321"/>
    <w:rsid w:val="002861D2"/>
    <w:rsid w:val="0028640D"/>
    <w:rsid w:val="002864B1"/>
    <w:rsid w:val="00287448"/>
    <w:rsid w:val="0029123A"/>
    <w:rsid w:val="00293D43"/>
    <w:rsid w:val="00294227"/>
    <w:rsid w:val="00295841"/>
    <w:rsid w:val="002965FB"/>
    <w:rsid w:val="002A05A8"/>
    <w:rsid w:val="002A2DF1"/>
    <w:rsid w:val="002A44D8"/>
    <w:rsid w:val="002A5D41"/>
    <w:rsid w:val="002A6544"/>
    <w:rsid w:val="002A66F2"/>
    <w:rsid w:val="002A676D"/>
    <w:rsid w:val="002A7870"/>
    <w:rsid w:val="002A788C"/>
    <w:rsid w:val="002A7CEB"/>
    <w:rsid w:val="002B064F"/>
    <w:rsid w:val="002B394F"/>
    <w:rsid w:val="002B6CE4"/>
    <w:rsid w:val="002B77CE"/>
    <w:rsid w:val="002C1EA6"/>
    <w:rsid w:val="002C2B15"/>
    <w:rsid w:val="002D035C"/>
    <w:rsid w:val="002D26A4"/>
    <w:rsid w:val="002D3DA3"/>
    <w:rsid w:val="002D463D"/>
    <w:rsid w:val="002D52F6"/>
    <w:rsid w:val="002D79E6"/>
    <w:rsid w:val="002E1782"/>
    <w:rsid w:val="002E3762"/>
    <w:rsid w:val="002E38D4"/>
    <w:rsid w:val="002E4874"/>
    <w:rsid w:val="002E498E"/>
    <w:rsid w:val="002E5B04"/>
    <w:rsid w:val="002E68CA"/>
    <w:rsid w:val="002E777E"/>
    <w:rsid w:val="002E7CB1"/>
    <w:rsid w:val="002F03E8"/>
    <w:rsid w:val="002F0501"/>
    <w:rsid w:val="002F0EAA"/>
    <w:rsid w:val="002F18F5"/>
    <w:rsid w:val="002F2B43"/>
    <w:rsid w:val="002F4847"/>
    <w:rsid w:val="0030151A"/>
    <w:rsid w:val="00305991"/>
    <w:rsid w:val="00305CE6"/>
    <w:rsid w:val="00305DFE"/>
    <w:rsid w:val="00307127"/>
    <w:rsid w:val="003075D1"/>
    <w:rsid w:val="003103F3"/>
    <w:rsid w:val="003109F6"/>
    <w:rsid w:val="00310B3A"/>
    <w:rsid w:val="00312DE7"/>
    <w:rsid w:val="003131D3"/>
    <w:rsid w:val="003137A6"/>
    <w:rsid w:val="00313F51"/>
    <w:rsid w:val="00314670"/>
    <w:rsid w:val="00314AD9"/>
    <w:rsid w:val="00315278"/>
    <w:rsid w:val="00322BFC"/>
    <w:rsid w:val="00323381"/>
    <w:rsid w:val="0032391F"/>
    <w:rsid w:val="00326C88"/>
    <w:rsid w:val="00327483"/>
    <w:rsid w:val="00327E7D"/>
    <w:rsid w:val="00330167"/>
    <w:rsid w:val="003306C0"/>
    <w:rsid w:val="0033147B"/>
    <w:rsid w:val="00331E6C"/>
    <w:rsid w:val="003328DD"/>
    <w:rsid w:val="00333651"/>
    <w:rsid w:val="003362C1"/>
    <w:rsid w:val="00337111"/>
    <w:rsid w:val="00337700"/>
    <w:rsid w:val="0033793D"/>
    <w:rsid w:val="003433D5"/>
    <w:rsid w:val="003440CA"/>
    <w:rsid w:val="0034600E"/>
    <w:rsid w:val="00347526"/>
    <w:rsid w:val="00352654"/>
    <w:rsid w:val="0035294D"/>
    <w:rsid w:val="003543E8"/>
    <w:rsid w:val="003555AD"/>
    <w:rsid w:val="003574D1"/>
    <w:rsid w:val="003662E9"/>
    <w:rsid w:val="00367B8F"/>
    <w:rsid w:val="00367DA6"/>
    <w:rsid w:val="00370E34"/>
    <w:rsid w:val="003710CB"/>
    <w:rsid w:val="003711E6"/>
    <w:rsid w:val="00371721"/>
    <w:rsid w:val="003727D6"/>
    <w:rsid w:val="00376E97"/>
    <w:rsid w:val="00380FF7"/>
    <w:rsid w:val="00382438"/>
    <w:rsid w:val="00383239"/>
    <w:rsid w:val="00384DB8"/>
    <w:rsid w:val="00387BC0"/>
    <w:rsid w:val="0039258D"/>
    <w:rsid w:val="00392EA1"/>
    <w:rsid w:val="00393A7A"/>
    <w:rsid w:val="00393CAB"/>
    <w:rsid w:val="003945CC"/>
    <w:rsid w:val="00395735"/>
    <w:rsid w:val="00395E06"/>
    <w:rsid w:val="003A01EB"/>
    <w:rsid w:val="003A302B"/>
    <w:rsid w:val="003A6F05"/>
    <w:rsid w:val="003A7DCF"/>
    <w:rsid w:val="003B4250"/>
    <w:rsid w:val="003B54A4"/>
    <w:rsid w:val="003B6229"/>
    <w:rsid w:val="003B7514"/>
    <w:rsid w:val="003C2E5F"/>
    <w:rsid w:val="003C3A43"/>
    <w:rsid w:val="003D05AD"/>
    <w:rsid w:val="003D07EC"/>
    <w:rsid w:val="003D6C87"/>
    <w:rsid w:val="003D6E58"/>
    <w:rsid w:val="003E0714"/>
    <w:rsid w:val="003E1207"/>
    <w:rsid w:val="003E1889"/>
    <w:rsid w:val="003E21BB"/>
    <w:rsid w:val="003E5181"/>
    <w:rsid w:val="003E551E"/>
    <w:rsid w:val="003E5728"/>
    <w:rsid w:val="003E7B88"/>
    <w:rsid w:val="003F0A54"/>
    <w:rsid w:val="003F1A51"/>
    <w:rsid w:val="003F1B86"/>
    <w:rsid w:val="003F2EB2"/>
    <w:rsid w:val="003F4337"/>
    <w:rsid w:val="003F4979"/>
    <w:rsid w:val="003F7B62"/>
    <w:rsid w:val="00400530"/>
    <w:rsid w:val="0040142D"/>
    <w:rsid w:val="00401C30"/>
    <w:rsid w:val="00403AA8"/>
    <w:rsid w:val="00405F17"/>
    <w:rsid w:val="0040651A"/>
    <w:rsid w:val="00406832"/>
    <w:rsid w:val="00406D26"/>
    <w:rsid w:val="00407688"/>
    <w:rsid w:val="00407731"/>
    <w:rsid w:val="004107C0"/>
    <w:rsid w:val="00410975"/>
    <w:rsid w:val="00410D73"/>
    <w:rsid w:val="00411097"/>
    <w:rsid w:val="00411408"/>
    <w:rsid w:val="004115BE"/>
    <w:rsid w:val="00413274"/>
    <w:rsid w:val="00413F67"/>
    <w:rsid w:val="00414BF3"/>
    <w:rsid w:val="00414D06"/>
    <w:rsid w:val="004166BA"/>
    <w:rsid w:val="004179A4"/>
    <w:rsid w:val="00421289"/>
    <w:rsid w:val="00421299"/>
    <w:rsid w:val="0042195E"/>
    <w:rsid w:val="004219D3"/>
    <w:rsid w:val="0042252F"/>
    <w:rsid w:val="00423074"/>
    <w:rsid w:val="004239AF"/>
    <w:rsid w:val="00426D1F"/>
    <w:rsid w:val="0043362E"/>
    <w:rsid w:val="00433810"/>
    <w:rsid w:val="0043396E"/>
    <w:rsid w:val="00433D8C"/>
    <w:rsid w:val="00433DE1"/>
    <w:rsid w:val="00434B6A"/>
    <w:rsid w:val="00435619"/>
    <w:rsid w:val="00436324"/>
    <w:rsid w:val="00436E63"/>
    <w:rsid w:val="00437209"/>
    <w:rsid w:val="0044462D"/>
    <w:rsid w:val="0044497A"/>
    <w:rsid w:val="00444B06"/>
    <w:rsid w:val="00445958"/>
    <w:rsid w:val="00450F71"/>
    <w:rsid w:val="00450FC7"/>
    <w:rsid w:val="004511E7"/>
    <w:rsid w:val="00451672"/>
    <w:rsid w:val="00453538"/>
    <w:rsid w:val="00454CD2"/>
    <w:rsid w:val="0045548E"/>
    <w:rsid w:val="00457FC3"/>
    <w:rsid w:val="0046273A"/>
    <w:rsid w:val="00462C3C"/>
    <w:rsid w:val="004634AF"/>
    <w:rsid w:val="00465667"/>
    <w:rsid w:val="00465949"/>
    <w:rsid w:val="00467285"/>
    <w:rsid w:val="004704F1"/>
    <w:rsid w:val="004714D1"/>
    <w:rsid w:val="00471A02"/>
    <w:rsid w:val="00473B9A"/>
    <w:rsid w:val="00473BED"/>
    <w:rsid w:val="00474F45"/>
    <w:rsid w:val="00477249"/>
    <w:rsid w:val="004773C9"/>
    <w:rsid w:val="00482D90"/>
    <w:rsid w:val="004847A5"/>
    <w:rsid w:val="00485B5E"/>
    <w:rsid w:val="0048662E"/>
    <w:rsid w:val="0048793B"/>
    <w:rsid w:val="00487BCA"/>
    <w:rsid w:val="00487BCB"/>
    <w:rsid w:val="00491E00"/>
    <w:rsid w:val="00492FF3"/>
    <w:rsid w:val="00493153"/>
    <w:rsid w:val="00495BDA"/>
    <w:rsid w:val="0049662F"/>
    <w:rsid w:val="004A0052"/>
    <w:rsid w:val="004A1BEB"/>
    <w:rsid w:val="004A21C8"/>
    <w:rsid w:val="004A2E5B"/>
    <w:rsid w:val="004A6CF1"/>
    <w:rsid w:val="004A797B"/>
    <w:rsid w:val="004A7C5B"/>
    <w:rsid w:val="004A7ECD"/>
    <w:rsid w:val="004B6B37"/>
    <w:rsid w:val="004C0E74"/>
    <w:rsid w:val="004C165C"/>
    <w:rsid w:val="004C6A11"/>
    <w:rsid w:val="004C6C0E"/>
    <w:rsid w:val="004C6E2D"/>
    <w:rsid w:val="004C7999"/>
    <w:rsid w:val="004C7BAE"/>
    <w:rsid w:val="004D0475"/>
    <w:rsid w:val="004D0497"/>
    <w:rsid w:val="004D05CE"/>
    <w:rsid w:val="004D27D4"/>
    <w:rsid w:val="004D325C"/>
    <w:rsid w:val="004D3CB7"/>
    <w:rsid w:val="004D4E64"/>
    <w:rsid w:val="004D738F"/>
    <w:rsid w:val="004E025B"/>
    <w:rsid w:val="004E0A5D"/>
    <w:rsid w:val="004E208E"/>
    <w:rsid w:val="004E228D"/>
    <w:rsid w:val="004E4423"/>
    <w:rsid w:val="004F035C"/>
    <w:rsid w:val="004F06EF"/>
    <w:rsid w:val="004F2ED2"/>
    <w:rsid w:val="004F497B"/>
    <w:rsid w:val="004F4E6A"/>
    <w:rsid w:val="004F52E3"/>
    <w:rsid w:val="00500DB7"/>
    <w:rsid w:val="00501BFA"/>
    <w:rsid w:val="0050469A"/>
    <w:rsid w:val="00504A9C"/>
    <w:rsid w:val="005059B1"/>
    <w:rsid w:val="00505BEA"/>
    <w:rsid w:val="00506D10"/>
    <w:rsid w:val="00510F4E"/>
    <w:rsid w:val="005117DA"/>
    <w:rsid w:val="00511E77"/>
    <w:rsid w:val="0051258F"/>
    <w:rsid w:val="00512938"/>
    <w:rsid w:val="005129C8"/>
    <w:rsid w:val="00513261"/>
    <w:rsid w:val="0051326C"/>
    <w:rsid w:val="00514299"/>
    <w:rsid w:val="005158F2"/>
    <w:rsid w:val="00516598"/>
    <w:rsid w:val="005175B2"/>
    <w:rsid w:val="00520BD3"/>
    <w:rsid w:val="00522403"/>
    <w:rsid w:val="00522447"/>
    <w:rsid w:val="00523906"/>
    <w:rsid w:val="005241AE"/>
    <w:rsid w:val="005254A5"/>
    <w:rsid w:val="00525571"/>
    <w:rsid w:val="005302A3"/>
    <w:rsid w:val="00530E02"/>
    <w:rsid w:val="00530F9A"/>
    <w:rsid w:val="0053204B"/>
    <w:rsid w:val="00533325"/>
    <w:rsid w:val="0053458D"/>
    <w:rsid w:val="00534E3C"/>
    <w:rsid w:val="0054292A"/>
    <w:rsid w:val="0054784E"/>
    <w:rsid w:val="0055048A"/>
    <w:rsid w:val="00550D3F"/>
    <w:rsid w:val="00552D3E"/>
    <w:rsid w:val="00555C68"/>
    <w:rsid w:val="005561D1"/>
    <w:rsid w:val="005565DA"/>
    <w:rsid w:val="00557428"/>
    <w:rsid w:val="005603E6"/>
    <w:rsid w:val="00561655"/>
    <w:rsid w:val="00561ED7"/>
    <w:rsid w:val="00562178"/>
    <w:rsid w:val="005624CD"/>
    <w:rsid w:val="00562C51"/>
    <w:rsid w:val="00562D83"/>
    <w:rsid w:val="005633B9"/>
    <w:rsid w:val="005648A1"/>
    <w:rsid w:val="005657EA"/>
    <w:rsid w:val="00571899"/>
    <w:rsid w:val="005725D4"/>
    <w:rsid w:val="00573A55"/>
    <w:rsid w:val="00573A9B"/>
    <w:rsid w:val="005745BD"/>
    <w:rsid w:val="00574F19"/>
    <w:rsid w:val="00575F7D"/>
    <w:rsid w:val="0057602E"/>
    <w:rsid w:val="005810C9"/>
    <w:rsid w:val="00582625"/>
    <w:rsid w:val="005836C2"/>
    <w:rsid w:val="005849F2"/>
    <w:rsid w:val="00585D66"/>
    <w:rsid w:val="005863C4"/>
    <w:rsid w:val="00587747"/>
    <w:rsid w:val="005900D3"/>
    <w:rsid w:val="00590AA7"/>
    <w:rsid w:val="00591364"/>
    <w:rsid w:val="00592264"/>
    <w:rsid w:val="00595592"/>
    <w:rsid w:val="00595F0E"/>
    <w:rsid w:val="0059762F"/>
    <w:rsid w:val="005A0CAA"/>
    <w:rsid w:val="005A6599"/>
    <w:rsid w:val="005B08DE"/>
    <w:rsid w:val="005B12B9"/>
    <w:rsid w:val="005B142C"/>
    <w:rsid w:val="005B2806"/>
    <w:rsid w:val="005B4ACD"/>
    <w:rsid w:val="005B4D42"/>
    <w:rsid w:val="005B5D5A"/>
    <w:rsid w:val="005B7360"/>
    <w:rsid w:val="005B750F"/>
    <w:rsid w:val="005B76BF"/>
    <w:rsid w:val="005C4D31"/>
    <w:rsid w:val="005C5E34"/>
    <w:rsid w:val="005C5FA4"/>
    <w:rsid w:val="005C6692"/>
    <w:rsid w:val="005D211C"/>
    <w:rsid w:val="005D2FB9"/>
    <w:rsid w:val="005D45C4"/>
    <w:rsid w:val="005D5DE5"/>
    <w:rsid w:val="005D6981"/>
    <w:rsid w:val="005D7121"/>
    <w:rsid w:val="005D780C"/>
    <w:rsid w:val="005D7F2C"/>
    <w:rsid w:val="005E2B85"/>
    <w:rsid w:val="005E5318"/>
    <w:rsid w:val="005E5BB1"/>
    <w:rsid w:val="005E5E01"/>
    <w:rsid w:val="005F2A17"/>
    <w:rsid w:val="005F7584"/>
    <w:rsid w:val="005F7657"/>
    <w:rsid w:val="005F7FDE"/>
    <w:rsid w:val="006013FF"/>
    <w:rsid w:val="00601C5E"/>
    <w:rsid w:val="006027C4"/>
    <w:rsid w:val="00614CB1"/>
    <w:rsid w:val="00615134"/>
    <w:rsid w:val="00620222"/>
    <w:rsid w:val="00620ACF"/>
    <w:rsid w:val="0062168E"/>
    <w:rsid w:val="00623FC7"/>
    <w:rsid w:val="0062458D"/>
    <w:rsid w:val="0062518C"/>
    <w:rsid w:val="00631587"/>
    <w:rsid w:val="006336EF"/>
    <w:rsid w:val="0063430E"/>
    <w:rsid w:val="00635DB8"/>
    <w:rsid w:val="00636CA1"/>
    <w:rsid w:val="00637A1D"/>
    <w:rsid w:val="0064003E"/>
    <w:rsid w:val="006407CE"/>
    <w:rsid w:val="006418F5"/>
    <w:rsid w:val="006431C4"/>
    <w:rsid w:val="00646A13"/>
    <w:rsid w:val="006527C7"/>
    <w:rsid w:val="00654020"/>
    <w:rsid w:val="006572FE"/>
    <w:rsid w:val="00657A3A"/>
    <w:rsid w:val="00657FC1"/>
    <w:rsid w:val="006600F5"/>
    <w:rsid w:val="00663771"/>
    <w:rsid w:val="00665309"/>
    <w:rsid w:val="00665603"/>
    <w:rsid w:val="00670AFE"/>
    <w:rsid w:val="00675593"/>
    <w:rsid w:val="00675AD1"/>
    <w:rsid w:val="00681ACE"/>
    <w:rsid w:val="0068242E"/>
    <w:rsid w:val="00683917"/>
    <w:rsid w:val="00683EFB"/>
    <w:rsid w:val="00685059"/>
    <w:rsid w:val="00685603"/>
    <w:rsid w:val="00685DC6"/>
    <w:rsid w:val="00691B96"/>
    <w:rsid w:val="006925E7"/>
    <w:rsid w:val="00693C83"/>
    <w:rsid w:val="00694E87"/>
    <w:rsid w:val="00695D00"/>
    <w:rsid w:val="006973F9"/>
    <w:rsid w:val="006A033C"/>
    <w:rsid w:val="006A0F39"/>
    <w:rsid w:val="006A1C96"/>
    <w:rsid w:val="006A316F"/>
    <w:rsid w:val="006A3CA0"/>
    <w:rsid w:val="006A3E3D"/>
    <w:rsid w:val="006A5059"/>
    <w:rsid w:val="006A6586"/>
    <w:rsid w:val="006A6FCD"/>
    <w:rsid w:val="006B02A9"/>
    <w:rsid w:val="006B135F"/>
    <w:rsid w:val="006B156D"/>
    <w:rsid w:val="006B5BDE"/>
    <w:rsid w:val="006B7D2B"/>
    <w:rsid w:val="006C0320"/>
    <w:rsid w:val="006C24B6"/>
    <w:rsid w:val="006C3ED9"/>
    <w:rsid w:val="006C4DB2"/>
    <w:rsid w:val="006C5237"/>
    <w:rsid w:val="006C59E9"/>
    <w:rsid w:val="006D0A23"/>
    <w:rsid w:val="006D12F1"/>
    <w:rsid w:val="006D2B20"/>
    <w:rsid w:val="006D2B4F"/>
    <w:rsid w:val="006D348F"/>
    <w:rsid w:val="006D57C1"/>
    <w:rsid w:val="006D6813"/>
    <w:rsid w:val="006D7988"/>
    <w:rsid w:val="006E19BA"/>
    <w:rsid w:val="006E1D98"/>
    <w:rsid w:val="006E28A9"/>
    <w:rsid w:val="006E2991"/>
    <w:rsid w:val="006E2ED1"/>
    <w:rsid w:val="006E4A30"/>
    <w:rsid w:val="006E685F"/>
    <w:rsid w:val="006E764B"/>
    <w:rsid w:val="006F03B5"/>
    <w:rsid w:val="006F1237"/>
    <w:rsid w:val="006F1B30"/>
    <w:rsid w:val="006F1FED"/>
    <w:rsid w:val="006F23C0"/>
    <w:rsid w:val="006F35D7"/>
    <w:rsid w:val="006F487A"/>
    <w:rsid w:val="006F5427"/>
    <w:rsid w:val="006F5834"/>
    <w:rsid w:val="006F68B2"/>
    <w:rsid w:val="006F6F6F"/>
    <w:rsid w:val="006F7073"/>
    <w:rsid w:val="006F72D6"/>
    <w:rsid w:val="006F73E7"/>
    <w:rsid w:val="006F7418"/>
    <w:rsid w:val="00700181"/>
    <w:rsid w:val="00702220"/>
    <w:rsid w:val="00703F54"/>
    <w:rsid w:val="00704A0E"/>
    <w:rsid w:val="007101CE"/>
    <w:rsid w:val="00711575"/>
    <w:rsid w:val="00712E3F"/>
    <w:rsid w:val="00713F4C"/>
    <w:rsid w:val="0071504C"/>
    <w:rsid w:val="00716C78"/>
    <w:rsid w:val="00717FC0"/>
    <w:rsid w:val="00722496"/>
    <w:rsid w:val="00724F17"/>
    <w:rsid w:val="00725070"/>
    <w:rsid w:val="00726A7E"/>
    <w:rsid w:val="00731163"/>
    <w:rsid w:val="0074118D"/>
    <w:rsid w:val="00741A11"/>
    <w:rsid w:val="00741E3D"/>
    <w:rsid w:val="0074341A"/>
    <w:rsid w:val="00743E4F"/>
    <w:rsid w:val="007469DA"/>
    <w:rsid w:val="00747BF4"/>
    <w:rsid w:val="007515FA"/>
    <w:rsid w:val="00751FED"/>
    <w:rsid w:val="00752965"/>
    <w:rsid w:val="00753C2E"/>
    <w:rsid w:val="007541DC"/>
    <w:rsid w:val="00754800"/>
    <w:rsid w:val="00755128"/>
    <w:rsid w:val="00755C72"/>
    <w:rsid w:val="00756524"/>
    <w:rsid w:val="00756CC3"/>
    <w:rsid w:val="007601A9"/>
    <w:rsid w:val="00761A9A"/>
    <w:rsid w:val="00762EAA"/>
    <w:rsid w:val="007630C9"/>
    <w:rsid w:val="00763342"/>
    <w:rsid w:val="00763946"/>
    <w:rsid w:val="00763E72"/>
    <w:rsid w:val="00764543"/>
    <w:rsid w:val="00765EF7"/>
    <w:rsid w:val="00767DD1"/>
    <w:rsid w:val="007707A1"/>
    <w:rsid w:val="007718F0"/>
    <w:rsid w:val="00772DC8"/>
    <w:rsid w:val="00775AC3"/>
    <w:rsid w:val="00775B26"/>
    <w:rsid w:val="00775ED7"/>
    <w:rsid w:val="00777D29"/>
    <w:rsid w:val="007801ED"/>
    <w:rsid w:val="00780381"/>
    <w:rsid w:val="0078106C"/>
    <w:rsid w:val="00782332"/>
    <w:rsid w:val="007829E0"/>
    <w:rsid w:val="00783748"/>
    <w:rsid w:val="007934E3"/>
    <w:rsid w:val="00794831"/>
    <w:rsid w:val="00794DF6"/>
    <w:rsid w:val="00795149"/>
    <w:rsid w:val="00797292"/>
    <w:rsid w:val="007A0E74"/>
    <w:rsid w:val="007A0FBB"/>
    <w:rsid w:val="007A227C"/>
    <w:rsid w:val="007A23C8"/>
    <w:rsid w:val="007A48A8"/>
    <w:rsid w:val="007A5ADC"/>
    <w:rsid w:val="007B02E8"/>
    <w:rsid w:val="007B06AD"/>
    <w:rsid w:val="007B1203"/>
    <w:rsid w:val="007B309E"/>
    <w:rsid w:val="007B342C"/>
    <w:rsid w:val="007B3B62"/>
    <w:rsid w:val="007B4B79"/>
    <w:rsid w:val="007B560B"/>
    <w:rsid w:val="007B5A91"/>
    <w:rsid w:val="007C058A"/>
    <w:rsid w:val="007C205C"/>
    <w:rsid w:val="007C3FCC"/>
    <w:rsid w:val="007C6798"/>
    <w:rsid w:val="007D0DE1"/>
    <w:rsid w:val="007D1CB0"/>
    <w:rsid w:val="007D1E89"/>
    <w:rsid w:val="007D21F4"/>
    <w:rsid w:val="007D291F"/>
    <w:rsid w:val="007D4D29"/>
    <w:rsid w:val="007D4DAD"/>
    <w:rsid w:val="007D516F"/>
    <w:rsid w:val="007D53A1"/>
    <w:rsid w:val="007D7A28"/>
    <w:rsid w:val="007E4E4C"/>
    <w:rsid w:val="007E5FCB"/>
    <w:rsid w:val="007E6A32"/>
    <w:rsid w:val="007F10DE"/>
    <w:rsid w:val="007F1835"/>
    <w:rsid w:val="007F3587"/>
    <w:rsid w:val="007F4DC9"/>
    <w:rsid w:val="007F7C93"/>
    <w:rsid w:val="00800564"/>
    <w:rsid w:val="00802E7C"/>
    <w:rsid w:val="008038BA"/>
    <w:rsid w:val="00803A6C"/>
    <w:rsid w:val="00803CE2"/>
    <w:rsid w:val="00803DF2"/>
    <w:rsid w:val="0080526A"/>
    <w:rsid w:val="00805FD0"/>
    <w:rsid w:val="0080787E"/>
    <w:rsid w:val="00810544"/>
    <w:rsid w:val="008146D5"/>
    <w:rsid w:val="00816FF5"/>
    <w:rsid w:val="00817076"/>
    <w:rsid w:val="00821A85"/>
    <w:rsid w:val="00822676"/>
    <w:rsid w:val="008266D1"/>
    <w:rsid w:val="00827481"/>
    <w:rsid w:val="00827D5D"/>
    <w:rsid w:val="00830795"/>
    <w:rsid w:val="008325E0"/>
    <w:rsid w:val="00833C83"/>
    <w:rsid w:val="008340BD"/>
    <w:rsid w:val="00835462"/>
    <w:rsid w:val="00836195"/>
    <w:rsid w:val="00836CC3"/>
    <w:rsid w:val="00836EEA"/>
    <w:rsid w:val="0084086A"/>
    <w:rsid w:val="00840E72"/>
    <w:rsid w:val="008418D9"/>
    <w:rsid w:val="00841B62"/>
    <w:rsid w:val="00841FB4"/>
    <w:rsid w:val="008433EA"/>
    <w:rsid w:val="00843721"/>
    <w:rsid w:val="008443B2"/>
    <w:rsid w:val="00846EDD"/>
    <w:rsid w:val="00847211"/>
    <w:rsid w:val="00847CC3"/>
    <w:rsid w:val="00851EC3"/>
    <w:rsid w:val="00852013"/>
    <w:rsid w:val="0085236B"/>
    <w:rsid w:val="008526C6"/>
    <w:rsid w:val="008543DE"/>
    <w:rsid w:val="00854451"/>
    <w:rsid w:val="0085538F"/>
    <w:rsid w:val="008558B6"/>
    <w:rsid w:val="00856339"/>
    <w:rsid w:val="00856413"/>
    <w:rsid w:val="00856BF3"/>
    <w:rsid w:val="0085748A"/>
    <w:rsid w:val="008575B2"/>
    <w:rsid w:val="0085763E"/>
    <w:rsid w:val="00860553"/>
    <w:rsid w:val="0086285A"/>
    <w:rsid w:val="008639FF"/>
    <w:rsid w:val="00866DC0"/>
    <w:rsid w:val="00867F12"/>
    <w:rsid w:val="0087027B"/>
    <w:rsid w:val="00870ED2"/>
    <w:rsid w:val="008728AC"/>
    <w:rsid w:val="00872A1D"/>
    <w:rsid w:val="00873CB7"/>
    <w:rsid w:val="0087411E"/>
    <w:rsid w:val="008747F8"/>
    <w:rsid w:val="00874ED5"/>
    <w:rsid w:val="008774B9"/>
    <w:rsid w:val="0087758D"/>
    <w:rsid w:val="00877774"/>
    <w:rsid w:val="0088040B"/>
    <w:rsid w:val="00882341"/>
    <w:rsid w:val="00885DE2"/>
    <w:rsid w:val="008862BF"/>
    <w:rsid w:val="00892430"/>
    <w:rsid w:val="008926CB"/>
    <w:rsid w:val="00895CAE"/>
    <w:rsid w:val="00896A51"/>
    <w:rsid w:val="008971EC"/>
    <w:rsid w:val="0089798D"/>
    <w:rsid w:val="008A14C8"/>
    <w:rsid w:val="008A1B71"/>
    <w:rsid w:val="008A31B8"/>
    <w:rsid w:val="008A47C1"/>
    <w:rsid w:val="008A781F"/>
    <w:rsid w:val="008A7BE6"/>
    <w:rsid w:val="008A7CAE"/>
    <w:rsid w:val="008B1F71"/>
    <w:rsid w:val="008B2C5E"/>
    <w:rsid w:val="008B4491"/>
    <w:rsid w:val="008B6566"/>
    <w:rsid w:val="008B657D"/>
    <w:rsid w:val="008C03A8"/>
    <w:rsid w:val="008C155E"/>
    <w:rsid w:val="008C19BB"/>
    <w:rsid w:val="008C24FC"/>
    <w:rsid w:val="008C27F9"/>
    <w:rsid w:val="008C5AEF"/>
    <w:rsid w:val="008C719C"/>
    <w:rsid w:val="008C71B3"/>
    <w:rsid w:val="008C7304"/>
    <w:rsid w:val="008C79FE"/>
    <w:rsid w:val="008D1C9A"/>
    <w:rsid w:val="008D20BC"/>
    <w:rsid w:val="008D2345"/>
    <w:rsid w:val="008D6379"/>
    <w:rsid w:val="008D7AD6"/>
    <w:rsid w:val="008E10E1"/>
    <w:rsid w:val="008E2531"/>
    <w:rsid w:val="008E2670"/>
    <w:rsid w:val="008E296D"/>
    <w:rsid w:val="008E2D92"/>
    <w:rsid w:val="008E4A03"/>
    <w:rsid w:val="008E64D0"/>
    <w:rsid w:val="008E77EF"/>
    <w:rsid w:val="008E7978"/>
    <w:rsid w:val="008E7CCF"/>
    <w:rsid w:val="008F0A8B"/>
    <w:rsid w:val="008F1164"/>
    <w:rsid w:val="008F1404"/>
    <w:rsid w:val="008F1A1E"/>
    <w:rsid w:val="008F1A2F"/>
    <w:rsid w:val="008F2D0C"/>
    <w:rsid w:val="008F39D7"/>
    <w:rsid w:val="008F4F69"/>
    <w:rsid w:val="008F5A71"/>
    <w:rsid w:val="00901740"/>
    <w:rsid w:val="00903145"/>
    <w:rsid w:val="009057F1"/>
    <w:rsid w:val="00906C4B"/>
    <w:rsid w:val="00910099"/>
    <w:rsid w:val="009118A5"/>
    <w:rsid w:val="0091406A"/>
    <w:rsid w:val="00917518"/>
    <w:rsid w:val="00917901"/>
    <w:rsid w:val="00922525"/>
    <w:rsid w:val="009244E9"/>
    <w:rsid w:val="00924938"/>
    <w:rsid w:val="009277E3"/>
    <w:rsid w:val="009326B2"/>
    <w:rsid w:val="00933060"/>
    <w:rsid w:val="009338C1"/>
    <w:rsid w:val="00933DBB"/>
    <w:rsid w:val="009355A7"/>
    <w:rsid w:val="00936B10"/>
    <w:rsid w:val="0093734D"/>
    <w:rsid w:val="00940F2D"/>
    <w:rsid w:val="009414C9"/>
    <w:rsid w:val="00943030"/>
    <w:rsid w:val="00943D8A"/>
    <w:rsid w:val="00943E8A"/>
    <w:rsid w:val="00944B47"/>
    <w:rsid w:val="0094524D"/>
    <w:rsid w:val="00945906"/>
    <w:rsid w:val="0094602D"/>
    <w:rsid w:val="0094640E"/>
    <w:rsid w:val="0094649C"/>
    <w:rsid w:val="00950A98"/>
    <w:rsid w:val="00951A1D"/>
    <w:rsid w:val="00951A75"/>
    <w:rsid w:val="0095275E"/>
    <w:rsid w:val="009536D9"/>
    <w:rsid w:val="009548B0"/>
    <w:rsid w:val="00961DF0"/>
    <w:rsid w:val="009636DB"/>
    <w:rsid w:val="009643AA"/>
    <w:rsid w:val="009644C1"/>
    <w:rsid w:val="0096470B"/>
    <w:rsid w:val="0096490B"/>
    <w:rsid w:val="009675B0"/>
    <w:rsid w:val="009702E5"/>
    <w:rsid w:val="0097181B"/>
    <w:rsid w:val="0097248C"/>
    <w:rsid w:val="00972852"/>
    <w:rsid w:val="00972A2C"/>
    <w:rsid w:val="00972D5D"/>
    <w:rsid w:val="009733F6"/>
    <w:rsid w:val="00973E71"/>
    <w:rsid w:val="00974093"/>
    <w:rsid w:val="00974190"/>
    <w:rsid w:val="00975814"/>
    <w:rsid w:val="00975882"/>
    <w:rsid w:val="009759BD"/>
    <w:rsid w:val="009759F1"/>
    <w:rsid w:val="00975F72"/>
    <w:rsid w:val="00981652"/>
    <w:rsid w:val="0098279A"/>
    <w:rsid w:val="00983AC0"/>
    <w:rsid w:val="00983B07"/>
    <w:rsid w:val="00983B9E"/>
    <w:rsid w:val="009847C2"/>
    <w:rsid w:val="00984815"/>
    <w:rsid w:val="00985FA5"/>
    <w:rsid w:val="0098623F"/>
    <w:rsid w:val="00986A84"/>
    <w:rsid w:val="00992731"/>
    <w:rsid w:val="00993C98"/>
    <w:rsid w:val="00993D13"/>
    <w:rsid w:val="00994B00"/>
    <w:rsid w:val="00995569"/>
    <w:rsid w:val="00995E8F"/>
    <w:rsid w:val="00996CAF"/>
    <w:rsid w:val="009979F1"/>
    <w:rsid w:val="009A098B"/>
    <w:rsid w:val="009A0A5D"/>
    <w:rsid w:val="009A1729"/>
    <w:rsid w:val="009A18F0"/>
    <w:rsid w:val="009A5034"/>
    <w:rsid w:val="009A55B0"/>
    <w:rsid w:val="009B0EFF"/>
    <w:rsid w:val="009B1390"/>
    <w:rsid w:val="009B44C0"/>
    <w:rsid w:val="009B568A"/>
    <w:rsid w:val="009B5932"/>
    <w:rsid w:val="009B5FFE"/>
    <w:rsid w:val="009B6040"/>
    <w:rsid w:val="009C19F6"/>
    <w:rsid w:val="009C1F36"/>
    <w:rsid w:val="009C20FD"/>
    <w:rsid w:val="009C262C"/>
    <w:rsid w:val="009C2A76"/>
    <w:rsid w:val="009C61BB"/>
    <w:rsid w:val="009D4085"/>
    <w:rsid w:val="009D782D"/>
    <w:rsid w:val="009E060F"/>
    <w:rsid w:val="009E07E2"/>
    <w:rsid w:val="009E2E18"/>
    <w:rsid w:val="009E58A5"/>
    <w:rsid w:val="009E78A9"/>
    <w:rsid w:val="009E7D30"/>
    <w:rsid w:val="009E7E42"/>
    <w:rsid w:val="009F2349"/>
    <w:rsid w:val="009F2F51"/>
    <w:rsid w:val="009F3799"/>
    <w:rsid w:val="009F4385"/>
    <w:rsid w:val="009F561A"/>
    <w:rsid w:val="009F5BEA"/>
    <w:rsid w:val="009F5CB5"/>
    <w:rsid w:val="009F5EAA"/>
    <w:rsid w:val="009F6705"/>
    <w:rsid w:val="009F6CBF"/>
    <w:rsid w:val="009F7733"/>
    <w:rsid w:val="009F7B92"/>
    <w:rsid w:val="009F7E07"/>
    <w:rsid w:val="00A0069E"/>
    <w:rsid w:val="00A01053"/>
    <w:rsid w:val="00A02A63"/>
    <w:rsid w:val="00A03E01"/>
    <w:rsid w:val="00A04367"/>
    <w:rsid w:val="00A059E7"/>
    <w:rsid w:val="00A05E88"/>
    <w:rsid w:val="00A06EC4"/>
    <w:rsid w:val="00A07692"/>
    <w:rsid w:val="00A1287E"/>
    <w:rsid w:val="00A12FE8"/>
    <w:rsid w:val="00A153E8"/>
    <w:rsid w:val="00A155E7"/>
    <w:rsid w:val="00A16307"/>
    <w:rsid w:val="00A169C9"/>
    <w:rsid w:val="00A172FB"/>
    <w:rsid w:val="00A17440"/>
    <w:rsid w:val="00A17943"/>
    <w:rsid w:val="00A20104"/>
    <w:rsid w:val="00A20514"/>
    <w:rsid w:val="00A206BA"/>
    <w:rsid w:val="00A21A9F"/>
    <w:rsid w:val="00A21C0A"/>
    <w:rsid w:val="00A220C5"/>
    <w:rsid w:val="00A22235"/>
    <w:rsid w:val="00A225A9"/>
    <w:rsid w:val="00A26BFB"/>
    <w:rsid w:val="00A27D06"/>
    <w:rsid w:val="00A31B3B"/>
    <w:rsid w:val="00A33452"/>
    <w:rsid w:val="00A33D6E"/>
    <w:rsid w:val="00A37768"/>
    <w:rsid w:val="00A40A17"/>
    <w:rsid w:val="00A40E9A"/>
    <w:rsid w:val="00A41251"/>
    <w:rsid w:val="00A412C9"/>
    <w:rsid w:val="00A41C70"/>
    <w:rsid w:val="00A45EBF"/>
    <w:rsid w:val="00A4789D"/>
    <w:rsid w:val="00A51EA2"/>
    <w:rsid w:val="00A533DC"/>
    <w:rsid w:val="00A54CEF"/>
    <w:rsid w:val="00A55EA1"/>
    <w:rsid w:val="00A5772D"/>
    <w:rsid w:val="00A61B57"/>
    <w:rsid w:val="00A63A92"/>
    <w:rsid w:val="00A63C31"/>
    <w:rsid w:val="00A640F3"/>
    <w:rsid w:val="00A64ACC"/>
    <w:rsid w:val="00A64F2C"/>
    <w:rsid w:val="00A6777B"/>
    <w:rsid w:val="00A70C75"/>
    <w:rsid w:val="00A715BB"/>
    <w:rsid w:val="00A73560"/>
    <w:rsid w:val="00A75136"/>
    <w:rsid w:val="00A77471"/>
    <w:rsid w:val="00A7758F"/>
    <w:rsid w:val="00A8092B"/>
    <w:rsid w:val="00A81A82"/>
    <w:rsid w:val="00A8249A"/>
    <w:rsid w:val="00A825FF"/>
    <w:rsid w:val="00A83619"/>
    <w:rsid w:val="00A83DA5"/>
    <w:rsid w:val="00A843C0"/>
    <w:rsid w:val="00A8442E"/>
    <w:rsid w:val="00A848B3"/>
    <w:rsid w:val="00A84FA3"/>
    <w:rsid w:val="00A8566B"/>
    <w:rsid w:val="00A872DE"/>
    <w:rsid w:val="00A906FD"/>
    <w:rsid w:val="00A90768"/>
    <w:rsid w:val="00A9242F"/>
    <w:rsid w:val="00A93FB7"/>
    <w:rsid w:val="00A94250"/>
    <w:rsid w:val="00A94C20"/>
    <w:rsid w:val="00A94CF5"/>
    <w:rsid w:val="00A951D4"/>
    <w:rsid w:val="00A95D12"/>
    <w:rsid w:val="00AA0343"/>
    <w:rsid w:val="00AA0D8D"/>
    <w:rsid w:val="00AA0EB2"/>
    <w:rsid w:val="00AA11B9"/>
    <w:rsid w:val="00AA290D"/>
    <w:rsid w:val="00AA2E1D"/>
    <w:rsid w:val="00AA3608"/>
    <w:rsid w:val="00AA4036"/>
    <w:rsid w:val="00AA54E7"/>
    <w:rsid w:val="00AA67A3"/>
    <w:rsid w:val="00AA71FB"/>
    <w:rsid w:val="00AA7C59"/>
    <w:rsid w:val="00AB1E93"/>
    <w:rsid w:val="00AB2E26"/>
    <w:rsid w:val="00AB43E0"/>
    <w:rsid w:val="00AB47F7"/>
    <w:rsid w:val="00AB62CD"/>
    <w:rsid w:val="00AC3EB7"/>
    <w:rsid w:val="00AC4513"/>
    <w:rsid w:val="00AC4EBF"/>
    <w:rsid w:val="00AC5D61"/>
    <w:rsid w:val="00AC6CEC"/>
    <w:rsid w:val="00AC7AEE"/>
    <w:rsid w:val="00AD0436"/>
    <w:rsid w:val="00AD198B"/>
    <w:rsid w:val="00AD48CF"/>
    <w:rsid w:val="00AD4D56"/>
    <w:rsid w:val="00AD4F63"/>
    <w:rsid w:val="00AD4F6A"/>
    <w:rsid w:val="00AD7D7E"/>
    <w:rsid w:val="00AD7D8D"/>
    <w:rsid w:val="00AE0C5E"/>
    <w:rsid w:val="00AE13EC"/>
    <w:rsid w:val="00AE2430"/>
    <w:rsid w:val="00AE3463"/>
    <w:rsid w:val="00AE47B2"/>
    <w:rsid w:val="00AE5AB0"/>
    <w:rsid w:val="00AE7988"/>
    <w:rsid w:val="00AF1CC5"/>
    <w:rsid w:val="00AF2C9C"/>
    <w:rsid w:val="00AF3C31"/>
    <w:rsid w:val="00AF402F"/>
    <w:rsid w:val="00B003FF"/>
    <w:rsid w:val="00B0118F"/>
    <w:rsid w:val="00B04A92"/>
    <w:rsid w:val="00B0630F"/>
    <w:rsid w:val="00B07038"/>
    <w:rsid w:val="00B07CC4"/>
    <w:rsid w:val="00B10B92"/>
    <w:rsid w:val="00B141C1"/>
    <w:rsid w:val="00B14A10"/>
    <w:rsid w:val="00B15512"/>
    <w:rsid w:val="00B16144"/>
    <w:rsid w:val="00B16A67"/>
    <w:rsid w:val="00B20BC6"/>
    <w:rsid w:val="00B20D7C"/>
    <w:rsid w:val="00B21701"/>
    <w:rsid w:val="00B238C6"/>
    <w:rsid w:val="00B251CD"/>
    <w:rsid w:val="00B27113"/>
    <w:rsid w:val="00B31828"/>
    <w:rsid w:val="00B31DEE"/>
    <w:rsid w:val="00B32406"/>
    <w:rsid w:val="00B332B9"/>
    <w:rsid w:val="00B34B01"/>
    <w:rsid w:val="00B367B0"/>
    <w:rsid w:val="00B37C4E"/>
    <w:rsid w:val="00B40FA4"/>
    <w:rsid w:val="00B41FAD"/>
    <w:rsid w:val="00B42C32"/>
    <w:rsid w:val="00B42DE4"/>
    <w:rsid w:val="00B43223"/>
    <w:rsid w:val="00B4478B"/>
    <w:rsid w:val="00B46AD1"/>
    <w:rsid w:val="00B470BF"/>
    <w:rsid w:val="00B4720D"/>
    <w:rsid w:val="00B5075D"/>
    <w:rsid w:val="00B51009"/>
    <w:rsid w:val="00B51D68"/>
    <w:rsid w:val="00B51F0B"/>
    <w:rsid w:val="00B535CB"/>
    <w:rsid w:val="00B56C9B"/>
    <w:rsid w:val="00B7114C"/>
    <w:rsid w:val="00B730C2"/>
    <w:rsid w:val="00B754D7"/>
    <w:rsid w:val="00B860FF"/>
    <w:rsid w:val="00B90DDC"/>
    <w:rsid w:val="00B90EE1"/>
    <w:rsid w:val="00B9165D"/>
    <w:rsid w:val="00B91B75"/>
    <w:rsid w:val="00B93006"/>
    <w:rsid w:val="00B94A05"/>
    <w:rsid w:val="00B94CA0"/>
    <w:rsid w:val="00B95E40"/>
    <w:rsid w:val="00B96044"/>
    <w:rsid w:val="00B96E98"/>
    <w:rsid w:val="00B9716F"/>
    <w:rsid w:val="00B97CAC"/>
    <w:rsid w:val="00BA09F4"/>
    <w:rsid w:val="00BA19E7"/>
    <w:rsid w:val="00BA1C7F"/>
    <w:rsid w:val="00BA3092"/>
    <w:rsid w:val="00BA3464"/>
    <w:rsid w:val="00BA462A"/>
    <w:rsid w:val="00BA5983"/>
    <w:rsid w:val="00BA5ED1"/>
    <w:rsid w:val="00BA67FF"/>
    <w:rsid w:val="00BB0A50"/>
    <w:rsid w:val="00BB55A9"/>
    <w:rsid w:val="00BB57FF"/>
    <w:rsid w:val="00BB5AB2"/>
    <w:rsid w:val="00BB5F31"/>
    <w:rsid w:val="00BB7BCE"/>
    <w:rsid w:val="00BC0E48"/>
    <w:rsid w:val="00BC2C13"/>
    <w:rsid w:val="00BC3E8E"/>
    <w:rsid w:val="00BC3FB5"/>
    <w:rsid w:val="00BC41E5"/>
    <w:rsid w:val="00BC42B1"/>
    <w:rsid w:val="00BC63D3"/>
    <w:rsid w:val="00BC6B85"/>
    <w:rsid w:val="00BC6BD0"/>
    <w:rsid w:val="00BD10DD"/>
    <w:rsid w:val="00BD1EF1"/>
    <w:rsid w:val="00BD2A13"/>
    <w:rsid w:val="00BD33FB"/>
    <w:rsid w:val="00BD3F6C"/>
    <w:rsid w:val="00BD45DB"/>
    <w:rsid w:val="00BD49FE"/>
    <w:rsid w:val="00BD4A42"/>
    <w:rsid w:val="00BD4DC0"/>
    <w:rsid w:val="00BD5F3D"/>
    <w:rsid w:val="00BD680C"/>
    <w:rsid w:val="00BD7979"/>
    <w:rsid w:val="00BE1CB8"/>
    <w:rsid w:val="00BE2375"/>
    <w:rsid w:val="00BE2824"/>
    <w:rsid w:val="00BE287D"/>
    <w:rsid w:val="00BE7A73"/>
    <w:rsid w:val="00BF0EC2"/>
    <w:rsid w:val="00BF44F1"/>
    <w:rsid w:val="00BF588C"/>
    <w:rsid w:val="00C011A8"/>
    <w:rsid w:val="00C0167E"/>
    <w:rsid w:val="00C01985"/>
    <w:rsid w:val="00C02AFE"/>
    <w:rsid w:val="00C03424"/>
    <w:rsid w:val="00C0382F"/>
    <w:rsid w:val="00C05A96"/>
    <w:rsid w:val="00C06895"/>
    <w:rsid w:val="00C07224"/>
    <w:rsid w:val="00C07779"/>
    <w:rsid w:val="00C11633"/>
    <w:rsid w:val="00C1163B"/>
    <w:rsid w:val="00C1357A"/>
    <w:rsid w:val="00C13EA3"/>
    <w:rsid w:val="00C14741"/>
    <w:rsid w:val="00C1545F"/>
    <w:rsid w:val="00C16571"/>
    <w:rsid w:val="00C17109"/>
    <w:rsid w:val="00C1737D"/>
    <w:rsid w:val="00C20732"/>
    <w:rsid w:val="00C21268"/>
    <w:rsid w:val="00C21B85"/>
    <w:rsid w:val="00C21CB0"/>
    <w:rsid w:val="00C22246"/>
    <w:rsid w:val="00C223A9"/>
    <w:rsid w:val="00C23477"/>
    <w:rsid w:val="00C24D37"/>
    <w:rsid w:val="00C31268"/>
    <w:rsid w:val="00C31F26"/>
    <w:rsid w:val="00C32233"/>
    <w:rsid w:val="00C32340"/>
    <w:rsid w:val="00C3235D"/>
    <w:rsid w:val="00C32DDA"/>
    <w:rsid w:val="00C362D3"/>
    <w:rsid w:val="00C46F44"/>
    <w:rsid w:val="00C507F1"/>
    <w:rsid w:val="00C50CF0"/>
    <w:rsid w:val="00C51E12"/>
    <w:rsid w:val="00C5229F"/>
    <w:rsid w:val="00C53497"/>
    <w:rsid w:val="00C53894"/>
    <w:rsid w:val="00C5405A"/>
    <w:rsid w:val="00C54902"/>
    <w:rsid w:val="00C54A54"/>
    <w:rsid w:val="00C551B5"/>
    <w:rsid w:val="00C56E96"/>
    <w:rsid w:val="00C57095"/>
    <w:rsid w:val="00C572AE"/>
    <w:rsid w:val="00C60367"/>
    <w:rsid w:val="00C604CE"/>
    <w:rsid w:val="00C60957"/>
    <w:rsid w:val="00C61009"/>
    <w:rsid w:val="00C62420"/>
    <w:rsid w:val="00C665AA"/>
    <w:rsid w:val="00C70CA7"/>
    <w:rsid w:val="00C71C5B"/>
    <w:rsid w:val="00C73D4A"/>
    <w:rsid w:val="00C75889"/>
    <w:rsid w:val="00C764F0"/>
    <w:rsid w:val="00C80080"/>
    <w:rsid w:val="00C81229"/>
    <w:rsid w:val="00C819BE"/>
    <w:rsid w:val="00C84531"/>
    <w:rsid w:val="00C85D78"/>
    <w:rsid w:val="00C85E36"/>
    <w:rsid w:val="00C86176"/>
    <w:rsid w:val="00C86F49"/>
    <w:rsid w:val="00C91D5C"/>
    <w:rsid w:val="00C91DDB"/>
    <w:rsid w:val="00C950A2"/>
    <w:rsid w:val="00CA039B"/>
    <w:rsid w:val="00CA1345"/>
    <w:rsid w:val="00CA1B82"/>
    <w:rsid w:val="00CA2117"/>
    <w:rsid w:val="00CA290F"/>
    <w:rsid w:val="00CA41E2"/>
    <w:rsid w:val="00CA431B"/>
    <w:rsid w:val="00CA4B6C"/>
    <w:rsid w:val="00CA5EBA"/>
    <w:rsid w:val="00CA6787"/>
    <w:rsid w:val="00CA763A"/>
    <w:rsid w:val="00CB056D"/>
    <w:rsid w:val="00CB0C9F"/>
    <w:rsid w:val="00CB0DB2"/>
    <w:rsid w:val="00CB2969"/>
    <w:rsid w:val="00CB3CFC"/>
    <w:rsid w:val="00CB3EF5"/>
    <w:rsid w:val="00CB45AD"/>
    <w:rsid w:val="00CB596E"/>
    <w:rsid w:val="00CB5FD6"/>
    <w:rsid w:val="00CB6861"/>
    <w:rsid w:val="00CB689C"/>
    <w:rsid w:val="00CB7598"/>
    <w:rsid w:val="00CC0278"/>
    <w:rsid w:val="00CC1302"/>
    <w:rsid w:val="00CC2EA2"/>
    <w:rsid w:val="00CC485E"/>
    <w:rsid w:val="00CC5C0F"/>
    <w:rsid w:val="00CC5ED8"/>
    <w:rsid w:val="00CC7E97"/>
    <w:rsid w:val="00CD10E2"/>
    <w:rsid w:val="00CD22C4"/>
    <w:rsid w:val="00CD324C"/>
    <w:rsid w:val="00CD6FF9"/>
    <w:rsid w:val="00CD7963"/>
    <w:rsid w:val="00CE05A3"/>
    <w:rsid w:val="00CE078A"/>
    <w:rsid w:val="00CE08ED"/>
    <w:rsid w:val="00CE46FD"/>
    <w:rsid w:val="00CE499E"/>
    <w:rsid w:val="00CE4F36"/>
    <w:rsid w:val="00CE5A9C"/>
    <w:rsid w:val="00CE5C85"/>
    <w:rsid w:val="00CE69AA"/>
    <w:rsid w:val="00CE7655"/>
    <w:rsid w:val="00CF13CC"/>
    <w:rsid w:val="00CF1AB0"/>
    <w:rsid w:val="00CF1B30"/>
    <w:rsid w:val="00CF1E44"/>
    <w:rsid w:val="00CF23CA"/>
    <w:rsid w:val="00CF2409"/>
    <w:rsid w:val="00CF39BB"/>
    <w:rsid w:val="00CF4A90"/>
    <w:rsid w:val="00CF4EF4"/>
    <w:rsid w:val="00CF58D5"/>
    <w:rsid w:val="00CF5A87"/>
    <w:rsid w:val="00CF7433"/>
    <w:rsid w:val="00CF78BD"/>
    <w:rsid w:val="00CF7A10"/>
    <w:rsid w:val="00D01322"/>
    <w:rsid w:val="00D02388"/>
    <w:rsid w:val="00D02C53"/>
    <w:rsid w:val="00D02FF2"/>
    <w:rsid w:val="00D03F0C"/>
    <w:rsid w:val="00D05FEC"/>
    <w:rsid w:val="00D10DC9"/>
    <w:rsid w:val="00D110A8"/>
    <w:rsid w:val="00D135D1"/>
    <w:rsid w:val="00D13718"/>
    <w:rsid w:val="00D1392B"/>
    <w:rsid w:val="00D13AC9"/>
    <w:rsid w:val="00D14620"/>
    <w:rsid w:val="00D14CBA"/>
    <w:rsid w:val="00D15589"/>
    <w:rsid w:val="00D1680D"/>
    <w:rsid w:val="00D172F4"/>
    <w:rsid w:val="00D17636"/>
    <w:rsid w:val="00D178FB"/>
    <w:rsid w:val="00D2022D"/>
    <w:rsid w:val="00D20A5D"/>
    <w:rsid w:val="00D20B22"/>
    <w:rsid w:val="00D21121"/>
    <w:rsid w:val="00D227A9"/>
    <w:rsid w:val="00D229AD"/>
    <w:rsid w:val="00D22B35"/>
    <w:rsid w:val="00D22C9A"/>
    <w:rsid w:val="00D237AE"/>
    <w:rsid w:val="00D238B7"/>
    <w:rsid w:val="00D239E2"/>
    <w:rsid w:val="00D23DCB"/>
    <w:rsid w:val="00D2467B"/>
    <w:rsid w:val="00D24B6B"/>
    <w:rsid w:val="00D267F2"/>
    <w:rsid w:val="00D31854"/>
    <w:rsid w:val="00D326D8"/>
    <w:rsid w:val="00D361F0"/>
    <w:rsid w:val="00D366E1"/>
    <w:rsid w:val="00D378E2"/>
    <w:rsid w:val="00D4138E"/>
    <w:rsid w:val="00D4186E"/>
    <w:rsid w:val="00D451BF"/>
    <w:rsid w:val="00D4544D"/>
    <w:rsid w:val="00D458CE"/>
    <w:rsid w:val="00D4617E"/>
    <w:rsid w:val="00D5129D"/>
    <w:rsid w:val="00D52EAC"/>
    <w:rsid w:val="00D54C9B"/>
    <w:rsid w:val="00D54E3A"/>
    <w:rsid w:val="00D54EE1"/>
    <w:rsid w:val="00D5591C"/>
    <w:rsid w:val="00D567E2"/>
    <w:rsid w:val="00D575F8"/>
    <w:rsid w:val="00D63BD7"/>
    <w:rsid w:val="00D679D5"/>
    <w:rsid w:val="00D729D8"/>
    <w:rsid w:val="00D7600C"/>
    <w:rsid w:val="00D812B6"/>
    <w:rsid w:val="00D81574"/>
    <w:rsid w:val="00D81DA2"/>
    <w:rsid w:val="00D82086"/>
    <w:rsid w:val="00D8435B"/>
    <w:rsid w:val="00D871DF"/>
    <w:rsid w:val="00D9035B"/>
    <w:rsid w:val="00D91EF2"/>
    <w:rsid w:val="00D9226C"/>
    <w:rsid w:val="00D922F4"/>
    <w:rsid w:val="00D9491C"/>
    <w:rsid w:val="00D9661F"/>
    <w:rsid w:val="00D96FB7"/>
    <w:rsid w:val="00DA3FCE"/>
    <w:rsid w:val="00DA4167"/>
    <w:rsid w:val="00DA49F9"/>
    <w:rsid w:val="00DA5111"/>
    <w:rsid w:val="00DA67C4"/>
    <w:rsid w:val="00DA7A30"/>
    <w:rsid w:val="00DB1E9D"/>
    <w:rsid w:val="00DB3D02"/>
    <w:rsid w:val="00DB5650"/>
    <w:rsid w:val="00DB5E02"/>
    <w:rsid w:val="00DB5F5E"/>
    <w:rsid w:val="00DB675A"/>
    <w:rsid w:val="00DB6A35"/>
    <w:rsid w:val="00DC1DCE"/>
    <w:rsid w:val="00DC2F74"/>
    <w:rsid w:val="00DC3641"/>
    <w:rsid w:val="00DC3CA2"/>
    <w:rsid w:val="00DC3E97"/>
    <w:rsid w:val="00DC5DE4"/>
    <w:rsid w:val="00DC6607"/>
    <w:rsid w:val="00DC7B46"/>
    <w:rsid w:val="00DD0379"/>
    <w:rsid w:val="00DD1000"/>
    <w:rsid w:val="00DD1A4A"/>
    <w:rsid w:val="00DD4544"/>
    <w:rsid w:val="00DD652D"/>
    <w:rsid w:val="00DD7594"/>
    <w:rsid w:val="00DE02E9"/>
    <w:rsid w:val="00DE0832"/>
    <w:rsid w:val="00DE3D8B"/>
    <w:rsid w:val="00DE5ACD"/>
    <w:rsid w:val="00DE5C61"/>
    <w:rsid w:val="00DE5EF4"/>
    <w:rsid w:val="00DF09F0"/>
    <w:rsid w:val="00DF0B08"/>
    <w:rsid w:val="00DF23C7"/>
    <w:rsid w:val="00DF2EDC"/>
    <w:rsid w:val="00DF3120"/>
    <w:rsid w:val="00DF3354"/>
    <w:rsid w:val="00E005A7"/>
    <w:rsid w:val="00E01743"/>
    <w:rsid w:val="00E0286F"/>
    <w:rsid w:val="00E02A88"/>
    <w:rsid w:val="00E06550"/>
    <w:rsid w:val="00E07A90"/>
    <w:rsid w:val="00E07B31"/>
    <w:rsid w:val="00E1056D"/>
    <w:rsid w:val="00E10E9A"/>
    <w:rsid w:val="00E131C8"/>
    <w:rsid w:val="00E13281"/>
    <w:rsid w:val="00E13BF2"/>
    <w:rsid w:val="00E14163"/>
    <w:rsid w:val="00E1473B"/>
    <w:rsid w:val="00E20976"/>
    <w:rsid w:val="00E20ACE"/>
    <w:rsid w:val="00E20D65"/>
    <w:rsid w:val="00E210B6"/>
    <w:rsid w:val="00E21587"/>
    <w:rsid w:val="00E23262"/>
    <w:rsid w:val="00E23957"/>
    <w:rsid w:val="00E23EC0"/>
    <w:rsid w:val="00E24C0F"/>
    <w:rsid w:val="00E251E2"/>
    <w:rsid w:val="00E26103"/>
    <w:rsid w:val="00E26A1C"/>
    <w:rsid w:val="00E27A47"/>
    <w:rsid w:val="00E27AD7"/>
    <w:rsid w:val="00E30A87"/>
    <w:rsid w:val="00E30D9C"/>
    <w:rsid w:val="00E313B5"/>
    <w:rsid w:val="00E31F1E"/>
    <w:rsid w:val="00E32C37"/>
    <w:rsid w:val="00E34161"/>
    <w:rsid w:val="00E34A2D"/>
    <w:rsid w:val="00E34E7A"/>
    <w:rsid w:val="00E36B31"/>
    <w:rsid w:val="00E36E4C"/>
    <w:rsid w:val="00E36EB9"/>
    <w:rsid w:val="00E40294"/>
    <w:rsid w:val="00E42256"/>
    <w:rsid w:val="00E42523"/>
    <w:rsid w:val="00E42EB6"/>
    <w:rsid w:val="00E430A5"/>
    <w:rsid w:val="00E43583"/>
    <w:rsid w:val="00E43EF7"/>
    <w:rsid w:val="00E4442F"/>
    <w:rsid w:val="00E46B3C"/>
    <w:rsid w:val="00E50CF7"/>
    <w:rsid w:val="00E50EFD"/>
    <w:rsid w:val="00E51C32"/>
    <w:rsid w:val="00E53876"/>
    <w:rsid w:val="00E54D44"/>
    <w:rsid w:val="00E56B82"/>
    <w:rsid w:val="00E573BC"/>
    <w:rsid w:val="00E61A7E"/>
    <w:rsid w:val="00E6225A"/>
    <w:rsid w:val="00E62CBF"/>
    <w:rsid w:val="00E63BB2"/>
    <w:rsid w:val="00E6436F"/>
    <w:rsid w:val="00E64C3F"/>
    <w:rsid w:val="00E65112"/>
    <w:rsid w:val="00E67FB6"/>
    <w:rsid w:val="00E73094"/>
    <w:rsid w:val="00E74122"/>
    <w:rsid w:val="00E75219"/>
    <w:rsid w:val="00E755E7"/>
    <w:rsid w:val="00E76C32"/>
    <w:rsid w:val="00E82F94"/>
    <w:rsid w:val="00E83541"/>
    <w:rsid w:val="00E862DE"/>
    <w:rsid w:val="00E87818"/>
    <w:rsid w:val="00E8798A"/>
    <w:rsid w:val="00E9218D"/>
    <w:rsid w:val="00E92B8D"/>
    <w:rsid w:val="00E940E7"/>
    <w:rsid w:val="00E9612B"/>
    <w:rsid w:val="00E969C1"/>
    <w:rsid w:val="00E96DC6"/>
    <w:rsid w:val="00E970A9"/>
    <w:rsid w:val="00EA0639"/>
    <w:rsid w:val="00EA1208"/>
    <w:rsid w:val="00EA1F1F"/>
    <w:rsid w:val="00EA2B7B"/>
    <w:rsid w:val="00EA56B3"/>
    <w:rsid w:val="00EB0674"/>
    <w:rsid w:val="00EB1011"/>
    <w:rsid w:val="00EB101A"/>
    <w:rsid w:val="00EB107C"/>
    <w:rsid w:val="00EB2C14"/>
    <w:rsid w:val="00EB3604"/>
    <w:rsid w:val="00EB3682"/>
    <w:rsid w:val="00EB3EAD"/>
    <w:rsid w:val="00EB568A"/>
    <w:rsid w:val="00EB6205"/>
    <w:rsid w:val="00EB71A6"/>
    <w:rsid w:val="00EB7BBE"/>
    <w:rsid w:val="00EC0CFD"/>
    <w:rsid w:val="00EC3481"/>
    <w:rsid w:val="00EC3926"/>
    <w:rsid w:val="00EC540B"/>
    <w:rsid w:val="00EC6330"/>
    <w:rsid w:val="00EC6643"/>
    <w:rsid w:val="00EC7A1B"/>
    <w:rsid w:val="00ED162B"/>
    <w:rsid w:val="00ED171F"/>
    <w:rsid w:val="00ED361D"/>
    <w:rsid w:val="00ED44C5"/>
    <w:rsid w:val="00ED6104"/>
    <w:rsid w:val="00ED67C9"/>
    <w:rsid w:val="00EE028C"/>
    <w:rsid w:val="00EE174A"/>
    <w:rsid w:val="00EE46A2"/>
    <w:rsid w:val="00EE581E"/>
    <w:rsid w:val="00EE5AE7"/>
    <w:rsid w:val="00EE7AB2"/>
    <w:rsid w:val="00EF09CB"/>
    <w:rsid w:val="00EF313F"/>
    <w:rsid w:val="00EF42B3"/>
    <w:rsid w:val="00EF4FF8"/>
    <w:rsid w:val="00EF6160"/>
    <w:rsid w:val="00EF651E"/>
    <w:rsid w:val="00EF7661"/>
    <w:rsid w:val="00EF7746"/>
    <w:rsid w:val="00EF7A29"/>
    <w:rsid w:val="00F00002"/>
    <w:rsid w:val="00F01015"/>
    <w:rsid w:val="00F023F9"/>
    <w:rsid w:val="00F034B0"/>
    <w:rsid w:val="00F035B0"/>
    <w:rsid w:val="00F03BCF"/>
    <w:rsid w:val="00F03DA2"/>
    <w:rsid w:val="00F0528D"/>
    <w:rsid w:val="00F06415"/>
    <w:rsid w:val="00F10562"/>
    <w:rsid w:val="00F1116A"/>
    <w:rsid w:val="00F129D2"/>
    <w:rsid w:val="00F15F49"/>
    <w:rsid w:val="00F161B3"/>
    <w:rsid w:val="00F1697D"/>
    <w:rsid w:val="00F170B9"/>
    <w:rsid w:val="00F2026D"/>
    <w:rsid w:val="00F20FA9"/>
    <w:rsid w:val="00F214BC"/>
    <w:rsid w:val="00F222A7"/>
    <w:rsid w:val="00F2433A"/>
    <w:rsid w:val="00F2552E"/>
    <w:rsid w:val="00F30062"/>
    <w:rsid w:val="00F30D9C"/>
    <w:rsid w:val="00F3278D"/>
    <w:rsid w:val="00F34F1C"/>
    <w:rsid w:val="00F358DE"/>
    <w:rsid w:val="00F36FD2"/>
    <w:rsid w:val="00F37D06"/>
    <w:rsid w:val="00F37EF2"/>
    <w:rsid w:val="00F41E37"/>
    <w:rsid w:val="00F429C4"/>
    <w:rsid w:val="00F42F23"/>
    <w:rsid w:val="00F4301D"/>
    <w:rsid w:val="00F43F47"/>
    <w:rsid w:val="00F4447E"/>
    <w:rsid w:val="00F46EC7"/>
    <w:rsid w:val="00F477BB"/>
    <w:rsid w:val="00F51C4D"/>
    <w:rsid w:val="00F520BF"/>
    <w:rsid w:val="00F54403"/>
    <w:rsid w:val="00F54732"/>
    <w:rsid w:val="00F5691E"/>
    <w:rsid w:val="00F57874"/>
    <w:rsid w:val="00F6105D"/>
    <w:rsid w:val="00F61421"/>
    <w:rsid w:val="00F6313A"/>
    <w:rsid w:val="00F6371C"/>
    <w:rsid w:val="00F63CEC"/>
    <w:rsid w:val="00F660AD"/>
    <w:rsid w:val="00F668B3"/>
    <w:rsid w:val="00F675DB"/>
    <w:rsid w:val="00F7096D"/>
    <w:rsid w:val="00F71650"/>
    <w:rsid w:val="00F731E4"/>
    <w:rsid w:val="00F7398D"/>
    <w:rsid w:val="00F73E94"/>
    <w:rsid w:val="00F74B32"/>
    <w:rsid w:val="00F763FB"/>
    <w:rsid w:val="00F81A6A"/>
    <w:rsid w:val="00F81D77"/>
    <w:rsid w:val="00F820F9"/>
    <w:rsid w:val="00F824DB"/>
    <w:rsid w:val="00F83345"/>
    <w:rsid w:val="00F8359A"/>
    <w:rsid w:val="00F838FB"/>
    <w:rsid w:val="00F8397C"/>
    <w:rsid w:val="00F83D72"/>
    <w:rsid w:val="00F84BB4"/>
    <w:rsid w:val="00F852B1"/>
    <w:rsid w:val="00F9353A"/>
    <w:rsid w:val="00F96D46"/>
    <w:rsid w:val="00F96ED0"/>
    <w:rsid w:val="00FA009E"/>
    <w:rsid w:val="00FA2B8A"/>
    <w:rsid w:val="00FA66B8"/>
    <w:rsid w:val="00FA686B"/>
    <w:rsid w:val="00FB06A3"/>
    <w:rsid w:val="00FB0FEE"/>
    <w:rsid w:val="00FB1056"/>
    <w:rsid w:val="00FB1A88"/>
    <w:rsid w:val="00FB1C77"/>
    <w:rsid w:val="00FB2439"/>
    <w:rsid w:val="00FB4454"/>
    <w:rsid w:val="00FB601A"/>
    <w:rsid w:val="00FB7816"/>
    <w:rsid w:val="00FC1071"/>
    <w:rsid w:val="00FC2E9E"/>
    <w:rsid w:val="00FC3281"/>
    <w:rsid w:val="00FC465C"/>
    <w:rsid w:val="00FC4732"/>
    <w:rsid w:val="00FC4BC7"/>
    <w:rsid w:val="00FC6E06"/>
    <w:rsid w:val="00FC77E3"/>
    <w:rsid w:val="00FD4256"/>
    <w:rsid w:val="00FD4E50"/>
    <w:rsid w:val="00FD5793"/>
    <w:rsid w:val="00FE0B4A"/>
    <w:rsid w:val="00FE0FC4"/>
    <w:rsid w:val="00FE25B8"/>
    <w:rsid w:val="00FE3D5B"/>
    <w:rsid w:val="00FE462C"/>
    <w:rsid w:val="00FE4BCA"/>
    <w:rsid w:val="00FE4F2E"/>
    <w:rsid w:val="00FE5206"/>
    <w:rsid w:val="00FE5B0D"/>
    <w:rsid w:val="00FE7DEF"/>
    <w:rsid w:val="00FF67D9"/>
    <w:rsid w:val="00FF7658"/>
    <w:rsid w:val="018464AB"/>
    <w:rsid w:val="02307820"/>
    <w:rsid w:val="04C00E57"/>
    <w:rsid w:val="061612F9"/>
    <w:rsid w:val="067206ED"/>
    <w:rsid w:val="07081279"/>
    <w:rsid w:val="074B3516"/>
    <w:rsid w:val="08E7407A"/>
    <w:rsid w:val="0C7E617C"/>
    <w:rsid w:val="0CEA39DE"/>
    <w:rsid w:val="0DD84F05"/>
    <w:rsid w:val="0E0F7AD2"/>
    <w:rsid w:val="0E4154C1"/>
    <w:rsid w:val="0E9B355D"/>
    <w:rsid w:val="0F0D7694"/>
    <w:rsid w:val="100C6A6C"/>
    <w:rsid w:val="10BA6B6F"/>
    <w:rsid w:val="12FF39BC"/>
    <w:rsid w:val="13434F3B"/>
    <w:rsid w:val="145C2249"/>
    <w:rsid w:val="14604860"/>
    <w:rsid w:val="14BD7762"/>
    <w:rsid w:val="14E42C49"/>
    <w:rsid w:val="1559387A"/>
    <w:rsid w:val="157E0E30"/>
    <w:rsid w:val="166C2350"/>
    <w:rsid w:val="17557A23"/>
    <w:rsid w:val="177F3A0C"/>
    <w:rsid w:val="181E567F"/>
    <w:rsid w:val="199547AC"/>
    <w:rsid w:val="1AAD4848"/>
    <w:rsid w:val="1BE64CD0"/>
    <w:rsid w:val="1C531BBE"/>
    <w:rsid w:val="1ED47D57"/>
    <w:rsid w:val="1F374BDB"/>
    <w:rsid w:val="1F6B31DF"/>
    <w:rsid w:val="203D6BB9"/>
    <w:rsid w:val="21C51C34"/>
    <w:rsid w:val="22E633A0"/>
    <w:rsid w:val="23B87B80"/>
    <w:rsid w:val="24C2033C"/>
    <w:rsid w:val="252C0395"/>
    <w:rsid w:val="253C36D1"/>
    <w:rsid w:val="26EA3CF5"/>
    <w:rsid w:val="27E91B4B"/>
    <w:rsid w:val="28252DD5"/>
    <w:rsid w:val="28CF5223"/>
    <w:rsid w:val="2960418F"/>
    <w:rsid w:val="2AC901ED"/>
    <w:rsid w:val="2C675738"/>
    <w:rsid w:val="2EAA2A37"/>
    <w:rsid w:val="2EAC071C"/>
    <w:rsid w:val="30324C0F"/>
    <w:rsid w:val="309C411D"/>
    <w:rsid w:val="314F57A5"/>
    <w:rsid w:val="33DD5F1C"/>
    <w:rsid w:val="33E44B64"/>
    <w:rsid w:val="34160633"/>
    <w:rsid w:val="344977D1"/>
    <w:rsid w:val="371F246C"/>
    <w:rsid w:val="37421C09"/>
    <w:rsid w:val="38220352"/>
    <w:rsid w:val="388B1675"/>
    <w:rsid w:val="393B0F3D"/>
    <w:rsid w:val="39764E9F"/>
    <w:rsid w:val="39E01058"/>
    <w:rsid w:val="3AE64349"/>
    <w:rsid w:val="3B032A93"/>
    <w:rsid w:val="3B2B2D1D"/>
    <w:rsid w:val="3B9C50D5"/>
    <w:rsid w:val="3C244557"/>
    <w:rsid w:val="3C3169A0"/>
    <w:rsid w:val="3D607E07"/>
    <w:rsid w:val="3E2D66DC"/>
    <w:rsid w:val="3EC97AC4"/>
    <w:rsid w:val="3EFE00C0"/>
    <w:rsid w:val="3FF12E03"/>
    <w:rsid w:val="40594B80"/>
    <w:rsid w:val="414854D9"/>
    <w:rsid w:val="43427AEA"/>
    <w:rsid w:val="43635AE7"/>
    <w:rsid w:val="43B1786D"/>
    <w:rsid w:val="459344EF"/>
    <w:rsid w:val="45E67D5B"/>
    <w:rsid w:val="461125FB"/>
    <w:rsid w:val="47BF537F"/>
    <w:rsid w:val="47C86417"/>
    <w:rsid w:val="49C04A33"/>
    <w:rsid w:val="4AD036B3"/>
    <w:rsid w:val="4B83303B"/>
    <w:rsid w:val="4BA8195A"/>
    <w:rsid w:val="4CFF2151"/>
    <w:rsid w:val="4DEF2D73"/>
    <w:rsid w:val="4EB23099"/>
    <w:rsid w:val="4EEA477C"/>
    <w:rsid w:val="4F173F50"/>
    <w:rsid w:val="50891376"/>
    <w:rsid w:val="513B0C15"/>
    <w:rsid w:val="51767B4F"/>
    <w:rsid w:val="51892E8A"/>
    <w:rsid w:val="5490409C"/>
    <w:rsid w:val="54E34CD9"/>
    <w:rsid w:val="557F62AC"/>
    <w:rsid w:val="56105BB5"/>
    <w:rsid w:val="56386FBA"/>
    <w:rsid w:val="574D6283"/>
    <w:rsid w:val="57520916"/>
    <w:rsid w:val="58165D6D"/>
    <w:rsid w:val="598B260D"/>
    <w:rsid w:val="59EC5FDD"/>
    <w:rsid w:val="5B23194B"/>
    <w:rsid w:val="5B9564E3"/>
    <w:rsid w:val="5BB67455"/>
    <w:rsid w:val="5C2E7375"/>
    <w:rsid w:val="5C5E5DE0"/>
    <w:rsid w:val="5CA76D5C"/>
    <w:rsid w:val="5E7B68B8"/>
    <w:rsid w:val="5E98619E"/>
    <w:rsid w:val="5F4624A1"/>
    <w:rsid w:val="5FBA1016"/>
    <w:rsid w:val="602476D2"/>
    <w:rsid w:val="602E272E"/>
    <w:rsid w:val="60D6516A"/>
    <w:rsid w:val="61605CC6"/>
    <w:rsid w:val="61E82610"/>
    <w:rsid w:val="62313A1F"/>
    <w:rsid w:val="642F050F"/>
    <w:rsid w:val="64986AA7"/>
    <w:rsid w:val="64B477ED"/>
    <w:rsid w:val="64CE3D85"/>
    <w:rsid w:val="6556467B"/>
    <w:rsid w:val="65973160"/>
    <w:rsid w:val="65C63494"/>
    <w:rsid w:val="667874ED"/>
    <w:rsid w:val="669D07DA"/>
    <w:rsid w:val="67EF4C2B"/>
    <w:rsid w:val="68382F24"/>
    <w:rsid w:val="68492920"/>
    <w:rsid w:val="684A7E00"/>
    <w:rsid w:val="69036414"/>
    <w:rsid w:val="69926B5F"/>
    <w:rsid w:val="69CB5226"/>
    <w:rsid w:val="69CD7A52"/>
    <w:rsid w:val="6A427A0B"/>
    <w:rsid w:val="6ADA3D5A"/>
    <w:rsid w:val="6B190DF2"/>
    <w:rsid w:val="6B9F7B64"/>
    <w:rsid w:val="6C6172CD"/>
    <w:rsid w:val="6DA1021D"/>
    <w:rsid w:val="6F3C3062"/>
    <w:rsid w:val="70F40A06"/>
    <w:rsid w:val="71D52C52"/>
    <w:rsid w:val="74CE629B"/>
    <w:rsid w:val="74F87410"/>
    <w:rsid w:val="751B684F"/>
    <w:rsid w:val="76BD509F"/>
    <w:rsid w:val="774435EA"/>
    <w:rsid w:val="7790427F"/>
    <w:rsid w:val="78B36B05"/>
    <w:rsid w:val="792F052B"/>
    <w:rsid w:val="7A1A5B7A"/>
    <w:rsid w:val="7AC62DB2"/>
    <w:rsid w:val="7AFB3EE8"/>
    <w:rsid w:val="7C44797C"/>
    <w:rsid w:val="7C5A7B44"/>
    <w:rsid w:val="7CCF1551"/>
    <w:rsid w:val="7CE8603D"/>
    <w:rsid w:val="7CF04D55"/>
    <w:rsid w:val="7E82623A"/>
    <w:rsid w:val="7E83529C"/>
    <w:rsid w:val="7E9116C6"/>
    <w:rsid w:val="7E9C3D92"/>
    <w:rsid w:val="7FA80BB8"/>
    <w:rsid w:val="7FC33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1"/>
    <w:qFormat/>
    <w:uiPriority w:val="9"/>
    <w:pPr>
      <w:keepNext/>
      <w:keepLines/>
      <w:spacing w:line="360" w:lineRule="auto"/>
      <w:outlineLvl w:val="0"/>
    </w:pPr>
    <w:rPr>
      <w:b/>
      <w:bCs/>
      <w:kern w:val="44"/>
      <w:sz w:val="32"/>
      <w:szCs w:val="44"/>
    </w:rPr>
  </w:style>
  <w:style w:type="paragraph" w:styleId="4">
    <w:name w:val="heading 2"/>
    <w:basedOn w:val="1"/>
    <w:next w:val="1"/>
    <w:link w:val="6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29"/>
    <w:qFormat/>
    <w:uiPriority w:val="0"/>
    <w:pPr>
      <w:keepNext/>
      <w:keepLines/>
      <w:spacing w:line="360" w:lineRule="auto"/>
      <w:outlineLvl w:val="2"/>
    </w:pPr>
    <w:rPr>
      <w:b/>
      <w:bCs/>
      <w:sz w:val="24"/>
      <w:szCs w:val="32"/>
    </w:rPr>
  </w:style>
  <w:style w:type="paragraph" w:styleId="6">
    <w:name w:val="heading 4"/>
    <w:basedOn w:val="1"/>
    <w:next w:val="1"/>
    <w:link w:val="78"/>
    <w:qFormat/>
    <w:uiPriority w:val="0"/>
    <w:pPr>
      <w:keepNext/>
      <w:keepLines/>
      <w:spacing w:line="360" w:lineRule="auto"/>
      <w:outlineLvl w:val="3"/>
    </w:pPr>
    <w:rPr>
      <w:rFonts w:ascii="Arial" w:hAnsi="Arial"/>
      <w:b/>
      <w:bCs/>
      <w:szCs w:val="28"/>
    </w:rPr>
  </w:style>
  <w:style w:type="paragraph" w:styleId="7">
    <w:name w:val="heading 6"/>
    <w:basedOn w:val="1"/>
    <w:next w:val="2"/>
    <w:link w:val="77"/>
    <w:qFormat/>
    <w:uiPriority w:val="0"/>
    <w:pPr>
      <w:keepNext/>
      <w:tabs>
        <w:tab w:val="left" w:pos="383"/>
        <w:tab w:val="left" w:pos="1575"/>
      </w:tabs>
      <w:spacing w:line="440" w:lineRule="exact"/>
      <w:ind w:left="2100" w:hanging="405"/>
      <w:outlineLvl w:val="5"/>
    </w:pPr>
    <w:rPr>
      <w:sz w:val="28"/>
      <w:szCs w:val="20"/>
    </w:rPr>
  </w:style>
  <w:style w:type="paragraph" w:styleId="8">
    <w:name w:val="heading 9"/>
    <w:basedOn w:val="1"/>
    <w:next w:val="1"/>
    <w:link w:val="52"/>
    <w:qFormat/>
    <w:uiPriority w:val="0"/>
    <w:pPr>
      <w:keepNext/>
      <w:keepLines/>
      <w:spacing w:before="240" w:after="64" w:line="320" w:lineRule="auto"/>
      <w:outlineLvl w:val="8"/>
    </w:pPr>
    <w:rPr>
      <w:rFonts w:ascii="Arial" w:hAnsi="Arial" w:eastAsia="黑体"/>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9">
    <w:name w:val="toc 7"/>
    <w:basedOn w:val="1"/>
    <w:next w:val="1"/>
    <w:qFormat/>
    <w:uiPriority w:val="39"/>
    <w:pPr>
      <w:ind w:left="1050"/>
      <w:jc w:val="left"/>
    </w:pPr>
    <w:rPr>
      <w:sz w:val="20"/>
      <w:szCs w:val="20"/>
    </w:rPr>
  </w:style>
  <w:style w:type="paragraph" w:styleId="10">
    <w:name w:val="Document Map"/>
    <w:basedOn w:val="1"/>
    <w:link w:val="76"/>
    <w:qFormat/>
    <w:uiPriority w:val="99"/>
    <w:pPr>
      <w:shd w:val="clear" w:color="auto" w:fill="000080"/>
    </w:pPr>
  </w:style>
  <w:style w:type="paragraph" w:styleId="11">
    <w:name w:val="annotation text"/>
    <w:basedOn w:val="1"/>
    <w:link w:val="66"/>
    <w:qFormat/>
    <w:uiPriority w:val="0"/>
    <w:pPr>
      <w:jc w:val="left"/>
    </w:pPr>
  </w:style>
  <w:style w:type="paragraph" w:styleId="12">
    <w:name w:val="Salutation"/>
    <w:basedOn w:val="1"/>
    <w:next w:val="1"/>
    <w:link w:val="63"/>
    <w:qFormat/>
    <w:uiPriority w:val="0"/>
    <w:rPr>
      <w:sz w:val="24"/>
      <w:szCs w:val="20"/>
    </w:rPr>
  </w:style>
  <w:style w:type="paragraph" w:styleId="13">
    <w:name w:val="Body Text 3"/>
    <w:basedOn w:val="1"/>
    <w:link w:val="75"/>
    <w:qFormat/>
    <w:uiPriority w:val="0"/>
    <w:pPr>
      <w:spacing w:after="120"/>
    </w:pPr>
    <w:rPr>
      <w:sz w:val="16"/>
      <w:szCs w:val="20"/>
    </w:rPr>
  </w:style>
  <w:style w:type="paragraph" w:styleId="14">
    <w:name w:val="Body Text"/>
    <w:basedOn w:val="1"/>
    <w:next w:val="15"/>
    <w:link w:val="62"/>
    <w:qFormat/>
    <w:uiPriority w:val="0"/>
  </w:style>
  <w:style w:type="paragraph" w:customStyle="1" w:styleId="1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6">
    <w:name w:val="Body Text Indent"/>
    <w:basedOn w:val="1"/>
    <w:next w:val="15"/>
    <w:link w:val="65"/>
    <w:qFormat/>
    <w:uiPriority w:val="0"/>
  </w:style>
  <w:style w:type="paragraph" w:styleId="17">
    <w:name w:val="Block Text"/>
    <w:basedOn w:val="15"/>
    <w:next w:val="15"/>
    <w:qFormat/>
    <w:uiPriority w:val="0"/>
    <w:pPr>
      <w:spacing w:before="120"/>
    </w:pPr>
  </w:style>
  <w:style w:type="paragraph" w:styleId="18">
    <w:name w:val="toc 5"/>
    <w:basedOn w:val="1"/>
    <w:next w:val="1"/>
    <w:qFormat/>
    <w:uiPriority w:val="39"/>
    <w:pPr>
      <w:ind w:left="630"/>
      <w:jc w:val="left"/>
    </w:pPr>
    <w:rPr>
      <w:sz w:val="20"/>
      <w:szCs w:val="20"/>
    </w:rPr>
  </w:style>
  <w:style w:type="paragraph" w:styleId="19">
    <w:name w:val="toc 3"/>
    <w:basedOn w:val="1"/>
    <w:next w:val="1"/>
    <w:qFormat/>
    <w:uiPriority w:val="39"/>
    <w:pPr>
      <w:ind w:left="840" w:leftChars="400"/>
    </w:pPr>
  </w:style>
  <w:style w:type="paragraph" w:styleId="20">
    <w:name w:val="Plain Text"/>
    <w:basedOn w:val="1"/>
    <w:link w:val="53"/>
    <w:qFormat/>
    <w:uiPriority w:val="0"/>
    <w:rPr>
      <w:rFonts w:ascii="宋体" w:hAnsi="Courier New"/>
      <w:szCs w:val="20"/>
    </w:rPr>
  </w:style>
  <w:style w:type="paragraph" w:styleId="21">
    <w:name w:val="toc 8"/>
    <w:basedOn w:val="1"/>
    <w:next w:val="1"/>
    <w:qFormat/>
    <w:uiPriority w:val="39"/>
    <w:pPr>
      <w:ind w:left="1260"/>
      <w:jc w:val="left"/>
    </w:pPr>
    <w:rPr>
      <w:sz w:val="20"/>
      <w:szCs w:val="20"/>
    </w:rPr>
  </w:style>
  <w:style w:type="paragraph" w:styleId="22">
    <w:name w:val="Date"/>
    <w:basedOn w:val="1"/>
    <w:next w:val="1"/>
    <w:link w:val="57"/>
    <w:qFormat/>
    <w:uiPriority w:val="99"/>
    <w:rPr>
      <w:rFonts w:ascii="宋体"/>
      <w:szCs w:val="20"/>
    </w:rPr>
  </w:style>
  <w:style w:type="paragraph" w:styleId="23">
    <w:name w:val="Body Text Indent 2"/>
    <w:basedOn w:val="1"/>
    <w:link w:val="58"/>
    <w:qFormat/>
    <w:uiPriority w:val="0"/>
    <w:pPr>
      <w:spacing w:line="432" w:lineRule="auto"/>
      <w:ind w:left="360"/>
    </w:pPr>
    <w:rPr>
      <w:rFonts w:ascii="宋体" w:hAnsi="华文细黑"/>
      <w:szCs w:val="20"/>
    </w:rPr>
  </w:style>
  <w:style w:type="paragraph" w:styleId="24">
    <w:name w:val="Balloon Text"/>
    <w:basedOn w:val="1"/>
    <w:link w:val="72"/>
    <w:qFormat/>
    <w:uiPriority w:val="0"/>
    <w:rPr>
      <w:sz w:val="18"/>
      <w:szCs w:val="18"/>
    </w:rPr>
  </w:style>
  <w:style w:type="paragraph" w:styleId="25">
    <w:name w:val="footer"/>
    <w:basedOn w:val="1"/>
    <w:link w:val="67"/>
    <w:qFormat/>
    <w:uiPriority w:val="99"/>
    <w:pPr>
      <w:tabs>
        <w:tab w:val="center" w:pos="4153"/>
        <w:tab w:val="right" w:pos="8306"/>
      </w:tabs>
      <w:snapToGrid w:val="0"/>
      <w:jc w:val="left"/>
    </w:pPr>
    <w:rPr>
      <w:sz w:val="18"/>
      <w:szCs w:val="18"/>
    </w:rPr>
  </w:style>
  <w:style w:type="paragraph" w:styleId="26">
    <w:name w:val="header"/>
    <w:basedOn w:val="1"/>
    <w:link w:val="5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39"/>
    <w:pPr>
      <w:ind w:left="420"/>
      <w:jc w:val="left"/>
    </w:pPr>
    <w:rPr>
      <w:sz w:val="20"/>
      <w:szCs w:val="20"/>
    </w:rPr>
  </w:style>
  <w:style w:type="paragraph" w:styleId="29">
    <w:name w:val="Subtitle"/>
    <w:basedOn w:val="1"/>
    <w:next w:val="1"/>
    <w:link w:val="81"/>
    <w:qFormat/>
    <w:uiPriority w:val="11"/>
    <w:pPr>
      <w:widowControl/>
      <w:spacing w:before="240" w:after="60" w:line="312" w:lineRule="auto"/>
      <w:jc w:val="center"/>
      <w:outlineLvl w:val="1"/>
    </w:pPr>
    <w:rPr>
      <w:rFonts w:ascii="Calibri Light" w:hAnsi="Calibri Light"/>
      <w:b/>
      <w:bCs/>
      <w:kern w:val="28"/>
      <w:sz w:val="32"/>
      <w:szCs w:val="32"/>
    </w:rPr>
  </w:style>
  <w:style w:type="paragraph" w:styleId="30">
    <w:name w:val="footnote text"/>
    <w:basedOn w:val="1"/>
    <w:qFormat/>
    <w:uiPriority w:val="99"/>
    <w:pPr>
      <w:snapToGrid w:val="0"/>
      <w:jc w:val="left"/>
    </w:pPr>
    <w:rPr>
      <w:sz w:val="18"/>
      <w:szCs w:val="20"/>
    </w:rPr>
  </w:style>
  <w:style w:type="paragraph" w:styleId="31">
    <w:name w:val="toc 6"/>
    <w:basedOn w:val="1"/>
    <w:next w:val="1"/>
    <w:qFormat/>
    <w:uiPriority w:val="39"/>
    <w:pPr>
      <w:ind w:left="840"/>
      <w:jc w:val="left"/>
    </w:pPr>
    <w:rPr>
      <w:sz w:val="20"/>
      <w:szCs w:val="20"/>
    </w:rPr>
  </w:style>
  <w:style w:type="paragraph" w:styleId="32">
    <w:name w:val="Body Text Indent 3"/>
    <w:basedOn w:val="1"/>
    <w:link w:val="74"/>
    <w:qFormat/>
    <w:uiPriority w:val="0"/>
    <w:pPr>
      <w:spacing w:after="120"/>
      <w:ind w:left="420" w:leftChars="200"/>
    </w:pPr>
    <w:rPr>
      <w:sz w:val="16"/>
      <w:szCs w:val="20"/>
    </w:rPr>
  </w:style>
  <w:style w:type="paragraph" w:styleId="33">
    <w:name w:val="toc 2"/>
    <w:basedOn w:val="1"/>
    <w:next w:val="1"/>
    <w:qFormat/>
    <w:uiPriority w:val="39"/>
    <w:pPr>
      <w:ind w:left="420" w:leftChars="200"/>
    </w:pPr>
  </w:style>
  <w:style w:type="paragraph" w:styleId="34">
    <w:name w:val="toc 9"/>
    <w:basedOn w:val="1"/>
    <w:next w:val="1"/>
    <w:qFormat/>
    <w:uiPriority w:val="39"/>
    <w:pPr>
      <w:ind w:left="1470"/>
      <w:jc w:val="left"/>
    </w:pPr>
    <w:rPr>
      <w:sz w:val="20"/>
      <w:szCs w:val="20"/>
    </w:rPr>
  </w:style>
  <w:style w:type="paragraph" w:styleId="35">
    <w:name w:val="Body Text 2"/>
    <w:basedOn w:val="1"/>
    <w:link w:val="73"/>
    <w:qFormat/>
    <w:uiPriority w:val="0"/>
    <w:pPr>
      <w:spacing w:after="120" w:line="480" w:lineRule="auto"/>
    </w:pPr>
    <w:rPr>
      <w:szCs w:val="20"/>
    </w:rPr>
  </w:style>
  <w:style w:type="paragraph" w:styleId="3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7">
    <w:name w:val="Title"/>
    <w:basedOn w:val="1"/>
    <w:link w:val="59"/>
    <w:qFormat/>
    <w:uiPriority w:val="10"/>
    <w:pPr>
      <w:spacing w:before="240" w:after="60"/>
      <w:jc w:val="center"/>
      <w:outlineLvl w:val="0"/>
    </w:pPr>
    <w:rPr>
      <w:rFonts w:ascii="Arial" w:hAnsi="Arial"/>
      <w:b/>
      <w:bCs/>
      <w:sz w:val="32"/>
      <w:szCs w:val="32"/>
    </w:rPr>
  </w:style>
  <w:style w:type="paragraph" w:styleId="38">
    <w:name w:val="annotation subject"/>
    <w:basedOn w:val="11"/>
    <w:next w:val="11"/>
    <w:link w:val="70"/>
    <w:qFormat/>
    <w:uiPriority w:val="99"/>
    <w:rPr>
      <w:b/>
      <w:bCs/>
    </w:rPr>
  </w:style>
  <w:style w:type="paragraph" w:styleId="39">
    <w:name w:val="Body Text First Indent 2"/>
    <w:basedOn w:val="16"/>
    <w:qFormat/>
    <w:uiPriority w:val="0"/>
    <w:pPr>
      <w:ind w:firstLine="420" w:firstLineChars="200"/>
    </w:pPr>
  </w:style>
  <w:style w:type="table" w:styleId="41">
    <w:name w:val="Table Grid"/>
    <w:basedOn w:val="4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22"/>
    <w:rPr>
      <w:b/>
      <w:bCs/>
    </w:rPr>
  </w:style>
  <w:style w:type="character" w:styleId="44">
    <w:name w:val="page number"/>
    <w:basedOn w:val="42"/>
    <w:qFormat/>
    <w:uiPriority w:val="0"/>
  </w:style>
  <w:style w:type="character" w:styleId="45">
    <w:name w:val="FollowedHyperlink"/>
    <w:qFormat/>
    <w:uiPriority w:val="99"/>
    <w:rPr>
      <w:color w:val="800080"/>
      <w:u w:val="single"/>
    </w:rPr>
  </w:style>
  <w:style w:type="character" w:styleId="46">
    <w:name w:val="Hyperlink"/>
    <w:basedOn w:val="42"/>
    <w:qFormat/>
    <w:uiPriority w:val="99"/>
    <w:rPr>
      <w:color w:val="0000FF"/>
      <w:u w:val="single"/>
    </w:rPr>
  </w:style>
  <w:style w:type="character" w:styleId="47">
    <w:name w:val="annotation reference"/>
    <w:qFormat/>
    <w:uiPriority w:val="0"/>
    <w:rPr>
      <w:sz w:val="21"/>
      <w:szCs w:val="21"/>
    </w:rPr>
  </w:style>
  <w:style w:type="character" w:styleId="48">
    <w:name w:val="HTML Sample"/>
    <w:basedOn w:val="42"/>
    <w:unhideWhenUsed/>
    <w:qFormat/>
    <w:uiPriority w:val="99"/>
    <w:rPr>
      <w:rFonts w:ascii="宋体" w:hAnsi="宋体" w:eastAsia="宋体" w:cs="宋体"/>
    </w:rPr>
  </w:style>
  <w:style w:type="paragraph" w:customStyle="1" w:styleId="49">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
    <w:name w:val="标题2 Char Char"/>
    <w:qFormat/>
    <w:uiPriority w:val="0"/>
    <w:rPr>
      <w:rFonts w:ascii="宋体" w:hAnsi="宋体" w:eastAsia="宋体" w:cs="Times New Roman"/>
      <w:b/>
      <w:bCs/>
      <w:sz w:val="28"/>
      <w:szCs w:val="28"/>
    </w:rPr>
  </w:style>
  <w:style w:type="character" w:customStyle="1" w:styleId="51">
    <w:name w:val="15"/>
    <w:qFormat/>
    <w:uiPriority w:val="0"/>
    <w:rPr>
      <w:rFonts w:hint="default" w:ascii="Times New Roman" w:hAnsi="Times New Roman" w:cs="Times New Roman"/>
      <w:color w:val="464445"/>
      <w:u w:val="none"/>
    </w:rPr>
  </w:style>
  <w:style w:type="character" w:customStyle="1" w:styleId="52">
    <w:name w:val="标题 9 字符"/>
    <w:link w:val="8"/>
    <w:qFormat/>
    <w:uiPriority w:val="0"/>
    <w:rPr>
      <w:rFonts w:ascii="Arial" w:hAnsi="Arial" w:eastAsia="黑体"/>
      <w:kern w:val="2"/>
      <w:sz w:val="21"/>
      <w:szCs w:val="21"/>
    </w:rPr>
  </w:style>
  <w:style w:type="character" w:customStyle="1" w:styleId="53">
    <w:name w:val="纯文本 字符"/>
    <w:link w:val="20"/>
    <w:qFormat/>
    <w:uiPriority w:val="0"/>
    <w:rPr>
      <w:rFonts w:ascii="宋体" w:hAnsi="Courier New"/>
      <w:kern w:val="2"/>
      <w:sz w:val="21"/>
    </w:rPr>
  </w:style>
  <w:style w:type="character" w:customStyle="1" w:styleId="54">
    <w:name w:val="页眉 字符"/>
    <w:link w:val="26"/>
    <w:qFormat/>
    <w:uiPriority w:val="0"/>
    <w:rPr>
      <w:kern w:val="2"/>
      <w:sz w:val="18"/>
      <w:szCs w:val="18"/>
    </w:rPr>
  </w:style>
  <w:style w:type="character" w:customStyle="1" w:styleId="55">
    <w:name w:val="标题2 Char"/>
    <w:link w:val="56"/>
    <w:qFormat/>
    <w:uiPriority w:val="0"/>
    <w:rPr>
      <w:rFonts w:ascii="Cambria" w:hAnsi="Cambria"/>
      <w:b/>
      <w:bCs/>
      <w:kern w:val="2"/>
      <w:sz w:val="30"/>
      <w:szCs w:val="24"/>
    </w:rPr>
  </w:style>
  <w:style w:type="paragraph" w:customStyle="1" w:styleId="56">
    <w:name w:val="标题2"/>
    <w:basedOn w:val="37"/>
    <w:link w:val="55"/>
    <w:qFormat/>
    <w:uiPriority w:val="0"/>
    <w:pPr>
      <w:spacing w:after="240"/>
      <w:jc w:val="left"/>
    </w:pPr>
    <w:rPr>
      <w:rFonts w:ascii="Cambria" w:hAnsi="Cambria"/>
      <w:sz w:val="30"/>
      <w:szCs w:val="24"/>
    </w:rPr>
  </w:style>
  <w:style w:type="character" w:customStyle="1" w:styleId="57">
    <w:name w:val="日期 字符"/>
    <w:link w:val="22"/>
    <w:qFormat/>
    <w:uiPriority w:val="99"/>
    <w:rPr>
      <w:rFonts w:ascii="宋体"/>
      <w:kern w:val="2"/>
      <w:sz w:val="21"/>
    </w:rPr>
  </w:style>
  <w:style w:type="character" w:customStyle="1" w:styleId="58">
    <w:name w:val="正文文本缩进 2 字符"/>
    <w:link w:val="23"/>
    <w:qFormat/>
    <w:uiPriority w:val="0"/>
    <w:rPr>
      <w:rFonts w:ascii="宋体" w:hAnsi="华文细黑"/>
      <w:kern w:val="2"/>
      <w:sz w:val="21"/>
    </w:rPr>
  </w:style>
  <w:style w:type="character" w:customStyle="1" w:styleId="59">
    <w:name w:val="标题 字符"/>
    <w:link w:val="37"/>
    <w:qFormat/>
    <w:uiPriority w:val="10"/>
    <w:rPr>
      <w:rFonts w:ascii="Arial" w:hAnsi="Arial" w:cs="Arial"/>
      <w:b/>
      <w:bCs/>
      <w:kern w:val="2"/>
      <w:sz w:val="32"/>
      <w:szCs w:val="32"/>
    </w:rPr>
  </w:style>
  <w:style w:type="character" w:customStyle="1" w:styleId="60">
    <w:name w:val="样式 Arial"/>
    <w:qFormat/>
    <w:uiPriority w:val="0"/>
    <w:rPr>
      <w:rFonts w:ascii="Arial" w:hAnsi="Arial" w:eastAsia="宋体"/>
      <w:sz w:val="21"/>
    </w:rPr>
  </w:style>
  <w:style w:type="character" w:customStyle="1" w:styleId="61">
    <w:name w:val="标题 2 字符"/>
    <w:link w:val="4"/>
    <w:qFormat/>
    <w:uiPriority w:val="0"/>
    <w:rPr>
      <w:rFonts w:ascii="Cambria" w:hAnsi="Cambria" w:eastAsia="宋体" w:cs="Times New Roman"/>
      <w:b/>
      <w:bCs/>
      <w:kern w:val="2"/>
      <w:sz w:val="32"/>
      <w:szCs w:val="32"/>
    </w:rPr>
  </w:style>
  <w:style w:type="character" w:customStyle="1" w:styleId="62">
    <w:name w:val="正文文本 字符"/>
    <w:link w:val="14"/>
    <w:qFormat/>
    <w:uiPriority w:val="0"/>
    <w:rPr>
      <w:rFonts w:ascii="黑体" w:eastAsia="黑体"/>
    </w:rPr>
  </w:style>
  <w:style w:type="character" w:customStyle="1" w:styleId="63">
    <w:name w:val="称呼 字符"/>
    <w:link w:val="12"/>
    <w:qFormat/>
    <w:uiPriority w:val="0"/>
    <w:rPr>
      <w:kern w:val="2"/>
      <w:sz w:val="24"/>
    </w:rPr>
  </w:style>
  <w:style w:type="character" w:customStyle="1" w:styleId="64">
    <w:name w:val="副标题 Char1"/>
    <w:qFormat/>
    <w:uiPriority w:val="0"/>
    <w:rPr>
      <w:rFonts w:ascii="Cambria" w:hAnsi="Cambria" w:cs="Times New Roman"/>
      <w:b/>
      <w:bCs/>
      <w:kern w:val="28"/>
      <w:sz w:val="32"/>
      <w:szCs w:val="32"/>
    </w:rPr>
  </w:style>
  <w:style w:type="character" w:customStyle="1" w:styleId="65">
    <w:name w:val="正文文本缩进 字符"/>
    <w:link w:val="16"/>
    <w:qFormat/>
    <w:uiPriority w:val="0"/>
    <w:rPr>
      <w:rFonts w:ascii="黑体" w:eastAsia="黑体"/>
    </w:rPr>
  </w:style>
  <w:style w:type="character" w:customStyle="1" w:styleId="66">
    <w:name w:val="批注文字 字符"/>
    <w:link w:val="11"/>
    <w:qFormat/>
    <w:uiPriority w:val="0"/>
    <w:rPr>
      <w:kern w:val="2"/>
      <w:sz w:val="21"/>
      <w:szCs w:val="24"/>
    </w:rPr>
  </w:style>
  <w:style w:type="character" w:customStyle="1" w:styleId="67">
    <w:name w:val="页脚 字符"/>
    <w:link w:val="25"/>
    <w:qFormat/>
    <w:uiPriority w:val="99"/>
    <w:rPr>
      <w:kern w:val="2"/>
      <w:sz w:val="18"/>
      <w:szCs w:val="18"/>
    </w:rPr>
  </w:style>
  <w:style w:type="character" w:customStyle="1" w:styleId="68">
    <w:name w:val="正文1 Char1"/>
    <w:link w:val="69"/>
    <w:qFormat/>
    <w:uiPriority w:val="0"/>
    <w:rPr>
      <w:rFonts w:cs="宋体"/>
      <w:kern w:val="2"/>
      <w:sz w:val="24"/>
    </w:rPr>
  </w:style>
  <w:style w:type="paragraph" w:customStyle="1" w:styleId="69">
    <w:name w:val="正文1"/>
    <w:basedOn w:val="1"/>
    <w:link w:val="68"/>
    <w:qFormat/>
    <w:uiPriority w:val="0"/>
    <w:pPr>
      <w:spacing w:line="440" w:lineRule="exact"/>
      <w:ind w:firstLine="480" w:firstLineChars="200"/>
    </w:pPr>
    <w:rPr>
      <w:sz w:val="24"/>
      <w:szCs w:val="20"/>
    </w:rPr>
  </w:style>
  <w:style w:type="character" w:customStyle="1" w:styleId="70">
    <w:name w:val="批注主题 字符"/>
    <w:link w:val="38"/>
    <w:qFormat/>
    <w:uiPriority w:val="99"/>
    <w:rPr>
      <w:b/>
      <w:bCs/>
      <w:kern w:val="2"/>
      <w:sz w:val="21"/>
      <w:szCs w:val="24"/>
    </w:rPr>
  </w:style>
  <w:style w:type="character" w:customStyle="1" w:styleId="71">
    <w:name w:val="标题 1 字符"/>
    <w:link w:val="3"/>
    <w:qFormat/>
    <w:uiPriority w:val="9"/>
    <w:rPr>
      <w:b/>
      <w:bCs/>
      <w:kern w:val="44"/>
      <w:sz w:val="32"/>
      <w:szCs w:val="44"/>
    </w:rPr>
  </w:style>
  <w:style w:type="character" w:customStyle="1" w:styleId="72">
    <w:name w:val="批注框文本 字符"/>
    <w:link w:val="24"/>
    <w:qFormat/>
    <w:uiPriority w:val="0"/>
    <w:rPr>
      <w:kern w:val="2"/>
      <w:sz w:val="18"/>
      <w:szCs w:val="18"/>
    </w:rPr>
  </w:style>
  <w:style w:type="character" w:customStyle="1" w:styleId="73">
    <w:name w:val="正文文本 2 字符"/>
    <w:link w:val="35"/>
    <w:qFormat/>
    <w:uiPriority w:val="0"/>
    <w:rPr>
      <w:kern w:val="2"/>
      <w:sz w:val="21"/>
    </w:rPr>
  </w:style>
  <w:style w:type="character" w:customStyle="1" w:styleId="74">
    <w:name w:val="正文文本缩进 3 字符"/>
    <w:link w:val="32"/>
    <w:qFormat/>
    <w:uiPriority w:val="0"/>
    <w:rPr>
      <w:kern w:val="2"/>
      <w:sz w:val="16"/>
    </w:rPr>
  </w:style>
  <w:style w:type="character" w:customStyle="1" w:styleId="75">
    <w:name w:val="正文文本 3 字符"/>
    <w:link w:val="13"/>
    <w:qFormat/>
    <w:uiPriority w:val="0"/>
    <w:rPr>
      <w:kern w:val="2"/>
      <w:sz w:val="16"/>
    </w:rPr>
  </w:style>
  <w:style w:type="character" w:customStyle="1" w:styleId="76">
    <w:name w:val="文档结构图 字符"/>
    <w:link w:val="10"/>
    <w:qFormat/>
    <w:uiPriority w:val="99"/>
    <w:rPr>
      <w:kern w:val="2"/>
      <w:sz w:val="21"/>
      <w:szCs w:val="24"/>
      <w:shd w:val="clear" w:color="auto" w:fill="000080"/>
    </w:rPr>
  </w:style>
  <w:style w:type="character" w:customStyle="1" w:styleId="77">
    <w:name w:val="标题 6 字符"/>
    <w:link w:val="7"/>
    <w:qFormat/>
    <w:uiPriority w:val="0"/>
    <w:rPr>
      <w:kern w:val="2"/>
      <w:sz w:val="28"/>
    </w:rPr>
  </w:style>
  <w:style w:type="character" w:customStyle="1" w:styleId="78">
    <w:name w:val="标题 4 字符"/>
    <w:link w:val="6"/>
    <w:qFormat/>
    <w:uiPriority w:val="0"/>
    <w:rPr>
      <w:rFonts w:ascii="Arial" w:hAnsi="Arial"/>
      <w:b/>
      <w:bCs/>
      <w:kern w:val="2"/>
      <w:sz w:val="21"/>
      <w:szCs w:val="28"/>
    </w:rPr>
  </w:style>
  <w:style w:type="character" w:customStyle="1" w:styleId="79">
    <w:name w:val="标题3 Char"/>
    <w:link w:val="80"/>
    <w:qFormat/>
    <w:uiPriority w:val="0"/>
    <w:rPr>
      <w:rFonts w:ascii="宋体" w:hAnsi="宋体"/>
      <w:b/>
      <w:bCs/>
      <w:kern w:val="44"/>
      <w:sz w:val="24"/>
      <w:szCs w:val="24"/>
    </w:rPr>
  </w:style>
  <w:style w:type="paragraph" w:customStyle="1" w:styleId="80">
    <w:name w:val="标题3"/>
    <w:basedOn w:val="3"/>
    <w:link w:val="79"/>
    <w:qFormat/>
    <w:uiPriority w:val="0"/>
    <w:pPr>
      <w:spacing w:beforeLines="50" w:afterLines="50" w:line="400" w:lineRule="exact"/>
    </w:pPr>
    <w:rPr>
      <w:rFonts w:ascii="宋体" w:hAnsi="宋体"/>
      <w:sz w:val="24"/>
      <w:szCs w:val="24"/>
    </w:rPr>
  </w:style>
  <w:style w:type="character" w:customStyle="1" w:styleId="81">
    <w:name w:val="副标题 字符"/>
    <w:link w:val="29"/>
    <w:qFormat/>
    <w:uiPriority w:val="11"/>
    <w:rPr>
      <w:rFonts w:ascii="Calibri Light" w:hAnsi="Calibri Light"/>
      <w:b/>
      <w:bCs/>
      <w:kern w:val="28"/>
      <w:sz w:val="32"/>
      <w:szCs w:val="32"/>
    </w:rPr>
  </w:style>
  <w:style w:type="character" w:customStyle="1" w:styleId="82">
    <w:name w:val="标题 3 字符"/>
    <w:link w:val="5"/>
    <w:qFormat/>
    <w:uiPriority w:val="0"/>
    <w:rPr>
      <w:b/>
      <w:bCs/>
      <w:kern w:val="2"/>
      <w:sz w:val="24"/>
      <w:szCs w:val="32"/>
    </w:rPr>
  </w:style>
  <w:style w:type="character" w:customStyle="1" w:styleId="83">
    <w:name w:val="105v1"/>
    <w:qFormat/>
    <w:uiPriority w:val="0"/>
    <w:rPr>
      <w:rFonts w:hint="default" w:ascii="ˎ̥" w:hAnsi="ˎ̥"/>
      <w:sz w:val="21"/>
      <w:szCs w:val="21"/>
    </w:rPr>
  </w:style>
  <w:style w:type="paragraph" w:customStyle="1" w:styleId="84">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85">
    <w:name w:val="tiaonoa"/>
    <w:basedOn w:val="1"/>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86">
    <w:name w:val="Definition List"/>
    <w:basedOn w:val="1"/>
    <w:next w:val="87"/>
    <w:qFormat/>
    <w:uiPriority w:val="0"/>
    <w:pPr>
      <w:autoSpaceDE w:val="0"/>
      <w:autoSpaceDN w:val="0"/>
      <w:adjustRightInd w:val="0"/>
      <w:ind w:left="360"/>
      <w:jc w:val="left"/>
    </w:pPr>
    <w:rPr>
      <w:kern w:val="0"/>
      <w:sz w:val="24"/>
      <w:szCs w:val="20"/>
    </w:rPr>
  </w:style>
  <w:style w:type="paragraph" w:customStyle="1" w:styleId="87">
    <w:name w:val="Definition Term"/>
    <w:basedOn w:val="1"/>
    <w:next w:val="86"/>
    <w:qFormat/>
    <w:uiPriority w:val="0"/>
    <w:pPr>
      <w:autoSpaceDE w:val="0"/>
      <w:autoSpaceDN w:val="0"/>
      <w:adjustRightInd w:val="0"/>
      <w:jc w:val="left"/>
    </w:pPr>
    <w:rPr>
      <w:kern w:val="0"/>
      <w:sz w:val="24"/>
      <w:szCs w:val="20"/>
    </w:rPr>
  </w:style>
  <w:style w:type="paragraph" w:customStyle="1" w:styleId="88">
    <w:name w:val="tiao"/>
    <w:basedOn w:val="1"/>
    <w:qFormat/>
    <w:uiPriority w:val="0"/>
    <w:pPr>
      <w:widowControl/>
      <w:shd w:val="clear" w:color="auto" w:fill="AFEEEE"/>
      <w:spacing w:before="100" w:beforeAutospacing="1" w:after="100" w:afterAutospacing="1"/>
      <w:jc w:val="left"/>
    </w:pPr>
    <w:rPr>
      <w:rFonts w:ascii="宋体" w:hAnsi="宋体" w:cs="宋体"/>
      <w:i/>
      <w:iCs/>
      <w:smallCaps/>
      <w:color w:val="6600CC"/>
      <w:kern w:val="0"/>
      <w:sz w:val="20"/>
      <w:szCs w:val="20"/>
    </w:rPr>
  </w:style>
  <w:style w:type="paragraph" w:customStyle="1" w:styleId="89">
    <w:name w:val="p17"/>
    <w:basedOn w:val="1"/>
    <w:qFormat/>
    <w:uiPriority w:val="0"/>
    <w:pPr>
      <w:widowControl/>
    </w:pPr>
    <w:rPr>
      <w:kern w:val="0"/>
      <w:szCs w:val="21"/>
    </w:rPr>
  </w:style>
  <w:style w:type="paragraph" w:customStyle="1" w:styleId="9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kern w:val="0"/>
      <w:sz w:val="20"/>
      <w:szCs w:val="20"/>
    </w:rPr>
  </w:style>
  <w:style w:type="paragraph" w:customStyle="1" w:styleId="91">
    <w:name w:val="stitle"/>
    <w:basedOn w:val="1"/>
    <w:qFormat/>
    <w:uiPriority w:val="0"/>
    <w:pPr>
      <w:widowControl/>
      <w:spacing w:before="100" w:beforeAutospacing="1" w:after="100" w:afterAutospacing="1"/>
      <w:jc w:val="left"/>
    </w:pPr>
    <w:rPr>
      <w:rFonts w:ascii="宋体" w:hAnsi="宋体" w:cs="宋体"/>
      <w:smallCaps/>
      <w:color w:val="000000"/>
      <w:kern w:val="0"/>
      <w:sz w:val="20"/>
      <w:szCs w:val="20"/>
    </w:rPr>
  </w:style>
  <w:style w:type="paragraph" w:customStyle="1" w:styleId="92">
    <w:name w:val="_Style 16"/>
    <w:basedOn w:val="1"/>
    <w:next w:val="16"/>
    <w:qFormat/>
    <w:uiPriority w:val="0"/>
    <w:pPr>
      <w:ind w:firstLine="540"/>
    </w:pPr>
    <w:rPr>
      <w:sz w:val="28"/>
      <w:szCs w:val="20"/>
    </w:rPr>
  </w:style>
  <w:style w:type="paragraph" w:customStyle="1" w:styleId="93">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94">
    <w:name w:val="默认段落字体 Para Char Char Char Char"/>
    <w:basedOn w:val="1"/>
    <w:qFormat/>
    <w:uiPriority w:val="0"/>
    <w:rPr>
      <w:szCs w:val="20"/>
    </w:rPr>
  </w:style>
  <w:style w:type="paragraph" w:customStyle="1" w:styleId="95">
    <w:name w:val="正文 t"/>
    <w:basedOn w:val="1"/>
    <w:qFormat/>
    <w:uiPriority w:val="0"/>
    <w:pPr>
      <w:spacing w:before="120" w:after="120" w:line="240" w:lineRule="atLeast"/>
    </w:pPr>
    <w:rPr>
      <w:rFonts w:ascii="Arial" w:hAnsi="Arial"/>
      <w:sz w:val="24"/>
      <w:szCs w:val="20"/>
    </w:rPr>
  </w:style>
  <w:style w:type="paragraph" w:customStyle="1" w:styleId="96">
    <w:name w:val="content"/>
    <w:basedOn w:val="1"/>
    <w:qFormat/>
    <w:uiPriority w:val="0"/>
    <w:pPr>
      <w:widowControl/>
      <w:spacing w:before="100" w:beforeAutospacing="1" w:after="100" w:afterAutospacing="1" w:line="384" w:lineRule="auto"/>
      <w:jc w:val="left"/>
    </w:pPr>
    <w:rPr>
      <w:rFonts w:ascii="宋体" w:hAnsi="宋体" w:cs="宋体"/>
      <w:kern w:val="0"/>
      <w:sz w:val="18"/>
      <w:szCs w:val="18"/>
    </w:rPr>
  </w:style>
  <w:style w:type="paragraph" w:customStyle="1" w:styleId="97">
    <w:name w:val="mnotes"/>
    <w:basedOn w:val="1"/>
    <w:qFormat/>
    <w:uiPriority w:val="0"/>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98">
    <w:name w:val="Char1"/>
    <w:basedOn w:val="10"/>
    <w:qFormat/>
    <w:uiPriority w:val="0"/>
    <w:pPr>
      <w:tabs>
        <w:tab w:val="left" w:pos="0"/>
      </w:tabs>
      <w:ind w:firstLine="200" w:firstLineChars="200"/>
    </w:pPr>
    <w:rPr>
      <w:rFonts w:ascii="Tahoma" w:hAnsi="Tahoma"/>
      <w:sz w:val="24"/>
    </w:rPr>
  </w:style>
  <w:style w:type="paragraph" w:customStyle="1" w:styleId="99">
    <w:name w:val="tiaoyin"/>
    <w:basedOn w:val="1"/>
    <w:qFormat/>
    <w:uiPriority w:val="0"/>
    <w:pPr>
      <w:widowControl/>
      <w:spacing w:before="100" w:beforeAutospacing="1" w:after="100" w:afterAutospacing="1"/>
      <w:jc w:val="left"/>
    </w:pPr>
    <w:rPr>
      <w:rFonts w:ascii="宋体" w:hAnsi="宋体" w:cs="宋体"/>
      <w:smallCaps/>
      <w:color w:val="FF0000"/>
      <w:kern w:val="0"/>
      <w:sz w:val="20"/>
      <w:szCs w:val="20"/>
    </w:rPr>
  </w:style>
  <w:style w:type="paragraph" w:customStyle="1" w:styleId="100">
    <w:name w:val="TOC 标题1"/>
    <w:basedOn w:val="3"/>
    <w:next w:val="1"/>
    <w:qFormat/>
    <w:uiPriority w:val="0"/>
    <w:pPr>
      <w:spacing w:before="340" w:after="330" w:line="578" w:lineRule="auto"/>
      <w:outlineLvl w:val="9"/>
    </w:pPr>
    <w:rPr>
      <w:sz w:val="44"/>
    </w:rPr>
  </w:style>
  <w:style w:type="paragraph" w:customStyle="1" w:styleId="101">
    <w:name w:val="Char Char Char1 Char Char Char Char Char Char Char"/>
    <w:basedOn w:val="1"/>
    <w:qFormat/>
    <w:uiPriority w:val="0"/>
    <w:pPr>
      <w:spacing w:line="360" w:lineRule="auto"/>
      <w:ind w:firstLine="200" w:firstLineChars="200"/>
    </w:pPr>
    <w:rPr>
      <w:kern w:val="0"/>
      <w:sz w:val="20"/>
      <w:szCs w:val="20"/>
    </w:rPr>
  </w:style>
  <w:style w:type="paragraph" w:customStyle="1" w:styleId="102">
    <w:name w:val="_Style 15"/>
    <w:basedOn w:val="1"/>
    <w:next w:val="16"/>
    <w:qFormat/>
    <w:uiPriority w:val="0"/>
    <w:pPr>
      <w:ind w:firstLine="540"/>
    </w:pPr>
    <w:rPr>
      <w:sz w:val="28"/>
      <w:szCs w:val="20"/>
    </w:rPr>
  </w:style>
  <w:style w:type="paragraph" w:customStyle="1" w:styleId="103">
    <w:name w:val="Char"/>
    <w:basedOn w:val="10"/>
    <w:qFormat/>
    <w:uiPriority w:val="0"/>
    <w:pPr>
      <w:keepNext/>
      <w:spacing w:beforeLines="100"/>
    </w:pPr>
    <w:rPr>
      <w:rFonts w:ascii="Tahoma" w:hAnsi="Tahoma"/>
      <w:sz w:val="24"/>
    </w:rPr>
  </w:style>
  <w:style w:type="paragraph" w:customStyle="1" w:styleId="104">
    <w:name w:val="p0"/>
    <w:basedOn w:val="1"/>
    <w:qFormat/>
    <w:uiPriority w:val="0"/>
    <w:pPr>
      <w:widowControl/>
    </w:pPr>
    <w:rPr>
      <w:kern w:val="0"/>
      <w:szCs w:val="21"/>
    </w:rPr>
  </w:style>
  <w:style w:type="paragraph" w:customStyle="1" w:styleId="105">
    <w:name w:val="样式 Arial 行距: 1.5 倍行距"/>
    <w:basedOn w:val="1"/>
    <w:qFormat/>
    <w:uiPriority w:val="0"/>
    <w:pPr>
      <w:widowControl/>
      <w:spacing w:after="200" w:line="360" w:lineRule="auto"/>
      <w:ind w:firstLine="440" w:firstLineChars="200"/>
      <w:jc w:val="left"/>
    </w:pPr>
    <w:rPr>
      <w:rFonts w:ascii="Arial" w:hAnsi="Arial" w:cs="宋体"/>
      <w:kern w:val="0"/>
      <w:szCs w:val="20"/>
      <w:lang w:eastAsia="en-US" w:bidi="en-US"/>
    </w:rPr>
  </w:style>
  <w:style w:type="paragraph" w:customStyle="1" w:styleId="106">
    <w:name w:val="Char21"/>
    <w:basedOn w:val="1"/>
    <w:qFormat/>
    <w:uiPriority w:val="0"/>
    <w:pPr>
      <w:ind w:firstLine="200" w:firstLineChars="200"/>
    </w:pPr>
    <w:rPr>
      <w:rFonts w:ascii="Tahoma" w:hAnsi="Tahoma"/>
      <w:sz w:val="24"/>
      <w:szCs w:val="20"/>
    </w:rPr>
  </w:style>
  <w:style w:type="paragraph" w:customStyle="1" w:styleId="107">
    <w:name w:val="样式2"/>
    <w:basedOn w:val="4"/>
    <w:qFormat/>
    <w:uiPriority w:val="0"/>
  </w:style>
  <w:style w:type="paragraph" w:customStyle="1" w:styleId="108">
    <w:name w:val="样式1"/>
    <w:basedOn w:val="1"/>
    <w:next w:val="6"/>
    <w:qFormat/>
    <w:uiPriority w:val="0"/>
    <w:pPr>
      <w:spacing w:line="360" w:lineRule="auto"/>
      <w:ind w:firstLine="420" w:firstLineChars="200"/>
    </w:pPr>
    <w:rPr>
      <w:rFonts w:ascii="宋体" w:hAnsi="宋体"/>
      <w:szCs w:val="21"/>
    </w:rPr>
  </w:style>
  <w:style w:type="paragraph" w:customStyle="1" w:styleId="109">
    <w:name w:val="mtitle"/>
    <w:basedOn w:val="1"/>
    <w:qFormat/>
    <w:uiPriority w:val="0"/>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110">
    <w:name w:val="缺省文本"/>
    <w:basedOn w:val="1"/>
    <w:qFormat/>
    <w:uiPriority w:val="0"/>
    <w:pPr>
      <w:autoSpaceDE w:val="0"/>
      <w:autoSpaceDN w:val="0"/>
      <w:adjustRightInd w:val="0"/>
      <w:jc w:val="left"/>
    </w:pPr>
    <w:rPr>
      <w:kern w:val="0"/>
      <w:sz w:val="24"/>
      <w:szCs w:val="20"/>
    </w:rPr>
  </w:style>
  <w:style w:type="paragraph" w:customStyle="1" w:styleId="111">
    <w:name w:val="Char2"/>
    <w:basedOn w:val="1"/>
    <w:qFormat/>
    <w:uiPriority w:val="0"/>
    <w:pPr>
      <w:adjustRightInd w:val="0"/>
      <w:spacing w:line="360" w:lineRule="auto"/>
    </w:pPr>
    <w:rPr>
      <w:kern w:val="0"/>
      <w:sz w:val="24"/>
      <w:szCs w:val="20"/>
    </w:rPr>
  </w:style>
  <w:style w:type="character" w:customStyle="1" w:styleId="112">
    <w:name w:val="纯文本 Char2"/>
    <w:qFormat/>
    <w:uiPriority w:val="0"/>
    <w:rPr>
      <w:rFonts w:ascii="宋体" w:hAnsi="Courier New" w:eastAsia="宋体" w:cs="Times New Roman"/>
      <w:szCs w:val="20"/>
    </w:rPr>
  </w:style>
  <w:style w:type="character" w:customStyle="1" w:styleId="113">
    <w:name w:val="Hyperlink1"/>
    <w:qFormat/>
    <w:uiPriority w:val="0"/>
    <w:rPr>
      <w:rFonts w:ascii="宋体" w:hAnsi="宋体" w:eastAsia="宋体" w:cs="Times New Roman"/>
      <w:color w:val="0000FF"/>
      <w:u w:val="single"/>
    </w:rPr>
  </w:style>
  <w:style w:type="paragraph" w:customStyle="1" w:styleId="11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列出段落1"/>
    <w:basedOn w:val="1"/>
    <w:qFormat/>
    <w:uiPriority w:val="0"/>
    <w:pPr>
      <w:ind w:firstLine="420" w:firstLineChars="200"/>
    </w:pPr>
  </w:style>
  <w:style w:type="table" w:customStyle="1" w:styleId="116">
    <w:name w:val="网格型1"/>
    <w:basedOn w:val="40"/>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7">
    <w:name w:val="List Paragraph"/>
    <w:basedOn w:val="1"/>
    <w:qFormat/>
    <w:uiPriority w:val="99"/>
    <w:pPr>
      <w:ind w:firstLine="420" w:firstLineChars="200"/>
    </w:pPr>
    <w:rPr>
      <w:rFonts w:ascii="Calibri" w:hAnsi="Calibri"/>
      <w:sz w:val="24"/>
      <w:szCs w:val="22"/>
    </w:rPr>
  </w:style>
  <w:style w:type="paragraph" w:customStyle="1" w:styleId="118">
    <w:name w:val="Table Paragraph"/>
    <w:basedOn w:val="1"/>
    <w:qFormat/>
    <w:uiPriority w:val="1"/>
    <w:pPr>
      <w:jc w:val="left"/>
    </w:pPr>
    <w:rPr>
      <w:rFonts w:ascii="Calibri" w:hAnsi="Calibri"/>
      <w:kern w:val="0"/>
      <w:sz w:val="22"/>
      <w:szCs w:val="22"/>
      <w:lang w:eastAsia="en-US"/>
    </w:rPr>
  </w:style>
  <w:style w:type="paragraph" w:customStyle="1" w:styleId="119">
    <w:name w:val="Ri正文"/>
    <w:basedOn w:val="1"/>
    <w:qFormat/>
    <w:uiPriority w:val="0"/>
    <w:pPr>
      <w:widowControl/>
      <w:spacing w:before="100" w:beforeAutospacing="1" w:after="100" w:afterAutospacing="1"/>
      <w:ind w:firstLine="200" w:firstLineChars="200"/>
      <w:jc w:val="left"/>
    </w:pPr>
    <w:rPr>
      <w:rFonts w:cs="宋体"/>
      <w:kern w:val="0"/>
      <w:lang w:val="zh-CN"/>
    </w:rPr>
  </w:style>
  <w:style w:type="character" w:customStyle="1" w:styleId="120">
    <w:name w:val="NormalCharacter"/>
    <w:semiHidden/>
    <w:qFormat/>
    <w:uiPriority w:val="0"/>
  </w:style>
  <w:style w:type="paragraph" w:customStyle="1" w:styleId="121">
    <w:name w:val="标题 81"/>
    <w:basedOn w:val="1"/>
    <w:qFormat/>
    <w:uiPriority w:val="1"/>
    <w:pPr>
      <w:autoSpaceDE w:val="0"/>
      <w:autoSpaceDN w:val="0"/>
      <w:adjustRightInd w:val="0"/>
      <w:spacing w:before="14"/>
      <w:ind w:left="118"/>
      <w:jc w:val="left"/>
      <w:outlineLvl w:val="7"/>
    </w:pPr>
    <w:rPr>
      <w:rFonts w:ascii="仿宋" w:eastAsia="仿宋" w:cs="仿宋"/>
      <w:b/>
      <w:bCs/>
      <w:kern w:val="0"/>
      <w:sz w:val="28"/>
      <w:szCs w:val="28"/>
    </w:rPr>
  </w:style>
  <w:style w:type="paragraph" w:customStyle="1" w:styleId="122">
    <w:name w:val="标题 11"/>
    <w:basedOn w:val="1"/>
    <w:qFormat/>
    <w:uiPriority w:val="1"/>
    <w:pPr>
      <w:autoSpaceDE w:val="0"/>
      <w:autoSpaceDN w:val="0"/>
      <w:adjustRightInd w:val="0"/>
      <w:ind w:left="82"/>
      <w:jc w:val="left"/>
      <w:outlineLvl w:val="0"/>
    </w:pPr>
    <w:rPr>
      <w:rFonts w:ascii="宋体" w:cs="宋体"/>
      <w:b/>
      <w:bCs/>
      <w:kern w:val="0"/>
      <w:sz w:val="32"/>
      <w:szCs w:val="32"/>
    </w:rPr>
  </w:style>
  <w:style w:type="paragraph" w:customStyle="1" w:styleId="123">
    <w:name w:val="标题 41"/>
    <w:basedOn w:val="1"/>
    <w:qFormat/>
    <w:uiPriority w:val="1"/>
    <w:pPr>
      <w:autoSpaceDE w:val="0"/>
      <w:autoSpaceDN w:val="0"/>
      <w:adjustRightInd w:val="0"/>
      <w:ind w:left="120"/>
      <w:jc w:val="left"/>
      <w:outlineLvl w:val="3"/>
    </w:pPr>
    <w:rPr>
      <w:rFonts w:ascii="宋体" w:cs="宋体"/>
      <w:b/>
      <w:bCs/>
      <w:kern w:val="0"/>
      <w:szCs w:val="21"/>
    </w:rPr>
  </w:style>
  <w:style w:type="paragraph" w:customStyle="1" w:styleId="124">
    <w:name w:val="标题 21"/>
    <w:basedOn w:val="1"/>
    <w:qFormat/>
    <w:uiPriority w:val="1"/>
    <w:pPr>
      <w:autoSpaceDE w:val="0"/>
      <w:autoSpaceDN w:val="0"/>
      <w:adjustRightInd w:val="0"/>
      <w:jc w:val="left"/>
      <w:outlineLvl w:val="1"/>
    </w:pPr>
    <w:rPr>
      <w:rFonts w:ascii="仿宋" w:eastAsia="仿宋" w:cs="仿宋"/>
      <w:b/>
      <w:bCs/>
      <w:kern w:val="0"/>
      <w:sz w:val="72"/>
      <w:szCs w:val="72"/>
    </w:rPr>
  </w:style>
  <w:style w:type="paragraph" w:customStyle="1" w:styleId="125">
    <w:name w:val="WPSOffice手动目录 1"/>
    <w:qFormat/>
    <w:uiPriority w:val="0"/>
    <w:rPr>
      <w:rFonts w:ascii="Times New Roman" w:hAnsi="Times New Roman" w:eastAsia="宋体" w:cs="Times New Roman"/>
      <w:lang w:val="en-US" w:eastAsia="zh-CN" w:bidi="ar-SA"/>
    </w:rPr>
  </w:style>
  <w:style w:type="character" w:customStyle="1" w:styleId="126">
    <w:name w:val="bookmark-item"/>
    <w:basedOn w:val="42"/>
    <w:qFormat/>
    <w:uiPriority w:val="0"/>
  </w:style>
  <w:style w:type="paragraph" w:customStyle="1" w:styleId="1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8">
    <w:name w:val="首行缩进"/>
    <w:basedOn w:val="1"/>
    <w:qFormat/>
    <w:uiPriority w:val="0"/>
    <w:pPr>
      <w:spacing w:line="360" w:lineRule="auto"/>
      <w:ind w:firstLine="480" w:firstLineChars="200"/>
    </w:pPr>
    <w:rPr>
      <w:rFonts w:ascii="Calibri" w:hAnsi="Calibri" w:cs="Times New Roman"/>
      <w:sz w:val="24"/>
      <w:szCs w:val="22"/>
      <w:lang w:val="zh-CN"/>
    </w:rPr>
  </w:style>
  <w:style w:type="character" w:customStyle="1" w:styleId="129">
    <w:name w:val="标题 3 Char"/>
    <w:basedOn w:val="42"/>
    <w:link w:val="5"/>
    <w:qFormat/>
    <w:uiPriority w:val="0"/>
    <w:rPr>
      <w:rFonts w:ascii="黑体" w:hAnsi="黑体"/>
      <w:b/>
      <w:bCs/>
      <w:sz w:val="28"/>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documentManagement>
    <_x8d1f__x8d23__x4eba_ xmlns="e8662122-972c-4cd5-ab65-a926c1021498">
      <UserInfo>
        <DisplayName/>
        <AccountId xsi:nil="true"/>
        <AccountType/>
      </UserInfo>
    </_x8d1f__x8d23__x4eba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C68646C20CCE2A4594A1FDE1349BD2C9" ma:contentTypeVersion="25" ma:contentTypeDescription="新建文档。" ma:contentTypeScope="" ma:versionID="da5e5e42a95a96e924e3e12d77bc3a65">
  <xsd:schema xmlns:xsd="http://www.w3.org/2001/XMLSchema" xmlns:p="http://schemas.microsoft.com/office/2006/metadata/properties" xmlns:ns2="e8662122-972c-4cd5-ab65-a926c1021498" targetNamespace="http://schemas.microsoft.com/office/2006/metadata/properties" ma:root="true" ma:fieldsID="a6bb58b7ff129c5a8a62aebc8f527ed3" ns2:_="">
    <xsd:import namespace="e8662122-972c-4cd5-ab65-a926c1021498"/>
    <xsd:element name="properties">
      <xsd:complexType>
        <xsd:sequence>
          <xsd:element name="documentManagement">
            <xsd:complexType>
              <xsd:all>
                <xsd:element ref="ns2:_x8d1f__x8d23__x4eba_" minOccurs="0"/>
              </xsd:all>
            </xsd:complexType>
          </xsd:element>
        </xsd:sequence>
      </xsd:complexType>
    </xsd:element>
  </xsd:schema>
  <xsd:schema xmlns:xsd="http://www.w3.org/2001/XMLSchema" xmlns:dms="http://schemas.microsoft.com/office/2006/documentManagement/types" targetNamespace="e8662122-972c-4cd5-ab65-a926c1021498" elementFormDefault="qualified">
    <xsd:import namespace="http://schemas.microsoft.com/office/2006/documentManagement/types"/>
    <xsd:element name="_x8d1f__x8d23__x4eba_" ma:index="8" nillable="true" ma:displayName="负责人" ma:list="UserInfo" ma:internalName="_x8d1f__x8d23__x4eba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B0FB0F-16E8-44FE-A10E-1F120B106E58}">
  <ds:schemaRefs/>
</ds:datastoreItem>
</file>

<file path=customXml/itemProps3.xml><?xml version="1.0" encoding="utf-8"?>
<ds:datastoreItem xmlns:ds="http://schemas.openxmlformats.org/officeDocument/2006/customXml" ds:itemID="{4DB491A7-7699-43B8-82DF-7546360513B4}">
  <ds:schemaRefs/>
</ds:datastoreItem>
</file>

<file path=customXml/itemProps4.xml><?xml version="1.0" encoding="utf-8"?>
<ds:datastoreItem xmlns:ds="http://schemas.openxmlformats.org/officeDocument/2006/customXml" ds:itemID="{DEE1A29E-5C08-472F-83EE-D61B966668B9}">
  <ds:schemaRefs/>
</ds:datastoreItem>
</file>

<file path=customXml/itemProps5.xml><?xml version="1.0" encoding="utf-8"?>
<ds:datastoreItem xmlns:ds="http://schemas.openxmlformats.org/officeDocument/2006/customXml" ds:itemID="{341B3C23-5CA0-4256-B4FD-3A6C8604B150}">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81</Pages>
  <Words>7997</Words>
  <Characters>45588</Characters>
  <Lines>379</Lines>
  <Paragraphs>106</Paragraphs>
  <TotalTime>3</TotalTime>
  <ScaleCrop>false</ScaleCrop>
  <LinksUpToDate>false</LinksUpToDate>
  <CharactersWithSpaces>53479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2017-07-11T03:04:00Z</dcterms:created>
  <dc:creator>梁</dc:creator>
  <cp:lastModifiedBy> 为了自己✨</cp:lastModifiedBy>
  <cp:lastPrinted>2021-10-24T09:50:00Z</cp:lastPrinted>
  <dcterms:modified xsi:type="dcterms:W3CDTF">2021-10-26T08:57:45Z</dcterms:modified>
  <dc:title>招  标  文  件</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ContentType">
    <vt:lpwstr>文档</vt:lpwstr>
  </property>
  <property fmtid="{D5CDD505-2E9C-101B-9397-08002B2CF9AE}" pid="4" name="负责人0">
    <vt:lpwstr/>
  </property>
  <property fmtid="{D5CDD505-2E9C-101B-9397-08002B2CF9AE}" pid="5" name="KSOProductBuildVer">
    <vt:lpwstr>2052-11.1.0.10463</vt:lpwstr>
  </property>
  <property fmtid="{D5CDD505-2E9C-101B-9397-08002B2CF9AE}" pid="6" name="ICV">
    <vt:lpwstr>C99EC17DD6954A12A755817C2BA10675</vt:lpwstr>
  </property>
</Properties>
</file>