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Cs w:val="30"/>
        </w:rPr>
      </w:pPr>
      <w:r>
        <w:rPr>
          <w:rFonts w:hint="eastAsia"/>
          <w:lang w:eastAsia="zh-CN"/>
        </w:rPr>
        <w:t>采购</w:t>
      </w:r>
      <w:r>
        <w:rPr>
          <w:rFonts w:hint="eastAsia"/>
        </w:rPr>
        <w:t>公告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项目概况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吉木萨尔县中医院传统特色综合楼-室外电缆及控制柜采购安装项目招标项目的潜在投标人应在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eastAsia="zh-CN"/>
              </w:rPr>
              <w:t>新疆尚辉工程项目管理有限公司（昌吉市丽景尚城社区办公楼一层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取招标文件，并于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202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（北京时间）前递交投标文件。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一、项目基本情况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项目编号：XJSH-2021-3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-CG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吉木萨尔县中医院传统特色综合楼-室外电缆及控制柜采购安装项目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采购方式：公开招标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预算金额（元）：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434932.65元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（元）：434932.65元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采购需求：室外电缆及控制柜采购安装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合同履约期限：合同签订后，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15个日历日内完工交付使用。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本项目不接受联合体投标。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二、申请人的资格要求：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满足《中华人民共和国政府采购法》第二十二条规定；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落实政府采购政策需满足的资格要求：《政府采购促进中小企业发展暂行办法》（财库〔2011〕181号）、《财政部、司法部关于政府采购支持监狱企业发展有关问题的通知》（财库〔2014〕68号）、《财政部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>
      <w:pPr>
        <w:pStyle w:val="8"/>
        <w:keepNext w:val="0"/>
        <w:keepLines w:val="0"/>
        <w:pageBreakBefore w:val="0"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本项目的特定资格要求：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3.1具有有效的营业执照；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3.2具有市政公用工程施工总承包三级及以上资质；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3.3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具有市政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专业二级及以上注册建造师证执业资格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；同时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具备有效的安全生产考核合格证书（B证）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3.4供应商须具有良好的信誉，未被列入“信用中国”网站（www.creditchina.gov.cn）失惩戒对象、失信被执行人、重大税收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违法案件当事人、政府采购不良行为记录名单、中国政府采购网（www.ccgp.gov.cn）政府采购严重违法失信行为记录名单（尚在处罚期内的）；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单位负责人为同一人或者存在直接控股、管理关系的不同供应商，不得参加同一合同项下的政府采购活动；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5、不接受联合体投标。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三、获取招标文件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，每天上午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10:00至13: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，下午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至19: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（北京时间，线下获取文件法定节假日除外）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地点（网址）：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昌吉市丽景尚城社区办公楼一层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方式：线下获取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售价（元）：200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/份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四、提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交投标文件截止时间、开标时间和地点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提交投标文件截止时间：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（北京时间）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投标地点：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zh-CN" w:eastAsia="zh-CN"/>
        </w:rPr>
        <w:t>昌吉州公共资源交易大厅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zh-CN" w:eastAsia="zh-CN"/>
        </w:rPr>
        <w:t>开标二厅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开标时间：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日1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（北京时间）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开标地点：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zh-CN" w:eastAsia="zh-CN"/>
        </w:rPr>
        <w:t>昌吉州公共资源交易大厅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single"/>
          <w:lang w:val="zh-CN" w:eastAsia="zh-CN"/>
        </w:rPr>
        <w:t>开标二厅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五、公告期限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自本公告发布之日起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个工作日。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六、其他补充事宜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投标人购买标书时应提交的资料：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业营业执照、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企业资质证书、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法定代表人身份证明或法人授权委托书、法定代表人身份证或委托代理人身份证、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项目负责人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注册建造师证执业资格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（贰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级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）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及以上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，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有效的安全生产考核合格证书（B证）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、“信用中国”网站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中国政府采购网站查询截图（网页打印件须自公告发布之日起至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公告发布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截止时间从上述网站中打印）。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(以上证件须带原件及加盖公章的复印件一套，复印件为单面复印，按上述先后顺序装订，不接受公证件，缺一不可。)   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七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、发布公告的媒介：本次招标公告在新疆政府采购网</w:t>
      </w:r>
      <w:r>
        <w:rPr>
          <w:rStyle w:val="11"/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和昌吉州公共资源交易网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上发布。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Style w:val="11"/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八</w:t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、对本次招标提出询问，请按以下方式联系。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</w:rPr>
        <w:t>1.采购人信息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名 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吉木萨尔县中医医院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地 址：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吉木萨尔县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项目联系人：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eastAsia="zh-CN"/>
        </w:rPr>
        <w:t>王娟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79" w:leftChars="228" w:right="0" w:firstLine="0" w:firstLineChars="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0994-6982116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br w:type="textWrapping"/>
      </w:r>
      <w:r>
        <w:rPr>
          <w:rStyle w:val="11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</w:rPr>
        <w:t>2.采购代理机构信息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名 称：新疆尚辉工程项目管理有限公司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地 址：昌吉市丽景尚城社区办公楼一层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项目联系人：王晶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电 话：18290654355  0994-2220202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1EC9"/>
    <w:rsid w:val="06DC1EC9"/>
    <w:rsid w:val="370878BB"/>
    <w:rsid w:val="3EF1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20"/>
      </w:tabs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60" w:firstLineChars="200"/>
    </w:pPr>
    <w:rPr>
      <w:kern w:val="2"/>
      <w:sz w:val="28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-SA"/>
    </w:rPr>
  </w:style>
  <w:style w:type="character" w:styleId="11">
    <w:name w:val="Strong"/>
    <w:basedOn w:val="10"/>
    <w:qFormat/>
    <w:uiPriority w:val="0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 Char Char Char1 Char"/>
    <w:basedOn w:val="6"/>
    <w:qFormat/>
    <w:uiPriority w:val="0"/>
    <w:pPr>
      <w:shd w:val="clear" w:color="auto" w:fill="auto"/>
      <w:adjustRightInd w:val="0"/>
      <w:spacing w:line="436" w:lineRule="exact"/>
      <w:ind w:left="357"/>
      <w:jc w:val="left"/>
      <w:outlineLvl w:val="3"/>
    </w:pPr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2021-10-27T11:09:00Z</dcterms:created>
  <dc:creator>Administrator</dc:creator>
  <cp:lastModifiedBy>Administrator</cp:lastModifiedBy>
  <dcterms:modified xsi:type="dcterms:W3CDTF">2021-10-28T11:08:17Z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E359D5B0D24441AAADEF7CC72306F9AC</vt:lpwstr>
  </property>
</Properties>
</file>