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s="宋体"/>
          <w:b/>
          <w:bCs/>
          <w:sz w:val="44"/>
          <w:szCs w:val="44"/>
        </w:rPr>
      </w:pPr>
    </w:p>
    <w:p>
      <w:pPr>
        <w:pStyle w:val="2"/>
        <w:rPr>
          <w:rFonts w:ascii="宋体" w:hAnsi="宋体" w:cs="宋体"/>
          <w:b/>
          <w:bCs/>
          <w:sz w:val="44"/>
          <w:szCs w:val="44"/>
        </w:rPr>
      </w:pPr>
    </w:p>
    <w:p>
      <w:pPr>
        <w:spacing w:line="360" w:lineRule="auto"/>
        <w:ind w:right="-319" w:rightChars="-152"/>
        <w:jc w:val="center"/>
        <w:rPr>
          <w:rFonts w:ascii="宋体" w:hAnsi="宋体" w:cs="宋体"/>
          <w:b/>
          <w:bCs/>
          <w:sz w:val="44"/>
          <w:szCs w:val="44"/>
        </w:rPr>
      </w:pPr>
      <w:r>
        <w:rPr>
          <w:rFonts w:hint="eastAsia" w:ascii="宋体" w:hAnsi="宋体" w:cs="宋体"/>
          <w:b/>
          <w:bCs/>
          <w:sz w:val="44"/>
          <w:szCs w:val="44"/>
        </w:rPr>
        <w:t>克拉玛依市排水管理处污水处理设施维修修缮</w:t>
      </w:r>
    </w:p>
    <w:p>
      <w:pPr>
        <w:spacing w:line="360" w:lineRule="auto"/>
        <w:ind w:right="-319" w:rightChars="-152"/>
        <w:jc w:val="center"/>
        <w:rPr>
          <w:rFonts w:ascii="宋体" w:hAnsi="宋体" w:cs="宋体"/>
          <w:b/>
          <w:bCs/>
          <w:sz w:val="44"/>
          <w:szCs w:val="44"/>
        </w:rPr>
      </w:pPr>
    </w:p>
    <w:p>
      <w:pPr>
        <w:spacing w:line="360" w:lineRule="auto"/>
        <w:ind w:right="-319" w:rightChars="-152"/>
        <w:jc w:val="center"/>
        <w:rPr>
          <w:rFonts w:ascii="宋体" w:hAnsi="宋体" w:cs="宋体"/>
          <w:b/>
          <w:bCs/>
          <w:sz w:val="44"/>
          <w:szCs w:val="44"/>
        </w:rPr>
      </w:pPr>
      <w:r>
        <w:rPr>
          <w:rFonts w:hint="eastAsia" w:ascii="宋体" w:hAnsi="宋体" w:cs="宋体"/>
          <w:b/>
          <w:bCs/>
          <w:sz w:val="44"/>
          <w:szCs w:val="44"/>
        </w:rPr>
        <w:t>及应急抢修队伍入围项目</w:t>
      </w:r>
    </w:p>
    <w:p>
      <w:pPr>
        <w:spacing w:line="1000" w:lineRule="exact"/>
        <w:ind w:right="-319" w:rightChars="-152"/>
        <w:jc w:val="center"/>
        <w:rPr>
          <w:rFonts w:ascii="宋体" w:hAnsi="宋体" w:cs="宋体"/>
          <w:b/>
          <w:bCs/>
          <w:sz w:val="44"/>
          <w:szCs w:val="44"/>
        </w:rPr>
      </w:pPr>
    </w:p>
    <w:p>
      <w:pPr>
        <w:spacing w:line="1000" w:lineRule="exact"/>
        <w:ind w:right="-319" w:rightChars="-152"/>
        <w:jc w:val="center"/>
        <w:rPr>
          <w:rFonts w:ascii="宋体" w:hAnsi="宋体" w:cs="宋体"/>
          <w:b/>
          <w:bCs/>
          <w:sz w:val="44"/>
          <w:szCs w:val="44"/>
        </w:rPr>
      </w:pPr>
      <w:r>
        <w:rPr>
          <w:rFonts w:hint="eastAsia" w:ascii="宋体" w:hAnsi="宋体" w:cs="宋体"/>
          <w:b/>
          <w:bCs/>
          <w:sz w:val="44"/>
          <w:szCs w:val="44"/>
        </w:rPr>
        <w:t>招标文件</w:t>
      </w:r>
    </w:p>
    <w:p>
      <w:pPr>
        <w:spacing w:line="360" w:lineRule="auto"/>
        <w:rPr>
          <w:rFonts w:ascii="宋体" w:hAnsi="宋体" w:cs="宋体"/>
          <w:b/>
          <w:sz w:val="30"/>
          <w:szCs w:val="30"/>
        </w:rPr>
      </w:pPr>
    </w:p>
    <w:p>
      <w:pPr>
        <w:spacing w:line="660" w:lineRule="exact"/>
        <w:jc w:val="center"/>
        <w:rPr>
          <w:rFonts w:ascii="宋体" w:hAnsi="宋体" w:cs="宋体"/>
          <w:sz w:val="24"/>
        </w:rPr>
      </w:pPr>
      <w:r>
        <w:rPr>
          <w:rFonts w:hint="eastAsia" w:ascii="宋体" w:hAnsi="宋体"/>
          <w:b/>
          <w:sz w:val="28"/>
          <w:szCs w:val="28"/>
        </w:rPr>
        <w:t>（文件编号：JKJL[ZC]2021-66）</w:t>
      </w:r>
    </w:p>
    <w:p>
      <w:pPr>
        <w:pStyle w:val="2"/>
        <w:rPr>
          <w:rFonts w:ascii="宋体" w:hAnsi="宋体" w:cs="宋体"/>
          <w:b/>
          <w:bCs/>
          <w:sz w:val="32"/>
          <w:szCs w:val="32"/>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招  标  人：克拉玛依市排水处管理处</w:t>
      </w:r>
    </w:p>
    <w:p>
      <w:pPr>
        <w:spacing w:line="360" w:lineRule="auto"/>
        <w:ind w:firstLine="562" w:firstLineChars="200"/>
        <w:rPr>
          <w:rFonts w:hint="eastAsia" w:ascii="宋体" w:hAnsi="宋体" w:cs="宋体"/>
          <w:b/>
          <w:color w:val="000000"/>
          <w:sz w:val="28"/>
          <w:szCs w:val="28"/>
        </w:rPr>
      </w:pPr>
    </w:p>
    <w:p>
      <w:pPr>
        <w:spacing w:line="360" w:lineRule="auto"/>
        <w:ind w:firstLine="562" w:firstLineChars="200"/>
        <w:rPr>
          <w:rFonts w:ascii="宋体" w:hAnsi="宋体" w:cs="宋体"/>
          <w:b/>
          <w:color w:val="000000"/>
          <w:sz w:val="28"/>
          <w:szCs w:val="28"/>
        </w:rPr>
      </w:pPr>
      <w:r>
        <w:rPr>
          <w:rFonts w:hint="eastAsia" w:ascii="宋体" w:hAnsi="宋体" w:cs="宋体"/>
          <w:b/>
          <w:color w:val="000000"/>
          <w:sz w:val="28"/>
          <w:szCs w:val="28"/>
        </w:rPr>
        <w:t>招标代理机构：克拉玛依市金科工程监理有限责任公司</w:t>
      </w:r>
    </w:p>
    <w:p>
      <w:pPr>
        <w:pStyle w:val="2"/>
      </w:pPr>
    </w:p>
    <w:p>
      <w:pPr>
        <w:pStyle w:val="3"/>
      </w:pPr>
    </w:p>
    <w:p>
      <w:pPr>
        <w:spacing w:line="360" w:lineRule="auto"/>
        <w:jc w:val="center"/>
        <w:rPr>
          <w:rFonts w:ascii="宋体" w:hAnsi="宋体" w:cs="宋体"/>
        </w:rPr>
      </w:pPr>
      <w:r>
        <w:rPr>
          <w:rFonts w:hint="eastAsia" w:ascii="宋体" w:hAnsi="宋体" w:cs="宋体"/>
          <w:b/>
          <w:sz w:val="28"/>
          <w:szCs w:val="28"/>
        </w:rPr>
        <w:t>2021年10月</w:t>
      </w:r>
    </w:p>
    <w:p>
      <w:pPr>
        <w:pageBreakBefore/>
        <w:spacing w:line="500" w:lineRule="exact"/>
        <w:jc w:val="center"/>
        <w:rPr>
          <w:rFonts w:ascii="宋体" w:hAnsi="宋体" w:cs="宋体"/>
          <w:b/>
          <w:bCs/>
          <w:sz w:val="32"/>
          <w:szCs w:val="32"/>
        </w:rPr>
      </w:pPr>
      <w:r>
        <w:rPr>
          <w:rFonts w:hint="eastAsia" w:ascii="宋体" w:hAnsi="宋体" w:cs="宋体"/>
          <w:b/>
          <w:bCs/>
          <w:sz w:val="32"/>
          <w:szCs w:val="32"/>
        </w:rPr>
        <w:t>总  目  录</w:t>
      </w:r>
    </w:p>
    <w:p>
      <w:pPr>
        <w:pStyle w:val="31"/>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第一章、招标公告</w:t>
      </w:r>
      <w:r>
        <w:rPr>
          <w:rFonts w:hint="eastAsia" w:ascii="宋体" w:hAnsi="宋体" w:cs="宋体"/>
          <w:b/>
          <w:kern w:val="2"/>
          <w:sz w:val="24"/>
          <w:szCs w:val="24"/>
        </w:rPr>
        <w:tab/>
      </w:r>
      <w:r>
        <w:rPr>
          <w:rFonts w:hint="eastAsia" w:ascii="宋体" w:hAnsi="宋体" w:cs="宋体"/>
          <w:b/>
          <w:kern w:val="2"/>
          <w:sz w:val="24"/>
          <w:szCs w:val="24"/>
        </w:rPr>
        <w:t>3</w:t>
      </w:r>
    </w:p>
    <w:p>
      <w:pPr>
        <w:pStyle w:val="31"/>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第二章、投标人须知</w:t>
      </w:r>
      <w:r>
        <w:rPr>
          <w:rFonts w:hint="eastAsia" w:ascii="宋体" w:hAnsi="宋体" w:cs="宋体"/>
          <w:b/>
          <w:kern w:val="2"/>
          <w:sz w:val="24"/>
          <w:szCs w:val="24"/>
        </w:rPr>
        <w:tab/>
      </w:r>
      <w:r>
        <w:rPr>
          <w:rFonts w:hint="eastAsia" w:ascii="宋体" w:hAnsi="宋体" w:cs="宋体"/>
          <w:b/>
          <w:kern w:val="2"/>
          <w:sz w:val="24"/>
          <w:szCs w:val="24"/>
        </w:rPr>
        <w:t>5</w:t>
      </w:r>
    </w:p>
    <w:p>
      <w:pPr>
        <w:pStyle w:val="31"/>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第三章、项目招标技术需求</w:t>
      </w:r>
      <w:r>
        <w:rPr>
          <w:rFonts w:hint="eastAsia" w:ascii="宋体" w:hAnsi="宋体" w:cs="宋体"/>
          <w:b/>
          <w:kern w:val="2"/>
          <w:sz w:val="24"/>
          <w:szCs w:val="24"/>
        </w:rPr>
        <w:tab/>
      </w:r>
      <w:r>
        <w:rPr>
          <w:rFonts w:hint="eastAsia" w:ascii="宋体" w:hAnsi="宋体" w:cs="宋体"/>
          <w:b/>
          <w:kern w:val="2"/>
          <w:sz w:val="24"/>
          <w:szCs w:val="24"/>
        </w:rPr>
        <w:t>23</w:t>
      </w:r>
    </w:p>
    <w:p>
      <w:pPr>
        <w:pStyle w:val="31"/>
        <w:tabs>
          <w:tab w:val="right" w:leader="dot" w:pos="9185"/>
        </w:tabs>
        <w:spacing w:line="600" w:lineRule="auto"/>
        <w:rPr>
          <w:rFonts w:ascii="宋体" w:hAnsi="宋体" w:cs="宋体"/>
          <w:b/>
          <w:kern w:val="2"/>
          <w:sz w:val="24"/>
          <w:szCs w:val="24"/>
        </w:rPr>
      </w:pPr>
      <w:r>
        <w:rPr>
          <w:rFonts w:hint="eastAsia" w:ascii="宋体" w:hAnsi="宋体" w:cs="宋体"/>
          <w:b/>
          <w:bCs/>
          <w:sz w:val="24"/>
          <w:szCs w:val="24"/>
        </w:rPr>
        <w:t>第四章、合同主要条款</w:t>
      </w:r>
      <w:r>
        <w:rPr>
          <w:rFonts w:hint="eastAsia" w:ascii="宋体" w:hAnsi="宋体" w:cs="宋体"/>
          <w:b/>
          <w:kern w:val="2"/>
          <w:sz w:val="24"/>
          <w:szCs w:val="24"/>
        </w:rPr>
        <w:tab/>
      </w:r>
      <w:r>
        <w:rPr>
          <w:rFonts w:hint="eastAsia" w:ascii="宋体" w:hAnsi="宋体" w:cs="宋体"/>
          <w:b/>
          <w:kern w:val="2"/>
          <w:sz w:val="24"/>
          <w:szCs w:val="24"/>
        </w:rPr>
        <w:t>30</w:t>
      </w:r>
    </w:p>
    <w:p>
      <w:pPr>
        <w:pStyle w:val="31"/>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第五章、投标文件格式</w:t>
      </w:r>
      <w:r>
        <w:rPr>
          <w:rFonts w:hint="eastAsia" w:ascii="宋体" w:hAnsi="宋体" w:cs="宋体"/>
          <w:b/>
          <w:kern w:val="2"/>
          <w:sz w:val="24"/>
          <w:szCs w:val="24"/>
        </w:rPr>
        <w:tab/>
      </w:r>
      <w:r>
        <w:rPr>
          <w:rFonts w:hint="eastAsia" w:ascii="宋体" w:hAnsi="宋体" w:cs="宋体"/>
          <w:b/>
          <w:kern w:val="2"/>
          <w:sz w:val="24"/>
          <w:szCs w:val="24"/>
        </w:rPr>
        <w:t>37</w:t>
      </w:r>
    </w:p>
    <w:p>
      <w:pPr>
        <w:pStyle w:val="31"/>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第六章、评标标准（综合评分法）</w:t>
      </w:r>
      <w:r>
        <w:rPr>
          <w:rFonts w:hint="eastAsia" w:ascii="宋体" w:hAnsi="宋体" w:cs="宋体"/>
          <w:b/>
          <w:kern w:val="2"/>
          <w:sz w:val="24"/>
          <w:szCs w:val="24"/>
        </w:rPr>
        <w:tab/>
      </w:r>
      <w:r>
        <w:rPr>
          <w:rFonts w:hint="eastAsia" w:ascii="宋体" w:hAnsi="宋体" w:cs="宋体"/>
          <w:b/>
          <w:kern w:val="2"/>
          <w:sz w:val="24"/>
          <w:szCs w:val="24"/>
        </w:rPr>
        <w:t>51</w:t>
      </w: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tabs>
          <w:tab w:val="left" w:pos="1230"/>
          <w:tab w:val="left" w:pos="1275"/>
        </w:tabs>
        <w:spacing w:line="360" w:lineRule="auto"/>
        <w:jc w:val="center"/>
      </w:pPr>
      <w:r>
        <w:rPr>
          <w:rFonts w:hint="eastAsia" w:ascii="宋体" w:hAnsi="宋体" w:cs="宋体"/>
          <w:b/>
          <w:bCs/>
          <w:sz w:val="32"/>
          <w:szCs w:val="32"/>
        </w:rPr>
        <w:br w:type="page"/>
      </w:r>
      <w:bookmarkStart w:id="0" w:name="_Toc30713_WPSOffice_Level1"/>
      <w:r>
        <w:rPr>
          <w:rFonts w:hint="eastAsia" w:ascii="宋体" w:hAnsi="宋体" w:cs="宋体"/>
          <w:b/>
          <w:bCs/>
          <w:sz w:val="32"/>
          <w:szCs w:val="32"/>
        </w:rPr>
        <w:t>第一章、</w:t>
      </w:r>
      <w:bookmarkEnd w:id="0"/>
      <w:r>
        <w:rPr>
          <w:rFonts w:hint="eastAsia" w:ascii="宋体" w:hAnsi="宋体" w:cs="宋体"/>
          <w:b/>
          <w:bCs/>
          <w:sz w:val="32"/>
          <w:szCs w:val="32"/>
        </w:rPr>
        <w:t>招标公告</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sz w:val="24"/>
        </w:rPr>
      </w:pPr>
      <w:bookmarkStart w:id="1" w:name="_Toc35393629"/>
      <w:bookmarkStart w:id="2" w:name="_Toc28359012"/>
      <w:bookmarkStart w:id="3" w:name="_Toc28359089"/>
      <w:bookmarkStart w:id="4" w:name="_Toc35393798"/>
      <w:r>
        <w:rPr>
          <w:rFonts w:hint="eastAsia" w:ascii="宋体" w:hAnsi="宋体" w:cs="宋体"/>
          <w:sz w:val="24"/>
          <w:u w:val="single"/>
        </w:rPr>
        <w:t>克拉玛依市排水管理处污水处理设施维修修缮及应急抢修队伍入围项目</w:t>
      </w:r>
      <w:r>
        <w:rPr>
          <w:rFonts w:hint="eastAsia" w:ascii="宋体" w:hAnsi="宋体" w:cs="宋体"/>
          <w:sz w:val="24"/>
        </w:rPr>
        <w:t>的潜在投标人应在（</w:t>
      </w:r>
      <w:r>
        <w:rPr>
          <w:rFonts w:hint="eastAsia" w:ascii="宋体" w:hAnsi="宋体" w:cs="宋体"/>
          <w:sz w:val="24"/>
          <w:u w:val="single"/>
        </w:rPr>
        <w:t>新疆政府采购网</w:t>
      </w:r>
      <w:r>
        <w:rPr>
          <w:rFonts w:hint="eastAsia" w:ascii="宋体" w:hAnsi="宋体" w:cs="宋体"/>
          <w:sz w:val="24"/>
        </w:rPr>
        <w:t>）获取招标文件，并于2021年11月</w:t>
      </w:r>
      <w:r>
        <w:rPr>
          <w:rFonts w:hint="eastAsia" w:ascii="宋体" w:hAnsi="宋体" w:cs="宋体"/>
          <w:sz w:val="24"/>
          <w:lang w:val="en-US" w:eastAsia="zh-CN"/>
        </w:rPr>
        <w:t>29</w:t>
      </w:r>
      <w:r>
        <w:rPr>
          <w:rFonts w:hint="eastAsia" w:ascii="宋体" w:hAnsi="宋体" w:cs="宋体"/>
          <w:sz w:val="24"/>
        </w:rPr>
        <w:t>日16点30分（北京时间）前递交投标文件。</w:t>
      </w:r>
    </w:p>
    <w:p>
      <w:pPr>
        <w:spacing w:line="440" w:lineRule="exact"/>
        <w:rPr>
          <w:sz w:val="24"/>
        </w:rPr>
      </w:pPr>
      <w:r>
        <w:rPr>
          <w:rFonts w:hint="eastAsia"/>
          <w:sz w:val="24"/>
        </w:rPr>
        <w:t>一、项目基本情况</w:t>
      </w:r>
      <w:bookmarkEnd w:id="1"/>
      <w:bookmarkEnd w:id="2"/>
      <w:bookmarkEnd w:id="3"/>
      <w:bookmarkEnd w:id="4"/>
    </w:p>
    <w:p>
      <w:pPr>
        <w:spacing w:line="440" w:lineRule="exact"/>
        <w:rPr>
          <w:sz w:val="24"/>
        </w:rPr>
      </w:pPr>
      <w:r>
        <w:rPr>
          <w:rFonts w:hint="eastAsia"/>
          <w:sz w:val="24"/>
        </w:rPr>
        <w:t>项目编号：J</w:t>
      </w:r>
      <w:r>
        <w:rPr>
          <w:rStyle w:val="27"/>
          <w:rFonts w:hint="eastAsia" w:ascii="宋体" w:hAnsi="宋体" w:cs="宋体"/>
          <w:b w:val="0"/>
          <w:bCs/>
          <w:kern w:val="0"/>
          <w:sz w:val="24"/>
          <w:szCs w:val="22"/>
        </w:rPr>
        <w:t>KJL[ZC]2021-66</w:t>
      </w:r>
    </w:p>
    <w:p>
      <w:pPr>
        <w:spacing w:line="440" w:lineRule="exact"/>
        <w:rPr>
          <w:sz w:val="24"/>
        </w:rPr>
      </w:pPr>
      <w:r>
        <w:rPr>
          <w:rFonts w:hint="eastAsia"/>
          <w:sz w:val="24"/>
        </w:rPr>
        <w:t>项目名称：</w:t>
      </w:r>
      <w:r>
        <w:rPr>
          <w:rStyle w:val="27"/>
          <w:rFonts w:hint="eastAsia" w:ascii="宋体" w:hAnsi="宋体" w:cs="宋体"/>
          <w:b w:val="0"/>
          <w:bCs/>
          <w:kern w:val="0"/>
          <w:sz w:val="24"/>
          <w:szCs w:val="22"/>
        </w:rPr>
        <w:t>克拉玛依市排水管理处污水处理设施维修修缮及应急抢修队伍入围项目</w:t>
      </w:r>
    </w:p>
    <w:p>
      <w:pPr>
        <w:spacing w:line="440" w:lineRule="exact"/>
        <w:rPr>
          <w:sz w:val="24"/>
        </w:rPr>
      </w:pPr>
      <w:r>
        <w:rPr>
          <w:rFonts w:hint="eastAsia"/>
          <w:sz w:val="24"/>
        </w:rPr>
        <w:t>招标方式：公开招标</w:t>
      </w:r>
    </w:p>
    <w:p>
      <w:pPr>
        <w:spacing w:line="440" w:lineRule="exact"/>
        <w:rPr>
          <w:sz w:val="24"/>
          <w:highlight w:val="yellow"/>
        </w:rPr>
      </w:pPr>
      <w:r>
        <w:rPr>
          <w:rFonts w:hint="eastAsia"/>
          <w:sz w:val="24"/>
        </w:rPr>
        <w:t>招标需求：</w:t>
      </w:r>
      <w:r>
        <w:rPr>
          <w:rFonts w:hint="eastAsia"/>
          <w:sz w:val="24"/>
          <w:u w:val="single"/>
        </w:rPr>
        <w:t>详见招标文件</w:t>
      </w:r>
    </w:p>
    <w:p>
      <w:pPr>
        <w:spacing w:line="440" w:lineRule="exact"/>
        <w:rPr>
          <w:sz w:val="24"/>
        </w:rPr>
      </w:pPr>
      <w:r>
        <w:rPr>
          <w:rFonts w:hint="eastAsia"/>
          <w:sz w:val="24"/>
        </w:rPr>
        <w:t>合同履行期限：</w:t>
      </w:r>
      <w:r>
        <w:rPr>
          <w:rFonts w:hint="eastAsia"/>
          <w:sz w:val="24"/>
          <w:u w:val="single"/>
        </w:rPr>
        <w:t>详见招标文件</w:t>
      </w:r>
    </w:p>
    <w:p>
      <w:pPr>
        <w:spacing w:line="440" w:lineRule="exact"/>
        <w:rPr>
          <w:sz w:val="24"/>
        </w:rPr>
      </w:pPr>
      <w:r>
        <w:rPr>
          <w:rFonts w:hint="eastAsia"/>
          <w:sz w:val="24"/>
        </w:rPr>
        <w:t>本项目不接受联合体。</w:t>
      </w:r>
    </w:p>
    <w:p>
      <w:pPr>
        <w:spacing w:line="440" w:lineRule="exact"/>
        <w:rPr>
          <w:sz w:val="24"/>
        </w:rPr>
      </w:pPr>
      <w:bookmarkStart w:id="5" w:name="_Toc35393630"/>
      <w:bookmarkStart w:id="6" w:name="_Toc28359090"/>
      <w:bookmarkStart w:id="7" w:name="_Toc35393799"/>
      <w:bookmarkStart w:id="8" w:name="_Toc28359013"/>
      <w:r>
        <w:rPr>
          <w:rFonts w:hint="eastAsia"/>
          <w:sz w:val="24"/>
        </w:rPr>
        <w:t>二、申请人的资格要求：</w:t>
      </w:r>
      <w:bookmarkEnd w:id="5"/>
      <w:bookmarkEnd w:id="6"/>
      <w:bookmarkEnd w:id="7"/>
      <w:bookmarkEnd w:id="8"/>
    </w:p>
    <w:p>
      <w:pPr>
        <w:spacing w:line="440" w:lineRule="exact"/>
        <w:ind w:firstLine="480" w:firstLineChars="200"/>
        <w:rPr>
          <w:rStyle w:val="27"/>
          <w:rFonts w:ascii="宋体" w:hAnsi="宋体" w:cs="宋体"/>
          <w:b w:val="0"/>
          <w:bCs/>
          <w:kern w:val="0"/>
          <w:sz w:val="24"/>
          <w:szCs w:val="22"/>
        </w:rPr>
      </w:pPr>
      <w:bookmarkStart w:id="9" w:name="_Toc28359091"/>
      <w:bookmarkStart w:id="10" w:name="_Toc28359014"/>
      <w:bookmarkStart w:id="11" w:name="_Toc35393631"/>
      <w:bookmarkStart w:id="12" w:name="_Toc35393800"/>
      <w:r>
        <w:rPr>
          <w:rStyle w:val="27"/>
          <w:rFonts w:hint="eastAsia" w:ascii="宋体" w:hAnsi="宋体" w:cs="宋体"/>
          <w:b w:val="0"/>
          <w:bCs/>
          <w:kern w:val="0"/>
          <w:sz w:val="24"/>
          <w:szCs w:val="22"/>
        </w:rPr>
        <w:t>1.满足《中华人民共和国政府采购法》第二十二条规定；</w:t>
      </w:r>
    </w:p>
    <w:p>
      <w:pPr>
        <w:spacing w:line="440" w:lineRule="exact"/>
        <w:ind w:firstLine="480" w:firstLineChars="200"/>
        <w:rPr>
          <w:rStyle w:val="27"/>
          <w:rFonts w:ascii="宋体" w:hAnsi="宋体" w:cs="宋体"/>
          <w:b w:val="0"/>
          <w:bCs/>
          <w:kern w:val="0"/>
          <w:sz w:val="24"/>
          <w:szCs w:val="22"/>
        </w:rPr>
      </w:pPr>
      <w:r>
        <w:rPr>
          <w:rStyle w:val="27"/>
          <w:rFonts w:hint="eastAsia" w:ascii="宋体" w:hAnsi="宋体" w:cs="宋体"/>
          <w:b w:val="0"/>
          <w:bCs/>
          <w:kern w:val="0"/>
          <w:sz w:val="24"/>
          <w:szCs w:val="22"/>
        </w:rPr>
        <w:t>2.落实政府采购政策需满足的资格要求：按照《财政部 工业和信息化部关于印发&lt;政府采购促进中小企业发展管理办法&gt;的通知》（财库〔2020〕46号）的规定，落实促进中小企业发展政策；</w:t>
      </w:r>
    </w:p>
    <w:p>
      <w:pPr>
        <w:pStyle w:val="2"/>
        <w:spacing w:line="440" w:lineRule="exact"/>
        <w:ind w:firstLine="480"/>
        <w:rPr>
          <w:rStyle w:val="27"/>
          <w:rFonts w:ascii="宋体" w:hAnsi="宋体" w:cs="宋体"/>
          <w:b w:val="0"/>
          <w:bCs/>
          <w:kern w:val="0"/>
          <w:sz w:val="24"/>
          <w:szCs w:val="22"/>
        </w:rPr>
      </w:pPr>
      <w:r>
        <w:rPr>
          <w:rStyle w:val="27"/>
          <w:rFonts w:hint="eastAsia" w:ascii="宋体" w:hAnsi="宋体" w:cs="宋体"/>
          <w:b w:val="0"/>
          <w:bCs/>
          <w:kern w:val="0"/>
          <w:sz w:val="24"/>
          <w:szCs w:val="22"/>
        </w:rPr>
        <w:t>3.本项目的特定资格要求：1）</w:t>
      </w:r>
      <w:r>
        <w:rPr>
          <w:rStyle w:val="27"/>
          <w:rFonts w:hint="eastAsia" w:ascii="宋体" w:hAnsi="宋体" w:cs="宋体"/>
          <w:b w:val="0"/>
          <w:bCs/>
          <w:color w:val="auto"/>
          <w:kern w:val="0"/>
          <w:sz w:val="24"/>
          <w:szCs w:val="22"/>
          <w:highlight w:val="none"/>
        </w:rPr>
        <w:t>具有建设行政主管部门核发的市政公用工程总承包叁级及以上和建筑工程总承包叁级及以上资质证书且具备有效的安全生产许可证；2）疆外申请人应具有新疆维吾尔自治区住房和城乡建设厅出具的有效期内的《（2021）年新疆维吾尔自治区区外进疆建筑企业信息报送册》且信息报送册中具备本招标公告要求的相应施工资质。3)项目负责人具有市政工程建造师二级及以上（市政专业）,</w:t>
      </w:r>
      <w:r>
        <w:rPr>
          <w:rFonts w:hint="eastAsia" w:ascii="宋体" w:hAnsi="宋体" w:cs="宋体"/>
          <w:bCs/>
          <w:kern w:val="0"/>
          <w:sz w:val="24"/>
          <w:szCs w:val="22"/>
        </w:rPr>
        <w:t>并取得有效期内的安全生产考核合格证（A类或B类）</w:t>
      </w:r>
      <w:r>
        <w:rPr>
          <w:rStyle w:val="27"/>
          <w:rFonts w:hint="eastAsia" w:ascii="宋体" w:hAnsi="宋体" w:cs="宋体"/>
          <w:b w:val="0"/>
          <w:bCs/>
          <w:kern w:val="0"/>
          <w:sz w:val="24"/>
          <w:szCs w:val="22"/>
        </w:rPr>
        <w:t>。</w:t>
      </w:r>
    </w:p>
    <w:p>
      <w:pPr>
        <w:spacing w:line="440" w:lineRule="exact"/>
        <w:ind w:firstLine="480" w:firstLineChars="200"/>
        <w:rPr>
          <w:rStyle w:val="27"/>
          <w:rFonts w:ascii="宋体" w:hAnsi="宋体" w:cs="宋体"/>
          <w:b w:val="0"/>
          <w:bCs/>
          <w:kern w:val="0"/>
          <w:sz w:val="24"/>
          <w:szCs w:val="22"/>
        </w:rPr>
      </w:pPr>
      <w:r>
        <w:rPr>
          <w:rStyle w:val="27"/>
          <w:rFonts w:hint="eastAsia" w:ascii="宋体" w:hAnsi="宋体" w:cs="宋体"/>
          <w:b w:val="0"/>
          <w:bCs/>
          <w:kern w:val="0"/>
          <w:sz w:val="24"/>
          <w:szCs w:val="22"/>
        </w:rPr>
        <w:t>4.本项目不接受联合体投标人参与投标。</w:t>
      </w:r>
    </w:p>
    <w:p>
      <w:pPr>
        <w:spacing w:line="440" w:lineRule="exact"/>
        <w:rPr>
          <w:sz w:val="24"/>
        </w:rPr>
      </w:pPr>
      <w:r>
        <w:rPr>
          <w:rFonts w:hint="eastAsia"/>
          <w:sz w:val="24"/>
        </w:rPr>
        <w:t>三、获取招标文件</w:t>
      </w:r>
      <w:bookmarkEnd w:id="9"/>
      <w:bookmarkEnd w:id="10"/>
      <w:bookmarkEnd w:id="11"/>
      <w:bookmarkEnd w:id="12"/>
    </w:p>
    <w:p>
      <w:pPr>
        <w:spacing w:line="440" w:lineRule="exact"/>
        <w:ind w:firstLine="480" w:firstLineChars="200"/>
        <w:rPr>
          <w:rStyle w:val="27"/>
          <w:rFonts w:ascii="宋体" w:hAnsi="宋体" w:cs="宋体"/>
          <w:b w:val="0"/>
          <w:bCs/>
          <w:kern w:val="0"/>
          <w:sz w:val="24"/>
          <w:szCs w:val="22"/>
        </w:rPr>
      </w:pPr>
      <w:bookmarkStart w:id="13" w:name="_Toc28359015"/>
      <w:bookmarkStart w:id="14" w:name="_Toc35393632"/>
      <w:bookmarkStart w:id="15" w:name="_Toc35393801"/>
      <w:bookmarkStart w:id="16" w:name="_Toc28359092"/>
      <w:r>
        <w:rPr>
          <w:rStyle w:val="27"/>
          <w:rFonts w:hint="eastAsia" w:ascii="宋体" w:hAnsi="宋体" w:cs="宋体"/>
          <w:b w:val="0"/>
          <w:bCs/>
          <w:kern w:val="0"/>
          <w:sz w:val="24"/>
          <w:szCs w:val="22"/>
        </w:rPr>
        <w:t>时间：2021年1</w:t>
      </w:r>
      <w:r>
        <w:rPr>
          <w:rStyle w:val="27"/>
          <w:rFonts w:hint="eastAsia" w:ascii="宋体" w:hAnsi="宋体" w:cs="宋体"/>
          <w:b w:val="0"/>
          <w:bCs/>
          <w:kern w:val="0"/>
          <w:sz w:val="24"/>
          <w:szCs w:val="22"/>
          <w:lang w:val="en-US" w:eastAsia="zh-CN"/>
        </w:rPr>
        <w:t>1</w:t>
      </w:r>
      <w:r>
        <w:rPr>
          <w:rStyle w:val="27"/>
          <w:rFonts w:hint="eastAsia" w:ascii="宋体" w:hAnsi="宋体" w:cs="宋体"/>
          <w:b w:val="0"/>
          <w:bCs/>
          <w:kern w:val="0"/>
          <w:sz w:val="24"/>
          <w:szCs w:val="22"/>
        </w:rPr>
        <w:t>月</w:t>
      </w:r>
      <w:r>
        <w:rPr>
          <w:rStyle w:val="27"/>
          <w:rFonts w:hint="eastAsia" w:ascii="宋体" w:hAnsi="宋体" w:cs="宋体"/>
          <w:b w:val="0"/>
          <w:bCs/>
          <w:kern w:val="0"/>
          <w:sz w:val="24"/>
          <w:szCs w:val="22"/>
          <w:lang w:val="en-US" w:eastAsia="zh-CN"/>
        </w:rPr>
        <w:t>8</w:t>
      </w:r>
      <w:r>
        <w:rPr>
          <w:rStyle w:val="27"/>
          <w:rFonts w:hint="eastAsia" w:ascii="宋体" w:hAnsi="宋体" w:cs="宋体"/>
          <w:b w:val="0"/>
          <w:bCs/>
          <w:kern w:val="0"/>
          <w:sz w:val="24"/>
          <w:szCs w:val="22"/>
        </w:rPr>
        <w:t>日至2021年11月</w:t>
      </w:r>
      <w:r>
        <w:rPr>
          <w:rStyle w:val="27"/>
          <w:rFonts w:hint="eastAsia" w:ascii="宋体" w:hAnsi="宋体" w:cs="宋体"/>
          <w:b w:val="0"/>
          <w:bCs/>
          <w:kern w:val="0"/>
          <w:sz w:val="24"/>
          <w:szCs w:val="22"/>
          <w:lang w:val="en-US" w:eastAsia="zh-CN"/>
        </w:rPr>
        <w:t>26</w:t>
      </w:r>
      <w:r>
        <w:rPr>
          <w:rStyle w:val="27"/>
          <w:rFonts w:hint="eastAsia" w:ascii="宋体" w:hAnsi="宋体" w:cs="宋体"/>
          <w:b w:val="0"/>
          <w:bCs/>
          <w:kern w:val="0"/>
          <w:sz w:val="24"/>
          <w:szCs w:val="22"/>
        </w:rPr>
        <w:t>日，每天上午10点至13点，下午16点至19点。</w:t>
      </w:r>
    </w:p>
    <w:p>
      <w:pPr>
        <w:spacing w:line="440" w:lineRule="exact"/>
        <w:ind w:firstLine="480" w:firstLineChars="200"/>
        <w:rPr>
          <w:rStyle w:val="27"/>
          <w:rFonts w:ascii="宋体" w:hAnsi="宋体" w:cs="宋体"/>
          <w:b w:val="0"/>
          <w:bCs/>
          <w:kern w:val="0"/>
          <w:sz w:val="24"/>
          <w:szCs w:val="22"/>
        </w:rPr>
      </w:pPr>
      <w:r>
        <w:rPr>
          <w:rStyle w:val="27"/>
          <w:rFonts w:hint="eastAsia" w:ascii="宋体" w:hAnsi="宋体" w:cs="宋体"/>
          <w:b w:val="0"/>
          <w:bCs/>
          <w:kern w:val="0"/>
          <w:sz w:val="24"/>
          <w:szCs w:val="22"/>
        </w:rPr>
        <w:t>地点：新疆政府采购网</w:t>
      </w:r>
    </w:p>
    <w:p>
      <w:pPr>
        <w:spacing w:line="440" w:lineRule="exact"/>
        <w:ind w:firstLine="480" w:firstLineChars="200"/>
        <w:rPr>
          <w:rStyle w:val="27"/>
          <w:rFonts w:ascii="宋体" w:hAnsi="宋体" w:cs="宋体"/>
          <w:b w:val="0"/>
          <w:bCs/>
          <w:kern w:val="0"/>
          <w:sz w:val="24"/>
          <w:szCs w:val="22"/>
        </w:rPr>
      </w:pPr>
      <w:r>
        <w:rPr>
          <w:rStyle w:val="27"/>
          <w:rFonts w:hint="eastAsia" w:ascii="宋体" w:hAnsi="宋体" w:cs="宋体"/>
          <w:b w:val="0"/>
          <w:bCs/>
          <w:kern w:val="0"/>
          <w:sz w:val="24"/>
          <w:szCs w:val="22"/>
        </w:rPr>
        <w:t>方式：线上获取</w:t>
      </w:r>
    </w:p>
    <w:p>
      <w:pPr>
        <w:spacing w:line="440" w:lineRule="exact"/>
        <w:ind w:firstLine="480" w:firstLineChars="200"/>
        <w:rPr>
          <w:rStyle w:val="27"/>
          <w:rFonts w:ascii="宋体" w:hAnsi="宋体" w:cs="宋体"/>
          <w:b w:val="0"/>
          <w:bCs/>
          <w:kern w:val="0"/>
          <w:sz w:val="24"/>
          <w:szCs w:val="22"/>
        </w:rPr>
      </w:pPr>
      <w:r>
        <w:rPr>
          <w:rStyle w:val="27"/>
          <w:rFonts w:hint="eastAsia" w:ascii="宋体" w:hAnsi="宋体" w:cs="宋体"/>
          <w:b w:val="0"/>
          <w:bCs/>
          <w:kern w:val="0"/>
          <w:sz w:val="24"/>
          <w:szCs w:val="22"/>
        </w:rPr>
        <w:t>售价：300元(由投标人基本账户转出）</w:t>
      </w:r>
    </w:p>
    <w:p>
      <w:pPr>
        <w:spacing w:line="440" w:lineRule="exact"/>
        <w:rPr>
          <w:sz w:val="24"/>
        </w:rPr>
      </w:pPr>
      <w:r>
        <w:rPr>
          <w:rFonts w:hint="eastAsia"/>
          <w:sz w:val="24"/>
        </w:rPr>
        <w:t>四、投标文件提交</w:t>
      </w:r>
      <w:bookmarkEnd w:id="13"/>
      <w:bookmarkEnd w:id="14"/>
      <w:bookmarkEnd w:id="15"/>
      <w:bookmarkEnd w:id="16"/>
    </w:p>
    <w:p>
      <w:pPr>
        <w:spacing w:line="440" w:lineRule="exact"/>
        <w:ind w:firstLine="480" w:firstLineChars="200"/>
        <w:rPr>
          <w:rStyle w:val="27"/>
          <w:rFonts w:ascii="宋体" w:hAnsi="宋体" w:cs="宋体"/>
          <w:b w:val="0"/>
          <w:bCs/>
          <w:kern w:val="0"/>
          <w:sz w:val="24"/>
          <w:szCs w:val="22"/>
        </w:rPr>
      </w:pPr>
      <w:bookmarkStart w:id="17" w:name="_Toc28359093"/>
      <w:bookmarkStart w:id="18" w:name="_Toc35393802"/>
      <w:bookmarkStart w:id="19" w:name="_Toc28359016"/>
      <w:bookmarkStart w:id="20" w:name="_Toc35393633"/>
      <w:r>
        <w:rPr>
          <w:rStyle w:val="27"/>
          <w:rFonts w:hint="eastAsia" w:ascii="宋体" w:hAnsi="宋体" w:cs="宋体"/>
          <w:b w:val="0"/>
          <w:bCs/>
          <w:kern w:val="0"/>
          <w:sz w:val="24"/>
          <w:szCs w:val="22"/>
        </w:rPr>
        <w:t>截止时间：2021 年 11月</w:t>
      </w:r>
      <w:r>
        <w:rPr>
          <w:rStyle w:val="27"/>
          <w:rFonts w:hint="eastAsia" w:ascii="宋体" w:hAnsi="宋体" w:cs="宋体"/>
          <w:b w:val="0"/>
          <w:bCs/>
          <w:kern w:val="0"/>
          <w:sz w:val="24"/>
          <w:szCs w:val="22"/>
          <w:lang w:val="en-US" w:eastAsia="zh-CN"/>
        </w:rPr>
        <w:t>29</w:t>
      </w:r>
      <w:r>
        <w:rPr>
          <w:rStyle w:val="27"/>
          <w:rFonts w:hint="eastAsia" w:ascii="宋体" w:hAnsi="宋体" w:cs="宋体"/>
          <w:b w:val="0"/>
          <w:bCs/>
          <w:kern w:val="0"/>
          <w:sz w:val="24"/>
          <w:szCs w:val="22"/>
        </w:rPr>
        <w:t>日16点30分</w:t>
      </w:r>
    </w:p>
    <w:p>
      <w:pPr>
        <w:spacing w:line="440" w:lineRule="exact"/>
        <w:ind w:firstLine="480" w:firstLineChars="200"/>
        <w:rPr>
          <w:rStyle w:val="27"/>
          <w:rFonts w:ascii="宋体" w:hAnsi="宋体" w:cs="宋体"/>
          <w:b w:val="0"/>
          <w:bCs/>
          <w:kern w:val="0"/>
          <w:sz w:val="24"/>
          <w:szCs w:val="22"/>
        </w:rPr>
      </w:pPr>
      <w:r>
        <w:rPr>
          <w:rStyle w:val="27"/>
          <w:rFonts w:hint="eastAsia" w:ascii="宋体" w:hAnsi="宋体" w:cs="宋体"/>
          <w:b w:val="0"/>
          <w:bCs/>
          <w:kern w:val="0"/>
          <w:sz w:val="24"/>
          <w:szCs w:val="22"/>
        </w:rPr>
        <w:t>地点：克拉玛依市金科工程监理有限责任公司（克拉玛依市石化工业园团结路12号）</w:t>
      </w:r>
    </w:p>
    <w:p>
      <w:pPr>
        <w:spacing w:line="440" w:lineRule="exact"/>
        <w:rPr>
          <w:sz w:val="24"/>
        </w:rPr>
      </w:pPr>
      <w:r>
        <w:rPr>
          <w:rFonts w:hint="eastAsia"/>
          <w:sz w:val="24"/>
        </w:rPr>
        <w:t>五、开启</w:t>
      </w:r>
      <w:bookmarkEnd w:id="17"/>
      <w:bookmarkEnd w:id="18"/>
      <w:bookmarkEnd w:id="19"/>
      <w:bookmarkEnd w:id="20"/>
    </w:p>
    <w:p>
      <w:pPr>
        <w:spacing w:line="440" w:lineRule="exact"/>
        <w:ind w:firstLine="480" w:firstLineChars="200"/>
        <w:rPr>
          <w:rStyle w:val="27"/>
          <w:rFonts w:ascii="宋体" w:hAnsi="宋体" w:cs="宋体"/>
          <w:b w:val="0"/>
          <w:bCs/>
          <w:kern w:val="0"/>
          <w:sz w:val="24"/>
          <w:szCs w:val="22"/>
        </w:rPr>
      </w:pPr>
      <w:bookmarkStart w:id="21" w:name="_Toc35393634"/>
      <w:bookmarkStart w:id="22" w:name="_Toc35393803"/>
      <w:bookmarkStart w:id="23" w:name="_Toc28359094"/>
      <w:bookmarkStart w:id="24" w:name="_Toc28359017"/>
      <w:r>
        <w:rPr>
          <w:rStyle w:val="27"/>
          <w:rFonts w:hint="eastAsia" w:ascii="宋体" w:hAnsi="宋体" w:cs="宋体"/>
          <w:b w:val="0"/>
          <w:bCs/>
          <w:kern w:val="0"/>
          <w:sz w:val="24"/>
          <w:szCs w:val="22"/>
        </w:rPr>
        <w:t>时间：2021 年 11月</w:t>
      </w:r>
      <w:r>
        <w:rPr>
          <w:rStyle w:val="27"/>
          <w:rFonts w:hint="eastAsia" w:ascii="宋体" w:hAnsi="宋体" w:cs="宋体"/>
          <w:b w:val="0"/>
          <w:bCs/>
          <w:kern w:val="0"/>
          <w:sz w:val="24"/>
          <w:szCs w:val="22"/>
          <w:lang w:val="en-US" w:eastAsia="zh-CN"/>
        </w:rPr>
        <w:t>29</w:t>
      </w:r>
      <w:r>
        <w:rPr>
          <w:rStyle w:val="27"/>
          <w:rFonts w:hint="eastAsia" w:ascii="宋体" w:hAnsi="宋体" w:cs="宋体"/>
          <w:b w:val="0"/>
          <w:bCs/>
          <w:kern w:val="0"/>
          <w:sz w:val="24"/>
          <w:szCs w:val="22"/>
        </w:rPr>
        <w:t>日16点30分（北京时间）</w:t>
      </w:r>
    </w:p>
    <w:p>
      <w:pPr>
        <w:spacing w:line="440" w:lineRule="exact"/>
        <w:ind w:firstLine="480" w:firstLineChars="200"/>
        <w:rPr>
          <w:rStyle w:val="27"/>
          <w:rFonts w:ascii="宋体" w:hAnsi="宋体" w:cs="宋体"/>
          <w:b w:val="0"/>
          <w:bCs/>
          <w:kern w:val="0"/>
          <w:sz w:val="24"/>
          <w:szCs w:val="22"/>
        </w:rPr>
      </w:pPr>
      <w:r>
        <w:rPr>
          <w:rStyle w:val="27"/>
          <w:rFonts w:hint="eastAsia" w:ascii="宋体" w:hAnsi="宋体" w:cs="宋体"/>
          <w:b w:val="0"/>
          <w:bCs/>
          <w:kern w:val="0"/>
          <w:sz w:val="24"/>
          <w:szCs w:val="22"/>
        </w:rPr>
        <w:t>地点：克拉玛依市金科工程监理有限责任公司（克拉玛依市石化工业园团结路12号）</w:t>
      </w:r>
    </w:p>
    <w:p>
      <w:pPr>
        <w:spacing w:line="440" w:lineRule="exact"/>
        <w:rPr>
          <w:sz w:val="24"/>
        </w:rPr>
      </w:pPr>
      <w:r>
        <w:rPr>
          <w:rFonts w:hint="eastAsia"/>
          <w:sz w:val="24"/>
        </w:rPr>
        <w:t>六、公告期限</w:t>
      </w:r>
      <w:bookmarkEnd w:id="21"/>
      <w:bookmarkEnd w:id="22"/>
      <w:bookmarkEnd w:id="23"/>
      <w:bookmarkEnd w:id="24"/>
    </w:p>
    <w:p>
      <w:pPr>
        <w:spacing w:line="440" w:lineRule="exact"/>
        <w:ind w:firstLine="480" w:firstLineChars="200"/>
        <w:rPr>
          <w:sz w:val="24"/>
        </w:rPr>
      </w:pPr>
      <w:r>
        <w:rPr>
          <w:rFonts w:hint="eastAsia"/>
          <w:sz w:val="24"/>
        </w:rPr>
        <w:t>自本公告发布之日起5个工作日。</w:t>
      </w:r>
    </w:p>
    <w:p>
      <w:pPr>
        <w:spacing w:line="440" w:lineRule="exact"/>
        <w:rPr>
          <w:sz w:val="24"/>
        </w:rPr>
      </w:pPr>
      <w:bookmarkStart w:id="25" w:name="_Toc35393804"/>
      <w:bookmarkStart w:id="26" w:name="_Toc35393635"/>
      <w:r>
        <w:rPr>
          <w:rFonts w:hint="eastAsia"/>
          <w:sz w:val="24"/>
        </w:rPr>
        <w:t>七、其他补充事宜</w:t>
      </w:r>
      <w:bookmarkEnd w:id="25"/>
      <w:bookmarkEnd w:id="26"/>
    </w:p>
    <w:p>
      <w:pPr>
        <w:pStyle w:val="20"/>
        <w:spacing w:before="75" w:beforeAutospacing="0" w:after="75" w:afterAutospacing="0" w:line="440" w:lineRule="exact"/>
        <w:ind w:firstLine="482" w:firstLineChars="200"/>
        <w:rPr>
          <w:rFonts w:cs="宋体"/>
          <w:color w:val="auto"/>
          <w:sz w:val="24"/>
          <w:szCs w:val="24"/>
        </w:rPr>
      </w:pPr>
      <w:bookmarkStart w:id="27" w:name="_Toc35393627"/>
      <w:bookmarkStart w:id="28" w:name="_Toc28359085"/>
      <w:bookmarkStart w:id="29" w:name="_Toc28359008"/>
      <w:bookmarkStart w:id="30" w:name="_Toc35393796"/>
      <w:r>
        <w:rPr>
          <w:rFonts w:hint="eastAsia" w:cs="宋体"/>
          <w:b/>
          <w:bCs/>
          <w:color w:val="auto"/>
          <w:sz w:val="24"/>
          <w:szCs w:val="24"/>
        </w:rPr>
        <w:t>1、报名：</w:t>
      </w:r>
      <w:r>
        <w:rPr>
          <w:rStyle w:val="27"/>
          <w:rFonts w:hint="eastAsia" w:cs="宋体"/>
          <w:b w:val="0"/>
          <w:bCs/>
          <w:color w:val="auto"/>
          <w:sz w:val="24"/>
        </w:rPr>
        <w:t>填写《投标人参加政府采购项目报名表》，将《申请表》、《诚信承诺书》及文件费交纳凭证扫描件一同发送到邮箱：450950343@qq.com，邮件名称必须为：项目名称+编号+投标人，未提交报名表及文件费交纳凭证的投标人不得参加投标。(报名表必须填写完整并加盖公章；不接受现场报名)。</w:t>
      </w:r>
      <w:r>
        <w:rPr>
          <w:rStyle w:val="27"/>
          <w:rFonts w:hint="eastAsia" w:cs="宋体"/>
          <w:b w:val="0"/>
          <w:bCs/>
          <w:color w:val="auto"/>
          <w:kern w:val="2"/>
          <w:sz w:val="24"/>
          <w:szCs w:val="22"/>
        </w:rPr>
        <w:t xml:space="preserve"> </w:t>
      </w:r>
    </w:p>
    <w:p>
      <w:pPr>
        <w:pStyle w:val="20"/>
        <w:spacing w:before="75" w:beforeAutospacing="0" w:after="75" w:afterAutospacing="0" w:line="440" w:lineRule="exact"/>
        <w:ind w:firstLine="482" w:firstLineChars="200"/>
        <w:rPr>
          <w:rFonts w:cs="宋体"/>
          <w:color w:val="auto"/>
          <w:sz w:val="24"/>
          <w:szCs w:val="24"/>
        </w:rPr>
      </w:pPr>
      <w:r>
        <w:rPr>
          <w:rFonts w:hint="eastAsia" w:cs="宋体"/>
          <w:b/>
          <w:bCs/>
          <w:color w:val="auto"/>
          <w:sz w:val="24"/>
          <w:szCs w:val="24"/>
        </w:rPr>
        <w:t>2、其他：</w:t>
      </w:r>
      <w:r>
        <w:rPr>
          <w:rFonts w:hint="eastAsia" w:cs="宋体"/>
          <w:color w:val="auto"/>
          <w:sz w:val="24"/>
          <w:szCs w:val="24"/>
        </w:rPr>
        <w:t>参加现场交易活动的所有人员须自行全程佩戴口罩，配合进行体温检测和身份登记，符合疫情防控要求方可参加现场交易活动。</w:t>
      </w:r>
    </w:p>
    <w:p>
      <w:pPr>
        <w:spacing w:line="440" w:lineRule="exact"/>
        <w:rPr>
          <w:rFonts w:ascii="宋体" w:hAnsi="宋体" w:cs="宋体"/>
          <w:color w:val="000000"/>
          <w:kern w:val="0"/>
          <w:sz w:val="24"/>
        </w:rPr>
      </w:pPr>
      <w:r>
        <w:rPr>
          <w:rFonts w:hint="eastAsia" w:ascii="宋体" w:hAnsi="宋体" w:cs="宋体"/>
          <w:color w:val="000000"/>
          <w:kern w:val="0"/>
          <w:sz w:val="24"/>
        </w:rPr>
        <w:t>八、凡对本次招标提出询问，请按以下方式联系。</w:t>
      </w:r>
      <w:bookmarkEnd w:id="27"/>
      <w:bookmarkEnd w:id="28"/>
      <w:bookmarkEnd w:id="29"/>
      <w:bookmarkEnd w:id="30"/>
    </w:p>
    <w:p>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1.招标人信息</w:t>
      </w:r>
    </w:p>
    <w:p>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名   称：克拉玛依市排水处管理处</w:t>
      </w:r>
    </w:p>
    <w:p>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地   址：克拉玛依市南郊污水厂院内   　　　　　　　　　　</w:t>
      </w:r>
    </w:p>
    <w:p>
      <w:pPr>
        <w:spacing w:line="440" w:lineRule="exact"/>
        <w:ind w:firstLine="480" w:firstLineChars="200"/>
        <w:rPr>
          <w:rFonts w:ascii="宋体" w:hAnsi="宋体" w:cs="宋体"/>
          <w:color w:val="000000"/>
          <w:kern w:val="0"/>
          <w:sz w:val="24"/>
        </w:rPr>
      </w:pPr>
      <w:bookmarkStart w:id="31" w:name="_Toc28359009"/>
      <w:bookmarkStart w:id="32" w:name="_Toc28359086"/>
      <w:r>
        <w:rPr>
          <w:rFonts w:hint="eastAsia" w:ascii="宋体" w:hAnsi="宋体" w:cs="宋体"/>
          <w:color w:val="000000"/>
          <w:kern w:val="0"/>
          <w:sz w:val="24"/>
        </w:rPr>
        <w:t>2.招标代理机构信息</w:t>
      </w:r>
      <w:bookmarkEnd w:id="31"/>
      <w:bookmarkEnd w:id="32"/>
    </w:p>
    <w:p>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名   称：克拉玛依市金科工程监理有限责任公司</w:t>
      </w:r>
    </w:p>
    <w:p>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地　 址：克拉玛依市石化工业园团结路12号</w:t>
      </w:r>
    </w:p>
    <w:p>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联系方式：</w:t>
      </w:r>
      <w:bookmarkStart w:id="33" w:name="_Toc28359010"/>
      <w:bookmarkStart w:id="34" w:name="_Toc28359087"/>
      <w:r>
        <w:rPr>
          <w:rFonts w:hint="eastAsia" w:ascii="宋体" w:hAnsi="宋体" w:cs="宋体"/>
          <w:color w:val="000000"/>
          <w:kern w:val="0"/>
          <w:sz w:val="24"/>
        </w:rPr>
        <w:t>13999508739</w:t>
      </w:r>
    </w:p>
    <w:p>
      <w:pPr>
        <w:pStyle w:val="2"/>
        <w:spacing w:line="440" w:lineRule="exact"/>
      </w:pPr>
      <w:r>
        <w:rPr>
          <w:rFonts w:hint="eastAsia" w:ascii="宋体" w:hAnsi="宋体" w:cs="宋体"/>
          <w:color w:val="000000"/>
          <w:kern w:val="0"/>
          <w:sz w:val="24"/>
        </w:rPr>
        <w:t xml:space="preserve">    邮   箱：450950343@qq.com</w:t>
      </w:r>
    </w:p>
    <w:p>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3.项目联系方式</w:t>
      </w:r>
      <w:bookmarkEnd w:id="33"/>
      <w:bookmarkEnd w:id="34"/>
    </w:p>
    <w:p>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项目联系人：刘敬民</w:t>
      </w:r>
    </w:p>
    <w:p>
      <w:pPr>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电　 话：13565459623</w:t>
      </w:r>
    </w:p>
    <w:p>
      <w:pPr>
        <w:pStyle w:val="2"/>
        <w:rPr>
          <w:rFonts w:ascii="宋体" w:hAnsi="宋体" w:cs="宋体"/>
          <w:b/>
          <w:bCs/>
          <w:sz w:val="30"/>
          <w:szCs w:val="30"/>
        </w:rPr>
      </w:pPr>
      <w:r>
        <w:rPr>
          <w:rFonts w:hint="eastAsia" w:ascii="宋体" w:hAnsi="宋体" w:cs="宋体"/>
          <w:color w:val="000000"/>
          <w:kern w:val="0"/>
          <w:sz w:val="24"/>
        </w:rPr>
        <w:t xml:space="preserve">    </w:t>
      </w:r>
      <w:bookmarkStart w:id="35" w:name="_Toc17277_WPSOffice_Level1"/>
    </w:p>
    <w:p>
      <w:pPr>
        <w:spacing w:line="400" w:lineRule="exact"/>
        <w:jc w:val="center"/>
        <w:rPr>
          <w:rFonts w:ascii="宋体" w:hAnsi="宋体" w:cs="宋体"/>
          <w:b/>
          <w:bCs/>
          <w:sz w:val="30"/>
          <w:szCs w:val="30"/>
        </w:rPr>
      </w:pPr>
      <w:r>
        <w:rPr>
          <w:rFonts w:hint="eastAsia" w:ascii="宋体" w:hAnsi="宋体" w:cs="宋体"/>
          <w:b/>
          <w:bCs/>
          <w:sz w:val="30"/>
          <w:szCs w:val="30"/>
        </w:rPr>
        <w:t>第二章、投标人须知</w:t>
      </w:r>
      <w:bookmarkEnd w:id="35"/>
    </w:p>
    <w:p>
      <w:pPr>
        <w:spacing w:line="400" w:lineRule="exact"/>
        <w:jc w:val="center"/>
        <w:rPr>
          <w:rFonts w:ascii="宋体" w:hAnsi="宋体" w:cs="宋体"/>
          <w:b/>
          <w:sz w:val="28"/>
          <w:szCs w:val="28"/>
        </w:rPr>
      </w:pPr>
      <w:bookmarkStart w:id="36" w:name="_Toc19876_WPSOffice_Level1"/>
      <w:r>
        <w:rPr>
          <w:rFonts w:hint="eastAsia" w:ascii="宋体" w:hAnsi="宋体" w:cs="宋体"/>
          <w:b/>
          <w:sz w:val="28"/>
          <w:szCs w:val="28"/>
        </w:rPr>
        <w:t>前附表</w:t>
      </w:r>
      <w:bookmarkEnd w:id="36"/>
    </w:p>
    <w:tbl>
      <w:tblPr>
        <w:tblStyle w:val="24"/>
        <w:tblW w:w="10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9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7" w:type="dxa"/>
            <w:vAlign w:val="center"/>
          </w:tcPr>
          <w:p>
            <w:pPr>
              <w:pStyle w:val="11"/>
              <w:spacing w:line="400" w:lineRule="exact"/>
              <w:jc w:val="center"/>
              <w:rPr>
                <w:rFonts w:hAnsi="宋体" w:cs="宋体"/>
                <w:sz w:val="24"/>
                <w:szCs w:val="24"/>
              </w:rPr>
            </w:pPr>
            <w:r>
              <w:rPr>
                <w:rFonts w:hint="eastAsia" w:hAnsi="宋体" w:cs="宋体"/>
                <w:sz w:val="24"/>
                <w:szCs w:val="24"/>
              </w:rPr>
              <w:t>项号</w:t>
            </w:r>
          </w:p>
        </w:tc>
        <w:tc>
          <w:tcPr>
            <w:tcW w:w="9513" w:type="dxa"/>
            <w:vAlign w:val="center"/>
          </w:tcPr>
          <w:p>
            <w:pPr>
              <w:pStyle w:val="11"/>
              <w:spacing w:line="400" w:lineRule="exact"/>
              <w:jc w:val="center"/>
              <w:rPr>
                <w:rFonts w:hAnsi="宋体" w:cs="宋体"/>
                <w:sz w:val="24"/>
                <w:szCs w:val="24"/>
              </w:rPr>
            </w:pPr>
            <w:r>
              <w:rPr>
                <w:rFonts w:hint="eastAsia" w:hAnsi="宋体" w:cs="宋体"/>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27" w:type="dxa"/>
            <w:vAlign w:val="center"/>
          </w:tcPr>
          <w:p>
            <w:pPr>
              <w:pStyle w:val="11"/>
              <w:spacing w:line="400" w:lineRule="exact"/>
              <w:jc w:val="center"/>
              <w:rPr>
                <w:rFonts w:hAnsi="宋体" w:cs="宋体"/>
                <w:sz w:val="24"/>
                <w:szCs w:val="24"/>
              </w:rPr>
            </w:pPr>
            <w:r>
              <w:rPr>
                <w:rFonts w:hint="eastAsia" w:hAnsi="宋体" w:cs="宋体"/>
                <w:sz w:val="24"/>
                <w:szCs w:val="24"/>
              </w:rPr>
              <w:t>1</w:t>
            </w:r>
          </w:p>
        </w:tc>
        <w:tc>
          <w:tcPr>
            <w:tcW w:w="9513" w:type="dxa"/>
            <w:vAlign w:val="center"/>
          </w:tcPr>
          <w:p>
            <w:pPr>
              <w:pStyle w:val="11"/>
              <w:spacing w:line="400" w:lineRule="exact"/>
              <w:rPr>
                <w:rFonts w:hAnsi="宋体" w:cs="宋体"/>
                <w:bCs/>
                <w:w w:val="95"/>
                <w:sz w:val="28"/>
                <w:szCs w:val="28"/>
              </w:rPr>
            </w:pPr>
            <w:r>
              <w:rPr>
                <w:rFonts w:hint="eastAsia" w:hAnsi="宋体" w:cs="宋体"/>
                <w:sz w:val="24"/>
                <w:szCs w:val="24"/>
              </w:rPr>
              <w:t>项目名称：克拉玛依市排水管理处污水处理设施维修修缮及应急抢修队伍入围项目</w:t>
            </w:r>
          </w:p>
          <w:p>
            <w:pPr>
              <w:pStyle w:val="11"/>
              <w:spacing w:line="400" w:lineRule="exact"/>
              <w:rPr>
                <w:rFonts w:hAnsi="宋体" w:cs="宋体"/>
                <w:sz w:val="24"/>
                <w:szCs w:val="24"/>
              </w:rPr>
            </w:pPr>
            <w:r>
              <w:rPr>
                <w:rFonts w:hint="eastAsia" w:hAnsi="宋体" w:cs="宋体"/>
                <w:sz w:val="24"/>
                <w:szCs w:val="24"/>
              </w:rPr>
              <w:t>招标文件编号：JKJL[ZC]2021-66</w:t>
            </w:r>
            <w:r>
              <w:rPr>
                <w:rFonts w:hint="eastAsia" w:hAnsi="宋体" w:cs="宋体"/>
                <w:color w:val="FF0000"/>
                <w:sz w:val="24"/>
                <w:szCs w:val="24"/>
              </w:rPr>
              <w:t xml:space="preserve">  </w:t>
            </w:r>
            <w:r>
              <w:rPr>
                <w:rFonts w:hint="eastAsia"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7" w:type="dxa"/>
            <w:vAlign w:val="center"/>
          </w:tcPr>
          <w:p>
            <w:pPr>
              <w:pStyle w:val="11"/>
              <w:spacing w:line="400" w:lineRule="exact"/>
              <w:jc w:val="center"/>
              <w:rPr>
                <w:rFonts w:hAnsi="宋体" w:cs="宋体"/>
                <w:sz w:val="24"/>
                <w:szCs w:val="24"/>
              </w:rPr>
            </w:pPr>
            <w:r>
              <w:rPr>
                <w:rFonts w:hint="eastAsia" w:hAnsi="宋体" w:cs="宋体"/>
                <w:sz w:val="24"/>
                <w:szCs w:val="24"/>
              </w:rPr>
              <w:t>2</w:t>
            </w:r>
          </w:p>
        </w:tc>
        <w:tc>
          <w:tcPr>
            <w:tcW w:w="9513" w:type="dxa"/>
            <w:vAlign w:val="center"/>
          </w:tcPr>
          <w:p>
            <w:pPr>
              <w:spacing w:line="400" w:lineRule="exact"/>
              <w:jc w:val="left"/>
              <w:rPr>
                <w:rFonts w:ascii="宋体" w:hAnsi="宋体" w:cs="宋体"/>
                <w:sz w:val="24"/>
              </w:rPr>
            </w:pPr>
            <w:r>
              <w:rPr>
                <w:rFonts w:hint="eastAsia" w:ascii="宋体" w:hAnsi="宋体" w:cs="宋体"/>
                <w:sz w:val="24"/>
              </w:rPr>
              <w:t>招标人：克拉玛依市排水处管理处</w:t>
            </w:r>
          </w:p>
          <w:p>
            <w:pPr>
              <w:spacing w:line="400" w:lineRule="exact"/>
              <w:jc w:val="left"/>
              <w:rPr>
                <w:rFonts w:ascii="宋体" w:hAnsi="宋体" w:cs="宋体"/>
                <w:sz w:val="24"/>
              </w:rPr>
            </w:pPr>
            <w:r>
              <w:rPr>
                <w:rFonts w:hint="eastAsia" w:ascii="宋体" w:hAnsi="宋体" w:cs="宋体"/>
                <w:sz w:val="24"/>
              </w:rPr>
              <w:t>地  址：克拉玛依市南郊污水厂院内</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827" w:type="dxa"/>
            <w:vAlign w:val="center"/>
          </w:tcPr>
          <w:p>
            <w:pPr>
              <w:pStyle w:val="11"/>
              <w:spacing w:line="400" w:lineRule="exact"/>
              <w:jc w:val="center"/>
              <w:rPr>
                <w:rFonts w:hAnsi="宋体" w:cs="宋体"/>
                <w:sz w:val="24"/>
                <w:szCs w:val="24"/>
              </w:rPr>
            </w:pPr>
            <w:r>
              <w:rPr>
                <w:rFonts w:hint="eastAsia" w:hAnsi="宋体" w:cs="宋体"/>
                <w:sz w:val="24"/>
                <w:szCs w:val="24"/>
              </w:rPr>
              <w:t>3</w:t>
            </w:r>
          </w:p>
        </w:tc>
        <w:tc>
          <w:tcPr>
            <w:tcW w:w="9513" w:type="dxa"/>
            <w:vAlign w:val="center"/>
          </w:tcPr>
          <w:p>
            <w:pPr>
              <w:pStyle w:val="11"/>
              <w:spacing w:line="400" w:lineRule="exact"/>
              <w:rPr>
                <w:rFonts w:hAnsi="宋体" w:cs="宋体"/>
                <w:bCs/>
                <w:sz w:val="24"/>
                <w:szCs w:val="24"/>
              </w:rPr>
            </w:pPr>
            <w:r>
              <w:rPr>
                <w:rFonts w:hint="eastAsia" w:hAnsi="宋体" w:cs="宋体"/>
                <w:bCs/>
                <w:sz w:val="24"/>
                <w:szCs w:val="24"/>
              </w:rPr>
              <w:t>招标代理机构：</w:t>
            </w:r>
            <w:r>
              <w:rPr>
                <w:rFonts w:hint="eastAsia" w:hAnsi="宋体" w:cs="宋体"/>
                <w:bCs/>
                <w:sz w:val="24"/>
                <w:szCs w:val="24"/>
                <w:lang w:val="zh-CN"/>
              </w:rPr>
              <w:t>克拉玛依市金科工程监理有限责任公司</w:t>
            </w:r>
          </w:p>
          <w:p>
            <w:pPr>
              <w:pStyle w:val="11"/>
              <w:spacing w:line="400" w:lineRule="exact"/>
              <w:rPr>
                <w:rFonts w:hAnsi="宋体" w:cs="宋体"/>
                <w:bCs/>
                <w:sz w:val="24"/>
                <w:szCs w:val="24"/>
              </w:rPr>
            </w:pPr>
            <w:r>
              <w:rPr>
                <w:rFonts w:hint="eastAsia" w:hAnsi="宋体" w:cs="宋体"/>
                <w:bCs/>
                <w:sz w:val="24"/>
                <w:szCs w:val="24"/>
              </w:rPr>
              <w:t xml:space="preserve">地址：克拉玛依市石化工业园团结路12号    </w:t>
            </w:r>
          </w:p>
          <w:p>
            <w:pPr>
              <w:pStyle w:val="11"/>
              <w:spacing w:line="400" w:lineRule="exact"/>
              <w:rPr>
                <w:rFonts w:hAnsi="宋体" w:cs="宋体"/>
                <w:b/>
                <w:sz w:val="24"/>
                <w:szCs w:val="24"/>
              </w:rPr>
            </w:pPr>
            <w:r>
              <w:rPr>
                <w:rFonts w:hint="eastAsia" w:hAnsi="宋体" w:cs="宋体"/>
                <w:b/>
                <w:sz w:val="24"/>
                <w:szCs w:val="24"/>
              </w:rPr>
              <w:t>开户行：建行新疆区石油分行石化支行</w:t>
            </w:r>
          </w:p>
          <w:p>
            <w:pPr>
              <w:pStyle w:val="11"/>
              <w:spacing w:line="400" w:lineRule="exact"/>
              <w:rPr>
                <w:rFonts w:hAnsi="宋体" w:cs="宋体"/>
                <w:bCs/>
                <w:sz w:val="24"/>
                <w:szCs w:val="24"/>
              </w:rPr>
            </w:pPr>
            <w:r>
              <w:rPr>
                <w:rFonts w:hint="eastAsia" w:hAnsi="宋体" w:cs="宋体"/>
                <w:b/>
                <w:sz w:val="24"/>
                <w:szCs w:val="24"/>
              </w:rPr>
              <w:t>银行账号：65001895100052500218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27" w:type="dxa"/>
            <w:vAlign w:val="center"/>
          </w:tcPr>
          <w:p>
            <w:pPr>
              <w:pStyle w:val="11"/>
              <w:spacing w:line="400" w:lineRule="exact"/>
              <w:jc w:val="center"/>
              <w:rPr>
                <w:rFonts w:hAnsi="宋体" w:cs="宋体"/>
                <w:sz w:val="24"/>
                <w:szCs w:val="24"/>
              </w:rPr>
            </w:pPr>
            <w:r>
              <w:rPr>
                <w:rFonts w:hint="eastAsia" w:hAnsi="宋体" w:cs="宋体"/>
                <w:sz w:val="24"/>
                <w:szCs w:val="24"/>
              </w:rPr>
              <w:t>4</w:t>
            </w:r>
          </w:p>
        </w:tc>
        <w:tc>
          <w:tcPr>
            <w:tcW w:w="9513" w:type="dxa"/>
            <w:vAlign w:val="center"/>
          </w:tcPr>
          <w:p>
            <w:pPr>
              <w:pStyle w:val="11"/>
              <w:spacing w:line="400" w:lineRule="exact"/>
              <w:rPr>
                <w:rFonts w:hAnsi="宋体" w:cs="宋体"/>
                <w:sz w:val="24"/>
                <w:szCs w:val="24"/>
              </w:rPr>
            </w:pPr>
            <w:r>
              <w:rPr>
                <w:rFonts w:hint="eastAsia" w:hAnsi="宋体" w:cs="宋体"/>
                <w:sz w:val="24"/>
                <w:szCs w:val="24"/>
              </w:rPr>
              <w:t>投标文件有效期：递交投标文件截止之日起60天（日历日）。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27" w:type="dxa"/>
            <w:vAlign w:val="center"/>
          </w:tcPr>
          <w:p>
            <w:pPr>
              <w:pStyle w:val="11"/>
              <w:spacing w:line="400" w:lineRule="exact"/>
              <w:jc w:val="center"/>
              <w:rPr>
                <w:rFonts w:hAnsi="宋体" w:cs="宋体"/>
                <w:sz w:val="24"/>
                <w:szCs w:val="24"/>
              </w:rPr>
            </w:pPr>
            <w:r>
              <w:rPr>
                <w:rFonts w:hint="eastAsia" w:hAnsi="宋体" w:cs="宋体"/>
                <w:sz w:val="24"/>
                <w:szCs w:val="24"/>
              </w:rPr>
              <w:t>5</w:t>
            </w:r>
          </w:p>
        </w:tc>
        <w:tc>
          <w:tcPr>
            <w:tcW w:w="9513" w:type="dxa"/>
            <w:vAlign w:val="center"/>
          </w:tcPr>
          <w:p>
            <w:pPr>
              <w:pStyle w:val="11"/>
              <w:spacing w:line="400" w:lineRule="exact"/>
              <w:rPr>
                <w:rFonts w:hAnsi="宋体" w:cs="宋体"/>
                <w:sz w:val="24"/>
                <w:szCs w:val="24"/>
              </w:rPr>
            </w:pPr>
            <w:r>
              <w:rPr>
                <w:rFonts w:hint="eastAsia" w:hAnsi="宋体" w:cs="宋体"/>
                <w:sz w:val="24"/>
                <w:szCs w:val="24"/>
              </w:rPr>
              <w:t>投标文件的份数：一式</w:t>
            </w:r>
            <w:r>
              <w:rPr>
                <w:rFonts w:hint="eastAsia" w:hAnsi="宋体" w:cs="宋体"/>
                <w:sz w:val="24"/>
                <w:szCs w:val="24"/>
                <w:lang w:eastAsia="zh-CN"/>
              </w:rPr>
              <w:t>柒</w:t>
            </w:r>
            <w:r>
              <w:rPr>
                <w:rFonts w:hint="eastAsia" w:hAnsi="宋体" w:cs="宋体"/>
                <w:sz w:val="24"/>
                <w:szCs w:val="24"/>
              </w:rPr>
              <w:t>份，其中正本壹份，副本</w:t>
            </w:r>
            <w:r>
              <w:rPr>
                <w:rFonts w:hint="eastAsia" w:hAnsi="宋体" w:cs="宋体"/>
                <w:sz w:val="24"/>
                <w:szCs w:val="24"/>
                <w:lang w:eastAsia="zh-CN"/>
              </w:rPr>
              <w:t>陆</w:t>
            </w:r>
            <w:r>
              <w:rPr>
                <w:rFonts w:hint="eastAsia" w:hAnsi="宋体" w:cs="宋体"/>
                <w:sz w:val="24"/>
                <w:szCs w:val="24"/>
              </w:rPr>
              <w:t>份，电子版文件（光盘）一式贰份。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7" w:type="dxa"/>
            <w:vAlign w:val="center"/>
          </w:tcPr>
          <w:p>
            <w:pPr>
              <w:pStyle w:val="11"/>
              <w:spacing w:line="400" w:lineRule="exact"/>
              <w:jc w:val="center"/>
              <w:rPr>
                <w:rFonts w:hAnsi="宋体" w:cs="宋体"/>
                <w:sz w:val="24"/>
                <w:szCs w:val="24"/>
              </w:rPr>
            </w:pPr>
            <w:r>
              <w:rPr>
                <w:rFonts w:hint="eastAsia" w:hAnsi="宋体" w:cs="宋体"/>
                <w:sz w:val="24"/>
                <w:szCs w:val="24"/>
              </w:rPr>
              <w:t>6</w:t>
            </w:r>
          </w:p>
        </w:tc>
        <w:tc>
          <w:tcPr>
            <w:tcW w:w="9513" w:type="dxa"/>
            <w:vAlign w:val="center"/>
          </w:tcPr>
          <w:p>
            <w:pPr>
              <w:pStyle w:val="8"/>
              <w:spacing w:line="400" w:lineRule="exact"/>
              <w:ind w:firstLine="0"/>
              <w:jc w:val="both"/>
              <w:rPr>
                <w:rFonts w:ascii="宋体" w:hAnsi="宋体" w:cs="宋体"/>
                <w:bCs/>
                <w:sz w:val="24"/>
                <w:szCs w:val="24"/>
                <w:highlight w:val="yellow"/>
              </w:rPr>
            </w:pPr>
            <w:r>
              <w:rPr>
                <w:rFonts w:hint="eastAsia" w:ascii="宋体" w:hAnsi="宋体" w:cs="宋体"/>
                <w:bCs/>
                <w:sz w:val="24"/>
                <w:szCs w:val="24"/>
              </w:rPr>
              <w:t>投标人在获取招标文件后必须到使用方现场勘查实际维修修缮需求，了解并获取有关投标的相关项目的基本情况。使用方将统一组织现场踏勘。</w:t>
            </w:r>
          </w:p>
          <w:p>
            <w:pPr>
              <w:pStyle w:val="8"/>
              <w:spacing w:line="400" w:lineRule="exact"/>
              <w:ind w:firstLine="0"/>
              <w:jc w:val="both"/>
              <w:rPr>
                <w:rFonts w:ascii="宋体" w:hAnsi="宋体" w:cs="宋体"/>
                <w:bCs/>
                <w:sz w:val="24"/>
                <w:szCs w:val="24"/>
              </w:rPr>
            </w:pPr>
            <w:r>
              <w:rPr>
                <w:rFonts w:hint="eastAsia" w:ascii="宋体" w:hAnsi="宋体" w:cs="宋体"/>
                <w:bCs/>
                <w:sz w:val="24"/>
                <w:szCs w:val="24"/>
              </w:rPr>
              <w:t>投标人如有疑问，于2021年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12</w:t>
            </w:r>
            <w:r>
              <w:rPr>
                <w:rFonts w:hint="eastAsia" w:ascii="宋体" w:hAnsi="宋体" w:cs="宋体"/>
                <w:bCs/>
                <w:sz w:val="24"/>
                <w:szCs w:val="24"/>
              </w:rPr>
              <w:t>日19:00前将有关疑问以书面形式（必须加盖投标人公章）送达至</w:t>
            </w:r>
            <w:r>
              <w:rPr>
                <w:rFonts w:hint="eastAsia" w:ascii="宋体" w:hAnsi="宋体" w:cs="宋体"/>
                <w:bCs/>
                <w:sz w:val="24"/>
                <w:szCs w:val="24"/>
                <w:lang w:val="zh-CN"/>
              </w:rPr>
              <w:t>克拉玛依市金科工程监理有限责任公司</w:t>
            </w:r>
            <w:r>
              <w:rPr>
                <w:rFonts w:hint="eastAsia" w:ascii="宋体" w:hAnsi="宋体" w:cs="宋体"/>
                <w:bCs/>
                <w:sz w:val="24"/>
                <w:szCs w:val="24"/>
              </w:rPr>
              <w:t>（同时将疑问电子版发至450950343@qq.com），招标人将对所提疑问以书面形式发至领取招标文件的每位投标人，超过此时间所提疑问招标人或招标代理机构均不予答复。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27" w:type="dxa"/>
            <w:vAlign w:val="center"/>
          </w:tcPr>
          <w:p>
            <w:pPr>
              <w:pStyle w:val="11"/>
              <w:spacing w:line="400" w:lineRule="exact"/>
              <w:jc w:val="center"/>
              <w:rPr>
                <w:rFonts w:hAnsi="宋体" w:cs="宋体"/>
                <w:sz w:val="24"/>
                <w:szCs w:val="24"/>
              </w:rPr>
            </w:pPr>
            <w:r>
              <w:rPr>
                <w:rFonts w:hint="eastAsia" w:hAnsi="宋体" w:cs="宋体"/>
                <w:sz w:val="24"/>
                <w:szCs w:val="24"/>
              </w:rPr>
              <w:t>7</w:t>
            </w:r>
          </w:p>
        </w:tc>
        <w:tc>
          <w:tcPr>
            <w:tcW w:w="9513" w:type="dxa"/>
          </w:tcPr>
          <w:p>
            <w:pPr>
              <w:pStyle w:val="8"/>
              <w:spacing w:line="400" w:lineRule="exact"/>
              <w:ind w:firstLine="0"/>
              <w:jc w:val="both"/>
              <w:rPr>
                <w:rFonts w:ascii="宋体" w:hAnsi="宋体" w:cs="宋体"/>
                <w:bCs/>
                <w:sz w:val="24"/>
                <w:szCs w:val="24"/>
              </w:rPr>
            </w:pPr>
            <w:r>
              <w:rPr>
                <w:rFonts w:hint="eastAsia" w:ascii="宋体" w:hAnsi="宋体" w:cs="宋体"/>
                <w:bCs/>
                <w:sz w:val="24"/>
                <w:szCs w:val="24"/>
              </w:rPr>
              <w:t>递交投标文件时间：2021年11月</w:t>
            </w:r>
            <w:r>
              <w:rPr>
                <w:rFonts w:hint="eastAsia" w:ascii="宋体" w:hAnsi="宋体" w:cs="宋体"/>
                <w:bCs/>
                <w:sz w:val="24"/>
                <w:szCs w:val="24"/>
                <w:lang w:val="en-US" w:eastAsia="zh-CN"/>
              </w:rPr>
              <w:t>29</w:t>
            </w:r>
            <w:r>
              <w:rPr>
                <w:rFonts w:hint="eastAsia" w:ascii="宋体" w:hAnsi="宋体" w:cs="宋体"/>
                <w:bCs/>
                <w:sz w:val="24"/>
                <w:szCs w:val="24"/>
              </w:rPr>
              <w:t xml:space="preserve">日16：30  </w:t>
            </w:r>
          </w:p>
          <w:p>
            <w:pPr>
              <w:pStyle w:val="8"/>
              <w:spacing w:line="400" w:lineRule="exact"/>
              <w:ind w:firstLine="0"/>
              <w:jc w:val="both"/>
              <w:rPr>
                <w:rFonts w:ascii="宋体" w:hAnsi="宋体" w:cs="宋体"/>
                <w:bCs/>
                <w:sz w:val="24"/>
                <w:szCs w:val="24"/>
              </w:rPr>
            </w:pPr>
            <w:r>
              <w:rPr>
                <w:rFonts w:hint="eastAsia" w:ascii="宋体" w:hAnsi="宋体" w:cs="宋体"/>
                <w:bCs/>
                <w:sz w:val="24"/>
                <w:szCs w:val="24"/>
              </w:rPr>
              <w:t>递交投标文件截止时间：2021年11月</w:t>
            </w:r>
            <w:r>
              <w:rPr>
                <w:rFonts w:hint="eastAsia" w:ascii="宋体" w:hAnsi="宋体" w:cs="宋体"/>
                <w:bCs/>
                <w:sz w:val="24"/>
                <w:szCs w:val="24"/>
                <w:lang w:val="en-US" w:eastAsia="zh-CN"/>
              </w:rPr>
              <w:t>29</w:t>
            </w:r>
            <w:r>
              <w:rPr>
                <w:rFonts w:hint="eastAsia" w:ascii="宋体" w:hAnsi="宋体" w:cs="宋体"/>
                <w:bCs/>
                <w:sz w:val="24"/>
                <w:szCs w:val="24"/>
              </w:rPr>
              <w:t>日16：30</w:t>
            </w:r>
          </w:p>
          <w:p>
            <w:pPr>
              <w:pStyle w:val="8"/>
              <w:spacing w:line="400" w:lineRule="exact"/>
              <w:ind w:firstLine="0"/>
              <w:jc w:val="both"/>
              <w:rPr>
                <w:rFonts w:ascii="宋体" w:hAnsi="宋体" w:cs="宋体"/>
                <w:bCs/>
                <w:sz w:val="24"/>
                <w:szCs w:val="24"/>
              </w:rPr>
            </w:pPr>
            <w:r>
              <w:rPr>
                <w:rFonts w:hint="eastAsia" w:ascii="宋体" w:hAnsi="宋体" w:cs="宋体"/>
                <w:bCs/>
                <w:sz w:val="24"/>
                <w:szCs w:val="24"/>
              </w:rPr>
              <w:t>详细地址：</w:t>
            </w:r>
            <w:r>
              <w:rPr>
                <w:rFonts w:hint="eastAsia" w:ascii="宋体" w:hAnsi="宋体" w:cs="宋体"/>
                <w:bCs/>
                <w:sz w:val="24"/>
                <w:szCs w:val="24"/>
                <w:lang w:val="zh-CN"/>
              </w:rPr>
              <w:t>克拉玛依市金科工程监理有限责任公司（克拉玛依市石化工业园团结路1</w:t>
            </w:r>
            <w:r>
              <w:rPr>
                <w:rFonts w:hint="eastAsia" w:ascii="宋体" w:hAnsi="宋体" w:cs="宋体"/>
                <w:bCs/>
                <w:sz w:val="24"/>
                <w:szCs w:val="24"/>
              </w:rPr>
              <w:t>2</w:t>
            </w:r>
            <w:r>
              <w:rPr>
                <w:rFonts w:hint="eastAsia" w:ascii="宋体" w:hAnsi="宋体" w:cs="宋体"/>
                <w:bCs/>
                <w:sz w:val="24"/>
                <w:szCs w:val="24"/>
                <w:lang w:val="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27" w:type="dxa"/>
            <w:vAlign w:val="center"/>
          </w:tcPr>
          <w:p>
            <w:pPr>
              <w:pStyle w:val="11"/>
              <w:spacing w:line="400" w:lineRule="exact"/>
              <w:jc w:val="center"/>
              <w:rPr>
                <w:rFonts w:hAnsi="宋体" w:cs="宋体"/>
                <w:sz w:val="24"/>
                <w:szCs w:val="24"/>
              </w:rPr>
            </w:pPr>
            <w:r>
              <w:rPr>
                <w:rFonts w:hint="eastAsia" w:hAnsi="宋体" w:cs="宋体"/>
                <w:sz w:val="24"/>
                <w:szCs w:val="24"/>
              </w:rPr>
              <w:t>8</w:t>
            </w:r>
          </w:p>
        </w:tc>
        <w:tc>
          <w:tcPr>
            <w:tcW w:w="9513" w:type="dxa"/>
          </w:tcPr>
          <w:p>
            <w:pPr>
              <w:pStyle w:val="8"/>
              <w:spacing w:line="400" w:lineRule="exact"/>
              <w:ind w:firstLine="0"/>
              <w:jc w:val="both"/>
              <w:rPr>
                <w:rFonts w:ascii="宋体" w:hAnsi="宋体" w:cs="宋体"/>
                <w:bCs/>
                <w:sz w:val="24"/>
                <w:szCs w:val="24"/>
              </w:rPr>
            </w:pPr>
            <w:r>
              <w:rPr>
                <w:rFonts w:hint="eastAsia" w:ascii="宋体" w:hAnsi="宋体" w:cs="宋体"/>
                <w:bCs/>
                <w:sz w:val="24"/>
                <w:szCs w:val="24"/>
              </w:rPr>
              <w:t>开标时间：2021年11月</w:t>
            </w:r>
            <w:r>
              <w:rPr>
                <w:rFonts w:hint="eastAsia" w:ascii="宋体" w:hAnsi="宋体" w:cs="宋体"/>
                <w:bCs/>
                <w:sz w:val="24"/>
                <w:szCs w:val="24"/>
                <w:lang w:val="en-US" w:eastAsia="zh-CN"/>
              </w:rPr>
              <w:t>29</w:t>
            </w:r>
            <w:r>
              <w:rPr>
                <w:rFonts w:hint="eastAsia" w:ascii="宋体" w:hAnsi="宋体" w:cs="宋体"/>
                <w:bCs/>
                <w:sz w:val="24"/>
                <w:szCs w:val="24"/>
              </w:rPr>
              <w:t>日16：30</w:t>
            </w:r>
          </w:p>
          <w:p>
            <w:pPr>
              <w:pStyle w:val="8"/>
              <w:spacing w:line="400" w:lineRule="exact"/>
              <w:ind w:firstLine="0"/>
              <w:jc w:val="both"/>
              <w:rPr>
                <w:rFonts w:ascii="宋体" w:hAnsi="宋体" w:cs="宋体"/>
                <w:bCs/>
                <w:sz w:val="24"/>
                <w:szCs w:val="24"/>
              </w:rPr>
            </w:pPr>
            <w:r>
              <w:rPr>
                <w:rFonts w:hint="eastAsia" w:ascii="宋体" w:hAnsi="宋体" w:cs="宋体"/>
                <w:bCs/>
                <w:sz w:val="24"/>
                <w:szCs w:val="24"/>
              </w:rPr>
              <w:t>地点：</w:t>
            </w:r>
            <w:r>
              <w:rPr>
                <w:rFonts w:hint="eastAsia" w:ascii="宋体" w:hAnsi="宋体" w:cs="宋体"/>
                <w:bCs/>
                <w:sz w:val="24"/>
                <w:szCs w:val="24"/>
                <w:lang w:val="zh-CN"/>
              </w:rPr>
              <w:t>克拉玛依市金科工程监理有限责任公司（克拉玛依市石化工业园团结路1</w:t>
            </w:r>
            <w:r>
              <w:rPr>
                <w:rFonts w:hint="eastAsia" w:ascii="宋体" w:hAnsi="宋体" w:cs="宋体"/>
                <w:bCs/>
                <w:sz w:val="24"/>
                <w:szCs w:val="24"/>
              </w:rPr>
              <w:t>2</w:t>
            </w:r>
            <w:r>
              <w:rPr>
                <w:rFonts w:hint="eastAsia" w:ascii="宋体" w:hAnsi="宋体" w:cs="宋体"/>
                <w:bCs/>
                <w:sz w:val="24"/>
                <w:szCs w:val="24"/>
                <w:lang w:val="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7" w:type="dxa"/>
            <w:vAlign w:val="center"/>
          </w:tcPr>
          <w:p>
            <w:pPr>
              <w:pStyle w:val="11"/>
              <w:spacing w:line="400" w:lineRule="exact"/>
              <w:jc w:val="center"/>
              <w:rPr>
                <w:rFonts w:hAnsi="宋体" w:cs="宋体"/>
                <w:sz w:val="24"/>
                <w:szCs w:val="24"/>
              </w:rPr>
            </w:pPr>
            <w:r>
              <w:rPr>
                <w:rFonts w:hint="eastAsia" w:hAnsi="宋体" w:cs="宋体"/>
                <w:sz w:val="24"/>
                <w:szCs w:val="24"/>
              </w:rPr>
              <w:t>9</w:t>
            </w:r>
          </w:p>
        </w:tc>
        <w:tc>
          <w:tcPr>
            <w:tcW w:w="9513" w:type="dxa"/>
            <w:vAlign w:val="center"/>
          </w:tcPr>
          <w:p>
            <w:pPr>
              <w:pStyle w:val="8"/>
              <w:spacing w:line="400" w:lineRule="exact"/>
              <w:ind w:firstLine="0"/>
              <w:jc w:val="both"/>
              <w:rPr>
                <w:rFonts w:ascii="宋体" w:hAnsi="宋体" w:cs="宋体"/>
                <w:bCs/>
                <w:sz w:val="24"/>
                <w:szCs w:val="24"/>
              </w:rPr>
            </w:pPr>
            <w:r>
              <w:rPr>
                <w:rFonts w:hint="eastAsia" w:ascii="宋体" w:hAnsi="宋体" w:cs="宋体"/>
                <w:b/>
                <w:sz w:val="24"/>
                <w:lang w:eastAsia="zh-CN"/>
              </w:rPr>
              <w:t>报价方式为</w:t>
            </w:r>
            <w:r>
              <w:rPr>
                <w:rFonts w:hint="eastAsia" w:ascii="宋体" w:hAnsi="宋体" w:cs="宋体"/>
                <w:b/>
                <w:sz w:val="24"/>
              </w:rPr>
              <w:t>承诺经审定的竣工结算价下浮率（%）。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27" w:type="dxa"/>
            <w:vAlign w:val="center"/>
          </w:tcPr>
          <w:p>
            <w:pPr>
              <w:pStyle w:val="11"/>
              <w:spacing w:line="400" w:lineRule="exact"/>
              <w:jc w:val="center"/>
              <w:rPr>
                <w:rFonts w:hint="default" w:hAnsi="宋体" w:eastAsia="宋体" w:cs="宋体"/>
                <w:sz w:val="24"/>
                <w:szCs w:val="24"/>
                <w:lang w:val="en-US" w:eastAsia="zh-CN"/>
              </w:rPr>
            </w:pPr>
            <w:bookmarkStart w:id="37" w:name="_Toc14014_WPSOffice_Level1"/>
            <w:r>
              <w:rPr>
                <w:rFonts w:hint="eastAsia" w:hAnsi="宋体" w:cs="宋体"/>
                <w:sz w:val="24"/>
                <w:szCs w:val="24"/>
                <w:lang w:val="en-US" w:eastAsia="zh-CN"/>
              </w:rPr>
              <w:t>10</w:t>
            </w:r>
          </w:p>
        </w:tc>
        <w:tc>
          <w:tcPr>
            <w:tcW w:w="9513" w:type="dxa"/>
            <w:vAlign w:val="center"/>
          </w:tcPr>
          <w:p>
            <w:pPr>
              <w:pStyle w:val="8"/>
              <w:spacing w:line="400" w:lineRule="exact"/>
              <w:ind w:firstLine="0"/>
              <w:jc w:val="both"/>
              <w:rPr>
                <w:rFonts w:hint="eastAsia" w:ascii="宋体" w:hAnsi="宋体" w:cs="宋体"/>
                <w:b/>
                <w:sz w:val="24"/>
                <w:lang w:eastAsia="zh-CN"/>
              </w:rPr>
            </w:pPr>
            <w:r>
              <w:rPr>
                <w:rFonts w:ascii="宋体" w:hAnsi="宋体" w:eastAsia="宋体" w:cs="宋体"/>
                <w:sz w:val="24"/>
                <w:szCs w:val="24"/>
              </w:rPr>
              <w:t>预算金额50万元为暂定金额： 因无法预估本项目全年的抢维修预算资金，本项目采取招下浮率的方式进行采购，按照政采云平台上关联采购计划的相关规定，将预算金额暂定为50万元，本项目最终以本项目合同期限内实际发生工作量为准，以市财政最终出具的《工程造价核定意见书》确定项目结算金额。</w:t>
            </w:r>
          </w:p>
        </w:tc>
      </w:tr>
    </w:tbl>
    <w:p>
      <w:pPr>
        <w:spacing w:line="440" w:lineRule="exact"/>
        <w:jc w:val="center"/>
        <w:rPr>
          <w:rFonts w:asciiTheme="minorEastAsia" w:hAnsiTheme="minorEastAsia" w:eastAsiaTheme="minorEastAsia" w:cstheme="minorEastAsia"/>
          <w:sz w:val="28"/>
          <w:szCs w:val="28"/>
        </w:rPr>
      </w:pPr>
    </w:p>
    <w:p>
      <w:pPr>
        <w:spacing w:line="440" w:lineRule="exact"/>
        <w:jc w:val="both"/>
        <w:rPr>
          <w:rFonts w:hint="eastAsia"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A</w:t>
      </w:r>
      <w:bookmarkStart w:id="38" w:name="_Toc154996576"/>
      <w:r>
        <w:rPr>
          <w:rFonts w:hint="eastAsia" w:asciiTheme="minorEastAsia" w:hAnsiTheme="minorEastAsia" w:eastAsiaTheme="minorEastAsia" w:cstheme="minorEastAsia"/>
          <w:b/>
          <w:sz w:val="28"/>
          <w:szCs w:val="28"/>
        </w:rPr>
        <w:t>说明</w:t>
      </w:r>
    </w:p>
    <w:p>
      <w:pPr>
        <w:pStyle w:val="11"/>
        <w:spacing w:line="440" w:lineRule="exact"/>
        <w:ind w:firstLine="480" w:firstLineChars="200"/>
        <w:outlineLvl w:val="1"/>
        <w:rPr>
          <w:rFonts w:asciiTheme="minorEastAsia" w:hAnsiTheme="minorEastAsia" w:eastAsiaTheme="minorEastAsia" w:cstheme="minorEastAsia"/>
          <w:sz w:val="24"/>
        </w:rPr>
      </w:pPr>
      <w:bookmarkStart w:id="39" w:name="_Toc243907571"/>
      <w:bookmarkStart w:id="40" w:name="_Toc243906311"/>
      <w:bookmarkStart w:id="41" w:name="_Toc233274811"/>
      <w:bookmarkStart w:id="42" w:name="_Toc246216180"/>
      <w:r>
        <w:rPr>
          <w:rFonts w:hint="eastAsia" w:asciiTheme="minorEastAsia" w:hAnsiTheme="minorEastAsia" w:eastAsiaTheme="minorEastAsia" w:cstheme="minorEastAsia"/>
          <w:sz w:val="24"/>
        </w:rPr>
        <w:t>1、适用范围</w:t>
      </w:r>
      <w:bookmarkEnd w:id="39"/>
      <w:bookmarkEnd w:id="40"/>
      <w:bookmarkEnd w:id="41"/>
      <w:bookmarkEnd w:id="42"/>
      <w:r>
        <w:rPr>
          <w:rFonts w:hint="eastAsia" w:asciiTheme="minorEastAsia" w:hAnsiTheme="minorEastAsia" w:eastAsiaTheme="minorEastAsia" w:cstheme="minorEastAsia"/>
          <w:sz w:val="24"/>
        </w:rPr>
        <w:t>及招标依据</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适用范围</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本招标文件仅适用克拉玛依市排水管理处污水处理设施维修修缮及应急抢修队伍入围项目。</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1.2招标依据</w:t>
      </w:r>
    </w:p>
    <w:p>
      <w:pPr>
        <w:widowControl/>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根据《中华人民共和国政府采购法》、《中华人民共和国政府采购实施条例》、及有关法律、法规。</w:t>
      </w:r>
    </w:p>
    <w:p>
      <w:pPr>
        <w:pStyle w:val="11"/>
        <w:spacing w:line="440" w:lineRule="exact"/>
        <w:ind w:firstLine="480" w:firstLineChars="200"/>
        <w:outlineLvl w:val="1"/>
        <w:rPr>
          <w:rFonts w:asciiTheme="minorEastAsia" w:hAnsiTheme="minorEastAsia" w:eastAsiaTheme="minorEastAsia" w:cstheme="minorEastAsia"/>
          <w:sz w:val="24"/>
        </w:rPr>
      </w:pPr>
      <w:bookmarkStart w:id="43" w:name="_Toc246216181"/>
      <w:bookmarkStart w:id="44" w:name="_Toc243907572"/>
      <w:bookmarkStart w:id="45" w:name="_Toc243906312"/>
      <w:bookmarkStart w:id="46" w:name="_Toc233274812"/>
      <w:r>
        <w:rPr>
          <w:rFonts w:hint="eastAsia" w:asciiTheme="minorEastAsia" w:hAnsiTheme="minorEastAsia" w:eastAsiaTheme="minorEastAsia" w:cstheme="minorEastAsia"/>
          <w:sz w:val="24"/>
        </w:rPr>
        <w:t>2、定义</w:t>
      </w:r>
      <w:bookmarkEnd w:id="43"/>
      <w:bookmarkEnd w:id="44"/>
      <w:bookmarkEnd w:id="45"/>
      <w:bookmarkEnd w:id="46"/>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“招标人”系指克拉玛依市排水处管理处，在签订和执行合同阶段称“买方”。</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2.2 </w:t>
      </w:r>
      <w:r>
        <w:rPr>
          <w:rFonts w:hint="eastAsia" w:asciiTheme="minorEastAsia" w:hAnsiTheme="minorEastAsia" w:eastAsiaTheme="minorEastAsia" w:cstheme="minorEastAsia"/>
          <w:sz w:val="24"/>
          <w:szCs w:val="24"/>
        </w:rPr>
        <w:t>“招标代理机构”</w:t>
      </w:r>
      <w:r>
        <w:rPr>
          <w:rFonts w:hint="eastAsia" w:asciiTheme="minorEastAsia" w:hAnsiTheme="minorEastAsia" w:eastAsiaTheme="minorEastAsia" w:cstheme="minorEastAsia"/>
          <w:sz w:val="24"/>
        </w:rPr>
        <w:t>系指克拉玛依市金科工程监理有限责任公司。</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“投标人”系指具备资格并投标招标文件要求提交投标文件的法人，投标人若成交入围，在签订和执行合同阶段称“甲方”。</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“招标文件”系指由招标人向投标人发出的本招标项目的全部文件（包括修改文件、补充文件、答疑纪要、各种通知和附件等）。</w:t>
      </w:r>
    </w:p>
    <w:p>
      <w:pPr>
        <w:pStyle w:val="11"/>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“投标文件”系指投标人根据招标文件提交的所有文件。</w:t>
      </w:r>
    </w:p>
    <w:p>
      <w:pPr>
        <w:pStyle w:val="11"/>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2.6 “合同服务”系指按合同条款、技术规范及标准、项目招标需求、本招标文件规定，中标入围投标人须向招标人提供克拉玛依市排水管理处污水处理设施维修修缮及应急抢修队伍入围项目工作方案。</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 “服务”</w:t>
      </w:r>
      <w:r>
        <w:rPr>
          <w:spacing w:val="-9"/>
          <w:sz w:val="24"/>
        </w:rPr>
        <w:t>系指合同条款、技术规范及标准、项目</w:t>
      </w:r>
      <w:r>
        <w:rPr>
          <w:rFonts w:hint="eastAsia"/>
          <w:spacing w:val="-9"/>
          <w:sz w:val="24"/>
        </w:rPr>
        <w:t>招标</w:t>
      </w:r>
      <w:r>
        <w:rPr>
          <w:spacing w:val="-9"/>
          <w:sz w:val="24"/>
        </w:rPr>
        <w:t>需求、本</w:t>
      </w:r>
      <w:r>
        <w:rPr>
          <w:rFonts w:hint="eastAsia"/>
          <w:spacing w:val="-9"/>
          <w:sz w:val="24"/>
        </w:rPr>
        <w:t>招标文件</w:t>
      </w:r>
      <w:r>
        <w:rPr>
          <w:spacing w:val="-9"/>
          <w:sz w:val="24"/>
        </w:rPr>
        <w:t>规定，</w:t>
      </w:r>
      <w:r>
        <w:rPr>
          <w:rFonts w:hint="eastAsia"/>
          <w:spacing w:val="-9"/>
          <w:sz w:val="24"/>
        </w:rPr>
        <w:t>中标</w:t>
      </w:r>
      <w:r>
        <w:rPr>
          <w:rFonts w:hint="eastAsia"/>
          <w:spacing w:val="-12"/>
          <w:sz w:val="24"/>
        </w:rPr>
        <w:t>入围投标人</w:t>
      </w:r>
      <w:r>
        <w:rPr>
          <w:spacing w:val="-12"/>
          <w:sz w:val="24"/>
        </w:rPr>
        <w:t>为保证完成</w:t>
      </w:r>
      <w:r>
        <w:rPr>
          <w:rFonts w:hint="eastAsia" w:asciiTheme="minorEastAsia" w:hAnsiTheme="minorEastAsia" w:eastAsiaTheme="minorEastAsia" w:cstheme="minorEastAsia"/>
          <w:sz w:val="24"/>
        </w:rPr>
        <w:t>克拉玛依市排水管理处污水处理设施维修修缮及应急抢修队伍入围项目</w:t>
      </w:r>
      <w:r>
        <w:rPr>
          <w:sz w:val="24"/>
        </w:rPr>
        <w:t>（包括拆除、恢复及改造）全部工作内容及产生的垃圾清运（清运至</w:t>
      </w:r>
      <w:r>
        <w:rPr>
          <w:rFonts w:hint="eastAsia"/>
          <w:sz w:val="24"/>
        </w:rPr>
        <w:t>招标人</w:t>
      </w:r>
      <w:r>
        <w:rPr>
          <w:sz w:val="24"/>
        </w:rPr>
        <w:t>及环保部门指定地点）</w:t>
      </w:r>
      <w:r>
        <w:rPr>
          <w:spacing w:val="-17"/>
          <w:sz w:val="24"/>
        </w:rPr>
        <w:t>、</w:t>
      </w:r>
      <w:r>
        <w:rPr>
          <w:spacing w:val="-6"/>
          <w:sz w:val="24"/>
        </w:rPr>
        <w:t>设备及材料的供应、保险、仓储、运输</w:t>
      </w:r>
      <w:r>
        <w:rPr>
          <w:sz w:val="24"/>
        </w:rPr>
        <w:t>（</w:t>
      </w:r>
      <w:r>
        <w:rPr>
          <w:spacing w:val="-2"/>
          <w:sz w:val="24"/>
        </w:rPr>
        <w:t>含现场水平、垂直运输等</w:t>
      </w:r>
      <w:r>
        <w:rPr>
          <w:spacing w:val="-12"/>
          <w:sz w:val="24"/>
        </w:rPr>
        <w:t>）</w:t>
      </w:r>
      <w:r>
        <w:rPr>
          <w:spacing w:val="-6"/>
          <w:sz w:val="24"/>
        </w:rPr>
        <w:t>、现场装卸及保管、现场搬</w:t>
      </w:r>
      <w:r>
        <w:rPr>
          <w:spacing w:val="-22"/>
          <w:sz w:val="24"/>
        </w:rPr>
        <w:t>运</w:t>
      </w:r>
      <w:r>
        <w:rPr>
          <w:sz w:val="24"/>
        </w:rPr>
        <w:t>（含二次搬运</w:t>
      </w:r>
      <w:r>
        <w:rPr>
          <w:spacing w:val="-20"/>
          <w:sz w:val="24"/>
        </w:rPr>
        <w:t>）</w:t>
      </w:r>
      <w:r>
        <w:rPr>
          <w:spacing w:val="-5"/>
          <w:sz w:val="24"/>
        </w:rPr>
        <w:t>及安全文明施工，实施过程中采取的各项安全措施、技术措施、保护措施以及</w:t>
      </w:r>
      <w:r>
        <w:rPr>
          <w:spacing w:val="-12"/>
          <w:sz w:val="24"/>
        </w:rPr>
        <w:t>所必须彩钢板围护、脚手架等、检验、验收及移交等工作，向</w:t>
      </w:r>
      <w:r>
        <w:rPr>
          <w:rFonts w:hint="eastAsia"/>
          <w:spacing w:val="-12"/>
          <w:sz w:val="24"/>
        </w:rPr>
        <w:t>招标人</w:t>
      </w:r>
      <w:r>
        <w:rPr>
          <w:spacing w:val="-12"/>
          <w:sz w:val="24"/>
        </w:rPr>
        <w:t>提交缺陷修补、质量保修期</w:t>
      </w:r>
      <w:r>
        <w:rPr>
          <w:spacing w:val="-13"/>
          <w:sz w:val="24"/>
        </w:rPr>
        <w:t>内的维保、售后服务等保证</w:t>
      </w:r>
      <w:r>
        <w:rPr>
          <w:rFonts w:hint="eastAsia" w:asciiTheme="minorEastAsia" w:hAnsiTheme="minorEastAsia" w:eastAsiaTheme="minorEastAsia" w:cstheme="minorEastAsia"/>
          <w:sz w:val="24"/>
        </w:rPr>
        <w:t>克拉玛依市排水管理处污水处理设施维修修缮及应急抢修队伍入围项目</w:t>
      </w:r>
      <w:r>
        <w:rPr>
          <w:spacing w:val="-13"/>
          <w:sz w:val="24"/>
        </w:rPr>
        <w:t>竣</w:t>
      </w:r>
      <w:r>
        <w:rPr>
          <w:spacing w:val="-16"/>
          <w:sz w:val="24"/>
        </w:rPr>
        <w:t>工验收合格等合同条款、技术规范及标准、项目</w:t>
      </w:r>
      <w:r>
        <w:rPr>
          <w:rFonts w:hint="eastAsia"/>
          <w:spacing w:val="-16"/>
          <w:sz w:val="24"/>
        </w:rPr>
        <w:t>招标</w:t>
      </w:r>
      <w:r>
        <w:rPr>
          <w:spacing w:val="-16"/>
          <w:sz w:val="24"/>
        </w:rPr>
        <w:t>需求、本</w:t>
      </w:r>
      <w:r>
        <w:rPr>
          <w:rFonts w:hint="eastAsia"/>
          <w:spacing w:val="-16"/>
          <w:sz w:val="24"/>
        </w:rPr>
        <w:t>招标</w:t>
      </w:r>
      <w:r>
        <w:rPr>
          <w:spacing w:val="-16"/>
          <w:sz w:val="24"/>
        </w:rPr>
        <w:t>文件约定的全部内容及责任和义务。</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2.8凡提及的“天、日期、星期、月份和年份”系指公历日历的日历天、日期、星期、月份和年份。 </w:t>
      </w:r>
    </w:p>
    <w:p>
      <w:pPr>
        <w:pStyle w:val="11"/>
        <w:spacing w:line="440" w:lineRule="exact"/>
        <w:ind w:firstLine="480" w:firstLineChars="200"/>
        <w:outlineLvl w:val="1"/>
        <w:rPr>
          <w:rFonts w:asciiTheme="minorEastAsia" w:hAnsiTheme="minorEastAsia" w:eastAsiaTheme="minorEastAsia" w:cstheme="minorEastAsia"/>
          <w:bCs/>
          <w:sz w:val="24"/>
        </w:rPr>
      </w:pPr>
      <w:bookmarkStart w:id="47" w:name="_Toc233274813"/>
      <w:bookmarkStart w:id="48" w:name="_Toc243906313"/>
      <w:bookmarkStart w:id="49" w:name="_Toc243907573"/>
      <w:bookmarkStart w:id="50" w:name="_Toc246216182"/>
      <w:r>
        <w:rPr>
          <w:rFonts w:hint="eastAsia" w:asciiTheme="minorEastAsia" w:hAnsiTheme="minorEastAsia" w:eastAsiaTheme="minorEastAsia" w:cstheme="minorEastAsia"/>
          <w:bCs/>
          <w:sz w:val="24"/>
        </w:rPr>
        <w:t>3、招标范围</w:t>
      </w:r>
      <w:bookmarkEnd w:id="47"/>
      <w:bookmarkEnd w:id="48"/>
      <w:bookmarkEnd w:id="49"/>
      <w:bookmarkEnd w:id="50"/>
      <w:r>
        <w:rPr>
          <w:rFonts w:hint="eastAsia" w:asciiTheme="minorEastAsia" w:hAnsiTheme="minorEastAsia" w:eastAsiaTheme="minorEastAsia" w:cstheme="minorEastAsia"/>
          <w:bCs/>
          <w:sz w:val="24"/>
        </w:rPr>
        <w:t>内容及相关说明</w:t>
      </w:r>
    </w:p>
    <w:p>
      <w:pPr>
        <w:spacing w:line="440" w:lineRule="exact"/>
        <w:ind w:firstLine="480" w:firstLineChars="200"/>
        <w:rPr>
          <w:rFonts w:ascii="宋体" w:hAnsi="宋体" w:cs="宋体"/>
          <w:bCs/>
          <w:sz w:val="24"/>
        </w:rPr>
      </w:pPr>
      <w:r>
        <w:rPr>
          <w:rFonts w:hint="eastAsia" w:ascii="宋体" w:hAnsi="宋体" w:cs="宋体"/>
          <w:bCs/>
          <w:sz w:val="24"/>
        </w:rPr>
        <w:t>3.1招标范围：</w:t>
      </w:r>
    </w:p>
    <w:p>
      <w:pPr>
        <w:spacing w:line="440" w:lineRule="exact"/>
        <w:ind w:firstLine="480" w:firstLineChars="200"/>
        <w:rPr>
          <w:rFonts w:ascii="宋体" w:hAnsi="宋体" w:cs="宋体"/>
          <w:bCs/>
          <w:sz w:val="24"/>
        </w:rPr>
      </w:pPr>
      <w:r>
        <w:rPr>
          <w:rFonts w:hint="eastAsia" w:ascii="宋体" w:hAnsi="宋体" w:cs="宋体"/>
          <w:bCs/>
          <w:sz w:val="24"/>
        </w:rPr>
        <w:t>3.1.1市排水管理处所辖南郊污水处理厂及外围泵站构筑物零星维护修缮。</w:t>
      </w:r>
    </w:p>
    <w:p>
      <w:pPr>
        <w:spacing w:line="440" w:lineRule="exact"/>
        <w:ind w:firstLine="480" w:firstLineChars="200"/>
        <w:rPr>
          <w:rFonts w:ascii="宋体" w:hAnsi="宋体" w:cs="宋体"/>
          <w:color w:val="424AFF"/>
          <w:sz w:val="24"/>
        </w:rPr>
      </w:pPr>
      <w:r>
        <w:rPr>
          <w:rFonts w:hint="eastAsia" w:ascii="宋体" w:hAnsi="宋体" w:cs="宋体"/>
          <w:bCs/>
          <w:sz w:val="24"/>
        </w:rPr>
        <w:t>3.1.2污水收集和排放管道设施修缮（城市排水管道检查井维修）、排水管网设施塌陷堵塞或重大污水管网破损事故时的应急抢修处置以及厂区内外各类突发性应急抢修。</w:t>
      </w:r>
    </w:p>
    <w:p>
      <w:pPr>
        <w:spacing w:line="440" w:lineRule="exact"/>
        <w:ind w:firstLine="480" w:firstLineChars="200"/>
        <w:rPr>
          <w:rFonts w:ascii="宋体" w:hAnsi="宋体" w:cs="宋体"/>
          <w:sz w:val="24"/>
        </w:rPr>
      </w:pPr>
      <w:r>
        <w:rPr>
          <w:rFonts w:hint="eastAsia" w:ascii="宋体" w:hAnsi="宋体" w:cs="宋体"/>
          <w:sz w:val="24"/>
        </w:rPr>
        <w:t>3.2承包方式：包工包料、包质量、包工期、包安全施工。</w:t>
      </w:r>
    </w:p>
    <w:p>
      <w:pPr>
        <w:pStyle w:val="2"/>
        <w:spacing w:line="440" w:lineRule="exact"/>
      </w:pPr>
      <w:r>
        <w:rPr>
          <w:rFonts w:hint="eastAsia" w:ascii="宋体" w:hAnsi="宋体" w:cs="宋体"/>
          <w:sz w:val="24"/>
        </w:rPr>
        <w:t xml:space="preserve">    3.3服务期限：自</w:t>
      </w:r>
      <w:r>
        <w:rPr>
          <w:rFonts w:hint="eastAsia" w:ascii="宋体" w:hAnsi="宋体" w:cs="宋体"/>
          <w:sz w:val="24"/>
          <w:lang w:eastAsia="zh-CN"/>
        </w:rPr>
        <w:t>成交</w:t>
      </w:r>
      <w:r>
        <w:rPr>
          <w:rFonts w:hint="eastAsia" w:ascii="宋体" w:hAnsi="宋体" w:cs="宋体"/>
          <w:sz w:val="24"/>
        </w:rPr>
        <w:t>之日起至2022年12月31日止。</w:t>
      </w:r>
    </w:p>
    <w:p>
      <w:pPr>
        <w:pStyle w:val="11"/>
        <w:spacing w:line="44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4、合格投标人资格要求</w:t>
      </w:r>
    </w:p>
    <w:p>
      <w:pPr>
        <w:pStyle w:val="11"/>
        <w:spacing w:line="44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4.1详见第一章“招标公告”中的投标人资格要求。</w:t>
      </w:r>
    </w:p>
    <w:p>
      <w:pPr>
        <w:pStyle w:val="11"/>
        <w:spacing w:line="44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5、单位负责人为同一人或者存在直接控股、管理关系的不同投标人，不得参加同一合同项下的政府招标活动。</w:t>
      </w:r>
    </w:p>
    <w:p>
      <w:pPr>
        <w:pStyle w:val="11"/>
        <w:spacing w:line="44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6、为招标项目提供整体设计、规范编制或者项目管理、监理、检测等服务的投标人，不得再参加该招标项目的其他招标活动。</w:t>
      </w:r>
    </w:p>
    <w:p>
      <w:pPr>
        <w:pStyle w:val="11"/>
        <w:spacing w:line="44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7、服务标准</w:t>
      </w:r>
    </w:p>
    <w:p>
      <w:pPr>
        <w:pStyle w:val="11"/>
        <w:spacing w:line="440" w:lineRule="exact"/>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本项目需执行的国家相关标准、行业标准、地方标准或者其他标准、规范。</w:t>
      </w:r>
    </w:p>
    <w:p>
      <w:pPr>
        <w:pStyle w:val="32"/>
        <w:spacing w:line="440" w:lineRule="exact"/>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bCs/>
          <w:sz w:val="24"/>
        </w:rPr>
        <w:t>8、</w:t>
      </w:r>
      <w:r>
        <w:rPr>
          <w:rFonts w:hint="eastAsia" w:asciiTheme="minorEastAsia" w:hAnsiTheme="minorEastAsia" w:eastAsiaTheme="minorEastAsia" w:cstheme="minorEastAsia"/>
          <w:kern w:val="2"/>
          <w:sz w:val="24"/>
          <w:szCs w:val="24"/>
        </w:rPr>
        <w:t>回避。政府招标活动中，招标人员及相关人员与投标人有下列利害关系之一的，应当回避：</w:t>
      </w:r>
    </w:p>
    <w:p>
      <w:pPr>
        <w:pStyle w:val="32"/>
        <w:spacing w:line="440" w:lineRule="exact"/>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8.1参加招标活动前3年内与投标人存在劳动关系；</w:t>
      </w:r>
    </w:p>
    <w:p>
      <w:pPr>
        <w:pStyle w:val="32"/>
        <w:spacing w:line="440" w:lineRule="exact"/>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8.2参加招标活动前3年内担任投标人的董事、监事；</w:t>
      </w:r>
    </w:p>
    <w:p>
      <w:pPr>
        <w:pStyle w:val="32"/>
        <w:spacing w:line="440" w:lineRule="exact"/>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8.3参加招标活动前3年内是投标人的控股股东或者实际控制人；</w:t>
      </w:r>
    </w:p>
    <w:p>
      <w:pPr>
        <w:pStyle w:val="32"/>
        <w:spacing w:line="440" w:lineRule="exact"/>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8.4与投标人的法定代表人或者负责人有夫妻、直系血亲、三代以内旁系血亲或者近姻亲关系；</w:t>
      </w:r>
    </w:p>
    <w:p>
      <w:pPr>
        <w:pStyle w:val="32"/>
        <w:spacing w:line="440" w:lineRule="exact"/>
        <w:ind w:left="1"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kern w:val="2"/>
          <w:sz w:val="24"/>
          <w:szCs w:val="24"/>
        </w:rPr>
        <w:t>投标人认为招标人员及相关人员与其他投标人有利害关系的，可以向招标代理机构书面提出回避申请，并说明理由。招标代理机构将及时询问被申请回避人员，有利害关系的被申请回避人员应当回避。</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9、参与投标费用</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9.1投标人应承担所有与投标准备和投标有关的全部费用，不论投标结果如何，招标人和招标代理机构无义务和责任承担投标人所发生的一切费用。</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9.2投标人在投标准备、实地考察和投标的全过程中，如果发生人身伤亡、财物或其它任何损失，不论何种原因所造成，均由投标人自行承担全部责任和损失。</w:t>
      </w:r>
    </w:p>
    <w:p>
      <w:pPr>
        <w:pStyle w:val="11"/>
        <w:spacing w:line="440" w:lineRule="exact"/>
        <w:ind w:firstLine="480" w:firstLineChars="200"/>
        <w:outlineLvl w:val="1"/>
        <w:rPr>
          <w:rFonts w:asciiTheme="minorEastAsia" w:hAnsiTheme="minorEastAsia" w:eastAsiaTheme="minorEastAsia" w:cstheme="minorEastAsia"/>
          <w:sz w:val="24"/>
        </w:rPr>
      </w:pPr>
      <w:bookmarkStart w:id="51" w:name="_Toc243906316"/>
      <w:bookmarkStart w:id="52" w:name="_Toc233274816"/>
      <w:bookmarkStart w:id="53" w:name="_Toc245897276"/>
      <w:bookmarkStart w:id="54" w:name="_Toc243907576"/>
      <w:r>
        <w:rPr>
          <w:rFonts w:hint="eastAsia" w:asciiTheme="minorEastAsia" w:hAnsiTheme="minorEastAsia" w:eastAsiaTheme="minorEastAsia" w:cstheme="minorEastAsia"/>
          <w:sz w:val="24"/>
        </w:rPr>
        <w:t>10、法律适用</w:t>
      </w:r>
      <w:bookmarkEnd w:id="51"/>
      <w:bookmarkEnd w:id="52"/>
      <w:bookmarkEnd w:id="53"/>
      <w:bookmarkEnd w:id="54"/>
      <w:r>
        <w:rPr>
          <w:rFonts w:hint="eastAsia" w:asciiTheme="minorEastAsia" w:hAnsiTheme="minorEastAsia" w:eastAsiaTheme="minorEastAsia" w:cstheme="minorEastAsia"/>
          <w:sz w:val="24"/>
        </w:rPr>
        <w:t>与招标文件的约束力</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10.1本次招标活动及由本次招标产生的合同受中国法律制约和保护。</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10.2投标人若成交入围，即被认为接受了本招标文件中的所有条件和规定。是招标人与成交入围投标人签订合同的依据且是合同的组成部分。</w:t>
      </w:r>
      <w:bookmarkEnd w:id="38"/>
    </w:p>
    <w:p>
      <w:pPr>
        <w:pStyle w:val="11"/>
        <w:spacing w:line="440" w:lineRule="exact"/>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B   招标文件</w:t>
      </w:r>
    </w:p>
    <w:p>
      <w:pPr>
        <w:pStyle w:val="11"/>
        <w:spacing w:line="440" w:lineRule="exact"/>
        <w:ind w:firstLine="480" w:firstLineChars="200"/>
        <w:outlineLvl w:val="1"/>
        <w:rPr>
          <w:rFonts w:asciiTheme="minorEastAsia" w:hAnsiTheme="minorEastAsia" w:eastAsiaTheme="minorEastAsia" w:cstheme="minorEastAsia"/>
          <w:sz w:val="24"/>
        </w:rPr>
      </w:pPr>
      <w:bookmarkStart w:id="55" w:name="_Toc246216188"/>
      <w:bookmarkStart w:id="56" w:name="_Toc243907579"/>
      <w:bookmarkStart w:id="57" w:name="_Toc243906319"/>
      <w:bookmarkStart w:id="58" w:name="_Toc233274819"/>
      <w:r>
        <w:rPr>
          <w:rFonts w:hint="eastAsia" w:asciiTheme="minorEastAsia" w:hAnsiTheme="minorEastAsia" w:eastAsiaTheme="minorEastAsia" w:cstheme="minorEastAsia"/>
          <w:sz w:val="24"/>
        </w:rPr>
        <w:t>11、招标文件的组成</w:t>
      </w:r>
      <w:bookmarkEnd w:id="55"/>
      <w:bookmarkEnd w:id="56"/>
      <w:bookmarkEnd w:id="57"/>
      <w:bookmarkEnd w:id="58"/>
    </w:p>
    <w:p>
      <w:pPr>
        <w:spacing w:line="440" w:lineRule="exact"/>
        <w:ind w:firstLine="481"/>
        <w:rPr>
          <w:rFonts w:asciiTheme="minorEastAsia" w:hAnsiTheme="minorEastAsia" w:eastAsiaTheme="minorEastAsia" w:cstheme="minorEastAsia"/>
        </w:rPr>
      </w:pPr>
      <w:r>
        <w:rPr>
          <w:rFonts w:hint="eastAsia" w:asciiTheme="minorEastAsia" w:hAnsiTheme="minorEastAsia" w:eastAsiaTheme="minorEastAsia" w:cstheme="minorEastAsia"/>
          <w:sz w:val="24"/>
        </w:rPr>
        <w:t>11.1 本招标文件是对克拉玛依市排水管理处污水处理设施维修修缮及应急抢修队伍入围项目招标程序、合同条款进行说明。招标文件包括下列内容：</w:t>
      </w:r>
    </w:p>
    <w:p>
      <w:pPr>
        <w:pStyle w:val="11"/>
        <w:spacing w:line="440" w:lineRule="exact"/>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第一章  招标公告</w:t>
      </w:r>
    </w:p>
    <w:p>
      <w:pPr>
        <w:pStyle w:val="11"/>
        <w:spacing w:line="440" w:lineRule="exact"/>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第二章  投标人须知</w:t>
      </w:r>
    </w:p>
    <w:p>
      <w:pPr>
        <w:pStyle w:val="11"/>
        <w:spacing w:line="440" w:lineRule="exact"/>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第三章  项目招标需求</w:t>
      </w:r>
    </w:p>
    <w:p>
      <w:pPr>
        <w:pStyle w:val="11"/>
        <w:spacing w:line="440" w:lineRule="exact"/>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第四章  合同主要条款</w:t>
      </w:r>
    </w:p>
    <w:p>
      <w:pPr>
        <w:pStyle w:val="11"/>
        <w:spacing w:line="440" w:lineRule="exact"/>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第五章  投标文件格式</w:t>
      </w:r>
    </w:p>
    <w:p>
      <w:pPr>
        <w:pStyle w:val="11"/>
        <w:spacing w:line="440" w:lineRule="exact"/>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第六章  评审标准（综合评分法）</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招标文件以中文编印，以中文文本为准。</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除非有特殊要求，招标文件不单独提供招标项目使用地的自然环境、气候条件、劳动力及公用设施等情况，投标人被视为熟悉上述条件或若成交履行合同有关的一切情况。</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11.4招标人向投标人提供的有关数据和资料，是招标人现有的能被投标人利用的资料，投标人对此做出的推论、理解和结论自行负责。</w:t>
      </w:r>
    </w:p>
    <w:p>
      <w:pPr>
        <w:pStyle w:val="11"/>
        <w:spacing w:line="440" w:lineRule="exact"/>
        <w:ind w:firstLine="480" w:firstLineChars="200"/>
        <w:outlineLvl w:val="1"/>
        <w:rPr>
          <w:rFonts w:asciiTheme="minorEastAsia" w:hAnsiTheme="minorEastAsia" w:eastAsiaTheme="minorEastAsia" w:cstheme="minorEastAsia"/>
          <w:sz w:val="24"/>
        </w:rPr>
      </w:pPr>
      <w:bookmarkStart w:id="59" w:name="_Toc243907580"/>
      <w:bookmarkStart w:id="60" w:name="_Toc233274820"/>
      <w:bookmarkStart w:id="61" w:name="_Toc245897280"/>
      <w:bookmarkStart w:id="62" w:name="_Toc243906320"/>
      <w:r>
        <w:rPr>
          <w:rFonts w:hint="eastAsia" w:asciiTheme="minorEastAsia" w:hAnsiTheme="minorEastAsia" w:eastAsiaTheme="minorEastAsia" w:cstheme="minorEastAsia"/>
          <w:sz w:val="24"/>
        </w:rPr>
        <w:t>12、</w:t>
      </w:r>
      <w:bookmarkEnd w:id="59"/>
      <w:bookmarkEnd w:id="60"/>
      <w:bookmarkEnd w:id="61"/>
      <w:bookmarkEnd w:id="62"/>
      <w:r>
        <w:rPr>
          <w:rFonts w:hint="eastAsia" w:asciiTheme="minorEastAsia" w:hAnsiTheme="minorEastAsia" w:eastAsiaTheme="minorEastAsia" w:cstheme="minorEastAsia"/>
          <w:sz w:val="24"/>
        </w:rPr>
        <w:t>招标文件的修改、补充和招标文件的澄清</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 投标人对招标文件如有疑问，可要求澄清，应按招标文件“投标人须知前附表第6条”以书面形式（必须加盖投标人公章）送达至招标代理机构（</w:t>
      </w:r>
      <w:r>
        <w:rPr>
          <w:rFonts w:hint="eastAsia" w:asciiTheme="minorEastAsia" w:hAnsiTheme="minorEastAsia" w:eastAsiaTheme="minorEastAsia" w:cstheme="minorEastAsia"/>
          <w:bCs/>
          <w:sz w:val="24"/>
        </w:rPr>
        <w:t>同时将疑问电子版发至450950343@qq.com）</w:t>
      </w:r>
      <w:r>
        <w:rPr>
          <w:rFonts w:hint="eastAsia" w:asciiTheme="minorEastAsia" w:hAnsiTheme="minorEastAsia" w:eastAsiaTheme="minorEastAsia" w:cstheme="minorEastAsia"/>
          <w:sz w:val="24"/>
        </w:rPr>
        <w:t>。招标人和招标代理机构将视情况以书面形式予以答复，并发至领取招标文件的每位投标人。答复中包括所提问题，但不包括问题的来源。</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 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在递交投标文件截止日期5个工作日前的任何时候，招标人可主动地或依据投标人要求澄清的疑问而修改、补充招标文件，招标代理机构将对修改和补充的内容以书面形式发至所有获取招标文件的每位投标人，修改和补充文件将作为招标文件的组成部分，对所有投标人具有约束力。</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12.4为使投标人在准备投标文件时有合理的时间考虑招标文件的修改和/或补充，招标代理机构可延长递交投标文件截止时间和开启时间，但至少应当在规定的递交投标文件的截止时间</w:t>
      </w:r>
      <w:r>
        <w:rPr>
          <w:rFonts w:hint="eastAsia" w:asciiTheme="minorEastAsia" w:hAnsiTheme="minorEastAsia" w:eastAsiaTheme="minorEastAsia" w:cstheme="minorEastAsia"/>
          <w:sz w:val="24"/>
          <w:u w:val="single"/>
        </w:rPr>
        <w:t>5</w:t>
      </w:r>
      <w:r>
        <w:rPr>
          <w:rFonts w:hint="eastAsia" w:asciiTheme="minorEastAsia" w:hAnsiTheme="minorEastAsia" w:eastAsiaTheme="minorEastAsia" w:cstheme="minorEastAsia"/>
          <w:sz w:val="24"/>
        </w:rPr>
        <w:t>个工作日前，以书面形式通知所有领取招标文件的每位投标人，不足3个工作日的，应当顺延提交投标文件截止日期。</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12.5投标人在每次收到招标代理机构发至的书面文件后，应在收到后24小时内以书面形式并加盖投标人公章予以确认。</w:t>
      </w:r>
    </w:p>
    <w:p>
      <w:pPr>
        <w:pStyle w:val="11"/>
        <w:spacing w:line="440" w:lineRule="exact"/>
        <w:jc w:val="center"/>
        <w:outlineLvl w:val="1"/>
        <w:rPr>
          <w:rFonts w:asciiTheme="minorEastAsia" w:hAnsiTheme="minorEastAsia" w:eastAsiaTheme="minorEastAsia" w:cstheme="minorEastAsia"/>
          <w:b/>
          <w:bCs/>
          <w:sz w:val="28"/>
          <w:szCs w:val="28"/>
        </w:rPr>
      </w:pPr>
      <w:bookmarkStart w:id="63" w:name="_Toc233274822"/>
      <w:bookmarkStart w:id="64" w:name="_Toc246216191"/>
      <w:bookmarkStart w:id="65" w:name="_Toc243906322"/>
      <w:bookmarkStart w:id="66" w:name="_Toc243907582"/>
      <w:bookmarkStart w:id="67" w:name="_Toc154996580"/>
      <w:r>
        <w:rPr>
          <w:rFonts w:hint="eastAsia" w:asciiTheme="minorEastAsia" w:hAnsiTheme="minorEastAsia" w:eastAsiaTheme="minorEastAsia" w:cstheme="minorEastAsia"/>
          <w:b/>
          <w:bCs/>
          <w:sz w:val="28"/>
          <w:szCs w:val="28"/>
        </w:rPr>
        <w:t>C   投标文件的编写</w:t>
      </w:r>
      <w:bookmarkEnd w:id="63"/>
      <w:bookmarkEnd w:id="64"/>
      <w:bookmarkEnd w:id="65"/>
      <w:bookmarkEnd w:id="66"/>
    </w:p>
    <w:p>
      <w:pPr>
        <w:pStyle w:val="11"/>
        <w:spacing w:line="440" w:lineRule="exact"/>
        <w:ind w:firstLine="480" w:firstLineChars="200"/>
        <w:outlineLvl w:val="1"/>
        <w:rPr>
          <w:rFonts w:asciiTheme="minorEastAsia" w:hAnsiTheme="minorEastAsia" w:eastAsiaTheme="minorEastAsia" w:cstheme="minorEastAsia"/>
          <w:sz w:val="24"/>
        </w:rPr>
      </w:pPr>
      <w:bookmarkStart w:id="68" w:name="_Toc233274823"/>
      <w:bookmarkStart w:id="69" w:name="_Toc243907583"/>
      <w:bookmarkStart w:id="70" w:name="_Toc245897283"/>
      <w:bookmarkStart w:id="71" w:name="_Toc243906323"/>
      <w:r>
        <w:rPr>
          <w:rFonts w:hint="eastAsia" w:asciiTheme="minorEastAsia" w:hAnsiTheme="minorEastAsia" w:eastAsiaTheme="minorEastAsia" w:cstheme="minorEastAsia"/>
          <w:sz w:val="24"/>
        </w:rPr>
        <w:t>1</w:t>
      </w:r>
      <w:bookmarkEnd w:id="68"/>
      <w:r>
        <w:rPr>
          <w:rFonts w:hint="eastAsia" w:asciiTheme="minorEastAsia" w:hAnsiTheme="minorEastAsia" w:eastAsiaTheme="minorEastAsia" w:cstheme="minorEastAsia"/>
          <w:sz w:val="24"/>
        </w:rPr>
        <w:t>3、投标文件的编写</w:t>
      </w:r>
      <w:bookmarkEnd w:id="69"/>
      <w:bookmarkEnd w:id="70"/>
      <w:bookmarkEnd w:id="71"/>
    </w:p>
    <w:p>
      <w:pPr>
        <w:spacing w:line="440" w:lineRule="exact"/>
        <w:ind w:firstLine="481"/>
        <w:rPr>
          <w:rFonts w:asciiTheme="minorEastAsia" w:hAnsiTheme="minorEastAsia" w:eastAsiaTheme="minorEastAsia" w:cstheme="minorEastAsia"/>
        </w:rPr>
      </w:pPr>
      <w:r>
        <w:rPr>
          <w:rFonts w:hint="eastAsia" w:asciiTheme="minorEastAsia" w:hAnsiTheme="minorEastAsia" w:eastAsiaTheme="minorEastAsia" w:cstheme="minorEastAsia"/>
          <w:sz w:val="24"/>
        </w:rPr>
        <w:t>13.1投标人必须详细阅读招标文件的章、节、条款、格式等所有内容，按招标文件的要求提交投标文件，并保证所提供的全部文件及相关资料的真实性，以使其对招标文件做出实质性投标。投标人应仔细阅读并充分理解招标文件、技术规范及标准、项目招标需求、合同条款后</w:t>
      </w:r>
      <w:r>
        <w:rPr>
          <w:rFonts w:hint="eastAsia" w:asciiTheme="minorEastAsia" w:hAnsiTheme="minorEastAsia" w:eastAsiaTheme="minorEastAsia" w:cstheme="minorEastAsia"/>
          <w:bCs/>
          <w:sz w:val="24"/>
        </w:rPr>
        <w:t>编制投标文件</w:t>
      </w:r>
      <w:r>
        <w:rPr>
          <w:rFonts w:hint="eastAsia" w:asciiTheme="minorEastAsia" w:hAnsiTheme="minorEastAsia" w:eastAsiaTheme="minorEastAsia" w:cstheme="minorEastAsia"/>
          <w:sz w:val="24"/>
        </w:rPr>
        <w:t>。</w:t>
      </w:r>
    </w:p>
    <w:p>
      <w:pPr>
        <w:pStyle w:val="11"/>
        <w:spacing w:line="440" w:lineRule="exact"/>
        <w:ind w:firstLine="480" w:firstLineChars="200"/>
        <w:outlineLvl w:val="1"/>
        <w:rPr>
          <w:rFonts w:asciiTheme="minorEastAsia" w:hAnsiTheme="minorEastAsia" w:eastAsiaTheme="minorEastAsia" w:cstheme="minorEastAsia"/>
          <w:sz w:val="24"/>
        </w:rPr>
      </w:pPr>
      <w:bookmarkStart w:id="72" w:name="_Toc245897284"/>
      <w:bookmarkStart w:id="73" w:name="_Toc243907584"/>
      <w:bookmarkStart w:id="74" w:name="_Toc243906324"/>
      <w:bookmarkStart w:id="75" w:name="_Toc233274824"/>
      <w:r>
        <w:rPr>
          <w:rFonts w:hint="eastAsia" w:asciiTheme="minorEastAsia" w:hAnsiTheme="minorEastAsia" w:eastAsiaTheme="minorEastAsia" w:cstheme="minorEastAsia"/>
          <w:sz w:val="24"/>
        </w:rPr>
        <w:t>14、投标文件的语言及计量单位</w:t>
      </w:r>
      <w:bookmarkEnd w:id="72"/>
      <w:bookmarkEnd w:id="73"/>
      <w:bookmarkEnd w:id="74"/>
      <w:bookmarkEnd w:id="75"/>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 投标文件及投标人和招标人及招标代理机构就有关招标的</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所有文件和来往函件，应以中文书写。投标人可以提交用其他语言（原文）打印的资料，但必须翻译成中文，当原文和译文（中文）之间存有差异和/或矛盾时，以中文为准。</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 除在招标文件的项目招标需求中另有规定外，计量单位应使用中华人民共和国法定计量单位（国际单位制和国家选定的其它计量单位）。如投标人采用其它计量单位，需事先得到招标人的同意。</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15、知识产权</w:t>
      </w:r>
    </w:p>
    <w:p>
      <w:pPr>
        <w:pStyle w:val="11"/>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15.2 招标人享有本项目实施过程中产生的知识成果及知识产权。</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投标人如欲在项目实施过程中采用自有知识成果，需在投标文件中声明，并提供相关知识产权证明文件。使用该知识成果后，投标人需提供开发接口和开发手册等技术文档，并承诺提供无限期技术支持，招标人享有永久使用权。</w:t>
      </w:r>
    </w:p>
    <w:p>
      <w:pPr>
        <w:spacing w:line="440" w:lineRule="exact"/>
        <w:ind w:firstLine="460" w:firstLineChars="19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15.4 投标人如采用其所不拥有的知识产权，则在其商务报价中必须包括合法获取该知识产权的相关费用。 </w:t>
      </w:r>
    </w:p>
    <w:p>
      <w:pPr>
        <w:pStyle w:val="11"/>
        <w:spacing w:line="440" w:lineRule="exact"/>
        <w:ind w:firstLine="480" w:firstLineChars="200"/>
        <w:outlineLvl w:val="1"/>
        <w:rPr>
          <w:rFonts w:hAnsi="宋体" w:cs="宋体"/>
          <w:b/>
          <w:sz w:val="24"/>
        </w:rPr>
      </w:pPr>
      <w:bookmarkStart w:id="76" w:name="_Toc233274825"/>
      <w:bookmarkStart w:id="77" w:name="_Toc245897285"/>
      <w:bookmarkStart w:id="78" w:name="_Toc243906325"/>
      <w:bookmarkStart w:id="79" w:name="_Toc243907585"/>
      <w:r>
        <w:rPr>
          <w:rFonts w:hint="eastAsia" w:asciiTheme="minorEastAsia" w:hAnsiTheme="minorEastAsia" w:eastAsiaTheme="minorEastAsia" w:cstheme="minorEastAsia"/>
          <w:sz w:val="24"/>
        </w:rPr>
        <w:t>16、投标文件的组成</w:t>
      </w:r>
      <w:bookmarkEnd w:id="76"/>
      <w:bookmarkEnd w:id="77"/>
      <w:bookmarkEnd w:id="78"/>
      <w:bookmarkEnd w:id="79"/>
      <w:r>
        <w:rPr>
          <w:rFonts w:hint="eastAsia" w:asciiTheme="minorEastAsia" w:hAnsiTheme="minorEastAsia" w:eastAsiaTheme="minorEastAsia" w:cstheme="minorEastAsia"/>
          <w:sz w:val="24"/>
        </w:rPr>
        <w:t>:</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投标文件由商务文件、技术文件两部分组成。全部投标文件电子文本（光盘一式贰份），装入文件封袋内。</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商务文件、技术文件采用A4纸规格，一式 陆 份，其中正本 壹 份，副本伍 份，在每一份投标文件上要明确注明“正本”或“副本”字样，如正、副本之间有差异，以正本为准。</w:t>
      </w:r>
    </w:p>
    <w:p>
      <w:pPr>
        <w:pStyle w:val="11"/>
        <w:spacing w:line="440" w:lineRule="exact"/>
        <w:ind w:firstLine="482" w:firstLineChars="200"/>
        <w:outlineLvl w:val="1"/>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投标文件包括但不限于以下内容，各投标人应对照“第三章 项目招标需求”及“第六章评审标准（综合评分法）”提供相关的证明资料：</w:t>
      </w:r>
    </w:p>
    <w:p>
      <w:pPr>
        <w:pStyle w:val="11"/>
        <w:numPr>
          <w:ilvl w:val="0"/>
          <w:numId w:val="2"/>
        </w:numPr>
        <w:tabs>
          <w:tab w:val="left" w:pos="0"/>
        </w:tabs>
        <w:spacing w:line="440" w:lineRule="exact"/>
        <w:ind w:left="0" w:firstLine="420"/>
        <w:jc w:val="left"/>
        <w:outlineLvl w:val="1"/>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投标文件封面；</w:t>
      </w:r>
    </w:p>
    <w:p>
      <w:pPr>
        <w:pStyle w:val="11"/>
        <w:numPr>
          <w:ilvl w:val="0"/>
          <w:numId w:val="2"/>
        </w:numPr>
        <w:tabs>
          <w:tab w:val="left" w:pos="0"/>
        </w:tabs>
        <w:spacing w:line="440" w:lineRule="exact"/>
        <w:ind w:left="0" w:firstLine="420"/>
        <w:jc w:val="left"/>
        <w:outlineLvl w:val="1"/>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投标函（详见格式1）；</w:t>
      </w:r>
    </w:p>
    <w:p>
      <w:pPr>
        <w:numPr>
          <w:ilvl w:val="0"/>
          <w:numId w:val="2"/>
        </w:numPr>
        <w:tabs>
          <w:tab w:val="left" w:pos="0"/>
        </w:tabs>
        <w:spacing w:line="440" w:lineRule="exact"/>
        <w:ind w:left="0" w:firstLine="42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法定代表人资格证明书</w:t>
      </w:r>
      <w:r>
        <w:rPr>
          <w:rFonts w:hint="eastAsia" w:asciiTheme="minorEastAsia" w:hAnsiTheme="minorEastAsia" w:eastAsiaTheme="minorEastAsia" w:cstheme="minorEastAsia"/>
          <w:sz w:val="24"/>
        </w:rPr>
        <w:t>（详见格式2）；</w:t>
      </w:r>
    </w:p>
    <w:p>
      <w:pPr>
        <w:pStyle w:val="11"/>
        <w:numPr>
          <w:ilvl w:val="0"/>
          <w:numId w:val="2"/>
        </w:numPr>
        <w:tabs>
          <w:tab w:val="left" w:pos="0"/>
        </w:tabs>
        <w:spacing w:line="440" w:lineRule="exact"/>
        <w:ind w:left="0" w:firstLine="420"/>
        <w:jc w:val="left"/>
        <w:outlineLvl w:val="1"/>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法定代表人授权书（详见格式3）；</w:t>
      </w:r>
    </w:p>
    <w:p>
      <w:pPr>
        <w:pStyle w:val="11"/>
        <w:numPr>
          <w:ilvl w:val="0"/>
          <w:numId w:val="2"/>
        </w:numPr>
        <w:tabs>
          <w:tab w:val="left" w:pos="0"/>
        </w:tabs>
        <w:spacing w:line="440" w:lineRule="exact"/>
        <w:ind w:left="0" w:firstLine="420"/>
        <w:jc w:val="left"/>
        <w:outlineLvl w:val="1"/>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投标人资格声明（详见格式4）；</w:t>
      </w:r>
    </w:p>
    <w:p>
      <w:pPr>
        <w:pStyle w:val="11"/>
        <w:numPr>
          <w:ilvl w:val="0"/>
          <w:numId w:val="2"/>
        </w:numPr>
        <w:tabs>
          <w:tab w:val="left" w:pos="0"/>
        </w:tabs>
        <w:spacing w:line="440" w:lineRule="exact"/>
        <w:ind w:left="0" w:firstLine="420"/>
        <w:jc w:val="left"/>
        <w:outlineLvl w:val="1"/>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诚信声明（详见格式5）；</w:t>
      </w:r>
    </w:p>
    <w:p>
      <w:pPr>
        <w:pStyle w:val="11"/>
        <w:numPr>
          <w:ilvl w:val="0"/>
          <w:numId w:val="2"/>
        </w:numPr>
        <w:tabs>
          <w:tab w:val="left" w:pos="0"/>
        </w:tabs>
        <w:spacing w:line="440" w:lineRule="exact"/>
        <w:ind w:left="0" w:firstLine="420"/>
        <w:jc w:val="left"/>
        <w:outlineLvl w:val="1"/>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中小企业声明函（详见格式6）；</w:t>
      </w:r>
    </w:p>
    <w:p>
      <w:pPr>
        <w:pStyle w:val="11"/>
        <w:numPr>
          <w:ilvl w:val="0"/>
          <w:numId w:val="2"/>
        </w:numPr>
        <w:tabs>
          <w:tab w:val="left" w:pos="0"/>
        </w:tabs>
        <w:spacing w:line="440" w:lineRule="exact"/>
        <w:ind w:left="0" w:firstLine="420"/>
        <w:jc w:val="left"/>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有效的企业营业执照副本</w:t>
      </w:r>
      <w:r>
        <w:rPr>
          <w:rFonts w:hint="eastAsia" w:asciiTheme="minorEastAsia" w:hAnsiTheme="minorEastAsia" w:eastAsiaTheme="minorEastAsia" w:cstheme="minorEastAsia"/>
          <w:sz w:val="24"/>
        </w:rPr>
        <w:t>（复印件）；</w:t>
      </w:r>
    </w:p>
    <w:p>
      <w:pPr>
        <w:numPr>
          <w:ilvl w:val="0"/>
          <w:numId w:val="2"/>
        </w:numPr>
        <w:tabs>
          <w:tab w:val="left" w:pos="0"/>
        </w:tabs>
        <w:spacing w:line="440" w:lineRule="exact"/>
        <w:ind w:left="0" w:firstLine="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商务报价一览表（详见格式7）；</w:t>
      </w:r>
    </w:p>
    <w:p>
      <w:pPr>
        <w:numPr>
          <w:ilvl w:val="0"/>
          <w:numId w:val="3"/>
        </w:numPr>
        <w:tabs>
          <w:tab w:val="left" w:pos="360"/>
        </w:tabs>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投标人近三年（2018年1月1日至今）同类业绩表（详见格式8）</w:t>
      </w:r>
    </w:p>
    <w:p>
      <w:pPr>
        <w:pStyle w:val="2"/>
        <w:spacing w:line="440" w:lineRule="exact"/>
        <w:ind w:firstLine="480"/>
        <w:rPr>
          <w:rStyle w:val="27"/>
          <w:rFonts w:ascii="宋体" w:hAnsi="宋体" w:cs="宋体"/>
          <w:b w:val="0"/>
          <w:bCs/>
          <w:kern w:val="0"/>
          <w:sz w:val="24"/>
          <w:szCs w:val="22"/>
        </w:rPr>
      </w:pPr>
      <w:r>
        <w:rPr>
          <w:rFonts w:hint="eastAsia" w:asciiTheme="minorEastAsia" w:hAnsiTheme="minorEastAsia" w:eastAsiaTheme="minorEastAsia" w:cstheme="minorEastAsia"/>
          <w:color w:val="auto"/>
          <w:sz w:val="24"/>
          <w:highlight w:val="none"/>
        </w:rPr>
        <w:t>提供建设行政主管部门核发的市政公用工程总承包叁级及以上和建筑工程总承包叁级及以上资质证书且具备有效的安全生产许可证；</w:t>
      </w:r>
      <w:r>
        <w:rPr>
          <w:rStyle w:val="27"/>
          <w:rFonts w:hint="eastAsia" w:ascii="宋体" w:hAnsi="宋体" w:cs="宋体"/>
          <w:b w:val="0"/>
          <w:bCs/>
          <w:color w:val="auto"/>
          <w:kern w:val="0"/>
          <w:sz w:val="24"/>
          <w:szCs w:val="22"/>
          <w:highlight w:val="none"/>
        </w:rPr>
        <w:t>项目负责人具有市政工程建造师二级及以上（市政专业），</w:t>
      </w:r>
      <w:r>
        <w:rPr>
          <w:rFonts w:hint="eastAsia" w:ascii="宋体" w:hAnsi="宋体" w:cs="宋体"/>
          <w:bCs/>
          <w:color w:val="auto"/>
          <w:kern w:val="0"/>
          <w:sz w:val="24"/>
          <w:szCs w:val="22"/>
          <w:highlight w:val="none"/>
        </w:rPr>
        <w:t>并</w:t>
      </w:r>
      <w:r>
        <w:rPr>
          <w:rFonts w:hint="eastAsia" w:ascii="宋体" w:hAnsi="宋体" w:cs="宋体"/>
          <w:bCs/>
          <w:kern w:val="0"/>
          <w:sz w:val="24"/>
          <w:szCs w:val="22"/>
        </w:rPr>
        <w:t>取得有效期内的安全生产考核合格证（A类或B类）</w:t>
      </w:r>
      <w:r>
        <w:rPr>
          <w:rStyle w:val="27"/>
          <w:rFonts w:hint="eastAsia" w:ascii="宋体" w:hAnsi="宋体" w:cs="宋体"/>
          <w:b w:val="0"/>
          <w:bCs/>
          <w:kern w:val="0"/>
          <w:sz w:val="24"/>
          <w:szCs w:val="22"/>
        </w:rPr>
        <w:t>。</w:t>
      </w:r>
    </w:p>
    <w:p>
      <w:pPr>
        <w:numPr>
          <w:ilvl w:val="0"/>
          <w:numId w:val="3"/>
        </w:numPr>
        <w:tabs>
          <w:tab w:val="left" w:pos="360"/>
        </w:tabs>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如投标人为疆外企业需提供新疆维吾尔自治区住房和城乡建设厅出具的有效期内的《（2021）年新疆维吾尔自治区区外进疆建筑企业信息报送册》；</w:t>
      </w:r>
    </w:p>
    <w:p>
      <w:pPr>
        <w:numPr>
          <w:ilvl w:val="0"/>
          <w:numId w:val="3"/>
        </w:numPr>
        <w:tabs>
          <w:tab w:val="left" w:pos="360"/>
        </w:tabs>
        <w:spacing w:line="440" w:lineRule="exact"/>
        <w:ind w:firstLine="240" w:firstLineChars="1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人员及设备配备方案；</w:t>
      </w:r>
    </w:p>
    <w:p>
      <w:pPr>
        <w:numPr>
          <w:ilvl w:val="0"/>
          <w:numId w:val="3"/>
        </w:numPr>
        <w:tabs>
          <w:tab w:val="left" w:pos="360"/>
        </w:tabs>
        <w:spacing w:line="440" w:lineRule="exact"/>
        <w:ind w:firstLine="240" w:firstLineChars="1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施工方案；</w:t>
      </w:r>
    </w:p>
    <w:p>
      <w:pPr>
        <w:numPr>
          <w:ilvl w:val="0"/>
          <w:numId w:val="3"/>
        </w:numPr>
        <w:tabs>
          <w:tab w:val="left" w:pos="360"/>
        </w:tabs>
        <w:spacing w:line="440" w:lineRule="exact"/>
        <w:ind w:firstLine="240" w:firstLineChars="1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质量、安全、文明施工等保障措施；</w:t>
      </w:r>
    </w:p>
    <w:p>
      <w:pPr>
        <w:numPr>
          <w:ilvl w:val="0"/>
          <w:numId w:val="3"/>
        </w:numPr>
        <w:tabs>
          <w:tab w:val="left" w:pos="360"/>
        </w:tabs>
        <w:spacing w:line="440" w:lineRule="exact"/>
        <w:ind w:firstLine="240" w:firstLineChars="1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管材配备计划；</w:t>
      </w:r>
    </w:p>
    <w:p>
      <w:pPr>
        <w:numPr>
          <w:ilvl w:val="0"/>
          <w:numId w:val="3"/>
        </w:numPr>
        <w:tabs>
          <w:tab w:val="left" w:pos="360"/>
        </w:tabs>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招标需求及评分所需的其它资料；</w:t>
      </w:r>
    </w:p>
    <w:p>
      <w:pPr>
        <w:numPr>
          <w:ilvl w:val="0"/>
          <w:numId w:val="3"/>
        </w:numPr>
        <w:tabs>
          <w:tab w:val="left" w:pos="360"/>
        </w:tabs>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资格性/符合性自查表</w:t>
      </w:r>
      <w:r>
        <w:rPr>
          <w:rFonts w:hint="eastAsia" w:asciiTheme="minorEastAsia" w:hAnsiTheme="minorEastAsia" w:eastAsiaTheme="minorEastAsia" w:cstheme="minorEastAsia"/>
          <w:sz w:val="24"/>
        </w:rPr>
        <w:t>（详见文件格式9）；</w:t>
      </w:r>
    </w:p>
    <w:p>
      <w:pPr>
        <w:numPr>
          <w:ilvl w:val="0"/>
          <w:numId w:val="3"/>
        </w:numPr>
        <w:tabs>
          <w:tab w:val="left" w:pos="360"/>
        </w:tabs>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其它与本项目有关的能证明企业实力的各项证明资料。</w:t>
      </w:r>
    </w:p>
    <w:p>
      <w:pPr>
        <w:numPr>
          <w:ilvl w:val="0"/>
          <w:numId w:val="3"/>
        </w:numPr>
        <w:tabs>
          <w:tab w:val="left" w:pos="360"/>
        </w:tabs>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招标文件要求提供的其它材料以及投标人认为需要提交的材料。</w:t>
      </w:r>
    </w:p>
    <w:p>
      <w:pPr>
        <w:pStyle w:val="11"/>
        <w:spacing w:line="440" w:lineRule="exact"/>
        <w:ind w:firstLine="422" w:firstLineChars="175"/>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特别说明：①上述各种证件、证书复印件须加盖投标人公章。如未按要求加盖投标人公章者，可能导致其投标文件无效。</w:t>
      </w:r>
    </w:p>
    <w:p>
      <w:pPr>
        <w:pStyle w:val="11"/>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②投标人应如实提供资料，并保证真实可靠，不得弄虚作假。如投标人隐瞒事实真相、弄虚作假，一经查实，取消该投标人的投标资格，若成交入围的，取消其成交入围资格。</w:t>
      </w:r>
    </w:p>
    <w:p>
      <w:pPr>
        <w:pStyle w:val="11"/>
        <w:spacing w:line="440" w:lineRule="exact"/>
        <w:ind w:firstLine="480"/>
        <w:outlineLvl w:val="1"/>
        <w:rPr>
          <w:rFonts w:asciiTheme="minorEastAsia" w:hAnsiTheme="minorEastAsia" w:eastAsiaTheme="minorEastAsia" w:cstheme="minorEastAsia"/>
          <w:sz w:val="24"/>
        </w:rPr>
      </w:pPr>
      <w:bookmarkStart w:id="80" w:name="_Toc245897286"/>
      <w:bookmarkStart w:id="81" w:name="_Toc233274827"/>
      <w:bookmarkStart w:id="82" w:name="_Toc246216196"/>
      <w:bookmarkStart w:id="83" w:name="_Toc243906326"/>
      <w:bookmarkStart w:id="84" w:name="_Toc243907587"/>
      <w:r>
        <w:rPr>
          <w:rFonts w:hint="eastAsia" w:asciiTheme="minorEastAsia" w:hAnsiTheme="minorEastAsia" w:eastAsiaTheme="minorEastAsia" w:cstheme="minorEastAsia"/>
          <w:sz w:val="24"/>
        </w:rPr>
        <w:t>17、投标文件格式</w:t>
      </w:r>
      <w:bookmarkEnd w:id="80"/>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17.1投标人应按招标文件提供的格式及商务报价说明完整地填写所提供的合同项目、服务以及单价等内容。</w:t>
      </w:r>
    </w:p>
    <w:p>
      <w:pPr>
        <w:pStyle w:val="11"/>
        <w:spacing w:line="440" w:lineRule="exact"/>
        <w:ind w:firstLine="480"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18、商务报价</w:t>
      </w:r>
      <w:bookmarkEnd w:id="81"/>
      <w:bookmarkEnd w:id="82"/>
      <w:bookmarkEnd w:id="83"/>
      <w:bookmarkEnd w:id="84"/>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18.1投标人的商务报价应是为招标人提供全部合同及服务，并保证成果资料正常使用以及合同条款、技术规范及标准、项目招标需求、本招标文件约定的所有费用的总和。</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任何因投标人忽视或误解招标范围、技术规范及标准、项目招标需求、合同条款和项目现场情况，若成交，招标人将不予批准由此而产生的索赔或供货期延长申请。</w:t>
      </w:r>
    </w:p>
    <w:p>
      <w:pPr>
        <w:spacing w:line="44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商务报价中不得包含合同条款、技术规范及标准、项目招标需求、本招标文件要求以外的其他内容。</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18.2商务报价总价应包括的内容和计价因素</w:t>
      </w:r>
    </w:p>
    <w:p>
      <w:pPr>
        <w:adjustRightInd w:val="0"/>
        <w:snapToGrid w:val="0"/>
        <w:spacing w:line="44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bCs/>
          <w:sz w:val="24"/>
        </w:rPr>
        <w:t>克拉玛依市排水管理处污水处理设施维修修缮及应急抢修队伍入围项目验收合格并能正常交付使用以及合同条款、项目招标需求、本招标文件约定的全部内容及相关责任和义务。</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根据对本招标文件、技术规范和标准、项目招标需求、合同条款的理解，应达到的技术指标、检验及验收标准等要求，结合市场情况进行商务报价。投标人应充分考虑合同执行期内各类合同服务的市场风险和国家政策性调整风险等因素对商务报价的影响。</w:t>
      </w:r>
    </w:p>
    <w:p>
      <w:pPr>
        <w:spacing w:line="440" w:lineRule="exact"/>
        <w:ind w:firstLine="480" w:firstLineChars="200"/>
        <w:rPr>
          <w:rFonts w:asciiTheme="minorEastAsia" w:hAnsiTheme="minorEastAsia" w:eastAsiaTheme="minorEastAsia" w:cstheme="minorEastAsia"/>
          <w:bCs/>
          <w:sz w:val="24"/>
        </w:rPr>
      </w:pPr>
      <w:bookmarkStart w:id="85" w:name="_Toc233274828"/>
      <w:bookmarkStart w:id="86" w:name="_Toc243906327"/>
      <w:bookmarkStart w:id="87" w:name="_Toc243907588"/>
      <w:bookmarkStart w:id="88" w:name="_Toc246216197"/>
      <w:r>
        <w:rPr>
          <w:rFonts w:hint="eastAsia" w:asciiTheme="minorEastAsia" w:hAnsiTheme="minorEastAsia" w:eastAsiaTheme="minorEastAsia" w:cstheme="minorEastAsia"/>
          <w:sz w:val="24"/>
        </w:rPr>
        <w:t>18.3投标人应按照招标文件所附的格式完整地填写商务报价一览表。</w:t>
      </w:r>
      <w:r>
        <w:rPr>
          <w:rFonts w:hint="eastAsia" w:asciiTheme="minorEastAsia" w:hAnsiTheme="minorEastAsia" w:eastAsiaTheme="minorEastAsia" w:cstheme="minorEastAsia"/>
          <w:bCs/>
          <w:sz w:val="24"/>
        </w:rPr>
        <w:t>投标人应对招标范围内的全部内容进行报价。</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18.4投标人若成交入围，不得以任何理由在合同执行期间予以价格调整。任何包含价格调整的要求将被认为是非投标而予以拒绝。</w:t>
      </w:r>
    </w:p>
    <w:bookmarkEnd w:id="85"/>
    <w:bookmarkEnd w:id="86"/>
    <w:bookmarkEnd w:id="87"/>
    <w:bookmarkEnd w:id="88"/>
    <w:p>
      <w:pPr>
        <w:pStyle w:val="11"/>
        <w:spacing w:line="440" w:lineRule="exact"/>
        <w:ind w:firstLine="480" w:firstLineChars="200"/>
        <w:outlineLvl w:val="1"/>
        <w:rPr>
          <w:rFonts w:asciiTheme="minorEastAsia" w:hAnsiTheme="minorEastAsia" w:eastAsiaTheme="minorEastAsia" w:cstheme="minorEastAsia"/>
          <w:sz w:val="24"/>
        </w:rPr>
      </w:pPr>
      <w:bookmarkStart w:id="89" w:name="_Toc245897288"/>
      <w:r>
        <w:rPr>
          <w:rFonts w:hint="eastAsia" w:asciiTheme="minorEastAsia" w:hAnsiTheme="minorEastAsia" w:eastAsiaTheme="minorEastAsia" w:cstheme="minorEastAsia"/>
          <w:sz w:val="24"/>
        </w:rPr>
        <w:t>19、商务报价货币</w:t>
      </w:r>
      <w:bookmarkEnd w:id="89"/>
    </w:p>
    <w:p>
      <w:pPr>
        <w:pStyle w:val="11"/>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19.1商务报价一览表、设备、材料清单及价格明细表和投标文件中的所有报价一律使用人民币（RMB）填报。</w:t>
      </w:r>
    </w:p>
    <w:p>
      <w:pPr>
        <w:pStyle w:val="11"/>
        <w:spacing w:line="440" w:lineRule="exact"/>
        <w:ind w:firstLine="480" w:firstLineChars="200"/>
        <w:outlineLvl w:val="1"/>
        <w:rPr>
          <w:rFonts w:asciiTheme="minorEastAsia" w:hAnsiTheme="minorEastAsia" w:eastAsiaTheme="minorEastAsia" w:cstheme="minorEastAsia"/>
          <w:sz w:val="24"/>
        </w:rPr>
      </w:pPr>
      <w:bookmarkStart w:id="90" w:name="_Toc243906328"/>
      <w:bookmarkStart w:id="91" w:name="_Toc243907589"/>
      <w:bookmarkStart w:id="92" w:name="_Toc245897289"/>
      <w:bookmarkStart w:id="93" w:name="_Toc233274829"/>
      <w:r>
        <w:rPr>
          <w:rFonts w:hint="eastAsia" w:asciiTheme="minorEastAsia" w:hAnsiTheme="minorEastAsia" w:eastAsiaTheme="minorEastAsia" w:cstheme="minorEastAsia"/>
          <w:sz w:val="24"/>
        </w:rPr>
        <w:t>20、投标人资格证明文件</w:t>
      </w:r>
      <w:bookmarkEnd w:id="90"/>
      <w:bookmarkEnd w:id="91"/>
      <w:bookmarkEnd w:id="92"/>
      <w:bookmarkEnd w:id="93"/>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 投标人必须提交证明其有资格参加投标和成交后有能力履行合同的文件。</w:t>
      </w:r>
    </w:p>
    <w:p>
      <w:pPr>
        <w:pStyle w:val="11"/>
        <w:spacing w:line="440" w:lineRule="exact"/>
        <w:ind w:firstLine="480" w:firstLineChars="200"/>
        <w:outlineLvl w:val="1"/>
        <w:rPr>
          <w:rFonts w:asciiTheme="minorEastAsia" w:hAnsiTheme="minorEastAsia" w:eastAsiaTheme="minorEastAsia" w:cstheme="minorEastAsia"/>
          <w:sz w:val="24"/>
        </w:rPr>
      </w:pPr>
      <w:bookmarkStart w:id="94" w:name="_Toc243906329"/>
      <w:bookmarkStart w:id="95" w:name="_Toc243907590"/>
      <w:bookmarkStart w:id="96" w:name="_Toc245897290"/>
      <w:bookmarkStart w:id="97" w:name="_Toc233274830"/>
      <w:r>
        <w:rPr>
          <w:rFonts w:hint="eastAsia" w:asciiTheme="minorEastAsia" w:hAnsiTheme="minorEastAsia" w:eastAsiaTheme="minorEastAsia" w:cstheme="minorEastAsia"/>
          <w:sz w:val="24"/>
        </w:rPr>
        <w:t>21、提供的服务符合招标文件规定的技术投标文件</w:t>
      </w:r>
      <w:bookmarkEnd w:id="94"/>
      <w:bookmarkEnd w:id="95"/>
      <w:bookmarkEnd w:id="96"/>
      <w:bookmarkEnd w:id="97"/>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投标人须提交满足本项目服务符合招标文件、技术规范及标准、项目招标需求规定的技术投标文件，作为投标文件的一部分；</w:t>
      </w:r>
    </w:p>
    <w:p>
      <w:pPr>
        <w:spacing w:line="440" w:lineRule="exact"/>
        <w:ind w:firstLine="48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21.2投标人应逐条对招标文件、项目招标需求、合同条款等进行仔细阅读，提出自己提供的服务是否对其做出了实质性的投标。</w:t>
      </w:r>
    </w:p>
    <w:p>
      <w:pPr>
        <w:pStyle w:val="11"/>
        <w:spacing w:line="440" w:lineRule="exact"/>
        <w:ind w:firstLine="480" w:firstLineChars="200"/>
        <w:outlineLvl w:val="1"/>
        <w:rPr>
          <w:rFonts w:asciiTheme="minorEastAsia" w:hAnsiTheme="minorEastAsia" w:eastAsiaTheme="minorEastAsia" w:cstheme="minorEastAsia"/>
          <w:sz w:val="24"/>
        </w:rPr>
      </w:pPr>
      <w:bookmarkStart w:id="98" w:name="_Toc243906330"/>
      <w:bookmarkStart w:id="99" w:name="_Toc233274831"/>
      <w:bookmarkStart w:id="100" w:name="_Toc245897291"/>
      <w:bookmarkStart w:id="101" w:name="_Toc243907591"/>
      <w:r>
        <w:rPr>
          <w:rFonts w:hint="eastAsia" w:asciiTheme="minorEastAsia" w:hAnsiTheme="minorEastAsia" w:eastAsiaTheme="minorEastAsia" w:cstheme="minorEastAsia"/>
          <w:sz w:val="24"/>
        </w:rPr>
        <w:t>22、投标文件有效期</w:t>
      </w:r>
      <w:bookmarkEnd w:id="98"/>
      <w:bookmarkEnd w:id="99"/>
      <w:bookmarkEnd w:id="100"/>
      <w:bookmarkEnd w:id="101"/>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w:t>
      </w:r>
      <w:r>
        <w:rPr>
          <w:rFonts w:hint="eastAsia" w:asciiTheme="minorEastAsia" w:hAnsiTheme="minorEastAsia" w:eastAsiaTheme="minorEastAsia" w:cstheme="minorEastAsia"/>
          <w:bCs/>
          <w:sz w:val="24"/>
        </w:rPr>
        <w:t>投标文件</w:t>
      </w:r>
      <w:r>
        <w:rPr>
          <w:rFonts w:hint="eastAsia" w:asciiTheme="minorEastAsia" w:hAnsiTheme="minorEastAsia" w:eastAsiaTheme="minorEastAsia" w:cstheme="minorEastAsia"/>
          <w:sz w:val="24"/>
        </w:rPr>
        <w:t>有效期为递交投标文件截止之日起60天（日历日）。投标人的投标文件有效期比规定的有效期短的，将被视为非投标而予以拒绝。</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 特殊情况下，在原有效期届满之前，招标人可征得投标人的同意延长其有效期，这种要求与答复均应以书面形式。投标人拒绝延长的，其投标文件失效。同意延长有效期的投标人，既不要求也不允许其修改投标文件。</w:t>
      </w:r>
    </w:p>
    <w:p>
      <w:pPr>
        <w:pStyle w:val="11"/>
        <w:spacing w:line="440" w:lineRule="exact"/>
        <w:ind w:firstLine="480" w:firstLineChars="200"/>
        <w:outlineLvl w:val="1"/>
        <w:rPr>
          <w:rFonts w:asciiTheme="minorEastAsia" w:hAnsiTheme="minorEastAsia" w:eastAsiaTheme="minorEastAsia" w:cstheme="minorEastAsia"/>
          <w:sz w:val="24"/>
        </w:rPr>
      </w:pPr>
      <w:bookmarkStart w:id="102" w:name="_Toc243907592"/>
      <w:bookmarkStart w:id="103" w:name="_Toc245897292"/>
      <w:bookmarkStart w:id="104" w:name="_Toc233274832"/>
      <w:bookmarkStart w:id="105" w:name="_Toc243906331"/>
      <w:r>
        <w:rPr>
          <w:rFonts w:hint="eastAsia" w:asciiTheme="minorEastAsia" w:hAnsiTheme="minorEastAsia" w:eastAsiaTheme="minorEastAsia" w:cstheme="minorEastAsia"/>
          <w:sz w:val="24"/>
        </w:rPr>
        <w:t>23、投标文件的签署及规定</w:t>
      </w:r>
      <w:bookmarkEnd w:id="102"/>
      <w:bookmarkEnd w:id="103"/>
      <w:bookmarkEnd w:id="104"/>
      <w:bookmarkEnd w:id="105"/>
    </w:p>
    <w:p>
      <w:pPr>
        <w:spacing w:line="44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23.1投标人应提交本须知第5条规定的</w:t>
      </w:r>
      <w:r>
        <w:rPr>
          <w:rFonts w:hint="eastAsia" w:asciiTheme="minorEastAsia" w:hAnsiTheme="minorEastAsia" w:eastAsiaTheme="minorEastAsia" w:cstheme="minorEastAsia"/>
          <w:bCs/>
          <w:sz w:val="24"/>
        </w:rPr>
        <w:t>书面投标文件一式陆份。</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23.2投标文件正本和副本须打印并由法定代表人或委托代理人签字或盖章。投标文件应加盖投标人的公章。</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23.3 除投标人对错误做必要修改外，投标文件中不许有增删、涂改或改写。若确有修改必须由签署投标文件的委托代理人签字或盖章。</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23.4投标文件副本的上述签名及盖章之处既可由投标人的法定代表人或其委托代理人签字或盖章，也可通过复印正本将上述签名及盖章复制到副本上。</w:t>
      </w:r>
    </w:p>
    <w:p>
      <w:pPr>
        <w:pStyle w:val="11"/>
        <w:spacing w:line="440" w:lineRule="exact"/>
        <w:ind w:firstLine="48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rPr>
        <w:t>23.5 招标人概不接受电报、电传、电话、邮寄以及电子邮件等方式的投标。</w:t>
      </w:r>
      <w:bookmarkEnd w:id="67"/>
      <w:bookmarkStart w:id="106" w:name="_Toc243907594"/>
      <w:bookmarkStart w:id="107" w:name="_Toc243906333"/>
      <w:bookmarkStart w:id="108" w:name="_Toc246216203"/>
      <w:bookmarkStart w:id="109" w:name="_Toc233274834"/>
    </w:p>
    <w:p>
      <w:pPr>
        <w:pStyle w:val="11"/>
        <w:spacing w:line="440" w:lineRule="exact"/>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D  投标文件的递交、修改和撤回</w:t>
      </w:r>
      <w:bookmarkEnd w:id="106"/>
      <w:bookmarkEnd w:id="107"/>
      <w:bookmarkEnd w:id="108"/>
      <w:bookmarkEnd w:id="109"/>
    </w:p>
    <w:p>
      <w:pPr>
        <w:spacing w:line="440" w:lineRule="exact"/>
        <w:ind w:firstLine="480" w:firstLineChars="200"/>
        <w:rPr>
          <w:rFonts w:ascii="宋体" w:hAnsi="宋体" w:cs="宋体"/>
          <w:bCs/>
          <w:sz w:val="24"/>
        </w:rPr>
      </w:pPr>
      <w:bookmarkStart w:id="110" w:name="_Toc233274836"/>
      <w:bookmarkStart w:id="111" w:name="_Toc243906335"/>
      <w:bookmarkStart w:id="112" w:name="_Toc245897296"/>
      <w:bookmarkStart w:id="113" w:name="_Toc243907596"/>
      <w:r>
        <w:rPr>
          <w:rFonts w:hint="eastAsia" w:ascii="宋体" w:hAnsi="宋体" w:cs="宋体"/>
          <w:bCs/>
          <w:sz w:val="24"/>
        </w:rPr>
        <w:t>24、投标文件的密封和标记</w:t>
      </w:r>
    </w:p>
    <w:p>
      <w:pPr>
        <w:spacing w:line="440" w:lineRule="exact"/>
        <w:ind w:firstLine="480" w:firstLineChars="200"/>
        <w:rPr>
          <w:rFonts w:ascii="宋体" w:hAnsi="宋体" w:cs="宋体"/>
          <w:bCs/>
          <w:sz w:val="24"/>
        </w:rPr>
      </w:pPr>
      <w:r>
        <w:rPr>
          <w:rFonts w:hint="eastAsia" w:ascii="宋体" w:hAnsi="宋体" w:cs="宋体"/>
          <w:bCs/>
          <w:sz w:val="24"/>
        </w:rPr>
        <w:t>24.1投标人须将投标文件商务文件、技术文件一起编制、装订、密封，投标文件均为明标并在密封处均加盖投标人公章。</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24.2投标文件密封袋上均应写明招标人、项目名称、招标文件编号、投标人名称和地址等事项，并注明“开标前不准启封”等字样。</w:t>
      </w:r>
    </w:p>
    <w:p>
      <w:pPr>
        <w:pStyle w:val="11"/>
        <w:spacing w:line="440" w:lineRule="exact"/>
        <w:ind w:firstLine="480" w:firstLineChars="200"/>
        <w:outlineLvl w:val="1"/>
        <w:rPr>
          <w:rFonts w:hAnsi="宋体" w:cs="宋体"/>
          <w:sz w:val="24"/>
        </w:rPr>
      </w:pPr>
      <w:r>
        <w:rPr>
          <w:rFonts w:hint="eastAsia" w:hAnsi="宋体" w:cs="宋体"/>
          <w:sz w:val="24"/>
        </w:rPr>
        <w:t>24.3未按本要求密封、标记的投标文件，招标人（或招标代理机构）不对后果负责。</w:t>
      </w:r>
    </w:p>
    <w:p>
      <w:pPr>
        <w:pStyle w:val="11"/>
        <w:spacing w:line="440" w:lineRule="exact"/>
        <w:ind w:firstLine="480" w:firstLineChars="200"/>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25、递交投标文件截止时间</w:t>
      </w:r>
      <w:bookmarkEnd w:id="110"/>
      <w:bookmarkEnd w:id="111"/>
      <w:bookmarkEnd w:id="112"/>
      <w:bookmarkEnd w:id="113"/>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25.1 所有投标文件都必须按招标人</w:t>
      </w:r>
      <w:r>
        <w:rPr>
          <w:rFonts w:hint="eastAsia" w:asciiTheme="minorEastAsia" w:hAnsiTheme="minorEastAsia" w:eastAsiaTheme="minorEastAsia" w:cstheme="minorEastAsia"/>
          <w:sz w:val="24"/>
        </w:rPr>
        <w:t>在投标人须知前附表中规定的截止时间之前送达。</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25.2出现因招标文件的修改推迟截止日期时，则按招标代理机构修改通知规定的时间递交投标文件。在此情况下，招标人和招标代理机构与投标人之间受截止期制约的所有权利和义务应延长至新的截止期。</w:t>
      </w:r>
    </w:p>
    <w:p>
      <w:pPr>
        <w:pStyle w:val="11"/>
        <w:spacing w:line="440" w:lineRule="exact"/>
        <w:ind w:firstLine="480" w:firstLineChars="200"/>
        <w:outlineLvl w:val="1"/>
        <w:rPr>
          <w:rFonts w:asciiTheme="minorEastAsia" w:hAnsiTheme="minorEastAsia" w:eastAsiaTheme="minorEastAsia" w:cstheme="minorEastAsia"/>
          <w:sz w:val="24"/>
        </w:rPr>
      </w:pPr>
      <w:bookmarkStart w:id="114" w:name="_Toc245897297"/>
      <w:bookmarkStart w:id="115" w:name="_Toc243906336"/>
      <w:bookmarkStart w:id="116" w:name="_Toc233274837"/>
      <w:bookmarkStart w:id="117" w:name="_Toc243907597"/>
      <w:r>
        <w:rPr>
          <w:rFonts w:hint="eastAsia" w:asciiTheme="minorEastAsia" w:hAnsiTheme="minorEastAsia" w:eastAsiaTheme="minorEastAsia" w:cstheme="minorEastAsia"/>
          <w:sz w:val="24"/>
        </w:rPr>
        <w:t>26、迟交的投标文件</w:t>
      </w:r>
      <w:bookmarkEnd w:id="114"/>
      <w:bookmarkEnd w:id="115"/>
      <w:bookmarkEnd w:id="116"/>
      <w:bookmarkEnd w:id="117"/>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招标人将拒绝并原封退回在其规定的截止时间后发送至指定邮箱的投标文件。</w:t>
      </w:r>
    </w:p>
    <w:p>
      <w:pPr>
        <w:pStyle w:val="11"/>
        <w:spacing w:line="440" w:lineRule="exact"/>
        <w:ind w:firstLine="480" w:firstLineChars="200"/>
        <w:outlineLvl w:val="1"/>
        <w:rPr>
          <w:rFonts w:asciiTheme="minorEastAsia" w:hAnsiTheme="minorEastAsia" w:eastAsiaTheme="minorEastAsia" w:cstheme="minorEastAsia"/>
          <w:sz w:val="24"/>
        </w:rPr>
      </w:pPr>
      <w:bookmarkStart w:id="118" w:name="_Toc243907598"/>
      <w:bookmarkStart w:id="119" w:name="_Toc245897298"/>
      <w:bookmarkStart w:id="120" w:name="_Toc243906337"/>
      <w:bookmarkStart w:id="121" w:name="_Toc233274838"/>
      <w:r>
        <w:rPr>
          <w:rFonts w:hint="eastAsia" w:asciiTheme="minorEastAsia" w:hAnsiTheme="minorEastAsia" w:eastAsiaTheme="minorEastAsia" w:cstheme="minorEastAsia"/>
          <w:sz w:val="24"/>
        </w:rPr>
        <w:t>27、投标文件的修改和撤回</w:t>
      </w:r>
      <w:bookmarkEnd w:id="118"/>
      <w:bookmarkEnd w:id="119"/>
      <w:bookmarkEnd w:id="120"/>
      <w:bookmarkEnd w:id="121"/>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投标人在提交投标文件后可在截止时间前对其投标文件进行修改或撤回，但招标人须在截止时间之前收到该修改或撤回的书面通知，该通知须有法定代表人或经有效授权的委托代理人签字或盖章。</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投标人对投标文件修改的书面材料或撤回的通知应按第22条和第23条规定进行编写、密封、标记和递交，并注明“修改投标文件”或“撤回投标文件”字样。</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27.3截止时间之后，投标人不得对投标文件做任何修改。</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27.4 投标人不得在截止时间起至投标文件有效期期满前撤回投标文件。</w:t>
      </w:r>
    </w:p>
    <w:p>
      <w:pPr>
        <w:spacing w:line="440" w:lineRule="exact"/>
        <w:ind w:firstLine="480" w:firstLineChars="200"/>
        <w:outlineLvl w:val="1"/>
        <w:rPr>
          <w:rFonts w:asciiTheme="minorEastAsia" w:hAnsiTheme="minorEastAsia" w:eastAsiaTheme="minorEastAsia" w:cstheme="minorEastAsia"/>
          <w:sz w:val="24"/>
        </w:rPr>
      </w:pPr>
      <w:bookmarkStart w:id="122" w:name="_Toc245897299"/>
      <w:bookmarkStart w:id="123" w:name="_Toc243906338"/>
      <w:bookmarkStart w:id="124" w:name="_Toc233274839"/>
      <w:bookmarkStart w:id="125" w:name="_Toc243907599"/>
      <w:r>
        <w:rPr>
          <w:rFonts w:hint="eastAsia" w:asciiTheme="minorEastAsia" w:hAnsiTheme="minorEastAsia" w:eastAsiaTheme="minorEastAsia" w:cstheme="minorEastAsia"/>
          <w:sz w:val="24"/>
        </w:rPr>
        <w:t>28、递交投标文件</w:t>
      </w:r>
      <w:bookmarkEnd w:id="122"/>
      <w:bookmarkEnd w:id="123"/>
      <w:bookmarkEnd w:id="124"/>
      <w:bookmarkEnd w:id="125"/>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28.1投标人应按本投标人须知前附表第7项规定的时间及地点递交投标文件。</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28.2有下列情形之一的，招标人不予接收其投标文件：</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28.2.1投标人在递交投标文件截止时间后送达或未送达到指定地点的投标文件；</w:t>
      </w:r>
    </w:p>
    <w:p>
      <w:pPr>
        <w:spacing w:line="440" w:lineRule="exact"/>
        <w:ind w:firstLine="48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rPr>
        <w:t>28.2.2 投标文件未按招标文件要求密封的。</w:t>
      </w:r>
      <w:bookmarkStart w:id="126" w:name="_Toc233274840"/>
      <w:bookmarkStart w:id="127" w:name="_Toc243907600"/>
      <w:bookmarkStart w:id="128" w:name="_Toc246216209"/>
      <w:bookmarkStart w:id="129" w:name="_Toc243906339"/>
    </w:p>
    <w:p>
      <w:pPr>
        <w:spacing w:line="440" w:lineRule="exact"/>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E  评审、</w:t>
      </w:r>
      <w:bookmarkEnd w:id="126"/>
      <w:bookmarkEnd w:id="127"/>
      <w:bookmarkEnd w:id="128"/>
      <w:bookmarkEnd w:id="129"/>
      <w:r>
        <w:rPr>
          <w:rFonts w:hint="eastAsia" w:asciiTheme="minorEastAsia" w:hAnsiTheme="minorEastAsia" w:eastAsiaTheme="minorEastAsia" w:cstheme="minorEastAsia"/>
          <w:b/>
          <w:bCs/>
          <w:sz w:val="28"/>
          <w:szCs w:val="28"/>
        </w:rPr>
        <w:t>确定成交入围投标人</w:t>
      </w:r>
    </w:p>
    <w:p>
      <w:pPr>
        <w:spacing w:line="440" w:lineRule="exact"/>
        <w:ind w:firstLine="480" w:firstLineChars="200"/>
        <w:outlineLvl w:val="1"/>
        <w:rPr>
          <w:rFonts w:asciiTheme="minorEastAsia" w:hAnsiTheme="minorEastAsia" w:eastAsiaTheme="minorEastAsia" w:cstheme="minorEastAsia"/>
          <w:sz w:val="24"/>
          <w:szCs w:val="20"/>
        </w:rPr>
      </w:pPr>
      <w:bookmarkStart w:id="130" w:name="_Toc243906340"/>
      <w:bookmarkStart w:id="131" w:name="_Toc233274841"/>
      <w:bookmarkStart w:id="132" w:name="_Toc243907601"/>
      <w:bookmarkStart w:id="133" w:name="_Toc245897301"/>
      <w:r>
        <w:rPr>
          <w:rFonts w:hint="eastAsia" w:asciiTheme="minorEastAsia" w:hAnsiTheme="minorEastAsia" w:eastAsiaTheme="minorEastAsia" w:cstheme="minorEastAsia"/>
          <w:sz w:val="24"/>
          <w:szCs w:val="20"/>
        </w:rPr>
        <w:t>29、</w:t>
      </w:r>
      <w:bookmarkEnd w:id="130"/>
      <w:bookmarkEnd w:id="131"/>
      <w:bookmarkEnd w:id="132"/>
      <w:bookmarkEnd w:id="133"/>
      <w:r>
        <w:rPr>
          <w:rFonts w:hint="eastAsia" w:asciiTheme="minorEastAsia" w:hAnsiTheme="minorEastAsia" w:eastAsiaTheme="minorEastAsia" w:cstheme="minorEastAsia"/>
          <w:sz w:val="24"/>
          <w:szCs w:val="20"/>
        </w:rPr>
        <w:t>评审会议</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29.1招标人在本投标人须知前附表第10项规定的时间和地点组织评审会议。</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29.2投标人应委派代表参加招标会议。参加招标会议的代表应持有法定代表人身份证原件或法定代表人授权委托书及委托代理人身份证原件。</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29.3招标会议由招标代理机构组织并主持。</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29.4在招标过程中，工作人员如发现投标文件组成部分不齐全，由评审小组认定其有效性。评审小组认定的无效投标文件将不进入评审阶段。</w:t>
      </w:r>
    </w:p>
    <w:p>
      <w:pPr>
        <w:spacing w:line="440" w:lineRule="exact"/>
        <w:ind w:firstLine="480" w:firstLineChars="200"/>
        <w:outlineLvl w:val="1"/>
        <w:rPr>
          <w:rFonts w:asciiTheme="minorEastAsia" w:hAnsiTheme="minorEastAsia" w:eastAsiaTheme="minorEastAsia" w:cstheme="minorEastAsia"/>
          <w:sz w:val="24"/>
          <w:szCs w:val="20"/>
        </w:rPr>
      </w:pPr>
      <w:bookmarkStart w:id="134" w:name="_Toc245897302"/>
      <w:bookmarkStart w:id="135" w:name="_Toc233274842"/>
      <w:bookmarkStart w:id="136" w:name="_Toc243907602"/>
      <w:bookmarkStart w:id="137" w:name="_Toc243906341"/>
      <w:r>
        <w:rPr>
          <w:rFonts w:hint="eastAsia" w:asciiTheme="minorEastAsia" w:hAnsiTheme="minorEastAsia" w:eastAsiaTheme="minorEastAsia" w:cstheme="minorEastAsia"/>
          <w:sz w:val="24"/>
          <w:szCs w:val="20"/>
        </w:rPr>
        <w:t>30、评审小组</w:t>
      </w:r>
      <w:bookmarkEnd w:id="134"/>
      <w:bookmarkEnd w:id="135"/>
      <w:bookmarkEnd w:id="136"/>
      <w:bookmarkEnd w:id="137"/>
    </w:p>
    <w:p>
      <w:pPr>
        <w:widowControl/>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31.1评审小组成员组成：按照</w:t>
      </w:r>
      <w:r>
        <w:rPr>
          <w:rFonts w:hint="eastAsia" w:asciiTheme="minorEastAsia" w:hAnsiTheme="minorEastAsia" w:eastAsiaTheme="minorEastAsia" w:cstheme="minorEastAsia"/>
          <w:sz w:val="24"/>
        </w:rPr>
        <w:t>《中华人民共和国政府采购法》、</w:t>
      </w:r>
      <w:r>
        <w:rPr>
          <w:rFonts w:hint="eastAsia" w:asciiTheme="minorEastAsia" w:hAnsiTheme="minorEastAsia" w:eastAsiaTheme="minorEastAsia" w:cstheme="minorEastAsia"/>
          <w:sz w:val="24"/>
          <w:szCs w:val="20"/>
        </w:rPr>
        <w:t>及相关法律、法规规定组建</w:t>
      </w:r>
      <w:r>
        <w:rPr>
          <w:rFonts w:hint="eastAsia" w:asciiTheme="minorEastAsia" w:hAnsiTheme="minorEastAsia" w:eastAsiaTheme="minorEastAsia" w:cstheme="minorEastAsia"/>
          <w:sz w:val="24"/>
        </w:rPr>
        <w:t>，由招标人代表和评审专家组成</w:t>
      </w:r>
      <w:r>
        <w:rPr>
          <w:rFonts w:hint="eastAsia" w:asciiTheme="minorEastAsia" w:hAnsiTheme="minorEastAsia" w:eastAsiaTheme="minorEastAsia" w:cstheme="minorEastAsia"/>
          <w:sz w:val="24"/>
          <w:szCs w:val="20"/>
        </w:rPr>
        <w:t>。评审小组将负责对投标人提交的投标文件进行评审，确保评审过程公正、合法、保密，并向招标人推荐成交入围投标人。</w:t>
      </w:r>
    </w:p>
    <w:p>
      <w:pPr>
        <w:widowControl/>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32、评审</w:t>
      </w:r>
    </w:p>
    <w:p>
      <w:pPr>
        <w:widowControl/>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32.1投标人应由法定代表或法定代表授权的投标人代表及专业技术人员参与评审。投标人所作的重要答复均应以书面形式予以补充，并经法定代表或授权人签署，作为投标文件的一部分，对投标人具有约束力，但不得对评审内容进行实质性修改。在评审中，评审的任何一方不得透露与评审有关的其他投标人的技术资料和其他信息。</w:t>
      </w:r>
    </w:p>
    <w:p>
      <w:pPr>
        <w:widowControl/>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32.2在评审小组对各投标人的投标文件评审后，为了更好地实现招标目标，评审小组可以修改招标文件，但涉及实质性变动的，将以书面形式通知所有参加评审的投标人。投标人收到修改评审文件的通知后，可以决定是否继续参加评审活动。</w:t>
      </w:r>
    </w:p>
    <w:p>
      <w:pPr>
        <w:widowControl/>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32.3投标人应当按照招标文件的变动情况和评审小组的要求重新提交投标文件，并由其法定代表或委托代理人签字或者加盖公章。由委托代理人签字的，应当附法定代表授权书。</w:t>
      </w:r>
    </w:p>
    <w:p>
      <w:pPr>
        <w:widowControl/>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32.4招标文件能够详细列明招标标的的技术、服务要求的，评审小组在评审结束后，评审小组应当要求所有实质性投标的投标人报价，投标报价是投标人投标文件的有效组成部分。</w:t>
      </w:r>
    </w:p>
    <w:p>
      <w:pPr>
        <w:widowControl/>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32.5招标文件不能详细列明招标标的的技术、服务要求，需经评审由投标人提供最终整修方案或解决方案的，评审结束后，评审小组应当按照少数服从多数的原则投票推荐3家以上投标人的整修方案或者解决方案。</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32.6</w:t>
      </w:r>
      <w:r>
        <w:rPr>
          <w:rFonts w:hint="eastAsia" w:asciiTheme="minorEastAsia" w:hAnsiTheme="minorEastAsia" w:eastAsiaTheme="minorEastAsia" w:cstheme="minorEastAsia"/>
          <w:sz w:val="24"/>
          <w:szCs w:val="20"/>
        </w:rPr>
        <w:t>评审小组判断投标文件的投标性仅基于投标文件本身而不依靠任何外部证据，但投标文件有不真实、不正确的内容除外。</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32.7如果投标文件实质上没有响应招标文件的要求，评审小组将予以拒绝，投标人不得通过修正或撤消不符合要求的偏离或保留，而使其成为实质上投标。</w:t>
      </w:r>
    </w:p>
    <w:p>
      <w:pPr>
        <w:spacing w:line="440" w:lineRule="exact"/>
        <w:ind w:firstLine="480" w:firstLineChars="200"/>
        <w:outlineLvl w:val="1"/>
        <w:rPr>
          <w:rFonts w:asciiTheme="minorEastAsia" w:hAnsiTheme="minorEastAsia" w:eastAsiaTheme="minorEastAsia" w:cstheme="minorEastAsia"/>
          <w:sz w:val="24"/>
        </w:rPr>
      </w:pPr>
      <w:bookmarkStart w:id="138" w:name="_Toc233274843"/>
      <w:bookmarkStart w:id="139" w:name="_Toc243906344"/>
      <w:bookmarkStart w:id="140" w:name="_Toc243907605"/>
      <w:bookmarkStart w:id="141" w:name="_Toc245897304"/>
      <w:bookmarkStart w:id="142" w:name="_Toc224622928"/>
      <w:bookmarkStart w:id="143" w:name="_Toc243906345"/>
      <w:bookmarkStart w:id="144" w:name="_Toc243907606"/>
      <w:bookmarkStart w:id="145" w:name="_Toc245897305"/>
      <w:bookmarkStart w:id="146" w:name="_Toc224624628"/>
      <w:bookmarkStart w:id="147" w:name="_Toc224623557"/>
      <w:bookmarkStart w:id="148" w:name="_Toc224624767"/>
      <w:bookmarkStart w:id="149" w:name="_Toc224623451"/>
      <w:bookmarkStart w:id="150" w:name="_Toc224620071"/>
      <w:bookmarkStart w:id="151" w:name="_Toc224623663"/>
      <w:bookmarkStart w:id="152" w:name="_Toc224624488"/>
      <w:bookmarkStart w:id="153" w:name="_Toc224620150"/>
      <w:r>
        <w:rPr>
          <w:rFonts w:hint="eastAsia" w:asciiTheme="minorEastAsia" w:hAnsiTheme="minorEastAsia" w:eastAsiaTheme="minorEastAsia" w:cstheme="minorEastAsia"/>
          <w:sz w:val="24"/>
        </w:rPr>
        <w:t>33、评审</w:t>
      </w:r>
      <w:bookmarkEnd w:id="138"/>
      <w:bookmarkEnd w:id="139"/>
      <w:bookmarkEnd w:id="140"/>
      <w:bookmarkEnd w:id="141"/>
    </w:p>
    <w:p>
      <w:pPr>
        <w:spacing w:line="440" w:lineRule="exact"/>
        <w:ind w:firstLine="480" w:firstLineChars="200"/>
        <w:outlineLvl w:val="1"/>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33.1</w:t>
      </w:r>
      <w:r>
        <w:rPr>
          <w:rFonts w:hint="eastAsia" w:asciiTheme="minorEastAsia" w:hAnsiTheme="minorEastAsia" w:eastAsiaTheme="minorEastAsia" w:cstheme="minorEastAsia"/>
          <w:sz w:val="24"/>
          <w:szCs w:val="20"/>
        </w:rPr>
        <w:t>评审小组将对实质性响应招标文件的投标文件进行详细评审和比较。对服务、价格等进行比较，并与招标文件、项目招标需求和招标人的实际需要进行比较和评价。</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33.2商务报价错误的修正</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如果发现商务报价存在计算或表达上错误，则按下列原则进行修正：</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（1）用数字表示的数额与用文字表示的数额不一致时，以文字数额为准；</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（2）单价与工程量的乘积与总价之间不一致时，以单价为准。若单价有明显小数点错位，应以总价为准，并修改单价。</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33.4评审小组将按第33.2条原则修正商务报价，并要求投标人进行确认。确认后的报价和文件将对投标人具有约束力。并以修正后的报价作为评审的依据。</w:t>
      </w:r>
    </w:p>
    <w:bookmarkEnd w:id="142"/>
    <w:bookmarkEnd w:id="143"/>
    <w:bookmarkEnd w:id="144"/>
    <w:bookmarkEnd w:id="145"/>
    <w:bookmarkEnd w:id="146"/>
    <w:bookmarkEnd w:id="147"/>
    <w:bookmarkEnd w:id="148"/>
    <w:bookmarkEnd w:id="149"/>
    <w:bookmarkEnd w:id="150"/>
    <w:bookmarkEnd w:id="151"/>
    <w:bookmarkEnd w:id="152"/>
    <w:bookmarkEnd w:id="153"/>
    <w:p>
      <w:pPr>
        <w:spacing w:line="440" w:lineRule="exact"/>
        <w:ind w:firstLine="480" w:firstLineChars="200"/>
        <w:outlineLvl w:val="1"/>
        <w:rPr>
          <w:rFonts w:asciiTheme="minorEastAsia" w:hAnsiTheme="minorEastAsia" w:eastAsiaTheme="minorEastAsia" w:cstheme="minorEastAsia"/>
        </w:rPr>
      </w:pPr>
      <w:bookmarkStart w:id="154" w:name="_Toc233274845"/>
      <w:bookmarkStart w:id="155" w:name="_Toc243907607"/>
      <w:bookmarkStart w:id="156" w:name="_Toc245897306"/>
      <w:bookmarkStart w:id="157" w:name="_Toc243906346"/>
      <w:r>
        <w:rPr>
          <w:rFonts w:hint="eastAsia" w:asciiTheme="minorEastAsia" w:hAnsiTheme="minorEastAsia" w:eastAsiaTheme="minorEastAsia" w:cstheme="minorEastAsia"/>
          <w:sz w:val="24"/>
        </w:rPr>
        <w:t>34、投标文件的澄清</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34.1为有助于对投标文件的审查、评价和比较，评审小组在评审过程中有权随时请投标人对其投标文件进行澄清，有关澄清的要求和答复应以书面形式提交，投标人对澄清问题的书面答复应有法定代表或委托代理人签字或盖章，但不得寻求、提供或允许对最后报价或投标文件中的其他实质性内容做任何更改。</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34.2投标人法定代表或委托代理人在评审过程中应保证随时接受评审小组质询。若投标人法定代表或委托代理人因故不能接受质询，其投标文件仍有效，但应视为投标人已默认评审小组对缺席的质询所作出的结论。</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34.3 评审小组允许投标人通过澄清答复修正其最后报价中不构成重大偏离的、微小的、非正规的、不一致的或不规范的地方，但这些修正不能影响任何投标人的相关名次排列。</w:t>
      </w:r>
    </w:p>
    <w:p>
      <w:pPr>
        <w:spacing w:line="440" w:lineRule="exact"/>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34.4如果投标人在投标文件中未对评审文件、技术规格及标准、项目招标需求、合同主要内容等提出偏离意见或澄清，将视同投标人同意上述文件的全部条款和要求。</w:t>
      </w:r>
    </w:p>
    <w:p>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szCs w:val="20"/>
        </w:rPr>
        <w:t>35、</w:t>
      </w:r>
      <w:bookmarkEnd w:id="154"/>
      <w:bookmarkEnd w:id="155"/>
      <w:bookmarkEnd w:id="156"/>
      <w:bookmarkEnd w:id="157"/>
      <w:bookmarkStart w:id="158" w:name="_Toc233274846"/>
      <w:bookmarkStart w:id="159" w:name="_Toc245897307"/>
      <w:bookmarkStart w:id="160" w:name="_Toc243907608"/>
      <w:bookmarkStart w:id="161" w:name="_Toc243906347"/>
      <w:r>
        <w:rPr>
          <w:rFonts w:hint="eastAsia" w:ascii="宋体" w:hAnsi="宋体" w:cs="宋体"/>
          <w:b/>
          <w:sz w:val="24"/>
        </w:rPr>
        <w:t>重大偏离</w:t>
      </w:r>
      <w:r>
        <w:rPr>
          <w:rFonts w:hint="eastAsia" w:asciiTheme="minorEastAsia" w:hAnsiTheme="minorEastAsia" w:eastAsiaTheme="minorEastAsia" w:cstheme="minorEastAsia"/>
          <w:b/>
          <w:sz w:val="24"/>
        </w:rPr>
        <w:t>与</w:t>
      </w:r>
      <w:r>
        <w:rPr>
          <w:rFonts w:hint="eastAsia" w:ascii="宋体" w:hAnsi="宋体" w:cs="宋体"/>
          <w:b/>
          <w:sz w:val="24"/>
        </w:rPr>
        <w:t>细微偏差修正</w:t>
      </w:r>
    </w:p>
    <w:p>
      <w:pPr>
        <w:widowControl/>
        <w:spacing w:line="440" w:lineRule="exact"/>
        <w:ind w:left="-84" w:leftChars="-40" w:firstLine="600" w:firstLineChars="25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35.1重大偏离是指实质上影响合同的招标范围、质量和供货期等，或者实质上不满足招标文件的要求，而且限制了招标人的权力或减轻了投标人的义务。纠正或承认这些偏离将会对其他实质上响应要求的投标人合理的竞争地位产生不公正的影响。</w:t>
      </w:r>
    </w:p>
    <w:p>
      <w:pPr>
        <w:widowControl/>
        <w:spacing w:line="440" w:lineRule="exact"/>
        <w:ind w:left="-84" w:leftChars="-40" w:firstLine="600" w:firstLineChars="250"/>
        <w:rPr>
          <w:rFonts w:ascii="宋体" w:hAnsi="宋体" w:cs="宋体"/>
          <w:sz w:val="24"/>
        </w:rPr>
      </w:pPr>
      <w:r>
        <w:rPr>
          <w:rFonts w:hint="eastAsia" w:asciiTheme="minorEastAsia" w:hAnsiTheme="minorEastAsia" w:eastAsiaTheme="minorEastAsia" w:cstheme="minorEastAsia"/>
          <w:bCs/>
          <w:sz w:val="24"/>
          <w:szCs w:val="20"/>
        </w:rPr>
        <w:t>35.2</w:t>
      </w:r>
      <w:r>
        <w:rPr>
          <w:rFonts w:hint="eastAsia" w:ascii="宋体" w:hAnsi="宋体" w:cs="宋体"/>
          <w:bCs/>
          <w:sz w:val="24"/>
        </w:rPr>
        <w:t>细微</w:t>
      </w:r>
      <w:r>
        <w:rPr>
          <w:rFonts w:hint="eastAsia" w:ascii="宋体" w:hAnsi="宋体" w:cs="宋体"/>
          <w:sz w:val="24"/>
        </w:rPr>
        <w:t>偏差是指经评标委员会确认的符合性投标文件虽然实质上响应招标文件要求，但个别地方存在遗漏或者提供了不完整的技术信息及数据，并且修正这些遗漏或者不完整不会更改投标文件的实质性内容。</w:t>
      </w:r>
    </w:p>
    <w:p>
      <w:pPr>
        <w:spacing w:line="440" w:lineRule="exact"/>
        <w:ind w:firstLine="480" w:firstLineChars="200"/>
        <w:rPr>
          <w:rFonts w:asciiTheme="minorEastAsia" w:hAnsiTheme="minorEastAsia" w:eastAsiaTheme="minorEastAsia" w:cstheme="minorEastAsia"/>
          <w:bCs/>
          <w:sz w:val="24"/>
          <w:szCs w:val="20"/>
        </w:rPr>
      </w:pPr>
      <w:r>
        <w:rPr>
          <w:rFonts w:hint="eastAsia" w:ascii="宋体" w:hAnsi="宋体" w:cs="宋体"/>
          <w:sz w:val="24"/>
        </w:rPr>
        <w:t>35.3经评标委员会确认存在细微偏差的投标文件，评标委员会可以于评标结果宣布之前要求投标人对投标文件中存在的细微偏差进行修正，若投标人拒绝修正，其投标文件将被拒绝。</w:t>
      </w:r>
    </w:p>
    <w:p>
      <w:pPr>
        <w:spacing w:line="440" w:lineRule="exact"/>
        <w:ind w:firstLine="482" w:firstLineChars="200"/>
        <w:outlineLvl w:val="1"/>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36、</w:t>
      </w:r>
      <w:bookmarkEnd w:id="158"/>
      <w:bookmarkEnd w:id="159"/>
      <w:bookmarkEnd w:id="160"/>
      <w:bookmarkEnd w:id="161"/>
      <w:r>
        <w:rPr>
          <w:rFonts w:hint="eastAsia" w:asciiTheme="minorEastAsia" w:hAnsiTheme="minorEastAsia" w:eastAsiaTheme="minorEastAsia" w:cstheme="minorEastAsia"/>
          <w:b/>
          <w:sz w:val="24"/>
          <w:szCs w:val="20"/>
        </w:rPr>
        <w:t>无效投标文件</w:t>
      </w:r>
    </w:p>
    <w:p>
      <w:pPr>
        <w:spacing w:line="440" w:lineRule="exact"/>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rPr>
        <w:t>投标文件有下列情形之一的，由评审小组评审后按无效投标文件处理：</w:t>
      </w:r>
    </w:p>
    <w:p>
      <w:pPr>
        <w:spacing w:line="44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36.1</w:t>
      </w:r>
      <w:r>
        <w:rPr>
          <w:rFonts w:hint="eastAsia" w:asciiTheme="minorEastAsia" w:hAnsiTheme="minorEastAsia" w:eastAsiaTheme="minorEastAsia" w:cstheme="minorEastAsia"/>
          <w:bCs/>
          <w:kern w:val="0"/>
          <w:sz w:val="24"/>
        </w:rPr>
        <w:t>投标人的商务报价高于招标项目预算；</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36.2投标文件附有招标人不能接受条件的；</w:t>
      </w:r>
    </w:p>
    <w:p>
      <w:pPr>
        <w:widowControl/>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36.3出现重大偏离的；</w:t>
      </w:r>
    </w:p>
    <w:p>
      <w:pPr>
        <w:widowControl/>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36.4对招标文件提出的实质性要求和条件未能实质性投标；</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36.5《中华人民共和国政府采购法》、《中华人民共和国政府采购实施条例》、及相关法律法规及评审文件明确规定可以作无效投标的其他情形。</w:t>
      </w:r>
    </w:p>
    <w:p>
      <w:pPr>
        <w:spacing w:line="440" w:lineRule="exact"/>
        <w:ind w:firstLine="482" w:firstLineChars="200"/>
        <w:outlineLvl w:val="1"/>
        <w:rPr>
          <w:rFonts w:asciiTheme="minorEastAsia" w:hAnsiTheme="minorEastAsia" w:eastAsiaTheme="minorEastAsia" w:cstheme="minorEastAsia"/>
          <w:b/>
          <w:sz w:val="24"/>
          <w:szCs w:val="20"/>
        </w:rPr>
      </w:pPr>
      <w:bookmarkStart w:id="162" w:name="_Toc243907609"/>
      <w:bookmarkStart w:id="163" w:name="_Toc233274847"/>
      <w:bookmarkStart w:id="164" w:name="_Toc245897308"/>
      <w:bookmarkStart w:id="165" w:name="_Toc243906348"/>
      <w:r>
        <w:rPr>
          <w:rFonts w:hint="eastAsia" w:asciiTheme="minorEastAsia" w:hAnsiTheme="minorEastAsia" w:eastAsiaTheme="minorEastAsia" w:cstheme="minorEastAsia"/>
          <w:b/>
          <w:sz w:val="24"/>
          <w:szCs w:val="20"/>
        </w:rPr>
        <w:t>37、评审</w:t>
      </w:r>
      <w:bookmarkEnd w:id="162"/>
      <w:bookmarkEnd w:id="163"/>
      <w:bookmarkEnd w:id="164"/>
      <w:bookmarkEnd w:id="165"/>
      <w:r>
        <w:rPr>
          <w:rFonts w:hint="eastAsia" w:asciiTheme="minorEastAsia" w:hAnsiTheme="minorEastAsia" w:eastAsiaTheme="minorEastAsia" w:cstheme="minorEastAsia"/>
          <w:b/>
          <w:sz w:val="24"/>
          <w:szCs w:val="20"/>
        </w:rPr>
        <w:t>标准</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bCs/>
          <w:sz w:val="24"/>
          <w:szCs w:val="20"/>
        </w:rPr>
        <w:t>37.1本项目评审采用综合评分法，</w:t>
      </w:r>
      <w:r>
        <w:rPr>
          <w:rFonts w:hint="eastAsia" w:asciiTheme="minorEastAsia" w:hAnsiTheme="minorEastAsia" w:eastAsiaTheme="minorEastAsia" w:cstheme="minorEastAsia"/>
          <w:sz w:val="24"/>
          <w:szCs w:val="20"/>
        </w:rPr>
        <w:t>严格按照评审文件的要求和条件进行。</w:t>
      </w:r>
    </w:p>
    <w:p>
      <w:pPr>
        <w:spacing w:line="440" w:lineRule="exact"/>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37.2投标文件初审。初审分为资格性审查和符合性审查。投标文件初审</w:t>
      </w:r>
      <w:r>
        <w:rPr>
          <w:rFonts w:hint="eastAsia" w:asciiTheme="minorEastAsia" w:hAnsiTheme="minorEastAsia" w:eastAsiaTheme="minorEastAsia" w:cstheme="minorEastAsia"/>
          <w:bCs/>
          <w:sz w:val="24"/>
        </w:rPr>
        <w:t>由评审小组根据各投标人投标文件进行评审，</w:t>
      </w:r>
      <w:r>
        <w:rPr>
          <w:rFonts w:hint="eastAsia" w:asciiTheme="minorEastAsia" w:hAnsiTheme="minorEastAsia" w:eastAsiaTheme="minorEastAsia" w:cstheme="minorEastAsia"/>
          <w:bCs/>
          <w:sz w:val="24"/>
          <w:szCs w:val="20"/>
        </w:rPr>
        <w:t>初</w:t>
      </w:r>
      <w:r>
        <w:rPr>
          <w:rFonts w:hint="eastAsia" w:asciiTheme="minorEastAsia" w:hAnsiTheme="minorEastAsia" w:eastAsiaTheme="minorEastAsia" w:cstheme="minorEastAsia"/>
          <w:bCs/>
          <w:sz w:val="24"/>
        </w:rPr>
        <w:t>审内容详见第六章“评审标准（综合评分法）”。未通过初审的投标人其投标文件将按照无效处理。</w:t>
      </w:r>
    </w:p>
    <w:p>
      <w:pPr>
        <w:spacing w:line="440" w:lineRule="exact"/>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37.2.1资格性审查。依据法律法规和评审文件的规定，对投标文件中的资格证明等进行审查，以确定投标人是否具备评审资格。</w:t>
      </w:r>
    </w:p>
    <w:p>
      <w:pPr>
        <w:spacing w:line="440" w:lineRule="exact"/>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37.2.2符合性审查。依据评审文件的规定，从投标文件的有效性、完整性和对评审文件的投标程度进行审查，以确定是否对招标文件的实质性要求作出投标。</w:t>
      </w:r>
    </w:p>
    <w:p>
      <w:pPr>
        <w:spacing w:line="440" w:lineRule="exact"/>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37.2.2.1澄清有关问题。对投标文件中含义不明确、同类问题表述不一致或者有明显文字和计算错误的内容，评审小组可以书面形式要求投标人作出必要的澄清、说明或者纠正。投标人的澄清、说明或者补正应当采用书面形式，由其法定代表或委托代理人签字或盖章，并不得超出投标文件的范围或者改变投标文件的实质性内容。</w:t>
      </w:r>
    </w:p>
    <w:p>
      <w:pPr>
        <w:spacing w:line="440" w:lineRule="exact"/>
        <w:ind w:firstLine="480" w:firstLineChars="200"/>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Cs/>
          <w:sz w:val="24"/>
          <w:szCs w:val="20"/>
        </w:rPr>
        <w:t>37.3比较与评价。评审小组按招标文件中规定的评审方法和标准，对资格性检查和符合性检查合格的投标文件进行商务和技术评估，综合比较与评价</w:t>
      </w:r>
      <w:r>
        <w:rPr>
          <w:rFonts w:hint="eastAsia" w:asciiTheme="minorEastAsia" w:hAnsiTheme="minorEastAsia" w:eastAsiaTheme="minorEastAsia" w:cstheme="minorEastAsia"/>
          <w:b/>
          <w:sz w:val="24"/>
          <w:szCs w:val="20"/>
        </w:rPr>
        <w:t>。</w:t>
      </w:r>
    </w:p>
    <w:p>
      <w:pPr>
        <w:spacing w:line="440" w:lineRule="exact"/>
        <w:ind w:firstLine="482" w:firstLineChars="200"/>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37.4评审分值：具体评审评分内容详见本招标文件第六章“评审标准（综合评分法）”。</w:t>
      </w:r>
    </w:p>
    <w:p>
      <w:pPr>
        <w:spacing w:line="44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szCs w:val="20"/>
        </w:rPr>
        <w:t>37.5成交候选投标人</w:t>
      </w:r>
    </w:p>
    <w:p>
      <w:pPr>
        <w:spacing w:line="44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37.5.1各投标人的评审得分由高至低排序，评审得分排列前3名的投标人被推荐为成交入围候选投标人。评审得分相同的，按照最后报价由低到高的顺序推荐。评审得分且最后报价相同的，按照技术指标优劣顺序推荐。本项目入围2家投标人。</w:t>
      </w:r>
    </w:p>
    <w:p>
      <w:pPr>
        <w:spacing w:line="44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37.5.2评分计算结果保留两位小数，第三位小数四舍五入。</w:t>
      </w:r>
    </w:p>
    <w:p>
      <w:pPr>
        <w:spacing w:line="440" w:lineRule="exact"/>
        <w:ind w:firstLine="480" w:firstLineChars="200"/>
        <w:rPr>
          <w:rFonts w:asciiTheme="minorEastAsia" w:hAnsiTheme="minorEastAsia" w:eastAsiaTheme="minorEastAsia" w:cstheme="minorEastAsia"/>
          <w:bCs/>
          <w:sz w:val="24"/>
          <w:szCs w:val="20"/>
        </w:rPr>
      </w:pPr>
      <w:bookmarkStart w:id="166" w:name="_Toc245897309"/>
      <w:bookmarkStart w:id="167" w:name="_Toc243907610"/>
      <w:bookmarkStart w:id="168" w:name="_Toc233274848"/>
      <w:bookmarkStart w:id="169" w:name="_Toc243906349"/>
      <w:r>
        <w:rPr>
          <w:rFonts w:hint="eastAsia" w:asciiTheme="minorEastAsia" w:hAnsiTheme="minorEastAsia" w:eastAsiaTheme="minorEastAsia" w:cstheme="minorEastAsia"/>
          <w:bCs/>
          <w:sz w:val="24"/>
        </w:rPr>
        <w:t>37.6</w:t>
      </w:r>
      <w:r>
        <w:rPr>
          <w:rFonts w:hint="eastAsia" w:asciiTheme="minorEastAsia" w:hAnsiTheme="minorEastAsia" w:eastAsiaTheme="minorEastAsia" w:cstheme="minorEastAsia"/>
          <w:bCs/>
          <w:sz w:val="24"/>
          <w:szCs w:val="20"/>
        </w:rPr>
        <w:t>评审小组复核。评审小组评分汇总结束后，评审小组应当进行评审复核，对拟推荐为成交入围候选投标人的、报价最低的、投标人资格审查未通过的、投标人投标文件作无效处理的重点复核。</w:t>
      </w:r>
    </w:p>
    <w:p>
      <w:pPr>
        <w:spacing w:line="440" w:lineRule="exact"/>
        <w:ind w:firstLine="555"/>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37.7招标人根据评审小组推荐的成交入围候选投标人及有关规定确定成交入围投标人。</w:t>
      </w:r>
    </w:p>
    <w:p>
      <w:pPr>
        <w:spacing w:line="440" w:lineRule="exact"/>
        <w:ind w:firstLine="480" w:firstLineChars="200"/>
        <w:outlineLvl w:val="1"/>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38、招标人依法接受和拒绝任一或所有投标人的权力</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招标人保留确定成交入围投标人之前的任何时候依法接受或拒绝任一或所有投标人的权力，对受影响的投标人不承担任何责任，也无义务向受影响的投标人解释采取这一行动的理由。</w:t>
      </w:r>
    </w:p>
    <w:p>
      <w:pPr>
        <w:spacing w:line="440" w:lineRule="exact"/>
        <w:ind w:firstLine="480" w:firstLineChars="200"/>
        <w:outlineLvl w:val="1"/>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39、</w:t>
      </w:r>
      <w:bookmarkEnd w:id="166"/>
      <w:bookmarkEnd w:id="167"/>
      <w:bookmarkEnd w:id="168"/>
      <w:bookmarkEnd w:id="169"/>
      <w:r>
        <w:rPr>
          <w:rFonts w:hint="eastAsia" w:asciiTheme="minorEastAsia" w:hAnsiTheme="minorEastAsia" w:eastAsiaTheme="minorEastAsia" w:cstheme="minorEastAsia"/>
          <w:sz w:val="24"/>
          <w:szCs w:val="20"/>
        </w:rPr>
        <w:t>成交入围通知书</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39.1招标人确定成交入围投标人后，及时通知招标代理机构，招标代理机构将按程序公告成交结果，同时向成交入围投标人发出成交入围通知书，成交入围通知书一经发出即发生法律效力。</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39.2《成交入围通知书》将是合同的组成部分。</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39.3招标人将通知其他未成交入围的投标人。</w:t>
      </w:r>
    </w:p>
    <w:p>
      <w:pPr>
        <w:spacing w:line="440" w:lineRule="exact"/>
        <w:ind w:firstLine="480" w:firstLineChars="200"/>
        <w:outlineLvl w:val="1"/>
        <w:rPr>
          <w:rFonts w:asciiTheme="minorEastAsia" w:hAnsiTheme="minorEastAsia" w:eastAsiaTheme="minorEastAsia" w:cstheme="minorEastAsia"/>
          <w:sz w:val="24"/>
          <w:szCs w:val="20"/>
        </w:rPr>
      </w:pPr>
      <w:bookmarkStart w:id="170" w:name="_Toc243906350"/>
      <w:bookmarkStart w:id="171" w:name="_Toc245897310"/>
      <w:bookmarkStart w:id="172" w:name="_Toc243907611"/>
      <w:bookmarkStart w:id="173" w:name="_Toc233274849"/>
      <w:r>
        <w:rPr>
          <w:rFonts w:hint="eastAsia" w:asciiTheme="minorEastAsia" w:hAnsiTheme="minorEastAsia" w:eastAsiaTheme="minorEastAsia" w:cstheme="minorEastAsia"/>
          <w:sz w:val="24"/>
          <w:szCs w:val="20"/>
        </w:rPr>
        <w:t>40、纪律与保密事项</w:t>
      </w:r>
      <w:bookmarkEnd w:id="170"/>
      <w:bookmarkEnd w:id="171"/>
      <w:bookmarkEnd w:id="172"/>
      <w:bookmarkEnd w:id="173"/>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40.1凡参与评审工作的有关人员均应自觉接受有关主管部门的监督，不得向他人透露可能影响公平竞争的有关招标的其他情况。</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40.2领取本招标文件及其它相关资料者，应对文件进行保密，不得用作本次招标以外的任何用途。由招标人向投标人提供的图纸、技术资料和所有其它资料，均视为保密资料，除非得到招标人的同意，不得向第三方透露。</w:t>
      </w:r>
    </w:p>
    <w:p>
      <w:pPr>
        <w:spacing w:line="440" w:lineRule="exact"/>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40.3投标人不得与招标人串通招标，不得向招标人或者评审小组成员行贿谋取成交入围，不得以他人名义参与招标或者以其它任何方式弄虚作假骗取参与招标。投标人不得以任何方式干扰、影响评审工作</w:t>
      </w:r>
      <w:r>
        <w:rPr>
          <w:rFonts w:hint="eastAsia" w:asciiTheme="minorEastAsia" w:hAnsiTheme="minorEastAsia" w:eastAsiaTheme="minorEastAsia" w:cstheme="minorEastAsia"/>
          <w:b/>
          <w:bCs/>
          <w:sz w:val="24"/>
        </w:rPr>
        <w:t>。</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40.4投标人不得在招标过程中互相串通、结盟、损害招标的公正性和竞争性，或以任何方式影响其他投标人参与正当招标。扰乱招标市场，破坏公平竞争原则。如投标人在招标过程中互相串通，一经查实，将取消招标资格。</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40.5 招标之日起直至授予成交入围投标人合同为止，凡属于对投标文件的审查、澄清、评价、比较有关的资料和成交入围候选人的推荐情况及与评审有关的其他任何情况均严格保密。</w:t>
      </w:r>
    </w:p>
    <w:p>
      <w:pPr>
        <w:spacing w:line="44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40.6从招标之日起至授予合同期间，投标人试图向招标小组、招标代理机构施加任何影响或对招标人的比较及授予合同的决定进行影响，都可能导致其投标文件被拒绝。</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40.7除投标人被要求对投标文件进行澄清外，从招标之时起至授予合同期间，投标人不得就与其投标文件有关的事项主动与招标小组、招标代理机构以及招标人联系。</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40.8成交入围投标人确定后，招标人不对未投标人就评审过程以及未能成交入围原因作出任何解释，未成交入围投标人不得向招标小组或其他有关人员询问评审过程的情况和索取评审过程的资料。</w:t>
      </w:r>
    </w:p>
    <w:p>
      <w:pPr>
        <w:pStyle w:val="11"/>
        <w:spacing w:line="440" w:lineRule="exact"/>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F   授予合同</w:t>
      </w:r>
    </w:p>
    <w:p>
      <w:pPr>
        <w:pStyle w:val="11"/>
        <w:spacing w:line="440" w:lineRule="exact"/>
        <w:ind w:firstLine="480" w:firstLineChars="200"/>
        <w:outlineLvl w:val="1"/>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41、授予合同标准</w:t>
      </w:r>
    </w:p>
    <w:p>
      <w:pPr>
        <w:pStyle w:val="11"/>
        <w:spacing w:line="44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41.1本招标项目的招标合同将授予按本须知第37.7条所确定成交入围投标人。</w:t>
      </w:r>
    </w:p>
    <w:p>
      <w:pPr>
        <w:pStyle w:val="11"/>
        <w:spacing w:line="440" w:lineRule="exact"/>
        <w:ind w:firstLine="480" w:firstLineChars="200"/>
        <w:outlineLvl w:val="1"/>
        <w:rPr>
          <w:rFonts w:asciiTheme="minorEastAsia" w:hAnsiTheme="minorEastAsia" w:eastAsiaTheme="minorEastAsia" w:cstheme="minorEastAsia"/>
          <w:sz w:val="24"/>
        </w:rPr>
      </w:pPr>
      <w:bookmarkStart w:id="174" w:name="_Toc243907620"/>
      <w:bookmarkStart w:id="175" w:name="_Toc243906357"/>
      <w:bookmarkStart w:id="176" w:name="_Toc245897317"/>
      <w:bookmarkStart w:id="177" w:name="_Toc233274855"/>
      <w:r>
        <w:rPr>
          <w:rFonts w:hint="eastAsia" w:asciiTheme="minorEastAsia" w:hAnsiTheme="minorEastAsia" w:eastAsiaTheme="minorEastAsia" w:cstheme="minorEastAsia"/>
          <w:sz w:val="24"/>
        </w:rPr>
        <w:t>42、签订合同</w:t>
      </w:r>
      <w:bookmarkEnd w:id="174"/>
      <w:bookmarkEnd w:id="175"/>
      <w:bookmarkEnd w:id="176"/>
      <w:bookmarkEnd w:id="177"/>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42.1成交入围投标人应当自成交入围通知书发出之日起三十日内，按照招标文件和成交入围投标人的投标文件订立书面合同。成交入围投标人不得要求订立背离本投标文件合同主要内容等投标文件实质性内容的其他协议。</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42.2 成交入围通知书、成交入围投标人的投标文件及其澄清文件、技术规范及标准、项目招标需求、本招标文件（含修改文件或补充文件）及答疑纪要等，均为签订合同的依据。</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42.3招标人如不按本须知42.1条规定与成交入围投标人签订合同，或者招标人、成交入围投标人签订背离合同实质性内容的协议，由监督管理部门责令其改正。</w:t>
      </w:r>
    </w:p>
    <w:p>
      <w:pPr>
        <w:pStyle w:val="11"/>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42.4成交入围投标人如不按本须知42.1条规定与招标人签订合同，则按违约处理，招标人将有权取消成交入围投标人资格，给招标人造成损失的，还应当予以赔偿，同时依法承担相应的法律责任。</w:t>
      </w:r>
    </w:p>
    <w:p>
      <w:pPr>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42.5成交入围投标人</w:t>
      </w:r>
      <w:r>
        <w:rPr>
          <w:rFonts w:hint="eastAsia" w:asciiTheme="minorEastAsia" w:hAnsiTheme="minorEastAsia" w:eastAsiaTheme="minorEastAsia" w:cstheme="minorEastAsia"/>
          <w:sz w:val="24"/>
          <w:szCs w:val="20"/>
        </w:rPr>
        <w:t>因不可抗力或者自身原因不能履行政府招标合同的，招标人可以按照评审报告推荐的成交入围候选人名单排序，确定下一候选人为成交入围投标人，也可以重新开展政府招标活动。</w:t>
      </w:r>
    </w:p>
    <w:p>
      <w:pPr>
        <w:spacing w:line="440" w:lineRule="exact"/>
        <w:ind w:firstLine="480" w:firstLineChars="200"/>
        <w:outlineLvl w:val="1"/>
        <w:rPr>
          <w:rFonts w:asciiTheme="minorEastAsia" w:hAnsiTheme="minorEastAsia" w:eastAsiaTheme="minorEastAsia" w:cstheme="minorEastAsia"/>
        </w:rPr>
      </w:pPr>
      <w:bookmarkStart w:id="178" w:name="_Toc245897318"/>
      <w:bookmarkStart w:id="179" w:name="_Toc243907621"/>
      <w:r>
        <w:rPr>
          <w:rFonts w:hint="eastAsia" w:asciiTheme="minorEastAsia" w:hAnsiTheme="minorEastAsia" w:eastAsiaTheme="minorEastAsia" w:cstheme="minorEastAsia"/>
          <w:sz w:val="24"/>
        </w:rPr>
        <w:t>43、合同的签订准则</w:t>
      </w:r>
      <w:bookmarkEnd w:id="178"/>
      <w:bookmarkEnd w:id="179"/>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43.1合同签订必须由招标人、成交入围投标人双方法定代表或其委托代理人签署并加盖法人公章后方能生效。</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43.2合同转包（实质性要求）</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招标项目严禁成交入围投标人将任何政府采购合同义务转包。本项目所称转包，是指成交入围投标人将政府招标合同义务转让给第三人，并退出现有政府采购合同当事人双方的权利义务关系，受让人（即第三人）成为政府招标合同的另一方当事人的行为。</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成交入围投标人转包的，视同拒绝履行政府招标合同义务，将依法追究法律责任。</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43.3补充合同</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招标合同履行过程中，招标人需要追加与合同标的相同服务的，在不改变合同其他条款的前提下，可以与成交入围投标人协商签订补充合同，但所有补充合同的招标金额不得超过原合同招标金额的百分之十，该补充合同应当在原政府招标合同履行过程中，不得在原政府招标合同履行结束后，且招标和服务的名称、价格、履约方式、验收标准等必须与原政府招标合同一致。 </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44、验收</w:t>
      </w:r>
    </w:p>
    <w:p>
      <w:pPr>
        <w:spacing w:line="440" w:lineRule="exact"/>
        <w:ind w:firstLine="360" w:firstLineChars="150"/>
        <w:jc w:val="left"/>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 w:val="24"/>
        </w:rPr>
        <w:t>44.1本项目招标人将严格按照政府采购相关法律法规以及《克拉玛依市政府采购项目需求论证和履约验收管理办法》（克财发〔2016〕9号）的要求进行验收。</w:t>
      </w:r>
    </w:p>
    <w:p>
      <w:pPr>
        <w:snapToGrid w:val="0"/>
        <w:spacing w:line="440" w:lineRule="exact"/>
        <w:ind w:firstLine="562" w:firstLineChars="200"/>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G  询问、质疑、投诉</w:t>
      </w:r>
    </w:p>
    <w:p>
      <w:pPr>
        <w:snapToGrid w:val="0"/>
        <w:spacing w:line="44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45、询问</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45.1投标人对招标活动事项有疑问的，可以向招标人或招标代理机构提出询问，招标人或招标代理机构应当在三个工作日内对投标人依法提出的询问作出答复，但答复的内容不得涉及商业秘密。</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46、质疑</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46.1 投标人认为招标文件、招标过程和成交入围、成交结果使自己的合法权益受到损害的，可以在知道或者应知其权益受到损害之日起七个工作日内，将质疑文件原件和必要的证明材料送达招标代理机构。</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46.2投标人认为招标文件技术指标、参数、评分标准有质疑，向招标人提出，由招标人按相关规定作出答复或委托招标代理机构代为答复。投标人如对招标过程和招标结果有质疑，向招标代理机构提出，由招标代理机构按相关规定作出答复。</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46.3上述应知其权益受到损害之日是指：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（1）对招标文件提出质疑的，为招标文件公告期限届满之日起计算；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（2）对招标过程提出质疑的，自招标程序环节结束之日起计算；</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（3）对中标或者成交结果提出质疑的，自中标或者成交结果公告期限届满之日起计算。</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46.4质疑投标人在法定质疑期内应当一次性提出针对同一招标环节提出质疑。</w:t>
      </w:r>
    </w:p>
    <w:p>
      <w:pPr>
        <w:spacing w:line="44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46.5质疑文件应包括以下主要内容，并按照“谁主张、谁举证”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r>
        <w:rPr>
          <w:rFonts w:hint="eastAsia" w:asciiTheme="minorEastAsia" w:hAnsiTheme="minorEastAsia" w:eastAsiaTheme="minorEastAsia" w:cstheme="minorEastAsia"/>
          <w:b/>
          <w:sz w:val="24"/>
        </w:rPr>
        <w:t>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（1）投标人的姓名或者名称、地址、邮编、联系人及联系电话（包括座机、手机、传真号码等）；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（2）质疑项目的名称、项目编号、包号、采购公告发布时间、递交投标文件或投标文件截止时间；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（3）具体、明确的质疑事项和与质疑事项相关的请求；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（4）事实依据（具体条款，认为自己合法权益受到损害或可能受到损害的相关证据材料。如涉及到产品功能或技术指标的）；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（5）必要的法律依据；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（6）提起质疑的日期；</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（8）投标人委托代理质疑的，应当提交授权委托书，并载明代理人的姓名或者名称、代理事项、 具体权限、期限和相关事项。</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46.6质疑投标人是指直接参加本项目采购活动的投标人，未参加政府采购活动的投标人或在采购活动中自身权益未受到损害的投标人所提出的质疑不予受理。</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46.7招标人、采购代理机构在收到投标人的书面质疑后将及时组织调查核实，在七个工作日内作出答复，并以书面形式通知质疑投标人和其他有关投标人，答复的内容不涉及商业秘密。</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47、投诉</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45.1质疑投标人对招标人、招标代理机构的答复不满意，或招标人、招标代理机构未在规定的时间内作出答复的，可以在答复期满后十五个工作日内向招标项目同级财政部门提起投诉。</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45.2投标人投诉的事项不得超出已质疑事项的范围，但基于质疑答复内容提出的投诉事项除外。</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46、诚实信用</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46.1投标人不得虚假质疑和恶意质疑，并对质疑内容的真实性承担责任。</w:t>
      </w:r>
    </w:p>
    <w:p>
      <w:pPr>
        <w:spacing w:line="440" w:lineRule="exact"/>
        <w:ind w:firstLine="480" w:firstLineChars="200"/>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 w:val="24"/>
        </w:rPr>
        <w:t>46.2 投标人不得虚假承诺，否则，按照提供虚假材料谋取中标或成交处理。</w:t>
      </w:r>
    </w:p>
    <w:p>
      <w:pPr>
        <w:snapToGrid w:val="0"/>
        <w:spacing w:line="440" w:lineRule="exact"/>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H   义务、工作纪律</w:t>
      </w:r>
    </w:p>
    <w:p>
      <w:pPr>
        <w:tabs>
          <w:tab w:val="left" w:pos="7665"/>
        </w:tabs>
        <w:spacing w:line="44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47、评审小组在政府招标活动中承担以下义务：</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（一）遵守评审工作纪律；</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（二）按照客观、公正、审慎的原则，根据招标文件规定的评审程序、评审方法和评审标准进行独立评审；</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（三）不得泄露评审文件、评审情况和在评审过程中获悉的商业秘密；</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（四）及时向财政部门报告评审过程中发现的招标人、招标代理机构向评审专家做倾向性、误导性的解释或者说明，以及投标人行贿、提供虚假材料或者串通等违法行为；</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（五）发现招标文件内容违反国家有关强制性规定或者招标文件存在歧义、重大缺陷导致评审工作无法进行时，停止评审并向招标人或者招标代理机构书面说明情况；</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（六）及时向财政、监察等部门举报在评审过程中受到非法干预的情况；</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（七）配合答复处理投标人的询问、质疑和投诉等事项；</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（八）法律、法规和规章规定的其他义务。</w:t>
      </w:r>
    </w:p>
    <w:p>
      <w:pPr>
        <w:tabs>
          <w:tab w:val="left" w:pos="7665"/>
        </w:tabs>
        <w:spacing w:line="44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48、评审专家在政府招标活动中应当遵守以下工作纪律</w:t>
      </w:r>
      <w:r>
        <w:rPr>
          <w:rFonts w:hint="eastAsia" w:asciiTheme="minorEastAsia" w:hAnsiTheme="minorEastAsia" w:eastAsiaTheme="minorEastAsia" w:cstheme="minorEastAsia"/>
          <w:sz w:val="24"/>
        </w:rPr>
        <w:t>：</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（二）评审前，应当将通讯工具或者相关电子设备交由招标代理机构统一保管；</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（三）评审过程中，不得与外界联系，因发生不可预见情况，确实需要与外界联系的，应当在监督人员监督之下办理；</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评审过程中，不得发表影响评审公正的倾向性、歧视性言论，不得征询或者接受招标人的倾向性意见，不得明示或暗示投标人在澄清时表达与其投标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（五）在评审过程中和评审结束后，不得记录、复制或带走任何评审资料，不得向外界透露评审内容；</w:t>
      </w:r>
    </w:p>
    <w:p>
      <w:pPr>
        <w:tabs>
          <w:tab w:val="left" w:pos="766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（六）评审现场服从招标代理机构工作人员的管理，接受现场监督人员的合法监督；</w:t>
      </w:r>
    </w:p>
    <w:p>
      <w:pPr>
        <w:tabs>
          <w:tab w:val="left" w:pos="7665"/>
        </w:tabs>
        <w:spacing w:line="440" w:lineRule="exact"/>
        <w:ind w:firstLine="48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4"/>
        </w:rPr>
        <w:t>（七）遵守有关廉洁自律规定，不得私下接触投标人，不得收受投标人及有关业务单位和个人的财物或好处，不得接受招标代理机构的请托。</w:t>
      </w:r>
    </w:p>
    <w:p>
      <w:pPr>
        <w:tabs>
          <w:tab w:val="left" w:pos="7665"/>
        </w:tabs>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49、招标代理服务费</w:t>
      </w:r>
    </w:p>
    <w:p>
      <w:pPr>
        <w:tabs>
          <w:tab w:val="left" w:pos="7665"/>
        </w:tabs>
        <w:spacing w:line="360" w:lineRule="auto"/>
        <w:ind w:firstLine="480" w:firstLineChars="200"/>
        <w:rPr>
          <w:rFonts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4"/>
        </w:rPr>
        <w:t>49、1本项目招标代理费由成交入围单位进行支付，金额为人民币3000元/家。此部分费用投标人自行考虑计入本次投标报价中，不因投标人漏报或忽略而后期追加费用。</w:t>
      </w: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p>
    <w:p>
      <w:pPr>
        <w:pStyle w:val="11"/>
        <w:adjustRightInd w:val="0"/>
        <w:snapToGrid w:val="0"/>
        <w:spacing w:line="440" w:lineRule="exact"/>
        <w:rPr>
          <w:rFonts w:asciiTheme="minorEastAsia" w:hAnsiTheme="minorEastAsia" w:eastAsiaTheme="minorEastAsia" w:cstheme="minorEastAsia"/>
          <w:b/>
          <w:sz w:val="28"/>
          <w:szCs w:val="28"/>
        </w:rPr>
      </w:pPr>
    </w:p>
    <w:p>
      <w:pPr>
        <w:pStyle w:val="11"/>
        <w:adjustRightInd w:val="0"/>
        <w:snapToGrid w:val="0"/>
        <w:spacing w:line="440" w:lineRule="exac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第三章  项目招标技术需求</w:t>
      </w:r>
    </w:p>
    <w:p>
      <w:pPr>
        <w:spacing w:line="440" w:lineRule="exact"/>
        <w:ind w:firstLine="48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1、总则</w:t>
      </w:r>
    </w:p>
    <w:p>
      <w:pPr>
        <w:spacing w:line="440" w:lineRule="exact"/>
        <w:ind w:firstLine="48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1.1本章条款仅限于克拉玛依市排水管理处污水处理设施维修修缮及应急抢修队伍入围项目招标。</w:t>
      </w:r>
    </w:p>
    <w:p>
      <w:pPr>
        <w:spacing w:line="440" w:lineRule="exact"/>
        <w:ind w:firstLine="481"/>
        <w:rPr>
          <w:rFonts w:asciiTheme="minorEastAsia" w:hAnsiTheme="minorEastAsia" w:eastAsiaTheme="minorEastAsia" w:cstheme="minorEastAsia"/>
        </w:rPr>
      </w:pPr>
      <w:r>
        <w:rPr>
          <w:rFonts w:hint="eastAsia" w:asciiTheme="minorEastAsia" w:hAnsiTheme="minorEastAsia" w:eastAsiaTheme="minorEastAsia" w:cstheme="minorEastAsia"/>
          <w:sz w:val="24"/>
        </w:rPr>
        <w:t>1.2本章条款提出的是最低限度的技术要求，并未对一切技术细节做出规定，也未引述有关规范条文，投标人不得以本文件未提出要求为理由而规避国家和行业强制规范、标准的规定，投标人应保证提供符合本章条款和相关标准的合同服务。</w:t>
      </w:r>
    </w:p>
    <w:p>
      <w:pPr>
        <w:spacing w:line="440" w:lineRule="exact"/>
        <w:ind w:firstLine="481"/>
        <w:rPr>
          <w:rFonts w:asciiTheme="minorEastAsia" w:hAnsiTheme="minorEastAsia" w:eastAsiaTheme="minorEastAsia" w:cstheme="minorEastAsia"/>
        </w:rPr>
      </w:pPr>
      <w:r>
        <w:rPr>
          <w:rFonts w:hint="eastAsia" w:asciiTheme="minorEastAsia" w:hAnsiTheme="minorEastAsia" w:eastAsiaTheme="minorEastAsia" w:cstheme="minorEastAsia"/>
          <w:sz w:val="24"/>
        </w:rPr>
        <w:t>1.3如果投标人没有以书面形式对本章条款提出异议，招标人就可以认为投标人提供的服务符合本章条款的要求。</w:t>
      </w:r>
    </w:p>
    <w:p>
      <w:pPr>
        <w:adjustRightInd w:val="0"/>
        <w:snapToGrid w:val="0"/>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1.4投标人在投标文件中，应对竞争性招标文件中的服务标准、技术等进行详细的说明。</w:t>
      </w:r>
    </w:p>
    <w:p>
      <w:pPr>
        <w:spacing w:line="440" w:lineRule="exact"/>
        <w:ind w:firstLine="481"/>
        <w:rPr>
          <w:rFonts w:asciiTheme="minorEastAsia" w:hAnsiTheme="minorEastAsia" w:eastAsiaTheme="minorEastAsia" w:cstheme="minorEastAsia"/>
        </w:rPr>
      </w:pPr>
      <w:r>
        <w:rPr>
          <w:rFonts w:hint="eastAsia" w:asciiTheme="minorEastAsia" w:hAnsiTheme="minorEastAsia" w:eastAsiaTheme="minorEastAsia" w:cstheme="minorEastAsia"/>
          <w:sz w:val="24"/>
        </w:rPr>
        <w:t>1.5在签订合同之后，招标人有权提出因规范标准有变化而产生的一些补充要求。</w:t>
      </w:r>
    </w:p>
    <w:p>
      <w:pPr>
        <w:spacing w:line="440" w:lineRule="exact"/>
        <w:ind w:firstLine="48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4"/>
        </w:rPr>
        <w:t>1.6本章条款使用标准如与投标人所执行标准发生矛盾时，按较高标准执行。</w:t>
      </w:r>
    </w:p>
    <w:p>
      <w:pPr>
        <w:spacing w:line="440" w:lineRule="exact"/>
        <w:ind w:firstLine="482" w:firstLineChars="200"/>
        <w:rPr>
          <w:rFonts w:ascii="宋体" w:hAnsi="宋体" w:cs="宋体"/>
          <w:b/>
          <w:bCs/>
          <w:sz w:val="24"/>
        </w:rPr>
      </w:pPr>
      <w:r>
        <w:rPr>
          <w:rFonts w:hint="eastAsia" w:ascii="宋体" w:hAnsi="宋体" w:cs="宋体"/>
          <w:b/>
          <w:bCs/>
          <w:sz w:val="24"/>
        </w:rPr>
        <w:t>2、服务内容及要求</w:t>
      </w:r>
    </w:p>
    <w:p>
      <w:pPr>
        <w:spacing w:line="440" w:lineRule="exact"/>
        <w:ind w:firstLine="482" w:firstLineChars="200"/>
        <w:rPr>
          <w:rFonts w:ascii="宋体" w:hAnsi="宋体" w:cs="宋体"/>
          <w:b/>
          <w:sz w:val="24"/>
        </w:rPr>
      </w:pPr>
      <w:r>
        <w:rPr>
          <w:rFonts w:hint="eastAsia" w:ascii="宋体" w:hAnsi="宋体" w:cs="宋体"/>
          <w:b/>
          <w:sz w:val="24"/>
        </w:rPr>
        <w:t>2.1计划内维修修缮内容：</w:t>
      </w:r>
    </w:p>
    <w:p>
      <w:pPr>
        <w:spacing w:line="440" w:lineRule="exact"/>
        <w:ind w:firstLine="482" w:firstLineChars="200"/>
        <w:rPr>
          <w:rFonts w:ascii="宋体" w:hAnsi="宋体" w:cs="宋体"/>
          <w:b/>
          <w:sz w:val="24"/>
        </w:rPr>
      </w:pPr>
      <w:r>
        <w:rPr>
          <w:rFonts w:hint="eastAsia" w:ascii="宋体" w:hAnsi="宋体" w:cs="宋体"/>
          <w:b/>
          <w:sz w:val="24"/>
        </w:rPr>
        <w:t>2.1.1 南郊污水处理厂</w:t>
      </w:r>
    </w:p>
    <w:tbl>
      <w:tblPr>
        <w:tblStyle w:val="24"/>
        <w:tblW w:w="8983" w:type="dxa"/>
        <w:tblInd w:w="103" w:type="dxa"/>
        <w:tblLayout w:type="fixed"/>
        <w:tblCellMar>
          <w:top w:w="0" w:type="dxa"/>
          <w:left w:w="108" w:type="dxa"/>
          <w:bottom w:w="0" w:type="dxa"/>
          <w:right w:w="108" w:type="dxa"/>
        </w:tblCellMar>
      </w:tblPr>
      <w:tblGrid>
        <w:gridCol w:w="866"/>
        <w:gridCol w:w="3119"/>
        <w:gridCol w:w="720"/>
        <w:gridCol w:w="691"/>
        <w:gridCol w:w="3587"/>
      </w:tblGrid>
      <w:tr>
        <w:tblPrEx>
          <w:tblCellMar>
            <w:top w:w="0" w:type="dxa"/>
            <w:left w:w="108" w:type="dxa"/>
            <w:bottom w:w="0" w:type="dxa"/>
            <w:right w:w="108" w:type="dxa"/>
          </w:tblCellMar>
        </w:tblPrEx>
        <w:trPr>
          <w:trHeight w:val="518" w:hRule="atLeast"/>
          <w:tblHeader/>
        </w:trPr>
        <w:tc>
          <w:tcPr>
            <w:tcW w:w="86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Theme="minorEastAsia"/>
                <w:b/>
                <w:szCs w:val="21"/>
              </w:rPr>
            </w:pPr>
            <w:r>
              <w:rPr>
                <w:rFonts w:eastAsiaTheme="minorEastAsia"/>
                <w:b/>
                <w:szCs w:val="21"/>
              </w:rPr>
              <w:t>序号</w:t>
            </w:r>
          </w:p>
        </w:tc>
        <w:tc>
          <w:tcPr>
            <w:tcW w:w="311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Theme="minorEastAsia"/>
                <w:b/>
                <w:szCs w:val="21"/>
              </w:rPr>
            </w:pPr>
            <w:r>
              <w:rPr>
                <w:rFonts w:eastAsiaTheme="minorEastAsia"/>
                <w:b/>
                <w:szCs w:val="21"/>
              </w:rPr>
              <w:t>品名规格型号</w:t>
            </w:r>
          </w:p>
        </w:tc>
        <w:tc>
          <w:tcPr>
            <w:tcW w:w="720" w:type="dxa"/>
            <w:tcBorders>
              <w:top w:val="single" w:color="auto" w:sz="4" w:space="0"/>
              <w:left w:val="nil"/>
              <w:bottom w:val="single" w:color="auto" w:sz="4" w:space="0"/>
              <w:right w:val="single" w:color="auto" w:sz="4" w:space="0"/>
            </w:tcBorders>
            <w:vAlign w:val="center"/>
          </w:tcPr>
          <w:p>
            <w:pPr>
              <w:spacing w:line="440" w:lineRule="exact"/>
              <w:jc w:val="center"/>
              <w:rPr>
                <w:rFonts w:eastAsiaTheme="minorEastAsia"/>
                <w:b/>
                <w:szCs w:val="21"/>
              </w:rPr>
            </w:pPr>
            <w:r>
              <w:rPr>
                <w:rFonts w:eastAsiaTheme="minorEastAsia"/>
                <w:b/>
                <w:szCs w:val="21"/>
              </w:rPr>
              <w:t>单位</w:t>
            </w:r>
          </w:p>
        </w:tc>
        <w:tc>
          <w:tcPr>
            <w:tcW w:w="691" w:type="dxa"/>
            <w:tcBorders>
              <w:top w:val="single" w:color="auto" w:sz="4" w:space="0"/>
              <w:left w:val="nil"/>
              <w:bottom w:val="single" w:color="auto" w:sz="4" w:space="0"/>
              <w:right w:val="single" w:color="auto" w:sz="4" w:space="0"/>
            </w:tcBorders>
            <w:vAlign w:val="center"/>
          </w:tcPr>
          <w:p>
            <w:pPr>
              <w:spacing w:line="440" w:lineRule="exact"/>
              <w:jc w:val="center"/>
              <w:rPr>
                <w:rFonts w:eastAsiaTheme="minorEastAsia"/>
                <w:b/>
                <w:szCs w:val="21"/>
              </w:rPr>
            </w:pPr>
            <w:r>
              <w:rPr>
                <w:rFonts w:eastAsiaTheme="minorEastAsia"/>
                <w:b/>
                <w:szCs w:val="21"/>
              </w:rPr>
              <w:t>数量</w:t>
            </w:r>
          </w:p>
        </w:tc>
        <w:tc>
          <w:tcPr>
            <w:tcW w:w="3587" w:type="dxa"/>
            <w:tcBorders>
              <w:top w:val="single" w:color="auto" w:sz="4" w:space="0"/>
              <w:left w:val="nil"/>
              <w:bottom w:val="single" w:color="auto" w:sz="4" w:space="0"/>
              <w:right w:val="single" w:color="auto" w:sz="4" w:space="0"/>
            </w:tcBorders>
            <w:vAlign w:val="center"/>
          </w:tcPr>
          <w:p>
            <w:pPr>
              <w:spacing w:line="440" w:lineRule="exact"/>
              <w:jc w:val="center"/>
              <w:rPr>
                <w:rFonts w:eastAsiaTheme="minorEastAsia"/>
                <w:b/>
                <w:szCs w:val="21"/>
              </w:rPr>
            </w:pPr>
            <w:r>
              <w:rPr>
                <w:rFonts w:eastAsiaTheme="minorEastAsia"/>
                <w:b/>
                <w:szCs w:val="21"/>
              </w:rPr>
              <w:t>备注</w:t>
            </w:r>
          </w:p>
        </w:tc>
      </w:tr>
      <w:tr>
        <w:tblPrEx>
          <w:tblCellMar>
            <w:top w:w="0" w:type="dxa"/>
            <w:left w:w="108" w:type="dxa"/>
            <w:bottom w:w="0" w:type="dxa"/>
            <w:right w:w="108" w:type="dxa"/>
          </w:tblCellMar>
        </w:tblPrEx>
        <w:trPr>
          <w:trHeight w:val="462" w:hRule="atLeast"/>
        </w:trPr>
        <w:tc>
          <w:tcPr>
            <w:tcW w:w="866" w:type="dxa"/>
            <w:tcBorders>
              <w:top w:val="nil"/>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119" w:type="dxa"/>
            <w:tcBorders>
              <w:top w:val="nil"/>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厂区总进水沉砂池改造</w:t>
            </w:r>
          </w:p>
        </w:tc>
        <w:tc>
          <w:tcPr>
            <w:tcW w:w="720" w:type="dxa"/>
            <w:tcBorders>
              <w:top w:val="nil"/>
              <w:left w:val="nil"/>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座</w:t>
            </w:r>
          </w:p>
        </w:tc>
        <w:tc>
          <w:tcPr>
            <w:tcW w:w="691" w:type="dxa"/>
            <w:tcBorders>
              <w:top w:val="nil"/>
              <w:left w:val="nil"/>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587" w:type="dxa"/>
            <w:tcBorders>
              <w:top w:val="nil"/>
              <w:left w:val="nil"/>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含池体清淤及设备设施维修</w:t>
            </w:r>
          </w:p>
        </w:tc>
      </w:tr>
      <w:tr>
        <w:tblPrEx>
          <w:tblCellMar>
            <w:top w:w="0" w:type="dxa"/>
            <w:left w:w="108" w:type="dxa"/>
            <w:bottom w:w="0" w:type="dxa"/>
            <w:right w:w="108" w:type="dxa"/>
          </w:tblCellMar>
        </w:tblPrEx>
        <w:trPr>
          <w:trHeight w:val="455" w:hRule="atLeast"/>
        </w:trPr>
        <w:tc>
          <w:tcPr>
            <w:tcW w:w="866" w:type="dxa"/>
            <w:tcBorders>
              <w:top w:val="nil"/>
              <w:left w:val="single" w:color="auto" w:sz="4" w:space="0"/>
              <w:bottom w:val="single" w:color="auto" w:sz="4" w:space="0"/>
              <w:right w:val="single" w:color="auto" w:sz="4" w:space="0"/>
            </w:tcBorders>
            <w:vAlign w:val="center"/>
          </w:tcPr>
          <w:p>
            <w:pPr>
              <w:spacing w:line="440" w:lineRule="exact"/>
              <w:ind w:firstLine="481"/>
              <w:rPr>
                <w:rFonts w:asciiTheme="minorEastAsia" w:hAnsiTheme="minorEastAsia" w:eastAsiaTheme="minorEastAsia" w:cstheme="minorEastAsia"/>
                <w:sz w:val="24"/>
              </w:rPr>
            </w:pPr>
          </w:p>
        </w:tc>
        <w:tc>
          <w:tcPr>
            <w:tcW w:w="3119" w:type="dxa"/>
            <w:tcBorders>
              <w:top w:val="nil"/>
              <w:left w:val="single" w:color="auto" w:sz="4" w:space="0"/>
              <w:bottom w:val="single" w:color="auto" w:sz="4" w:space="0"/>
              <w:right w:val="single" w:color="auto" w:sz="4" w:space="0"/>
            </w:tcBorders>
            <w:vAlign w:val="center"/>
          </w:tcPr>
          <w:p>
            <w:pPr>
              <w:spacing w:line="440" w:lineRule="exact"/>
              <w:ind w:firstLine="48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720" w:type="dxa"/>
            <w:tcBorders>
              <w:top w:val="nil"/>
              <w:left w:val="nil"/>
              <w:bottom w:val="single" w:color="auto" w:sz="4" w:space="0"/>
              <w:right w:val="single" w:color="auto" w:sz="4" w:space="0"/>
            </w:tcBorders>
            <w:vAlign w:val="center"/>
          </w:tcPr>
          <w:p>
            <w:pPr>
              <w:spacing w:line="440" w:lineRule="exact"/>
              <w:ind w:firstLine="481"/>
              <w:rPr>
                <w:rFonts w:asciiTheme="minorEastAsia" w:hAnsiTheme="minorEastAsia" w:eastAsiaTheme="minorEastAsia" w:cstheme="minorEastAsia"/>
                <w:sz w:val="24"/>
              </w:rPr>
            </w:pPr>
          </w:p>
        </w:tc>
        <w:tc>
          <w:tcPr>
            <w:tcW w:w="691" w:type="dxa"/>
            <w:tcBorders>
              <w:top w:val="nil"/>
              <w:left w:val="nil"/>
              <w:bottom w:val="single" w:color="auto" w:sz="4" w:space="0"/>
              <w:right w:val="single" w:color="auto" w:sz="4" w:space="0"/>
            </w:tcBorders>
            <w:vAlign w:val="center"/>
          </w:tcPr>
          <w:p>
            <w:pPr>
              <w:spacing w:line="440" w:lineRule="exact"/>
              <w:ind w:firstLine="481"/>
              <w:rPr>
                <w:rFonts w:asciiTheme="minorEastAsia" w:hAnsiTheme="minorEastAsia" w:eastAsiaTheme="minorEastAsia" w:cstheme="minorEastAsia"/>
                <w:sz w:val="24"/>
              </w:rPr>
            </w:pPr>
          </w:p>
        </w:tc>
        <w:tc>
          <w:tcPr>
            <w:tcW w:w="3587" w:type="dxa"/>
            <w:tcBorders>
              <w:top w:val="nil"/>
              <w:left w:val="nil"/>
              <w:bottom w:val="single" w:color="auto" w:sz="4" w:space="0"/>
              <w:right w:val="single" w:color="auto" w:sz="4" w:space="0"/>
            </w:tcBorders>
            <w:vAlign w:val="center"/>
          </w:tcPr>
          <w:p>
            <w:pPr>
              <w:spacing w:line="440" w:lineRule="exact"/>
              <w:ind w:firstLine="481"/>
              <w:rPr>
                <w:rFonts w:asciiTheme="minorEastAsia" w:hAnsiTheme="minorEastAsia" w:eastAsiaTheme="minorEastAsia" w:cstheme="minorEastAsia"/>
                <w:sz w:val="24"/>
              </w:rPr>
            </w:pPr>
          </w:p>
        </w:tc>
      </w:tr>
    </w:tbl>
    <w:p>
      <w:pPr>
        <w:spacing w:line="440" w:lineRule="exact"/>
        <w:ind w:firstLine="48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 1 \* GB2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⑴</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厂区总进水沉砂池改造</w:t>
      </w:r>
    </w:p>
    <w:p>
      <w:pPr>
        <w:spacing w:line="440" w:lineRule="exact"/>
        <w:ind w:firstLine="48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南郊污水处理厂设置厂区总进水沉砂池两座，主要工作：拆除沉砂池顶部混凝土浇筑盖顶，清除池底淤泥，加盖活动式盖顶，维修检查井，新建旁通管线及附属设施，要求：池底底泥清理干净，活动盖顶开关方便便于定期清砂，维修检查井，新建旁通管线及附属设施系统调试运行正常。</w:t>
      </w:r>
    </w:p>
    <w:p>
      <w:pPr>
        <w:spacing w:line="440" w:lineRule="exact"/>
        <w:ind w:firstLine="48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要求：混凝土基座与现有设备高度配合一致，附属设施安装规范，电气系统接线符合现场规范要求，系统调试运行正常。</w:t>
      </w:r>
    </w:p>
    <w:p>
      <w:pPr>
        <w:spacing w:line="440" w:lineRule="exact"/>
        <w:ind w:firstLine="482" w:firstLineChars="200"/>
        <w:rPr>
          <w:rFonts w:ascii="宋体" w:hAnsi="宋体" w:cs="宋体"/>
          <w:sz w:val="24"/>
        </w:rPr>
      </w:pPr>
      <w:r>
        <w:rPr>
          <w:rFonts w:hint="eastAsia" w:ascii="宋体" w:hAnsi="宋体" w:cs="宋体"/>
          <w:b/>
          <w:sz w:val="24"/>
        </w:rPr>
        <w:t>2.1.2管道巡查养护中心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人行道、绿化带、机动车道、非机动车道检查井维修。维修内容：拆除恢复混凝土、更换井圈、提高井圈、更换总成</w:t>
      </w:r>
      <w:r>
        <w:rPr>
          <w:rFonts w:hint="eastAsia" w:ascii="宋体" w:hAnsi="宋体" w:cs="宋体"/>
          <w:color w:val="000000" w:themeColor="text1"/>
          <w:sz w:val="24"/>
          <w14:textFill>
            <w14:solidFill>
              <w14:schemeClr w14:val="tx1"/>
            </w14:solidFill>
          </w14:textFill>
        </w:rPr>
        <w:t>（含防腐）。预制混凝土井盖盖板、更换检查井井盖。</w:t>
      </w:r>
    </w:p>
    <w:tbl>
      <w:tblPr>
        <w:tblStyle w:val="24"/>
        <w:tblW w:w="86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734"/>
        <w:gridCol w:w="2567"/>
        <w:gridCol w:w="1916"/>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709" w:type="dxa"/>
            <w:vAlign w:val="center"/>
          </w:tcPr>
          <w:p>
            <w:pPr>
              <w:spacing w:line="440" w:lineRule="exact"/>
              <w:jc w:val="center"/>
              <w:rPr>
                <w:rFonts w:ascii="宋体" w:hAnsi="宋体" w:cs="宋体"/>
                <w:b/>
                <w:sz w:val="24"/>
              </w:rPr>
            </w:pPr>
            <w:r>
              <w:rPr>
                <w:rFonts w:hint="eastAsia" w:ascii="宋体" w:hAnsi="宋体" w:cs="宋体"/>
                <w:b/>
                <w:sz w:val="24"/>
              </w:rPr>
              <w:t>序号</w:t>
            </w:r>
          </w:p>
        </w:tc>
        <w:tc>
          <w:tcPr>
            <w:tcW w:w="1734" w:type="dxa"/>
            <w:vAlign w:val="center"/>
          </w:tcPr>
          <w:p>
            <w:pPr>
              <w:spacing w:line="440" w:lineRule="exact"/>
              <w:jc w:val="center"/>
              <w:rPr>
                <w:rFonts w:ascii="宋体" w:hAnsi="宋体" w:cs="宋体"/>
                <w:b/>
                <w:sz w:val="24"/>
              </w:rPr>
            </w:pPr>
            <w:r>
              <w:rPr>
                <w:rFonts w:hint="eastAsia" w:ascii="宋体" w:hAnsi="宋体" w:cs="宋体"/>
                <w:b/>
                <w:sz w:val="24"/>
              </w:rPr>
              <w:t>项目名称</w:t>
            </w:r>
          </w:p>
        </w:tc>
        <w:tc>
          <w:tcPr>
            <w:tcW w:w="2567" w:type="dxa"/>
            <w:vAlign w:val="center"/>
          </w:tcPr>
          <w:p>
            <w:pPr>
              <w:spacing w:line="440" w:lineRule="exact"/>
              <w:jc w:val="center"/>
              <w:rPr>
                <w:rFonts w:ascii="宋体" w:hAnsi="宋体" w:cs="宋体"/>
                <w:b/>
                <w:sz w:val="24"/>
              </w:rPr>
            </w:pPr>
            <w:r>
              <w:rPr>
                <w:rFonts w:hint="eastAsia" w:ascii="宋体" w:hAnsi="宋体" w:cs="宋体"/>
                <w:b/>
                <w:sz w:val="24"/>
              </w:rPr>
              <w:t>维修内容</w:t>
            </w:r>
          </w:p>
        </w:tc>
        <w:tc>
          <w:tcPr>
            <w:tcW w:w="1916" w:type="dxa"/>
            <w:vAlign w:val="center"/>
          </w:tcPr>
          <w:p>
            <w:pPr>
              <w:spacing w:line="440" w:lineRule="exact"/>
              <w:jc w:val="center"/>
              <w:rPr>
                <w:rFonts w:ascii="宋体" w:hAnsi="宋体" w:cs="宋体"/>
                <w:b/>
                <w:sz w:val="24"/>
              </w:rPr>
            </w:pPr>
            <w:r>
              <w:rPr>
                <w:rFonts w:hint="eastAsia" w:ascii="宋体" w:hAnsi="宋体" w:cs="宋体"/>
                <w:b/>
                <w:sz w:val="24"/>
              </w:rPr>
              <w:t>技术要求</w:t>
            </w:r>
          </w:p>
        </w:tc>
        <w:tc>
          <w:tcPr>
            <w:tcW w:w="1724" w:type="dxa"/>
            <w:vAlign w:val="center"/>
          </w:tcPr>
          <w:p>
            <w:pPr>
              <w:spacing w:line="440" w:lineRule="exact"/>
              <w:jc w:val="center"/>
              <w:rPr>
                <w:rFonts w:ascii="宋体" w:hAnsi="宋体" w:cs="宋体"/>
                <w:b/>
                <w:sz w:val="24"/>
              </w:rPr>
            </w:pPr>
            <w:r>
              <w:rPr>
                <w:rFonts w:hint="eastAsia" w:ascii="宋体" w:hAnsi="宋体" w:cs="宋体"/>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709" w:type="dxa"/>
            <w:vAlign w:val="center"/>
          </w:tcPr>
          <w:p>
            <w:pPr>
              <w:spacing w:line="440" w:lineRule="exact"/>
              <w:jc w:val="center"/>
              <w:rPr>
                <w:rFonts w:ascii="宋体" w:hAnsi="宋体" w:cs="宋体"/>
                <w:sz w:val="24"/>
              </w:rPr>
            </w:pPr>
            <w:r>
              <w:rPr>
                <w:rFonts w:hint="eastAsia" w:ascii="宋体" w:hAnsi="宋体" w:cs="宋体"/>
                <w:sz w:val="24"/>
              </w:rPr>
              <w:t>1</w:t>
            </w:r>
          </w:p>
        </w:tc>
        <w:tc>
          <w:tcPr>
            <w:tcW w:w="1734" w:type="dxa"/>
            <w:vAlign w:val="center"/>
          </w:tcPr>
          <w:p>
            <w:pPr>
              <w:spacing w:line="440" w:lineRule="exact"/>
              <w:jc w:val="center"/>
              <w:rPr>
                <w:rFonts w:ascii="宋体" w:hAnsi="宋体" w:cs="宋体"/>
                <w:sz w:val="24"/>
              </w:rPr>
            </w:pPr>
            <w:r>
              <w:rPr>
                <w:rFonts w:hint="eastAsia" w:ascii="宋体" w:hAnsi="宋体" w:cs="宋体"/>
                <w:sz w:val="24"/>
              </w:rPr>
              <w:t>人行道、绿化带、非机动车道检查井维修</w:t>
            </w:r>
          </w:p>
        </w:tc>
        <w:tc>
          <w:tcPr>
            <w:tcW w:w="2567" w:type="dxa"/>
            <w:vAlign w:val="center"/>
          </w:tcPr>
          <w:p>
            <w:pPr>
              <w:spacing w:line="440" w:lineRule="exact"/>
              <w:jc w:val="center"/>
              <w:rPr>
                <w:rFonts w:ascii="宋体" w:hAnsi="宋体" w:cs="宋体"/>
                <w:sz w:val="24"/>
              </w:rPr>
            </w:pPr>
            <w:r>
              <w:rPr>
                <w:rFonts w:hint="eastAsia" w:ascii="宋体" w:hAnsi="宋体" w:cs="宋体"/>
                <w:sz w:val="24"/>
              </w:rPr>
              <w:t>拆除恢复混凝土</w:t>
            </w:r>
          </w:p>
          <w:p>
            <w:pPr>
              <w:spacing w:line="440" w:lineRule="exact"/>
              <w:jc w:val="center"/>
              <w:rPr>
                <w:rFonts w:ascii="宋体" w:hAnsi="宋体" w:cs="宋体"/>
                <w:sz w:val="24"/>
              </w:rPr>
            </w:pPr>
            <w:r>
              <w:rPr>
                <w:rFonts w:hint="eastAsia" w:ascii="宋体" w:hAnsi="宋体" w:cs="宋体"/>
                <w:sz w:val="24"/>
              </w:rPr>
              <w:t>更换井圈</w:t>
            </w:r>
          </w:p>
          <w:p>
            <w:pPr>
              <w:spacing w:line="440" w:lineRule="exact"/>
              <w:jc w:val="center"/>
              <w:rPr>
                <w:rFonts w:ascii="宋体" w:hAnsi="宋体" w:cs="宋体"/>
                <w:sz w:val="24"/>
              </w:rPr>
            </w:pPr>
            <w:r>
              <w:rPr>
                <w:rFonts w:hint="eastAsia" w:ascii="宋体" w:hAnsi="宋体" w:cs="宋体"/>
                <w:sz w:val="24"/>
              </w:rPr>
              <w:t>提高井圈</w:t>
            </w:r>
          </w:p>
          <w:p>
            <w:pPr>
              <w:spacing w:line="440" w:lineRule="exact"/>
              <w:jc w:val="center"/>
              <w:rPr>
                <w:rFonts w:ascii="宋体" w:hAnsi="宋体" w:cs="宋体"/>
                <w:sz w:val="24"/>
              </w:rPr>
            </w:pPr>
            <w:r>
              <w:rPr>
                <w:rFonts w:hint="eastAsia" w:ascii="宋体" w:hAnsi="宋体" w:cs="宋体"/>
                <w:sz w:val="24"/>
              </w:rPr>
              <w:t>更换总成</w:t>
            </w:r>
          </w:p>
        </w:tc>
        <w:tc>
          <w:tcPr>
            <w:tcW w:w="1916" w:type="dxa"/>
            <w:vMerge w:val="restart"/>
            <w:vAlign w:val="center"/>
          </w:tcPr>
          <w:p>
            <w:pPr>
              <w:spacing w:line="440" w:lineRule="exact"/>
              <w:rPr>
                <w:rFonts w:ascii="宋体" w:hAnsi="宋体" w:cs="宋体"/>
                <w:sz w:val="24"/>
              </w:rPr>
            </w:pPr>
            <w:r>
              <w:rPr>
                <w:rFonts w:hint="eastAsia" w:ascii="宋体" w:hAnsi="宋体" w:cs="宋体"/>
                <w:sz w:val="24"/>
              </w:rPr>
              <w:t>按照城镇排水管道检查井施工及验收规范施工维修。</w:t>
            </w:r>
          </w:p>
          <w:p>
            <w:pPr>
              <w:spacing w:line="440" w:lineRule="exact"/>
              <w:rPr>
                <w:rFonts w:ascii="宋体" w:hAnsi="宋体" w:cs="宋体"/>
                <w:sz w:val="24"/>
              </w:rPr>
            </w:pPr>
            <w:r>
              <w:rPr>
                <w:rFonts w:hint="eastAsia" w:ascii="宋体" w:hAnsi="宋体" w:cs="宋体"/>
                <w:sz w:val="24"/>
              </w:rPr>
              <w:t>更换钢筋混凝土盖板为1.2m*1.2m*0.2m</w:t>
            </w:r>
          </w:p>
        </w:tc>
        <w:tc>
          <w:tcPr>
            <w:tcW w:w="1724" w:type="dxa"/>
            <w:vMerge w:val="restart"/>
            <w:vAlign w:val="center"/>
          </w:tcPr>
          <w:p>
            <w:pPr>
              <w:spacing w:line="440" w:lineRule="exact"/>
              <w:rPr>
                <w:rFonts w:ascii="宋体" w:hAnsi="宋体" w:cs="宋体"/>
                <w:sz w:val="24"/>
              </w:rPr>
            </w:pPr>
            <w:r>
              <w:rPr>
                <w:rFonts w:hint="eastAsia" w:ascii="宋体" w:hAnsi="宋体" w:cs="宋体"/>
                <w:sz w:val="24"/>
              </w:rPr>
              <w:t>更换钢筋混凝土盖板为施工单位预制。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709" w:type="dxa"/>
            <w:vAlign w:val="center"/>
          </w:tcPr>
          <w:p>
            <w:pPr>
              <w:spacing w:line="440" w:lineRule="exact"/>
              <w:jc w:val="center"/>
              <w:rPr>
                <w:rFonts w:ascii="宋体" w:hAnsi="宋体" w:cs="宋体"/>
                <w:sz w:val="24"/>
              </w:rPr>
            </w:pPr>
            <w:r>
              <w:rPr>
                <w:rFonts w:hint="eastAsia" w:ascii="宋体" w:hAnsi="宋体" w:cs="宋体"/>
                <w:sz w:val="24"/>
              </w:rPr>
              <w:t>2</w:t>
            </w:r>
          </w:p>
        </w:tc>
        <w:tc>
          <w:tcPr>
            <w:tcW w:w="1734" w:type="dxa"/>
            <w:vAlign w:val="center"/>
          </w:tcPr>
          <w:p>
            <w:pPr>
              <w:spacing w:line="440" w:lineRule="exact"/>
              <w:jc w:val="center"/>
              <w:rPr>
                <w:rFonts w:ascii="宋体" w:hAnsi="宋体" w:cs="宋体"/>
                <w:sz w:val="24"/>
              </w:rPr>
            </w:pPr>
            <w:r>
              <w:rPr>
                <w:rFonts w:hint="eastAsia" w:ascii="宋体" w:hAnsi="宋体" w:cs="宋体"/>
                <w:sz w:val="24"/>
              </w:rPr>
              <w:t>机动车道检查井维修</w:t>
            </w:r>
          </w:p>
        </w:tc>
        <w:tc>
          <w:tcPr>
            <w:tcW w:w="2567" w:type="dxa"/>
            <w:vAlign w:val="center"/>
          </w:tcPr>
          <w:p>
            <w:pPr>
              <w:spacing w:line="440" w:lineRule="exact"/>
              <w:jc w:val="center"/>
              <w:rPr>
                <w:rFonts w:ascii="宋体" w:hAnsi="宋体" w:cs="宋体"/>
                <w:sz w:val="24"/>
              </w:rPr>
            </w:pPr>
            <w:r>
              <w:rPr>
                <w:rFonts w:hint="eastAsia" w:ascii="宋体" w:hAnsi="宋体" w:cs="宋体"/>
                <w:sz w:val="24"/>
              </w:rPr>
              <w:t>拆除恢复沥青、混凝土</w:t>
            </w:r>
          </w:p>
          <w:p>
            <w:pPr>
              <w:spacing w:line="440" w:lineRule="exact"/>
              <w:jc w:val="center"/>
              <w:rPr>
                <w:rFonts w:ascii="宋体" w:hAnsi="宋体" w:cs="宋体"/>
                <w:sz w:val="24"/>
              </w:rPr>
            </w:pPr>
            <w:r>
              <w:rPr>
                <w:rFonts w:hint="eastAsia" w:ascii="宋体" w:hAnsi="宋体" w:cs="宋体"/>
                <w:sz w:val="24"/>
              </w:rPr>
              <w:t>更换井圈</w:t>
            </w:r>
          </w:p>
          <w:p>
            <w:pPr>
              <w:spacing w:line="440" w:lineRule="exact"/>
              <w:jc w:val="center"/>
              <w:rPr>
                <w:rFonts w:ascii="宋体" w:hAnsi="宋体" w:cs="宋体"/>
                <w:sz w:val="24"/>
              </w:rPr>
            </w:pPr>
            <w:r>
              <w:rPr>
                <w:rFonts w:hint="eastAsia" w:ascii="宋体" w:hAnsi="宋体" w:cs="宋体"/>
                <w:sz w:val="24"/>
              </w:rPr>
              <w:t>更换总成</w:t>
            </w:r>
          </w:p>
          <w:p>
            <w:pPr>
              <w:spacing w:line="440" w:lineRule="exact"/>
              <w:jc w:val="center"/>
              <w:rPr>
                <w:rFonts w:ascii="宋体" w:hAnsi="宋体" w:cs="宋体"/>
                <w:sz w:val="24"/>
              </w:rPr>
            </w:pPr>
            <w:r>
              <w:rPr>
                <w:rFonts w:hint="eastAsia" w:ascii="宋体" w:hAnsi="宋体" w:cs="宋体"/>
                <w:sz w:val="24"/>
              </w:rPr>
              <w:t>更换盖板</w:t>
            </w:r>
          </w:p>
        </w:tc>
        <w:tc>
          <w:tcPr>
            <w:tcW w:w="1916" w:type="dxa"/>
            <w:vMerge w:val="continue"/>
            <w:vAlign w:val="center"/>
          </w:tcPr>
          <w:p>
            <w:pPr>
              <w:spacing w:line="440" w:lineRule="exact"/>
              <w:jc w:val="center"/>
              <w:rPr>
                <w:rFonts w:ascii="宋体" w:hAnsi="宋体" w:cs="宋体"/>
                <w:sz w:val="24"/>
              </w:rPr>
            </w:pPr>
          </w:p>
        </w:tc>
        <w:tc>
          <w:tcPr>
            <w:tcW w:w="1724" w:type="dxa"/>
            <w:vMerge w:val="continue"/>
          </w:tcPr>
          <w:p>
            <w:pPr>
              <w:spacing w:line="440" w:lineRule="exact"/>
              <w:rPr>
                <w:rFonts w:ascii="宋体" w:hAnsi="宋体" w:cs="宋体"/>
                <w:sz w:val="24"/>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2.2</w:t>
      </w:r>
      <w:r>
        <w:rPr>
          <w:rFonts w:hint="eastAsia" w:ascii="宋体" w:hAnsi="宋体" w:cs="宋体"/>
          <w:color w:val="000000" w:themeColor="text1"/>
          <w:sz w:val="24"/>
          <w14:textFill>
            <w14:solidFill>
              <w14:schemeClr w14:val="tx1"/>
            </w14:solidFill>
          </w14:textFill>
        </w:rPr>
        <w:t xml:space="preserve"> 计划外突发应急抢修维修工作内容：市排水管理处所辖南郊污水处理厂及外围泵站构筑物零星维护修缮、污水收集和排放管道设施修缮（城市排水管道检查井维修）、排水管网设施塌陷堵塞或重大污水管网破损事故时的应急抢修处置以及厂区内外各类突发性应急抢修。</w:t>
      </w:r>
    </w:p>
    <w:p>
      <w:pPr>
        <w:spacing w:line="440" w:lineRule="exact"/>
        <w:ind w:firstLine="480" w:firstLineChars="200"/>
        <w:rPr>
          <w:rFonts w:ascii="宋体" w:hAnsi="宋体" w:cs="宋体"/>
          <w:sz w:val="24"/>
        </w:rPr>
      </w:pPr>
      <w:r>
        <w:rPr>
          <w:rFonts w:hint="eastAsia" w:ascii="宋体" w:hAnsi="宋体" w:cs="宋体"/>
          <w:sz w:val="24"/>
        </w:rPr>
        <w:t>2.3投标前的现场考察</w:t>
      </w:r>
    </w:p>
    <w:p>
      <w:pPr>
        <w:spacing w:line="440" w:lineRule="exact"/>
        <w:ind w:firstLine="480" w:firstLineChars="200"/>
        <w:rPr>
          <w:rFonts w:ascii="宋体" w:hAnsi="宋体" w:cs="宋体"/>
          <w:sz w:val="24"/>
        </w:rPr>
      </w:pPr>
      <w:r>
        <w:rPr>
          <w:rFonts w:hint="eastAsia" w:ascii="宋体" w:hAnsi="宋体" w:cs="宋体"/>
          <w:sz w:val="24"/>
        </w:rPr>
        <w:t>投标商在获取招标文件后必须到使用方现场勘查实际维修修缮需求，了解并获取有关投标的相关项目的基本情况。使用方将统一组织现场踏勘。</w:t>
      </w:r>
    </w:p>
    <w:p>
      <w:pPr>
        <w:spacing w:line="440" w:lineRule="exact"/>
        <w:ind w:firstLine="480" w:firstLineChars="200"/>
        <w:rPr>
          <w:rFonts w:ascii="宋体" w:hAnsi="宋体" w:cs="宋体"/>
          <w:sz w:val="24"/>
        </w:rPr>
      </w:pPr>
      <w:r>
        <w:rPr>
          <w:rFonts w:hint="eastAsia" w:ascii="宋体" w:hAnsi="宋体" w:cs="宋体"/>
          <w:sz w:val="24"/>
        </w:rPr>
        <w:t>2.4服务范围</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2.4.1市排水管理处所辖南郊污水处理厂及外围泵站构筑物零星维护修缮。</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2.4.2污水收集和排放管道设施修缮（城市排水管道检查井维修）、排水管网设施塌陷堵塞或重大污水管网破损事故时的应急抢修处置以及厂区内外各类突发性应急抢修。</w:t>
      </w:r>
    </w:p>
    <w:p>
      <w:pPr>
        <w:spacing w:line="440" w:lineRule="exact"/>
        <w:ind w:firstLine="480" w:firstLineChars="200"/>
        <w:rPr>
          <w:rFonts w:ascii="宋体" w:hAnsi="宋体" w:cs="宋体"/>
          <w:sz w:val="24"/>
        </w:rPr>
      </w:pPr>
      <w:r>
        <w:rPr>
          <w:rFonts w:hint="eastAsia" w:ascii="宋体" w:hAnsi="宋体" w:cs="宋体"/>
          <w:sz w:val="24"/>
        </w:rPr>
        <w:t>3、服务期限：</w:t>
      </w:r>
      <w:r>
        <w:rPr>
          <w:rFonts w:hint="eastAsia" w:ascii="宋体" w:hAnsi="宋体" w:cs="宋体"/>
          <w:color w:val="auto"/>
          <w:sz w:val="24"/>
        </w:rPr>
        <w:t>自</w:t>
      </w:r>
      <w:r>
        <w:rPr>
          <w:rFonts w:hint="eastAsia" w:ascii="宋体" w:hAnsi="宋体" w:cs="宋体"/>
          <w:color w:val="auto"/>
          <w:sz w:val="24"/>
          <w:lang w:eastAsia="zh-CN"/>
        </w:rPr>
        <w:t>成交</w:t>
      </w:r>
      <w:r>
        <w:rPr>
          <w:rFonts w:hint="eastAsia" w:ascii="宋体" w:hAnsi="宋体" w:cs="宋体"/>
          <w:color w:val="auto"/>
          <w:sz w:val="24"/>
        </w:rPr>
        <w:t>之日起</w:t>
      </w:r>
      <w:r>
        <w:rPr>
          <w:rFonts w:hint="eastAsia" w:ascii="宋体" w:hAnsi="宋体" w:cs="宋体"/>
          <w:sz w:val="24"/>
        </w:rPr>
        <w:t>至2022年12月31日止。</w:t>
      </w:r>
    </w:p>
    <w:p>
      <w:pPr>
        <w:spacing w:line="440" w:lineRule="exact"/>
        <w:ind w:firstLine="480" w:firstLineChars="200"/>
        <w:rPr>
          <w:rFonts w:ascii="宋体" w:hAnsi="宋体" w:cs="宋体"/>
          <w:sz w:val="24"/>
        </w:rPr>
      </w:pPr>
      <w:r>
        <w:rPr>
          <w:rFonts w:hint="eastAsia" w:ascii="宋体" w:hAnsi="宋体" w:cs="宋体"/>
          <w:sz w:val="24"/>
        </w:rPr>
        <w:t>4、承包方式：包工包料、包质量、包工期、包安全施工。</w:t>
      </w:r>
    </w:p>
    <w:p>
      <w:pPr>
        <w:spacing w:line="440" w:lineRule="exact"/>
        <w:ind w:firstLine="480" w:firstLineChars="200"/>
        <w:rPr>
          <w:rFonts w:ascii="宋体" w:hAnsi="宋体" w:cs="宋体"/>
          <w:sz w:val="24"/>
        </w:rPr>
      </w:pPr>
      <w:r>
        <w:rPr>
          <w:rFonts w:hint="eastAsia" w:ascii="宋体" w:hAnsi="宋体" w:cs="宋体"/>
          <w:sz w:val="24"/>
        </w:rPr>
        <w:t>5、投标报价及结算方式</w:t>
      </w:r>
    </w:p>
    <w:p>
      <w:pPr>
        <w:pStyle w:val="42"/>
        <w:spacing w:line="440" w:lineRule="exact"/>
        <w:ind w:firstLine="480"/>
        <w:rPr>
          <w:rFonts w:ascii="宋体" w:hAnsi="宋体" w:eastAsia="宋体" w:cs="宋体"/>
          <w:color w:val="FF0000"/>
        </w:rPr>
      </w:pPr>
      <w:r>
        <w:rPr>
          <w:rFonts w:hint="eastAsia" w:ascii="宋体" w:hAnsi="宋体" w:eastAsia="宋体" w:cs="宋体"/>
          <w:color w:val="000000" w:themeColor="text1"/>
          <w14:textFill>
            <w14:solidFill>
              <w14:schemeClr w14:val="tx1"/>
            </w14:solidFill>
          </w14:textFill>
        </w:rPr>
        <w:t>5.1 投标人应根据招标文件提供的数据需求，报出项目的整体下浮率。</w:t>
      </w:r>
      <w:r>
        <w:rPr>
          <w:rFonts w:ascii="宋体" w:hAnsi="宋体" w:eastAsia="宋体" w:cs="宋体"/>
          <w:sz w:val="24"/>
          <w:szCs w:val="24"/>
        </w:rPr>
        <w:t>预算金额50万元为暂定金额：因无法预估本项目全年的抢维修预算资金，本项目采取招下浮率的方式进行采购，按照政采云平台上关联采购计划的相关规定，将预算金额暂定为50万元，本项目最终以本项目合同期限内实际发生工作量为准，以市财政最终出具的《工程造价核定意见书》确定项目结算金额。</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结算：经招标人审核工程签证后，由成交入围单位编制单项工程结算书上报市财政局有关部门审核，招标人以市财政最终出具的《工程造价核定意见书》申请追加维修修缮项目预算，待市财政批复预算后进行相关款项支付，成交入围单位需以书面形式承诺不得以任何形式索要经费。</w:t>
      </w:r>
    </w:p>
    <w:p>
      <w:pPr>
        <w:spacing w:line="44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5.3计划内零星修缮项目需先编制维修（改造）项目计划及工程概算，并由投资审核中心审核后，下达维修（改造）项目资金计划，且不得随意调整。由市排水处下达维修审批单及方案确认单后方可施工</w:t>
      </w:r>
      <w:r>
        <w:rPr>
          <w:rFonts w:hint="eastAsia" w:ascii="宋体" w:hAnsi="宋体" w:cs="宋体"/>
          <w:sz w:val="24"/>
        </w:rPr>
        <w:t>。项目竣工后，在15个工作日内施工单位需报送工程签证和竣工结算资料，由市财政局投资审核中心出具工程造价核定意见书后方可结算。</w:t>
      </w:r>
    </w:p>
    <w:p>
      <w:pPr>
        <w:spacing w:line="440" w:lineRule="exact"/>
        <w:ind w:firstLine="480" w:firstLineChars="200"/>
        <w:rPr>
          <w:rFonts w:ascii="宋体" w:hAnsi="宋体" w:cs="宋体"/>
          <w:sz w:val="24"/>
        </w:rPr>
      </w:pPr>
      <w:r>
        <w:rPr>
          <w:rFonts w:hint="eastAsia" w:ascii="宋体" w:hAnsi="宋体" w:cs="宋体"/>
          <w:sz w:val="24"/>
        </w:rPr>
        <w:t>6、其它服务要求</w:t>
      </w:r>
    </w:p>
    <w:p>
      <w:pPr>
        <w:spacing w:line="440" w:lineRule="exact"/>
        <w:ind w:firstLine="480" w:firstLineChars="200"/>
        <w:rPr>
          <w:rFonts w:ascii="宋体" w:hAnsi="宋体" w:cs="宋体"/>
          <w:color w:val="FF0000"/>
          <w:sz w:val="24"/>
        </w:rPr>
      </w:pPr>
      <w:r>
        <w:rPr>
          <w:rFonts w:hint="eastAsia" w:ascii="宋体" w:hAnsi="宋体" w:cs="宋体"/>
          <w:sz w:val="24"/>
        </w:rPr>
        <w:t>6.1成交入围单位既是招标人年度污水处理设施维护改造、零星修缮单位，同时也是招标人应急抢修队伍。成交入围单接到采购人工作任务时，不得以任何理由拒绝招标人应急抢修作业安排，否则将扣除本项目合同服务期内结算总额5‰的违约金。</w:t>
      </w:r>
      <w:r>
        <w:rPr>
          <w:rFonts w:hint="eastAsia" w:ascii="宋体" w:hAnsi="宋体" w:cs="宋体"/>
          <w:color w:val="FF0000"/>
          <w:sz w:val="24"/>
        </w:rPr>
        <w:t xml:space="preserve">       </w:t>
      </w:r>
    </w:p>
    <w:p>
      <w:pPr>
        <w:spacing w:line="440" w:lineRule="exact"/>
        <w:ind w:firstLine="480" w:firstLineChars="200"/>
        <w:rPr>
          <w:rFonts w:ascii="宋体" w:hAnsi="宋体" w:cs="宋体"/>
          <w:sz w:val="24"/>
        </w:rPr>
      </w:pPr>
      <w:r>
        <w:rPr>
          <w:rFonts w:hint="eastAsia" w:ascii="宋体" w:hAnsi="宋体" w:cs="宋体"/>
          <w:sz w:val="24"/>
        </w:rPr>
        <w:t>6.2成交入围单位在接到招标人安排的抢修或应急处置项目时，必须在2小时内到达现场并开展有效作业，未在2小时内到达现场开展有效作业的，扣除该单项抢维修项目5％的结算款。如累计三次发生未在采购人要求时间内到达现场的情况，或因中标单位自身原因不履行合同造成不良影响的，将依照克拉玛依市施工企业信用信息评价标准纳入中标单位信用管理记录。</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6.3成交入围单位应保证及时抢修且维修质量达到使用要求，如项目验收完成后质保期限（一年）内出现质量问题2小时内到达现场整修，产生的一切费用由中标单位承担。年度结算款总额的3%作为质保金，在验收合格签署验收报告满一年后无息给付。</w:t>
      </w:r>
    </w:p>
    <w:p>
      <w:pPr>
        <w:spacing w:line="440" w:lineRule="exact"/>
        <w:ind w:firstLine="480" w:firstLineChars="200"/>
        <w:rPr>
          <w:rFonts w:ascii="宋体" w:hAnsi="宋体" w:cs="宋体"/>
          <w:color w:val="FF0000"/>
          <w:sz w:val="24"/>
        </w:rPr>
      </w:pPr>
      <w:r>
        <w:rPr>
          <w:rFonts w:hint="eastAsia" w:ascii="宋体" w:hAnsi="宋体" w:cs="宋体"/>
          <w:sz w:val="24"/>
        </w:rPr>
        <w:t>6.4投标人须提供书面承诺一份，内容包括为保证冬季、节假日（公共假期）期间能有效应对各类突发抢修情况所配备的人员及设备安排部署，须确保施工工程机械（大型机械需有备案及操作人员名单）、应急抢修设备、配件及耗材等物资配备齐全，可随时具备使用条件。投标单位冬季、节假日留存项目负责人、安全员、电工、施工员等不少于六名应急抢修人员、机械、材料等在克拉玛依区24小时待命。以上人员及设备须提供清单，且未经采购人同意不得随意调换。此承诺须保证公共假期及冬季期间有突发抢修情况时能及时迅速开展抢维修施工工作，如不能按照承诺履行将扣除本项目合同服务期内结算总额5‰的违约金。</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6.5成交入围单位需确保排水管线（DN400-DN1200）管材有充足库存或货源，能确保材料物资最迟48小时进场。以上备品备件需提供库房清单且保证</w:t>
      </w:r>
      <w:r>
        <w:rPr>
          <w:rFonts w:hint="eastAsia" w:ascii="宋体" w:hAnsi="宋体" w:cs="宋体"/>
          <w:color w:val="auto"/>
          <w:sz w:val="24"/>
        </w:rPr>
        <w:t>采购人</w:t>
      </w:r>
      <w:r>
        <w:rPr>
          <w:rFonts w:hint="eastAsia" w:ascii="宋体" w:hAnsi="宋体" w:cs="宋体"/>
          <w:color w:val="000000" w:themeColor="text1"/>
          <w:sz w:val="24"/>
          <w14:textFill>
            <w14:solidFill>
              <w14:schemeClr w14:val="tx1"/>
            </w14:solidFill>
          </w14:textFill>
        </w:rPr>
        <w:t>实现定期现场核查。</w:t>
      </w:r>
    </w:p>
    <w:p>
      <w:pPr>
        <w:spacing w:line="440" w:lineRule="exact"/>
        <w:ind w:firstLine="480" w:firstLineChars="200"/>
        <w:rPr>
          <w:rFonts w:ascii="宋体" w:hAnsi="宋体" w:cs="宋体"/>
          <w:sz w:val="24"/>
        </w:rPr>
      </w:pPr>
      <w:r>
        <w:rPr>
          <w:rFonts w:hint="eastAsia" w:ascii="宋体" w:hAnsi="宋体" w:cs="宋体"/>
          <w:sz w:val="24"/>
        </w:rPr>
        <w:t>6.6招投标现场投标单位要提供计划内维修修缮项目施工方案和质量保证方案、安全、文明施工方案。计划外突发应急抢维修项目需在施工前提供施工方案、质量保证方案及安全、文明施工方案。</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6.7成交入围单位对完成的每个项目要建立维护修缮、整修改造污水厂构筑物设施及管网施工修缮改造图档，以便交付使用出现问题后资料查阅。</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6.8成交入围单位应对其工作人员进行施工前安全环保教育及安全操作规程教育，成交入围单位工作人员在受限或有毒有害场所作业时必须自备配置各类安全防护用具。对于成交入围单位所雇用的工作人员发生意外事故、伤害和赔偿，由成交入围单位自行承担。对于此类事故、损害和赔偿，招标人均不予承担任何责任，且招标人不承担涉及此类事故、损害与赔偿或与此有关的索赔、诉讼、损害赔偿、诉讼费、赔偿费及其它所有一切相关费用。</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6.9投标单位应拟派强有力的现场管理班子,投标单位投标应提供项目负责人、项目技术负责人、施工员、质量员、安全员、材料员、机械员、资料员、电工等人员名单，同时提供所有人员须有相应的上岗证或专业技能证明材料及公司为管理人员缴纳社保的证明材料。</w:t>
      </w:r>
    </w:p>
    <w:p>
      <w:pPr>
        <w:spacing w:line="44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6.10.投标单位须提供编制好的施工方案，在总体进度计划的指导下，投标单位应认真组织人员全面深入地结合施工现场实际、施工设计图纸编制技术标。本着有利于为完成本招标项目全部工作内容和保证工期、质量等要求，体现实现质量目标和进度目标的可行性和先进性的技术措施。各投标单位在编制施工组织方案时，必须根据招标文件要求编制切实可行的施工方案</w:t>
      </w:r>
    </w:p>
    <w:p>
      <w:pPr>
        <w:spacing w:line="44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结算依据、定额标准：</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fldChar w:fldCharType="begin"/>
      </w:r>
      <w:r>
        <w:rPr>
          <w:rFonts w:hint="eastAsia" w:ascii="宋体" w:hAnsi="宋体" w:cs="宋体"/>
          <w:color w:val="000000" w:themeColor="text1"/>
          <w:sz w:val="24"/>
          <w14:textFill>
            <w14:solidFill>
              <w14:schemeClr w14:val="tx1"/>
            </w14:solidFill>
          </w14:textFill>
        </w:rPr>
        <w:instrText xml:space="preserve"> = 1 \* GB3 </w:instrText>
      </w:r>
      <w:r>
        <w:rPr>
          <w:rFonts w:hint="eastAsia" w:ascii="宋体" w:hAnsi="宋体" w:cs="宋体"/>
          <w:color w:val="000000" w:themeColor="text1"/>
          <w:sz w:val="24"/>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①</w: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工程量计算依据：</w:t>
      </w:r>
      <w:r>
        <w:rPr>
          <w:rFonts w:hint="eastAsia" w:ascii="宋体" w:hAnsi="宋体" w:cs="宋体"/>
          <w:sz w:val="24"/>
        </w:rPr>
        <w:t>2012年《新疆维吾尔自治区市政工程消耗量定额》</w:t>
      </w:r>
      <w:r>
        <w:rPr>
          <w:rFonts w:hint="eastAsia" w:ascii="宋体" w:hAnsi="宋体" w:cs="宋体"/>
          <w:color w:val="000000" w:themeColor="text1"/>
          <w:sz w:val="24"/>
          <w14:textFill>
            <w14:solidFill>
              <w14:schemeClr w14:val="tx1"/>
            </w14:solidFill>
          </w14:textFill>
        </w:rPr>
        <w:t>、2010年《新疆维吾尔自治区建筑工程消耗量定额》（实体项目和措施项目）、2000年《全国统一安装工程预算定额》、（2003）《全国统一安装工程预算定额》第十三册、《新疆维吾尔自治区安装工程补充预算定额》；《1999年新疆维吾尔族自治区房屋修缮工程预算定额》工程量计算规则的有关规则及其它的有关规定。</w:t>
      </w:r>
    </w:p>
    <w:p>
      <w:pPr>
        <w:spacing w:line="440" w:lineRule="exact"/>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估价表应执行调整后的除税后的估价表：《新疆维吾尔自治区市政工程消耗量定额克拉玛依地区单位估计表》（2018年）；《新疆维吾尔自治区建筑工程消耗量定额克拉玛依地区单位估价表》（实体项目和措施项目）（2018年）、《全国统一安装工程预算定额克拉玛依地区单位估价表》（2018年）、《全国统一装饰装修工程消耗量定额克拉玛依地区单位估价表》（2018年）、建筑安装工程2018年克拉玛依地区单位估价表材料预算单价、《新疆维吾尔自治区建筑工程补充消耗量定额克拉玛依地区单位估价表》（2018年）；《新疆维吾尔自治区抗震加固工程计价定额克拉玛依地区估价表》（2018年）；《新疆园林绿化工程消耗量定额乌鲁木齐地区单位估价汇总表（2014）。</w:t>
      </w:r>
    </w:p>
    <w:p>
      <w:pPr>
        <w:spacing w:line="440" w:lineRule="exact"/>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材料、设备价格均由各投标人参考《关于建筑业营业税改增值税调整克拉玛依市建设工程计价依据的通知》（克建发[2016]65号附件2-克市建设工程材料除税预算价格表）。此表中无价格的设备、材料应在使用前，经招标人确认价格后方可使用，并按招标人确认的价格（除税价）进入结算。</w:t>
      </w:r>
    </w:p>
    <w:p>
      <w:pPr>
        <w:spacing w:line="440" w:lineRule="exact"/>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各专业建设工程定额内市场人工费单价执行《关于发布克拉玛依地区2020年4-9月建设工程定额内市场人工单价信息的通知”》，竣工结算不予调整。</w:t>
      </w:r>
    </w:p>
    <w:p>
      <w:pPr>
        <w:spacing w:line="440" w:lineRule="exact"/>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本工程涉及营改增的费率调整按调整费率执行，详见《关于建筑业营业税改增值税调整克拉玛依市建设工程计价依据的通知》（克建发[2016]65号）附件1-建筑业营改增建设工程费用调整表的规定。除此之外的其他费用执行《新疆维吾尔自治区市政工程费用定额》（2012年）、《新疆维吾尔自治区建筑安装工程费用定额》（2010年）、《新疆维吾尔自治区园林绿化工程费用定额》（2014年）及《新疆维吾尔自治区抗震加固工程计价定额》（2010年）。投标人计取的企业管理费费率及利润率均不得超过本工程类别的区间范围。</w:t>
      </w:r>
    </w:p>
    <w:p>
      <w:pPr>
        <w:spacing w:line="440" w:lineRule="exact"/>
        <w:ind w:firstLine="480" w:firstLineChars="200"/>
        <w:rPr>
          <w:rFonts w:ascii="宋体" w:hAnsi="宋体" w:cs="宋体"/>
          <w:sz w:val="24"/>
        </w:rPr>
      </w:pPr>
      <w:r>
        <w:rPr>
          <w:rFonts w:hint="eastAsia" w:ascii="宋体" w:hAnsi="宋体" w:cs="宋体"/>
          <w:sz w:val="24"/>
        </w:rPr>
        <w:t>税金、税率调整执行克住建发【2019】21号文《关于调整克拉玛依市建设工程计价依据增值税税率的通知》规定。</w:t>
      </w:r>
    </w:p>
    <w:p>
      <w:pPr>
        <w:spacing w:line="440" w:lineRule="exact"/>
        <w:ind w:firstLine="480" w:firstLineChars="200"/>
      </w:pPr>
      <w:r>
        <w:rPr>
          <w:rFonts w:hint="eastAsia" w:ascii="宋体" w:hAnsi="宋体" w:cs="宋体"/>
          <w:sz w:val="24"/>
        </w:rPr>
        <w:fldChar w:fldCharType="begin"/>
      </w:r>
      <w:r>
        <w:rPr>
          <w:rFonts w:hint="eastAsia" w:ascii="宋体" w:hAnsi="宋体" w:cs="宋体"/>
          <w:sz w:val="24"/>
        </w:rPr>
        <w:instrText xml:space="preserve"> = 6 \* GB3 </w:instrText>
      </w:r>
      <w:r>
        <w:rPr>
          <w:rFonts w:hint="eastAsia" w:ascii="宋体" w:hAnsi="宋体" w:cs="宋体"/>
          <w:sz w:val="24"/>
        </w:rPr>
        <w:fldChar w:fldCharType="separate"/>
      </w:r>
      <w:r>
        <w:rPr>
          <w:rFonts w:hint="eastAsia" w:ascii="宋体" w:hAnsi="宋体" w:cs="宋体"/>
          <w:sz w:val="24"/>
        </w:rPr>
        <w:t>⑥</w:t>
      </w:r>
      <w:r>
        <w:rPr>
          <w:rFonts w:hint="eastAsia" w:ascii="宋体" w:hAnsi="宋体" w:cs="宋体"/>
          <w:sz w:val="24"/>
        </w:rPr>
        <w:fldChar w:fldCharType="end"/>
      </w:r>
      <w:r>
        <w:rPr>
          <w:rFonts w:hint="eastAsia" w:ascii="宋体" w:hAnsi="宋体" w:cs="宋体"/>
          <w:sz w:val="24"/>
        </w:rPr>
        <w:t>竣工结算时，修缮工程利润率执行县以上集体企业Ⅱ类局部工程，税金执行非市区、县城（镇）Ⅱ类局部工程。</w:t>
      </w:r>
    </w:p>
    <w:p>
      <w:pPr>
        <w:spacing w:line="440" w:lineRule="exact"/>
        <w:ind w:firstLine="480" w:firstLineChars="200"/>
        <w:rPr>
          <w:rFonts w:ascii="宋体" w:hAnsi="宋体" w:cs="宋体"/>
          <w:sz w:val="24"/>
        </w:rPr>
      </w:pPr>
      <w:r>
        <w:rPr>
          <w:rFonts w:hint="eastAsia" w:ascii="宋体" w:hAnsi="宋体" w:cs="宋体"/>
          <w:sz w:val="24"/>
        </w:rPr>
        <w:t>7、维修修缮队伍入围要求：本项目招入围2家。</w:t>
      </w:r>
    </w:p>
    <w:p>
      <w:pPr>
        <w:spacing w:line="440" w:lineRule="exact"/>
        <w:ind w:firstLine="480" w:firstLineChars="200"/>
        <w:rPr>
          <w:rFonts w:ascii="宋体" w:hAnsi="宋体" w:cs="宋体"/>
          <w:sz w:val="24"/>
        </w:rPr>
      </w:pPr>
      <w:r>
        <w:rPr>
          <w:rFonts w:hint="eastAsia" w:ascii="宋体" w:hAnsi="宋体" w:cs="宋体"/>
          <w:sz w:val="24"/>
        </w:rPr>
        <w:t>8、安全施工规范及要求</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《中华人民共和国安全生产法》</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《建筑安全技术标准》JGJ-59-99-2011</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《密闭空间作业职业危害防护规范》GBZ/T205-2007</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《缺氧危险作业安全规程》GB 8958-2006</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《个体防护装备选用规范》GB /T11651-2008</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《建设工程施工现场供用电安全规范》GB 50194-2014</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投标单位必须遵守包含以上法律法规、安全施工规范及其他国家和行业内的规定、安全标准。</w:t>
      </w:r>
    </w:p>
    <w:p>
      <w:pPr>
        <w:spacing w:line="440" w:lineRule="exact"/>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8.1投标人施工过程中应考虑的安全软硬件设施及安全风险投入。</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涉及密闭空间、有毒有害气体危险作业，部分施工区域泥沙长期淤积易产生硫化氢等有毒有害气体，存在重大危险源安全风险，中标单位必须遵守国家及有关部门颁发的有关安全生产法令法规、规章制度，加强安全生产管理，建立、健全安全生产责任制度，完善安全生产条件。</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成交入围单位须严格按照国家安全标准制定安全施工方案及安全操作规程，保证安全生产条件所必需的资金投入，配备必要的安全生产和符合国家标准或者行业标准的劳动防护用品，并监督、教育从业人员按照使用规定佩戴、使用，并严格遵守安全作业票制度。</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成交入围单位在施工前要认真勘察现场，制定有针对性的安全技术措施和突发事件、事故应急救援预案，并建立相应的应急组织。成交入围单位应确保现场所有作业施工人员知晓采购人的安全技术交底内容并签字确认。现场必须配备安全管理人员，施工作业过程中安全员不得离场。</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投标单位开展特种作业做人要需经省、市、地区的特种作业安全技术培训考核合格后持证上岗，并按规定定期审核。中、小型机械的操作人员必须按规定做到“定机定人”和持证操作，严禁违章、无证操作，严禁非专业人员擅自操作使用电器、机械设备。</w:t>
      </w:r>
    </w:p>
    <w:p>
      <w:pPr>
        <w:pStyle w:val="11"/>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8.5施工过程中涉及到的安全物资及设施设备均由成交入围单位自行承担，招标人不提供任何器材器具。</w:t>
      </w:r>
    </w:p>
    <w:p>
      <w:pPr>
        <w:pStyle w:val="11"/>
        <w:spacing w:line="360" w:lineRule="auto"/>
        <w:ind w:left="420" w:leftChars="200"/>
        <w:rPr>
          <w:rFonts w:asciiTheme="minorEastAsia" w:hAnsiTheme="minorEastAsia" w:eastAsiaTheme="minorEastAsia" w:cstheme="minorEastAsia"/>
          <w:sz w:val="24"/>
          <w:szCs w:val="24"/>
        </w:rPr>
      </w:pPr>
    </w:p>
    <w:p>
      <w:pPr>
        <w:pStyle w:val="11"/>
        <w:adjustRightInd w:val="0"/>
        <w:snapToGrid w:val="0"/>
        <w:spacing w:line="288" w:lineRule="auto"/>
        <w:jc w:val="both"/>
        <w:rPr>
          <w:rFonts w:asciiTheme="minorEastAsia" w:hAnsiTheme="minorEastAsia" w:eastAsiaTheme="minorEastAsia" w:cstheme="minorEastAsia"/>
          <w:b/>
          <w:sz w:val="28"/>
          <w:szCs w:val="28"/>
        </w:rPr>
      </w:pPr>
    </w:p>
    <w:p>
      <w:pPr>
        <w:pStyle w:val="11"/>
        <w:adjustRightInd w:val="0"/>
        <w:snapToGrid w:val="0"/>
        <w:spacing w:line="288" w:lineRule="auto"/>
        <w:jc w:val="both"/>
        <w:rPr>
          <w:rFonts w:asciiTheme="minorEastAsia" w:hAnsiTheme="minorEastAsia" w:eastAsiaTheme="minorEastAsia" w:cstheme="minorEastAsia"/>
          <w:b/>
          <w:sz w:val="28"/>
          <w:szCs w:val="28"/>
        </w:rPr>
      </w:pPr>
    </w:p>
    <w:p>
      <w:pPr>
        <w:pStyle w:val="11"/>
        <w:adjustRightInd w:val="0"/>
        <w:snapToGrid w:val="0"/>
        <w:spacing w:line="288" w:lineRule="auto"/>
        <w:jc w:val="both"/>
        <w:rPr>
          <w:rFonts w:asciiTheme="minorEastAsia" w:hAnsiTheme="minorEastAsia" w:eastAsiaTheme="minorEastAsia" w:cstheme="minorEastAsia"/>
          <w:b/>
          <w:sz w:val="28"/>
          <w:szCs w:val="28"/>
        </w:rPr>
      </w:pPr>
    </w:p>
    <w:p>
      <w:pPr>
        <w:pStyle w:val="11"/>
        <w:adjustRightInd w:val="0"/>
        <w:snapToGrid w:val="0"/>
        <w:spacing w:line="288" w:lineRule="auto"/>
        <w:jc w:val="both"/>
        <w:rPr>
          <w:rFonts w:asciiTheme="minorEastAsia" w:hAnsiTheme="minorEastAsia" w:eastAsiaTheme="minorEastAsia" w:cstheme="minorEastAsia"/>
          <w:b/>
          <w:sz w:val="28"/>
          <w:szCs w:val="28"/>
        </w:rPr>
      </w:pPr>
      <w:bookmarkStart w:id="188" w:name="_GoBack"/>
      <w:bookmarkEnd w:id="188"/>
    </w:p>
    <w:p>
      <w:pPr>
        <w:pStyle w:val="11"/>
        <w:adjustRightInd w:val="0"/>
        <w:snapToGrid w:val="0"/>
        <w:spacing w:line="288" w:lineRule="auto"/>
        <w:rPr>
          <w:rFonts w:asciiTheme="minorEastAsia" w:hAnsiTheme="minorEastAsia" w:eastAsiaTheme="minorEastAsia" w:cstheme="minorEastAsia"/>
          <w:b/>
          <w:sz w:val="28"/>
          <w:szCs w:val="28"/>
        </w:rPr>
      </w:pPr>
    </w:p>
    <w:p>
      <w:pPr>
        <w:pStyle w:val="2"/>
        <w:numPr>
          <w:ilvl w:val="0"/>
          <w:numId w:val="4"/>
        </w:numPr>
        <w:jc w:val="center"/>
        <w:rPr>
          <w:b/>
          <w:bCs/>
          <w:sz w:val="32"/>
          <w:szCs w:val="32"/>
        </w:rPr>
      </w:pPr>
      <w:r>
        <w:rPr>
          <w:rFonts w:hint="eastAsia" w:ascii="宋体" w:hAnsi="宋体" w:cs="宋体"/>
          <w:b/>
          <w:sz w:val="32"/>
          <w:szCs w:val="32"/>
        </w:rPr>
        <w:t xml:space="preserve"> </w:t>
      </w:r>
      <w:r>
        <w:rPr>
          <w:rFonts w:hint="eastAsia"/>
          <w:b/>
          <w:bCs/>
          <w:sz w:val="32"/>
          <w:szCs w:val="32"/>
        </w:rPr>
        <w:t>合同主要条款（样本）</w:t>
      </w:r>
      <w:bookmarkStart w:id="180" w:name="_Toc285722712"/>
      <w:bookmarkStart w:id="181" w:name="_Toc277084870"/>
    </w:p>
    <w:p>
      <w:pPr>
        <w:pStyle w:val="3"/>
        <w:ind w:left="0"/>
        <w:jc w:val="center"/>
        <w:rPr>
          <w:sz w:val="28"/>
          <w:szCs w:val="28"/>
        </w:rPr>
      </w:pPr>
      <w:r>
        <w:rPr>
          <w:rFonts w:hint="eastAsia"/>
          <w:sz w:val="28"/>
          <w:szCs w:val="28"/>
        </w:rPr>
        <w:t>修理修缮合同</w:t>
      </w:r>
    </w:p>
    <w:bookmarkEnd w:id="180"/>
    <w:bookmarkEnd w:id="181"/>
    <w:p>
      <w:pPr>
        <w:widowControl/>
        <w:spacing w:line="360" w:lineRule="auto"/>
        <w:ind w:firstLine="480" w:firstLineChars="200"/>
        <w:jc w:val="left"/>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lang w:val="zh-CN"/>
        </w:rPr>
        <w:t xml:space="preserve">招标人（甲方）： </w:t>
      </w:r>
    </w:p>
    <w:p>
      <w:pPr>
        <w:widowControl/>
        <w:spacing w:line="360" w:lineRule="auto"/>
        <w:ind w:firstLine="480" w:firstLineChars="200"/>
        <w:jc w:val="left"/>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lang w:val="zh-CN"/>
        </w:rPr>
        <w:t>注册地：</w:t>
      </w:r>
    </w:p>
    <w:p>
      <w:pPr>
        <w:widowControl/>
        <w:spacing w:line="360" w:lineRule="auto"/>
        <w:ind w:firstLine="480" w:firstLineChars="200"/>
        <w:jc w:val="left"/>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lang w:val="zh-CN"/>
        </w:rPr>
        <w:t xml:space="preserve">工商营业注册号：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zh-CN"/>
        </w:rPr>
        <w:t xml:space="preserve">法定代表人（负责人）： </w:t>
      </w:r>
      <w:r>
        <w:rPr>
          <w:rFonts w:hint="eastAsia" w:asciiTheme="minorEastAsia" w:hAnsiTheme="minorEastAsia" w:eastAsiaTheme="minorEastAsia" w:cstheme="minorEastAsia"/>
          <w:bCs/>
          <w:sz w:val="24"/>
        </w:rPr>
        <w:t xml:space="preserve">       </w:t>
      </w:r>
    </w:p>
    <w:p>
      <w:pPr>
        <w:widowControl/>
        <w:spacing w:line="360" w:lineRule="auto"/>
        <w:ind w:firstLine="480" w:firstLineChars="200"/>
        <w:jc w:val="left"/>
        <w:rPr>
          <w:rFonts w:asciiTheme="minorEastAsia" w:hAnsiTheme="minorEastAsia" w:eastAsiaTheme="minorEastAsia" w:cstheme="minorEastAsia"/>
          <w:bCs/>
          <w:sz w:val="24"/>
        </w:rPr>
      </w:pP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成交人（乙方）：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注册地：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工商营业注册号：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法定代表人（负责人）：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1.总则</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根据《中华人民共和国民法典》及相关法律法规，本着平等、自愿、诚实信用的原则，双方就</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 xml:space="preserve">项目事宜协商一致，签订本合同。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2.修理修缮及抢维修项目、数量、报酬</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2.1.修理修缮及抢维修项目、数量：</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 xml:space="preserve">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以甲方审定后的维修量为准。</w:t>
      </w:r>
    </w:p>
    <w:p>
      <w:pPr>
        <w:pStyle w:val="2"/>
        <w:kinsoku w:val="0"/>
        <w:overflowPunct w:val="0"/>
        <w:spacing w:before="29"/>
        <w:ind w:firstLine="480" w:firstLineChars="200"/>
        <w:rPr>
          <w:sz w:val="22"/>
        </w:rPr>
      </w:pPr>
      <w:r>
        <w:rPr>
          <w:rFonts w:hint="eastAsia" w:asciiTheme="minorEastAsia" w:hAnsiTheme="minorEastAsia" w:eastAsiaTheme="minorEastAsia" w:cstheme="minorEastAsia"/>
          <w:bCs/>
          <w:sz w:val="24"/>
        </w:rPr>
        <w:t>2.2.修理修缮及抢维修的报酬：</w:t>
      </w:r>
      <w:r>
        <w:rPr>
          <w:rFonts w:hint="eastAsia"/>
          <w:spacing w:val="-60"/>
          <w:sz w:val="22"/>
        </w:rPr>
        <w:t xml:space="preserve">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2.2.1费用为</w:t>
      </w:r>
      <w:r>
        <w:rPr>
          <w:rFonts w:hint="eastAsia" w:ascii="宋体" w:hAnsi="宋体" w:cs="宋体"/>
          <w:b/>
          <w:sz w:val="24"/>
        </w:rPr>
        <w:t>经审定的竣工结算价</w:t>
      </w:r>
      <w:r>
        <w:rPr>
          <w:rFonts w:hint="eastAsia" w:asciiTheme="minorEastAsia" w:hAnsiTheme="minorEastAsia" w:eastAsiaTheme="minorEastAsia" w:cstheme="minorEastAsia"/>
          <w:bCs/>
          <w:sz w:val="24"/>
        </w:rPr>
        <w:t>按投标报价下浮后结算。</w:t>
      </w:r>
      <w:r>
        <w:rPr>
          <w:rFonts w:hint="eastAsia" w:asciiTheme="minorEastAsia" w:hAnsiTheme="minorEastAsia" w:eastAsiaTheme="minorEastAsia" w:cstheme="minorEastAsia"/>
          <w:bCs/>
          <w:color w:val="0000FF"/>
          <w:sz w:val="24"/>
        </w:rPr>
        <w:t xml:space="preserve">      </w:t>
      </w:r>
      <w:r>
        <w:rPr>
          <w:rFonts w:hint="eastAsia" w:asciiTheme="minorEastAsia" w:hAnsiTheme="minorEastAsia" w:eastAsiaTheme="minorEastAsia" w:cstheme="minorEastAsia"/>
          <w:bCs/>
          <w:sz w:val="24"/>
        </w:rPr>
        <w:t xml:space="preserve">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3.材料的提供及检验</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3.1.材料的提供：全部由乙方提供。</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3.2.材料的检验</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3.2.1.甲方检验乙方提供材料的标准、时间及地点：材料均由乙方采购，其品牌、质量、单价需甲方代表检查认定签字确认。材料进场后在维修现场检验，乙方提供的材料要求“三证”齐全。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3.2.2.乙方检验甲方提供材料的标准、时间及地点：     /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4.部件的更换及权属</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乙方更换修理修缮及抢维修的零、部件的，应当征得甲方的同意，更换下来的零、部件归甲方所有。</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5.修理修缮及抢维修的时间、地点、技术标准</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5.1.修理修缮及抢维修时间：自合同签订之日起至 2022年 12 月31 日。</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5.2.修理修缮及抢维修地点：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5.3.修理修缮及抢维修提取方式及费用负担:　除甲方送修之外，修理修缮物及抢维修由乙方去甲方指定地点上门维修。</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5.4.修理修缮及抢维修的质量要求、技术标准:　修理修缮及抢维修经乙方维修后，应能达到出厂使用功能。</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5.5.修理修缮项目完成后，乙方将修理修缮及抢维修交付给甲方的时间、地点、方式及费用负担:　甲方送修的修理修缮及抢维修，由甲方自行提取；乙方上门维修的修理修缮及抢维修，由乙方在修理完成后现场交与甲方。</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5.6.双方对修理修缮及抢维修项目验收的时间、地点、标准、方法：每项修理修缮及抢维修完成后，由甲乙双方现场负责人当场验收，以修理修缮及抢维修达到出厂使用功能为准。</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5.7.修理修缮及抢维修技术管理要求：</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5.7.1．每次维修完成后，经属地单位现场验收合格，签证确认工作量。</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5.7.2．承揽方接到故障抢修通知后，及时处理故障。</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5.7.3．承揽方应完全遵守相关管理制度，服从属地单位的现场管理。维修过程严格执行安全、环保的有关规定。</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6.质量保修</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乙方对修理修缮项目的质量保修期限，从修理修缮及抢维修投入正常使用之日起计算。在质保期内出现质量问题，乙方负责免费返修、整改。</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7.1.修理修缮项目待资金计划下达后，经甲方检验合格并认定实际工作量后，由甲乙双方共同确认签订结算合同。</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7.2.支付方式：双方约定选择下列第</w:t>
      </w:r>
      <w:r>
        <w:rPr>
          <w:rFonts w:hint="eastAsia" w:asciiTheme="minorEastAsia" w:hAnsiTheme="minorEastAsia" w:eastAsiaTheme="minorEastAsia" w:cstheme="minorEastAsia"/>
          <w:b/>
          <w:color w:val="0000FF"/>
          <w:sz w:val="24"/>
        </w:rPr>
        <w:t xml:space="preserve"> </w:t>
      </w:r>
      <w:r>
        <w:rPr>
          <w:rFonts w:hint="eastAsia" w:asciiTheme="minorEastAsia" w:hAnsiTheme="minorEastAsia" w:eastAsiaTheme="minorEastAsia" w:cstheme="minorEastAsia"/>
          <w:bCs/>
          <w:sz w:val="24"/>
        </w:rPr>
        <w:t>7.2.2.3 种支付方式。</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7.2.1.一次总付：甲方与乙方协商确定。</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7.2.2.分期支付：</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7.2.2.1 本合同生效后 / 日内，支付合同总报酬额 / %的预付款；</w:t>
      </w:r>
    </w:p>
    <w:p>
      <w:pPr>
        <w:pStyle w:val="2"/>
        <w:kinsoku w:val="0"/>
        <w:overflowPunct w:val="0"/>
        <w:spacing w:before="53" w:line="283" w:lineRule="auto"/>
        <w:ind w:left="581" w:hanging="3"/>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7.2.2.2（按照进度支付）；</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7.2.2.3按经审定的竣工结算价下浮</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%后支付结算款。</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7.3.乙方应对其指定的下列账户信息的真实性、安全性、准确性负责。</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收款人：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开户行：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账号：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8.技术资料的提供及保密要求</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8.1.甲方应按乙方的要求及时提供有关的技术要求、图纸、参考数据等技术资料，乙方应当认真核对，如有不合理或不全面的，应在 3 日内向甲方提出书面异议或说明。逾期不提出的，视为甲方提供的有关资料符合乙方履行合同要求。</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8.2.乙方对甲方提供的所有技术资料应当保守秘密，未经甲方书面同意，不得以任何方式留存、转让、复制、传播，并不得向第三方披露。本合同终止，不影响该保密条款的效力。</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 双方权利和义务</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9．1甲方权利</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9.1.1有权随时对乙方的修理修缮及抢维修过程进行监督检查；</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9.1.2有权要求乙方对其修理修缮及抢维修过程中存在的问题进行整改；</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9.1.3有权要求乙方提供相关的技术资料和必要的技术指导等。</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9.2甲方义务</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9.2.1向乙方提供以下工作条件：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9.2.2按约定向乙方支付报酬；</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9.2.3按约定验收项目成果。</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9.3乙方权利</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9.3.1接受甲方提供的相关技术资料、数据等；</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9.3.2交付工作成果后获得报酬。</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9.4乙方的义务</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9.4.1.乙方应当亲自完成修缮修理项目的主要工作，擅自转委托给第三方的，甲方有权拒付报酬并有权解除合同。</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9.4.2.乙方在履约过程中，因其技术能力或生产条件等情况致使不能实现合同目的的，乙方应当在情况出现的　3　日内通知甲方，否则，因此给甲方造成损失的，应当承担相应的赔偿责任。</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9.4.3.乙方在工作期间，应当接受甲方必要的监督检验。乙方应当妥善保管修理修缮及抢维修和甲方提供的材料以及完成的工作成果。</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9.4.4.在甲方单位内进行修理修缮的，乙方应当遵守甲方有关安全生产、操作规程、施工管理等规章制度。因违反甲方规章制度或者非甲方的故意或过失而造成的损失由乙方自行承担。</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9.4.5.乙方在向甲方交付工作成果时，应当向甲方提供设备修理修缮项目技术资料和档案资料。经双方协商一致，乙方应当向甲方提供所有更换配件的进货价格、配件来源、配件品质等详细资料。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9.4.6.其他约定：1.执行双方签订的安全、廉政协议；2.不得拖欠工人工资，并负责施工人员的人身安全；3.根据其他的要求办理相关手续；4.未尽事宜，双方协商解决。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10.保险</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10.1.乙方必须对自己的全部设备及人员进行保险，如发生设备、人身伤亡等事故（甲方原因除外），由乙方负责向保险公司索赔，甲方不负任何责任。</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10.2.因甲方原因造成乙方的设备和人员的损害，由乙方负责向保险公司索赔，甲方只承担保险公司赔偿以外的损失，未保险的甲方不予赔偿。</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11.不可抗力</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下列事件可认为是不可抗力事件：战争、动乱、地震、飓风、洪水、冰雹、雪灾等不能预见、不能避免、不能克服的客观情况。由于不可抗力原因，使双方或任何一方不能履行合同义务时，应立即以书面形式通知对方，致使合同无法按期履行或不能履行的，所造成的损失由双方各自承担。一方未尽通知义务的，应就扩大的损失负赔偿责任。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12.违约责任</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12.1.一方不履行合同义务或者履行合同义务不符合约定的，应当承担继续履行、采取补救措施或者赔偿损失等违约责任。</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12.2.乙方交付的工作成果不符合约定的质量要求、技术标准的，乙方应当按照甲方的要求承担修理、重作、更换、减少报酬、赔偿损失等违约责任。</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12.3.乙方拒绝返修、整改或返修、整改仍未达到合同约定的质量要求、技术标准的，本合同约定的质保金不予返还。因修理修缮质量问题给甲方造成其他损失的，还应承担赔偿责任。</w:t>
      </w:r>
    </w:p>
    <w:p>
      <w:pPr>
        <w:widowControl/>
        <w:spacing w:line="360" w:lineRule="auto"/>
        <w:ind w:firstLine="480" w:firstLineChars="200"/>
        <w:jc w:val="left"/>
        <w:rPr>
          <w:rFonts w:asciiTheme="minorEastAsia" w:hAnsiTheme="minorEastAsia" w:eastAsiaTheme="minorEastAsia" w:cstheme="minorEastAsia"/>
          <w:bCs/>
          <w:sz w:val="24"/>
        </w:rPr>
      </w:pPr>
      <w:bookmarkStart w:id="182" w:name="_Toc37665090"/>
      <w:bookmarkStart w:id="183" w:name="_Toc37575007"/>
      <w:r>
        <w:rPr>
          <w:rFonts w:hint="eastAsia" w:asciiTheme="minorEastAsia" w:hAnsiTheme="minorEastAsia" w:eastAsiaTheme="minorEastAsia" w:cstheme="minorEastAsia"/>
          <w:bCs/>
          <w:sz w:val="24"/>
        </w:rPr>
        <w:t>13.合同的生效、变更、解除和终止</w:t>
      </w:r>
      <w:bookmarkEnd w:id="182"/>
      <w:bookmarkEnd w:id="183"/>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13.1.本合同经双方均签字并盖章后生效。</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13.2.本合同经双方协商一致，可以变更，合同变更协议应采用书面形式。</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13.3.本合同解除的条件:</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13.3.1.因不可抗力致使不能实现合同目的的；</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13.3.2.在履行期限届满之前，一方明确表示或者以自己实际行为表明其不履行合同义务的；</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13.3.3.双方协商一致同意解除的；</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13.3.4.乙方擅自将工作任务交由第三方完成的；</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13.3.5.甲方可以随时解除合同，但因此给乙方造成损失的，应当赔偿。</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13.3.6.其他约定：　　　　/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13.4.有下列情形之一的，本合同的权利义务终止：</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13.4.1.合同已经按照约定履行完结；</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13.4.2.双方协商解除合同；</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13.4.3.双方约定的其他情形：　　　　/　   　　</w:t>
      </w:r>
    </w:p>
    <w:p>
      <w:pPr>
        <w:widowControl/>
        <w:spacing w:line="360" w:lineRule="auto"/>
        <w:ind w:firstLine="480" w:firstLineChars="200"/>
        <w:jc w:val="left"/>
        <w:rPr>
          <w:rFonts w:asciiTheme="minorEastAsia" w:hAnsiTheme="minorEastAsia" w:eastAsiaTheme="minorEastAsia" w:cstheme="minorEastAsia"/>
          <w:bCs/>
          <w:sz w:val="24"/>
        </w:rPr>
      </w:pPr>
      <w:bookmarkStart w:id="184" w:name="_Toc37575008"/>
      <w:bookmarkStart w:id="185" w:name="_Toc37665091"/>
      <w:r>
        <w:rPr>
          <w:rFonts w:hint="eastAsia" w:asciiTheme="minorEastAsia" w:hAnsiTheme="minorEastAsia" w:eastAsiaTheme="minorEastAsia" w:cstheme="minorEastAsia"/>
          <w:bCs/>
          <w:sz w:val="24"/>
        </w:rPr>
        <w:t>14.争议的解决</w:t>
      </w:r>
      <w:bookmarkEnd w:id="184"/>
      <w:bookmarkEnd w:id="185"/>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本合同履行过程中发生争议，甲乙双方应及时协商解决。如协商不成，可选择下列第  14.2  种方式解决。</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14.1.提交      /        仲裁委员会申请仲裁。</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14.2.依法向定做人所在地人民法院提起诉讼。</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15.通知</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招标人(甲方)：</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通讯地址：</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联系人:                            电话: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成交人(乙方):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通讯地址： </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联系人:                              电话: </w:t>
      </w:r>
    </w:p>
    <w:p>
      <w:pPr>
        <w:widowControl/>
        <w:spacing w:line="360" w:lineRule="auto"/>
        <w:ind w:firstLine="480" w:firstLineChars="200"/>
        <w:jc w:val="left"/>
        <w:rPr>
          <w:rFonts w:asciiTheme="minorEastAsia" w:hAnsiTheme="minorEastAsia" w:eastAsiaTheme="minorEastAsia" w:cstheme="minorEastAsia"/>
          <w:bCs/>
          <w:sz w:val="24"/>
        </w:rPr>
      </w:pPr>
      <w:bookmarkStart w:id="186" w:name="_Toc37575009"/>
      <w:bookmarkStart w:id="187" w:name="_Toc37665092"/>
      <w:r>
        <w:rPr>
          <w:rFonts w:hint="eastAsia" w:asciiTheme="minorEastAsia" w:hAnsiTheme="minorEastAsia" w:eastAsiaTheme="minorEastAsia" w:cstheme="minorEastAsia"/>
          <w:bCs/>
          <w:sz w:val="24"/>
        </w:rPr>
        <w:t>16其它约定</w:t>
      </w:r>
      <w:bookmarkEnd w:id="186"/>
      <w:bookmarkEnd w:id="187"/>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16.1.在提供服务期间，乙方应当按照“看好自己的门、管好自己的人、守好自己的阵地”的要求，成立本单位的意识形态组织机构，明确责任人及管理职责，加强意识形态阵地管理，大力弘扬正能量，坚决抵制错误思想渗透。</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16.2乙方应当按照自治区、驻地政府及甲方有关要求，结合本单位实际，制定意识形态教育培训工作计划，开展意识形态教育。</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16.3乙方应当坚持“守土有责、守土负责、守土尽责”，严格遵守意识形态责任制要求和网络安全管理规定等规章制度，所属员工不得通过各类媒介发布有损企业形象的言论或视频等，对引发舆情事件的，甲方有权依规追究乙方责任。</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16.4遵守国家、当地政府和甲方关于维稳信访安保的各项政策法规和管理要求，负责维护乙方队伍人员稳定，并独自承担因乙方原因产生稳定问题所造成的社会影响和经济损失。</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16.5甲方有权对乙方服务过程中的涉及队伍稳定工作提出监督要求。</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16.6乙方对出现影响稳定的矛盾和问题应全力处置化解，杜绝产生规模性集体上访或较大社会影响事件。</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16.7如乙方发生影响稳定问题，甲方有权根据问题事实、影响程度和受损情况，向乙方采取索赔、扣减相应费用或解除合同、清退出甲方市场等措施。</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16.8乙方应严格遵守甲方保卫有关规章制度，加强员工法制宣传管理教育，对油气产品及物资、器材、设施等治安管理独立承担监管责任，对监守自盗、内勾外联行为向</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甲方承担违约及赔偿责任，构成犯罪的，依法移交当地司法机关处理。</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16.9乙方应主动配合甲方纪检监察部门的监督检查，严格按甲方要求提供各类调查材料，并确保材料真实有效，乙方有权利和义务向市纪检监察部门举报违规违纪违法行为。</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16.10乙方不得向甲方人员提供宴请、礼品、礼金、消费卡和娱乐消费活动；不得向甲方人员发放任何形式的现金、出借款物或销售明显低于市场价格的商品；不得为甲方人员报销车船机票、通讯、旅游、娱乐及其他应由本人自理的费用。</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16.11未经甲方人事部门批准，乙方不得聘用甲方在职人员。</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16.12乙方人员违反上述约定，根据甲方有关承包商、服务商、投标人管理规定，视其情节轻重分别给予通报、暂停或取消在甲方市场从事交易的资格；造成不良后果的，清除出甲方交易市场；造成经济损失的，按合同约定赔偿，直至追究法律责任。</w:t>
      </w: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16.13未尽事宜，法律、法规有规定的，按照相关规定执行；没有规定的，由双方协商解决。经双方协商一致对本合同进行修改、达成的书面补充协议与本协议具有同等效力。</w:t>
      </w:r>
    </w:p>
    <w:p>
      <w:pPr>
        <w:widowControl/>
        <w:spacing w:line="360" w:lineRule="auto"/>
        <w:ind w:firstLine="480" w:firstLineChars="200"/>
        <w:jc w:val="left"/>
        <w:rPr>
          <w:rFonts w:asciiTheme="minorEastAsia" w:hAnsiTheme="minorEastAsia" w:eastAsiaTheme="minorEastAsia" w:cstheme="minorEastAsia"/>
          <w:bCs/>
          <w:sz w:val="24"/>
        </w:rPr>
      </w:pP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定做人(甲方)：　                    　承揽人(乙方)：</w:t>
      </w:r>
    </w:p>
    <w:p>
      <w:pPr>
        <w:widowControl/>
        <w:spacing w:line="360" w:lineRule="auto"/>
        <w:ind w:firstLine="480" w:firstLineChars="200"/>
        <w:jc w:val="left"/>
        <w:rPr>
          <w:rFonts w:asciiTheme="minorEastAsia" w:hAnsiTheme="minorEastAsia" w:eastAsiaTheme="minorEastAsia" w:cstheme="minorEastAsia"/>
          <w:bCs/>
          <w:sz w:val="24"/>
        </w:rPr>
      </w:pP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法定代表（负责）人 :                法定代表（负责）人:</w:t>
      </w:r>
    </w:p>
    <w:p>
      <w:pPr>
        <w:widowControl/>
        <w:spacing w:line="360" w:lineRule="auto"/>
        <w:ind w:firstLine="480" w:firstLineChars="200"/>
        <w:jc w:val="left"/>
        <w:rPr>
          <w:rFonts w:asciiTheme="minorEastAsia" w:hAnsiTheme="minorEastAsia" w:eastAsiaTheme="minorEastAsia" w:cstheme="minorEastAsia"/>
          <w:bCs/>
          <w:sz w:val="24"/>
        </w:rPr>
      </w:pPr>
    </w:p>
    <w:p>
      <w:pPr>
        <w:widowControl/>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（授权签字人）：                     （授权签字人）：</w:t>
      </w:r>
    </w:p>
    <w:p>
      <w:pPr>
        <w:spacing w:line="360" w:lineRule="auto"/>
      </w:pPr>
    </w:p>
    <w:p>
      <w:pPr>
        <w:spacing w:line="360" w:lineRule="auto"/>
      </w:pPr>
    </w:p>
    <w:p>
      <w:pPr>
        <w:spacing w:line="360" w:lineRule="auto"/>
      </w:pPr>
    </w:p>
    <w:p>
      <w:pPr>
        <w:pStyle w:val="2"/>
        <w:rPr>
          <w:rFonts w:asciiTheme="minorEastAsia" w:hAnsiTheme="minorEastAsia" w:eastAsiaTheme="minorEastAsia" w:cstheme="minorEastAsia"/>
          <w:b/>
          <w:bCs/>
          <w:sz w:val="24"/>
        </w:rPr>
      </w:pPr>
    </w:p>
    <w:p>
      <w:pPr>
        <w:tabs>
          <w:tab w:val="left" w:pos="7665"/>
        </w:tabs>
        <w:spacing w:line="360" w:lineRule="auto"/>
        <w:rPr>
          <w:rFonts w:ascii="宋体" w:hAnsi="宋体" w:cs="宋体"/>
          <w:b/>
          <w:bCs/>
          <w:sz w:val="30"/>
          <w:szCs w:val="30"/>
        </w:rPr>
      </w:pPr>
    </w:p>
    <w:p>
      <w:pPr>
        <w:tabs>
          <w:tab w:val="left" w:pos="7665"/>
        </w:tabs>
        <w:spacing w:line="360" w:lineRule="auto"/>
        <w:jc w:val="center"/>
        <w:rPr>
          <w:rFonts w:ascii="宋体" w:hAnsi="宋体" w:cs="宋体"/>
          <w:b/>
          <w:bCs/>
          <w:sz w:val="30"/>
          <w:szCs w:val="30"/>
        </w:rPr>
      </w:pPr>
    </w:p>
    <w:p>
      <w:pPr>
        <w:pStyle w:val="2"/>
        <w:rPr>
          <w:rFonts w:ascii="宋体" w:hAnsi="宋体" w:cs="宋体"/>
          <w:b/>
          <w:bCs/>
          <w:sz w:val="30"/>
          <w:szCs w:val="30"/>
        </w:rPr>
      </w:pPr>
    </w:p>
    <w:p>
      <w:pPr>
        <w:pStyle w:val="3"/>
        <w:rPr>
          <w:rFonts w:ascii="宋体" w:hAnsi="宋体" w:cs="宋体"/>
          <w:b/>
          <w:bCs/>
          <w:sz w:val="30"/>
          <w:szCs w:val="30"/>
        </w:rPr>
      </w:pPr>
    </w:p>
    <w:p>
      <w:pPr>
        <w:rPr>
          <w:rFonts w:ascii="宋体" w:hAnsi="宋体" w:cs="宋体"/>
          <w:b/>
          <w:bCs/>
          <w:sz w:val="30"/>
          <w:szCs w:val="30"/>
        </w:rPr>
      </w:pPr>
    </w:p>
    <w:p>
      <w:pPr>
        <w:pStyle w:val="2"/>
      </w:pPr>
    </w:p>
    <w:p>
      <w:pPr>
        <w:pStyle w:val="2"/>
        <w:rPr>
          <w:rFonts w:ascii="宋体" w:hAnsi="宋体" w:cs="宋体"/>
          <w:b/>
          <w:bCs/>
          <w:sz w:val="30"/>
          <w:szCs w:val="30"/>
        </w:rPr>
      </w:pPr>
    </w:p>
    <w:p>
      <w:pPr>
        <w:tabs>
          <w:tab w:val="left" w:pos="7665"/>
        </w:tabs>
        <w:spacing w:line="360" w:lineRule="auto"/>
        <w:jc w:val="center"/>
        <w:rPr>
          <w:rFonts w:ascii="宋体" w:hAnsi="宋体" w:cs="宋体"/>
          <w:sz w:val="24"/>
        </w:rPr>
      </w:pPr>
      <w:r>
        <w:rPr>
          <w:rFonts w:hint="eastAsia" w:ascii="宋体" w:hAnsi="宋体" w:cs="宋体"/>
          <w:b/>
          <w:bCs/>
          <w:sz w:val="30"/>
          <w:szCs w:val="30"/>
        </w:rPr>
        <w:t>第五章、</w:t>
      </w:r>
      <w:bookmarkEnd w:id="37"/>
      <w:r>
        <w:rPr>
          <w:rFonts w:hint="eastAsia" w:ascii="宋体" w:hAnsi="宋体" w:cs="宋体"/>
          <w:b/>
          <w:bCs/>
          <w:sz w:val="30"/>
          <w:szCs w:val="30"/>
        </w:rPr>
        <w:t>投标文件格式</w:t>
      </w:r>
    </w:p>
    <w:p>
      <w:pPr>
        <w:pStyle w:val="11"/>
        <w:spacing w:line="360" w:lineRule="auto"/>
        <w:ind w:firstLine="480" w:firstLineChars="200"/>
        <w:rPr>
          <w:rFonts w:hAnsi="宋体" w:cs="宋体"/>
          <w:sz w:val="24"/>
          <w:szCs w:val="24"/>
        </w:rPr>
      </w:pPr>
      <w:r>
        <w:rPr>
          <w:rFonts w:hint="eastAsia" w:hAnsi="宋体" w:cs="宋体"/>
          <w:sz w:val="24"/>
          <w:szCs w:val="24"/>
        </w:rPr>
        <w:t>投标文件封面</w:t>
      </w:r>
    </w:p>
    <w:p>
      <w:pPr>
        <w:pStyle w:val="11"/>
        <w:spacing w:line="360" w:lineRule="auto"/>
        <w:ind w:firstLine="480" w:firstLineChars="200"/>
        <w:rPr>
          <w:rFonts w:hAnsi="宋体" w:cs="宋体"/>
          <w:sz w:val="24"/>
          <w:szCs w:val="24"/>
        </w:rPr>
      </w:pPr>
      <w:r>
        <w:rPr>
          <w:rFonts w:hint="eastAsia" w:hAnsi="宋体" w:cs="宋体"/>
          <w:sz w:val="24"/>
          <w:szCs w:val="24"/>
        </w:rPr>
        <w:t>1、投标函</w:t>
      </w:r>
    </w:p>
    <w:p>
      <w:pPr>
        <w:pStyle w:val="11"/>
        <w:spacing w:line="360" w:lineRule="auto"/>
        <w:ind w:firstLine="480" w:firstLineChars="200"/>
        <w:rPr>
          <w:rFonts w:hAnsi="宋体" w:cs="宋体"/>
          <w:sz w:val="24"/>
          <w:szCs w:val="24"/>
        </w:rPr>
      </w:pPr>
      <w:r>
        <w:rPr>
          <w:rFonts w:hint="eastAsia" w:hAnsi="宋体" w:cs="宋体"/>
          <w:sz w:val="24"/>
          <w:szCs w:val="24"/>
        </w:rPr>
        <w:t>2、法定代表人资格证明书</w:t>
      </w:r>
    </w:p>
    <w:p>
      <w:pPr>
        <w:pStyle w:val="11"/>
        <w:spacing w:line="360" w:lineRule="auto"/>
        <w:ind w:firstLine="480" w:firstLineChars="200"/>
        <w:rPr>
          <w:rFonts w:hAnsi="宋体" w:cs="宋体"/>
          <w:sz w:val="24"/>
          <w:szCs w:val="24"/>
        </w:rPr>
      </w:pPr>
      <w:r>
        <w:rPr>
          <w:rFonts w:hint="eastAsia" w:hAnsi="宋体" w:cs="宋体"/>
          <w:sz w:val="24"/>
          <w:szCs w:val="24"/>
        </w:rPr>
        <w:t>3、法定代表人授权委托书</w:t>
      </w:r>
    </w:p>
    <w:p>
      <w:pPr>
        <w:pStyle w:val="11"/>
        <w:spacing w:line="360" w:lineRule="auto"/>
        <w:ind w:firstLine="480" w:firstLineChars="200"/>
        <w:rPr>
          <w:rFonts w:hAnsi="宋体" w:cs="宋体"/>
          <w:sz w:val="24"/>
          <w:szCs w:val="24"/>
        </w:rPr>
      </w:pPr>
      <w:r>
        <w:rPr>
          <w:rFonts w:hint="eastAsia" w:hAnsi="宋体" w:cs="宋体"/>
          <w:sz w:val="24"/>
          <w:szCs w:val="24"/>
        </w:rPr>
        <w:t>4、投标人资格声明</w:t>
      </w:r>
    </w:p>
    <w:p>
      <w:pPr>
        <w:pStyle w:val="11"/>
        <w:spacing w:line="360" w:lineRule="auto"/>
        <w:ind w:firstLine="480" w:firstLineChars="200"/>
        <w:rPr>
          <w:rFonts w:hAnsi="宋体" w:cs="宋体"/>
          <w:sz w:val="24"/>
          <w:szCs w:val="24"/>
        </w:rPr>
      </w:pPr>
      <w:r>
        <w:rPr>
          <w:rFonts w:hint="eastAsia" w:hAnsi="宋体" w:cs="宋体"/>
          <w:sz w:val="24"/>
          <w:szCs w:val="24"/>
        </w:rPr>
        <w:t>5、诚信声明</w:t>
      </w:r>
    </w:p>
    <w:p>
      <w:pPr>
        <w:pStyle w:val="11"/>
        <w:spacing w:line="360" w:lineRule="auto"/>
        <w:ind w:firstLine="480" w:firstLineChars="200"/>
        <w:rPr>
          <w:rFonts w:hAnsi="宋体" w:cs="宋体"/>
          <w:sz w:val="24"/>
          <w:szCs w:val="24"/>
        </w:rPr>
      </w:pPr>
      <w:r>
        <w:rPr>
          <w:rFonts w:hint="eastAsia" w:hAnsi="宋体" w:cs="宋体"/>
          <w:sz w:val="24"/>
          <w:szCs w:val="24"/>
        </w:rPr>
        <w:t>6、中小企业声明函</w:t>
      </w:r>
    </w:p>
    <w:p>
      <w:pPr>
        <w:pStyle w:val="11"/>
        <w:spacing w:line="360" w:lineRule="auto"/>
        <w:ind w:firstLine="480" w:firstLineChars="200"/>
        <w:rPr>
          <w:rFonts w:hAnsi="宋体" w:cs="宋体"/>
          <w:sz w:val="24"/>
          <w:szCs w:val="24"/>
        </w:rPr>
      </w:pPr>
      <w:r>
        <w:rPr>
          <w:rFonts w:hint="eastAsia" w:hAnsi="宋体" w:cs="宋体"/>
          <w:sz w:val="24"/>
          <w:szCs w:val="24"/>
        </w:rPr>
        <w:t>7、商务报价一览表</w:t>
      </w:r>
    </w:p>
    <w:p>
      <w:pPr>
        <w:pStyle w:val="11"/>
        <w:spacing w:line="360" w:lineRule="auto"/>
        <w:ind w:firstLine="480" w:firstLineChars="200"/>
        <w:rPr>
          <w:rFonts w:hAnsi="宋体" w:cs="宋体"/>
          <w:sz w:val="24"/>
          <w:szCs w:val="24"/>
        </w:rPr>
      </w:pPr>
      <w:r>
        <w:rPr>
          <w:rFonts w:hint="eastAsia" w:hAnsi="宋体" w:cs="宋体"/>
          <w:sz w:val="24"/>
          <w:szCs w:val="24"/>
        </w:rPr>
        <w:t>8、近三年（自2018年1月1日至今）同类项目业绩表</w:t>
      </w:r>
    </w:p>
    <w:p>
      <w:pPr>
        <w:pStyle w:val="11"/>
        <w:spacing w:line="360" w:lineRule="auto"/>
        <w:ind w:firstLine="480" w:firstLineChars="200"/>
        <w:rPr>
          <w:rFonts w:hAnsi="宋体" w:cs="宋体"/>
          <w:sz w:val="24"/>
        </w:rPr>
      </w:pPr>
      <w:r>
        <w:rPr>
          <w:rFonts w:hint="eastAsia" w:hAnsi="宋体" w:cs="宋体"/>
          <w:sz w:val="24"/>
        </w:rPr>
        <w:t>9、项目负责人简历表</w:t>
      </w:r>
    </w:p>
    <w:p>
      <w:pPr>
        <w:pStyle w:val="11"/>
        <w:spacing w:line="360" w:lineRule="auto"/>
        <w:ind w:firstLine="480" w:firstLineChars="200"/>
        <w:rPr>
          <w:rFonts w:hAnsi="宋体" w:cs="宋体"/>
          <w:sz w:val="24"/>
        </w:rPr>
      </w:pPr>
      <w:r>
        <w:rPr>
          <w:rFonts w:hint="eastAsia" w:hAnsi="宋体" w:cs="宋体"/>
          <w:sz w:val="24"/>
        </w:rPr>
        <w:t>10、主要施工管理人员</w:t>
      </w:r>
    </w:p>
    <w:p>
      <w:pPr>
        <w:pStyle w:val="11"/>
        <w:spacing w:line="360" w:lineRule="auto"/>
        <w:ind w:firstLine="480" w:firstLineChars="200"/>
        <w:rPr>
          <w:rFonts w:hAnsi="宋体" w:cs="宋体"/>
          <w:sz w:val="24"/>
        </w:rPr>
      </w:pPr>
      <w:r>
        <w:rPr>
          <w:rFonts w:hint="eastAsia" w:hAnsi="宋体" w:cs="宋体"/>
          <w:sz w:val="24"/>
        </w:rPr>
        <w:t>11、拟投入本项目的主要机械、设备表</w:t>
      </w:r>
    </w:p>
    <w:p>
      <w:pPr>
        <w:pStyle w:val="11"/>
        <w:spacing w:line="360" w:lineRule="auto"/>
        <w:ind w:firstLine="480" w:firstLineChars="200"/>
        <w:rPr>
          <w:rFonts w:hAnsi="宋体" w:cs="宋体"/>
          <w:sz w:val="24"/>
        </w:rPr>
      </w:pPr>
      <w:r>
        <w:rPr>
          <w:rFonts w:hint="eastAsia" w:hAnsi="宋体" w:cs="宋体"/>
          <w:sz w:val="24"/>
        </w:rPr>
        <w:t>12、其他方案</w:t>
      </w:r>
    </w:p>
    <w:p>
      <w:pPr>
        <w:pStyle w:val="11"/>
        <w:spacing w:line="360" w:lineRule="auto"/>
        <w:ind w:firstLine="480" w:firstLineChars="200"/>
        <w:rPr>
          <w:rFonts w:hAnsi="宋体" w:cs="宋体"/>
          <w:sz w:val="24"/>
        </w:rPr>
      </w:pPr>
      <w:r>
        <w:rPr>
          <w:rFonts w:hint="eastAsia" w:hAnsi="宋体" w:cs="宋体"/>
          <w:sz w:val="24"/>
        </w:rPr>
        <w:t>13、资格性/符合性自查表</w:t>
      </w:r>
    </w:p>
    <w:p>
      <w:pPr>
        <w:pStyle w:val="22"/>
        <w:spacing w:line="312" w:lineRule="auto"/>
        <w:ind w:left="-85" w:firstLine="562" w:firstLineChars="200"/>
        <w:jc w:val="center"/>
        <w:rPr>
          <w:rFonts w:ascii="宋体" w:hAnsi="宋体" w:cs="宋体"/>
          <w:b/>
          <w:bCs/>
          <w:sz w:val="28"/>
          <w:szCs w:val="28"/>
        </w:rPr>
      </w:pPr>
    </w:p>
    <w:p>
      <w:pPr>
        <w:pStyle w:val="22"/>
        <w:spacing w:line="312" w:lineRule="auto"/>
        <w:ind w:left="-85" w:firstLine="562" w:firstLineChars="200"/>
        <w:jc w:val="center"/>
        <w:rPr>
          <w:rFonts w:ascii="宋体" w:hAnsi="宋体" w:cs="宋体"/>
          <w:b/>
          <w:bCs/>
          <w:sz w:val="28"/>
          <w:szCs w:val="28"/>
        </w:rPr>
      </w:pPr>
    </w:p>
    <w:p>
      <w:pPr>
        <w:pStyle w:val="22"/>
        <w:spacing w:line="312" w:lineRule="auto"/>
        <w:ind w:left="-85" w:firstLine="562" w:firstLineChars="200"/>
        <w:jc w:val="center"/>
        <w:rPr>
          <w:rFonts w:ascii="宋体" w:hAnsi="宋体" w:cs="宋体"/>
          <w:b/>
          <w:bCs/>
          <w:sz w:val="28"/>
          <w:szCs w:val="28"/>
        </w:rPr>
      </w:pPr>
    </w:p>
    <w:p>
      <w:pPr>
        <w:spacing w:line="1000" w:lineRule="exact"/>
        <w:jc w:val="center"/>
        <w:rPr>
          <w:rFonts w:ascii="宋体" w:hAnsi="宋体" w:cs="宋体"/>
          <w:b/>
          <w:sz w:val="28"/>
          <w:szCs w:val="28"/>
        </w:rPr>
      </w:pPr>
      <w:r>
        <w:rPr>
          <w:rFonts w:hint="eastAsia" w:ascii="宋体" w:hAnsi="宋体" w:cs="宋体"/>
          <w:b/>
          <w:sz w:val="28"/>
          <w:szCs w:val="28"/>
        </w:rPr>
        <w:br w:type="page"/>
      </w:r>
    </w:p>
    <w:p>
      <w:pPr>
        <w:spacing w:line="1000" w:lineRule="exact"/>
        <w:jc w:val="center"/>
        <w:rPr>
          <w:rFonts w:ascii="宋体" w:hAnsi="宋体" w:cs="宋体"/>
          <w:b/>
          <w:bCs/>
          <w:sz w:val="44"/>
          <w:szCs w:val="44"/>
        </w:rPr>
      </w:pPr>
    </w:p>
    <w:p>
      <w:pPr>
        <w:pStyle w:val="2"/>
        <w:rPr>
          <w:rFonts w:ascii="宋体" w:hAnsi="宋体" w:cs="宋体"/>
          <w:b/>
          <w:bCs/>
          <w:sz w:val="44"/>
          <w:szCs w:val="44"/>
        </w:rPr>
      </w:pPr>
    </w:p>
    <w:p>
      <w:pPr>
        <w:spacing w:line="1000" w:lineRule="exact"/>
        <w:ind w:right="-319" w:rightChars="-152"/>
        <w:jc w:val="center"/>
        <w:rPr>
          <w:rFonts w:ascii="宋体" w:hAnsi="宋体" w:cs="宋体"/>
          <w:b/>
          <w:bCs/>
          <w:sz w:val="44"/>
          <w:szCs w:val="44"/>
        </w:rPr>
      </w:pPr>
      <w:r>
        <w:rPr>
          <w:rFonts w:hint="eastAsia" w:ascii="宋体" w:hAnsi="宋体" w:cs="宋体"/>
          <w:b/>
          <w:bCs/>
          <w:sz w:val="44"/>
          <w:szCs w:val="44"/>
        </w:rPr>
        <w:t>克拉玛依市排水管理处污水处理设施维修修缮及应急抢修队伍入围项目</w:t>
      </w:r>
    </w:p>
    <w:p>
      <w:pPr>
        <w:pStyle w:val="2"/>
        <w:rPr>
          <w:rFonts w:ascii="宋体" w:hAnsi="宋体" w:cs="宋体"/>
          <w:b/>
          <w:bCs/>
          <w:sz w:val="36"/>
          <w:szCs w:val="36"/>
        </w:rPr>
      </w:pPr>
    </w:p>
    <w:p>
      <w:pPr>
        <w:pStyle w:val="2"/>
        <w:jc w:val="center"/>
        <w:rPr>
          <w:rFonts w:ascii="宋体" w:hAnsi="宋体" w:cs="宋体"/>
          <w:b/>
          <w:bCs/>
          <w:sz w:val="52"/>
          <w:szCs w:val="52"/>
        </w:rPr>
      </w:pPr>
      <w:r>
        <w:rPr>
          <w:rFonts w:hint="eastAsia" w:ascii="宋体" w:hAnsi="宋体" w:cs="宋体"/>
          <w:b/>
          <w:bCs/>
          <w:sz w:val="52"/>
          <w:szCs w:val="52"/>
        </w:rPr>
        <w:t>投标文件</w:t>
      </w:r>
    </w:p>
    <w:p>
      <w:pPr>
        <w:pStyle w:val="2"/>
        <w:jc w:val="center"/>
        <w:rPr>
          <w:rFonts w:ascii="宋体" w:hAnsi="宋体" w:cs="宋体"/>
          <w:b/>
          <w:bCs/>
          <w:sz w:val="24"/>
        </w:rPr>
      </w:pPr>
    </w:p>
    <w:p>
      <w:pPr>
        <w:pStyle w:val="2"/>
        <w:jc w:val="center"/>
        <w:rPr>
          <w:rFonts w:ascii="宋体" w:hAnsi="宋体" w:cs="宋体"/>
          <w:b/>
          <w:bCs/>
          <w:sz w:val="24"/>
        </w:rPr>
      </w:pPr>
    </w:p>
    <w:p>
      <w:pPr>
        <w:pStyle w:val="2"/>
        <w:jc w:val="center"/>
        <w:rPr>
          <w:rFonts w:ascii="宋体" w:hAnsi="宋体" w:cs="宋体"/>
          <w:b/>
          <w:bCs/>
          <w:sz w:val="24"/>
        </w:rPr>
      </w:pPr>
    </w:p>
    <w:p>
      <w:pPr>
        <w:snapToGrid w:val="0"/>
        <w:spacing w:line="480" w:lineRule="auto"/>
        <w:jc w:val="center"/>
        <w:rPr>
          <w:rFonts w:ascii="宋体" w:hAnsi="宋体" w:cs="宋体"/>
          <w:b/>
          <w:bCs/>
          <w:sz w:val="24"/>
        </w:rPr>
      </w:pPr>
      <w:r>
        <w:rPr>
          <w:rFonts w:hint="eastAsia" w:ascii="宋体" w:hAnsi="宋体" w:cs="宋体"/>
          <w:b/>
          <w:sz w:val="24"/>
        </w:rPr>
        <w:t>（文件编号：</w:t>
      </w:r>
      <w:r>
        <w:rPr>
          <w:rFonts w:hint="eastAsia" w:ascii="宋体" w:hAnsi="宋体" w:cs="宋体"/>
          <w:b/>
          <w:color w:val="000000" w:themeColor="text1"/>
          <w:sz w:val="24"/>
          <w14:textFill>
            <w14:solidFill>
              <w14:schemeClr w14:val="tx1"/>
            </w14:solidFill>
          </w14:textFill>
        </w:rPr>
        <w:t>JKJL[ZC]2021-66</w:t>
      </w:r>
      <w:r>
        <w:rPr>
          <w:rFonts w:hint="eastAsia" w:ascii="宋体" w:hAnsi="宋体" w:cs="宋体"/>
          <w:b/>
          <w:sz w:val="24"/>
        </w:rPr>
        <w:t>）</w:t>
      </w:r>
    </w:p>
    <w:p>
      <w:pPr>
        <w:snapToGrid w:val="0"/>
        <w:spacing w:line="374" w:lineRule="atLeast"/>
        <w:jc w:val="center"/>
        <w:rPr>
          <w:rFonts w:ascii="宋体" w:hAnsi="宋体" w:cs="宋体"/>
          <w:b/>
          <w:sz w:val="30"/>
        </w:rPr>
      </w:pP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rPr>
          <w:rFonts w:ascii="宋体" w:hAnsi="宋体" w:cs="宋体"/>
          <w:b/>
        </w:rPr>
      </w:pPr>
    </w:p>
    <w:p>
      <w:pPr>
        <w:spacing w:line="360" w:lineRule="auto"/>
        <w:ind w:firstLine="602"/>
        <w:rPr>
          <w:rFonts w:ascii="宋体" w:hAnsi="宋体" w:cs="宋体"/>
          <w:b/>
          <w:sz w:val="30"/>
          <w:szCs w:val="30"/>
        </w:rPr>
      </w:pPr>
      <w:r>
        <w:rPr>
          <w:rFonts w:hint="eastAsia" w:ascii="宋体" w:hAnsi="宋体" w:cs="宋体"/>
          <w:b/>
          <w:sz w:val="30"/>
          <w:szCs w:val="30"/>
        </w:rPr>
        <w:t>投标人：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ind w:firstLine="602"/>
        <w:rPr>
          <w:rFonts w:ascii="宋体" w:hAnsi="宋体" w:cs="宋体"/>
          <w:b/>
          <w:sz w:val="30"/>
          <w:szCs w:val="30"/>
        </w:rPr>
      </w:pPr>
    </w:p>
    <w:p>
      <w:pPr>
        <w:pStyle w:val="11"/>
        <w:ind w:firstLine="596" w:firstLineChars="198"/>
        <w:outlineLvl w:val="0"/>
        <w:rPr>
          <w:rFonts w:hAnsi="宋体" w:cs="宋体"/>
          <w:b/>
          <w:sz w:val="30"/>
          <w:szCs w:val="30"/>
        </w:rPr>
      </w:pPr>
      <w:r>
        <w:rPr>
          <w:rFonts w:hint="eastAsia" w:hAnsi="宋体" w:cs="宋体"/>
          <w:b/>
          <w:sz w:val="30"/>
          <w:szCs w:val="30"/>
        </w:rPr>
        <w:t>联系人：                   联系电话：</w:t>
      </w:r>
    </w:p>
    <w:p>
      <w:pPr>
        <w:pStyle w:val="11"/>
        <w:ind w:firstLine="596" w:firstLineChars="198"/>
        <w:outlineLvl w:val="0"/>
        <w:rPr>
          <w:rFonts w:hAnsi="宋体" w:cs="宋体"/>
          <w:b/>
          <w:sz w:val="30"/>
          <w:szCs w:val="30"/>
        </w:rPr>
      </w:pPr>
    </w:p>
    <w:p>
      <w:pPr>
        <w:numPr>
          <w:ilvl w:val="0"/>
          <w:numId w:val="5"/>
        </w:numPr>
        <w:spacing w:line="360" w:lineRule="auto"/>
        <w:jc w:val="center"/>
        <w:rPr>
          <w:rFonts w:ascii="宋体" w:hAnsi="宋体" w:cs="宋体"/>
          <w:b/>
          <w:bCs/>
          <w:sz w:val="28"/>
          <w:szCs w:val="28"/>
        </w:rPr>
      </w:pPr>
      <w:r>
        <w:rPr>
          <w:rFonts w:hint="eastAsia" w:ascii="宋体" w:hAnsi="宋体" w:cs="宋体"/>
          <w:b/>
          <w:bCs/>
          <w:sz w:val="28"/>
          <w:szCs w:val="28"/>
        </w:rPr>
        <w:t>投标函</w:t>
      </w:r>
    </w:p>
    <w:p>
      <w:pPr>
        <w:pStyle w:val="2"/>
      </w:pP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克拉玛依市排水处管理处</w:t>
      </w:r>
      <w:r>
        <w:rPr>
          <w:rFonts w:hint="eastAsia" w:asciiTheme="minorEastAsia" w:hAnsiTheme="minorEastAsia" w:eastAsiaTheme="minorEastAsia" w:cstheme="minorEastAsia"/>
          <w:sz w:val="32"/>
          <w:szCs w:val="32"/>
        </w:rPr>
        <w:t>：</w:t>
      </w:r>
    </w:p>
    <w:p>
      <w:pPr>
        <w:pStyle w:val="13"/>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我方全面研究了 “</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”项目招标文件（文件编号：</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），决定参加本项目招标。我方授权（姓名、职务）</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代表我</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方（投标人的名称）全权处理本项目招标的有关事宜。</w:t>
      </w:r>
    </w:p>
    <w:p>
      <w:pPr>
        <w:pStyle w:val="13"/>
        <w:numPr>
          <w:ilvl w:val="0"/>
          <w:numId w:val="6"/>
        </w:numPr>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我方自愿按照招标文件规定的各项要求向招标人提供所需工作内容，商务报价为</w:t>
      </w:r>
      <w:r>
        <w:rPr>
          <w:rFonts w:hint="eastAsia" w:ascii="宋体" w:hAnsi="宋体" w:cs="宋体"/>
        </w:rPr>
        <w:t>经审定的竣工结算价</w:t>
      </w:r>
      <w:r>
        <w:rPr>
          <w:rFonts w:hint="eastAsia" w:asciiTheme="minorEastAsia" w:hAnsiTheme="minorEastAsia" w:eastAsiaTheme="minorEastAsia" w:cstheme="minorEastAsia"/>
          <w:szCs w:val="21"/>
        </w:rPr>
        <w:t>下浮率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val="0"/>
          <w:bCs/>
        </w:rPr>
        <w:t>。</w:t>
      </w:r>
    </w:p>
    <w:p>
      <w:pPr>
        <w:pStyle w:val="13"/>
        <w:numPr>
          <w:ilvl w:val="0"/>
          <w:numId w:val="6"/>
        </w:numPr>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若我方成交入围，我方将严格履行合同规定的责任和义务，保证按招标人要求及我方承诺完成所需服务及应尽义务。</w:t>
      </w:r>
    </w:p>
    <w:p>
      <w:pPr>
        <w:pStyle w:val="13"/>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3．其投标自递交投标文件截止之日起有效期为</w:t>
      </w:r>
      <w:r>
        <w:rPr>
          <w:rFonts w:hint="eastAsia" w:asciiTheme="minorEastAsia" w:hAnsiTheme="minorEastAsia" w:eastAsiaTheme="minorEastAsia" w:cstheme="minorEastAsia"/>
          <w:b w:val="0"/>
          <w:bCs/>
          <w:u w:val="single"/>
        </w:rPr>
        <w:t xml:space="preserve"> 60 </w:t>
      </w:r>
      <w:r>
        <w:rPr>
          <w:rFonts w:hint="eastAsia" w:asciiTheme="minorEastAsia" w:hAnsiTheme="minorEastAsia" w:eastAsiaTheme="minorEastAsia" w:cstheme="minorEastAsia"/>
          <w:b w:val="0"/>
          <w:bCs/>
        </w:rPr>
        <w:t>个日历日。如果我们的投标被接受，则至合同生效时止，本投标始终有效，我们将按服务协议、投标承诺及招标文件的规定履行合同责任和义务。</w:t>
      </w:r>
    </w:p>
    <w:p>
      <w:pPr>
        <w:pStyle w:val="13"/>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4、我方为本项目提交的投标文件一式</w:t>
      </w:r>
      <w:r>
        <w:rPr>
          <w:rFonts w:hint="eastAsia" w:asciiTheme="minorEastAsia" w:hAnsiTheme="minorEastAsia" w:eastAsiaTheme="minorEastAsia" w:cstheme="minorEastAsia"/>
          <w:b w:val="0"/>
          <w:bCs/>
          <w:u w:val="single"/>
          <w:lang w:eastAsia="zh-CN"/>
        </w:rPr>
        <w:t>柒</w:t>
      </w:r>
      <w:r>
        <w:rPr>
          <w:rFonts w:hint="eastAsia" w:asciiTheme="minorEastAsia" w:hAnsiTheme="minorEastAsia" w:eastAsiaTheme="minorEastAsia" w:cstheme="minorEastAsia"/>
          <w:b w:val="0"/>
          <w:bCs/>
        </w:rPr>
        <w:t>份，正本一份，副本</w:t>
      </w:r>
      <w:r>
        <w:rPr>
          <w:rFonts w:hint="eastAsia" w:asciiTheme="minorEastAsia" w:hAnsiTheme="minorEastAsia" w:eastAsiaTheme="minorEastAsia" w:cstheme="minorEastAsia"/>
          <w:b w:val="0"/>
          <w:bCs/>
          <w:lang w:eastAsia="zh-CN"/>
        </w:rPr>
        <w:t>陆</w:t>
      </w:r>
      <w:r>
        <w:rPr>
          <w:rFonts w:hint="eastAsia" w:asciiTheme="minorEastAsia" w:hAnsiTheme="minorEastAsia" w:eastAsiaTheme="minorEastAsia" w:cstheme="minorEastAsia"/>
          <w:b w:val="0"/>
          <w:bCs/>
        </w:rPr>
        <w:t>份。</w:t>
      </w:r>
    </w:p>
    <w:p>
      <w:pPr>
        <w:pStyle w:val="13"/>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5、我方愿意提供招标人可能另外要求的，与招标有关的文件资料，并保证我方已提供和将要提供的文件资料是真实、准确的。</w:t>
      </w:r>
    </w:p>
    <w:p>
      <w:pPr>
        <w:pStyle w:val="13"/>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6、我方完全理解招标人不一定将合同授予最低报价的投标人的行为。</w:t>
      </w:r>
    </w:p>
    <w:p>
      <w:pPr>
        <w:spacing w:line="360" w:lineRule="auto"/>
        <w:ind w:firstLine="480" w:firstLineChars="200"/>
        <w:jc w:val="left"/>
        <w:rPr>
          <w:rFonts w:asciiTheme="minorEastAsia" w:hAnsiTheme="minorEastAsia" w:eastAsiaTheme="minorEastAsia" w:cstheme="minorEastAsia"/>
          <w:bCs/>
          <w:sz w:val="24"/>
        </w:rPr>
      </w:pPr>
    </w:p>
    <w:p>
      <w:pPr>
        <w:spacing w:line="360" w:lineRule="auto"/>
        <w:ind w:firstLine="480" w:firstLineChars="200"/>
        <w:jc w:val="left"/>
        <w:rPr>
          <w:rFonts w:asciiTheme="minorEastAsia" w:hAnsiTheme="minorEastAsia" w:eastAsiaTheme="minorEastAsia" w:cstheme="minorEastAsia"/>
          <w:bCs/>
          <w:sz w:val="24"/>
        </w:rPr>
      </w:pPr>
    </w:p>
    <w:p>
      <w:pPr>
        <w:pStyle w:val="13"/>
        <w:ind w:left="838"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投标人名称：        （盖章）</w:t>
      </w:r>
    </w:p>
    <w:p>
      <w:pPr>
        <w:pStyle w:val="13"/>
        <w:ind w:left="838"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法定代表人或授权代表（签字或盖章）：</w:t>
      </w:r>
    </w:p>
    <w:p>
      <w:pPr>
        <w:pStyle w:val="13"/>
        <w:ind w:left="838"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通讯地址：</w:t>
      </w:r>
    </w:p>
    <w:p>
      <w:pPr>
        <w:pStyle w:val="13"/>
        <w:ind w:left="838"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邮政编码：</w:t>
      </w:r>
    </w:p>
    <w:p>
      <w:pPr>
        <w:pStyle w:val="13"/>
        <w:ind w:left="838"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联系电话：</w:t>
      </w:r>
    </w:p>
    <w:p>
      <w:pPr>
        <w:pStyle w:val="13"/>
        <w:ind w:left="838"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传    真：</w:t>
      </w:r>
    </w:p>
    <w:p>
      <w:pPr>
        <w:pStyle w:val="13"/>
        <w:ind w:left="838"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日    期：    年    月    日</w:t>
      </w:r>
    </w:p>
    <w:p>
      <w:pPr>
        <w:pStyle w:val="13"/>
        <w:ind w:left="0" w:firstLine="0" w:firstLineChars="0"/>
        <w:jc w:val="left"/>
        <w:rPr>
          <w:rFonts w:asciiTheme="minorEastAsia" w:hAnsiTheme="minorEastAsia" w:eastAsiaTheme="minorEastAsia" w:cstheme="minorEastAsia"/>
          <w:b w:val="0"/>
          <w:bCs/>
        </w:rPr>
      </w:pPr>
    </w:p>
    <w:p>
      <w:pPr>
        <w:pStyle w:val="13"/>
        <w:ind w:left="0" w:firstLine="0" w:firstLineChars="0"/>
        <w:jc w:val="left"/>
        <w:rPr>
          <w:rFonts w:asciiTheme="minorEastAsia" w:hAnsiTheme="minorEastAsia" w:eastAsiaTheme="minorEastAsia" w:cstheme="minorEastAsia"/>
          <w:b w:val="0"/>
          <w:bCs/>
        </w:rPr>
      </w:pPr>
    </w:p>
    <w:p>
      <w:pPr>
        <w:spacing w:line="360" w:lineRule="auto"/>
        <w:ind w:left="420" w:leftChars="200"/>
        <w:jc w:val="center"/>
        <w:rPr>
          <w:rFonts w:ascii="宋体" w:hAnsi="宋体" w:cs="宋体"/>
          <w:b/>
          <w:bCs/>
          <w:sz w:val="28"/>
          <w:szCs w:val="28"/>
        </w:rPr>
      </w:pPr>
      <w:r>
        <w:rPr>
          <w:rFonts w:hint="eastAsia" w:ascii="宋体" w:hAnsi="宋体" w:cs="宋体"/>
          <w:b/>
          <w:bCs/>
          <w:sz w:val="28"/>
          <w:szCs w:val="28"/>
        </w:rPr>
        <w:t>2、法定代表人资格证明书</w:t>
      </w:r>
    </w:p>
    <w:p>
      <w:pPr>
        <w:pStyle w:val="2"/>
        <w:ind w:left="420" w:leftChars="200"/>
      </w:pP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tabs>
          <w:tab w:val="left" w:pos="360"/>
          <w:tab w:val="left" w:pos="720"/>
          <w:tab w:val="left" w:pos="90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姓名：        性别：       年龄：         职务： </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单位）的法定代表。为的项目提供服务，签署上述项目的相应文件、进行合同招标、签署合同和处理与之有关的一切事务。</w:t>
      </w:r>
    </w:p>
    <w:p>
      <w:pPr>
        <w:tabs>
          <w:tab w:val="left" w:pos="360"/>
          <w:tab w:val="left" w:pos="1800"/>
        </w:tabs>
        <w:spacing w:line="360" w:lineRule="auto"/>
        <w:rPr>
          <w:rFonts w:asciiTheme="minorEastAsia" w:hAnsiTheme="minorEastAsia" w:eastAsiaTheme="minorEastAsia" w:cstheme="minorEastAsia"/>
          <w:sz w:val="24"/>
        </w:rPr>
      </w:pP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tabs>
          <w:tab w:val="left" w:pos="360"/>
          <w:tab w:val="left" w:pos="1800"/>
        </w:tabs>
        <w:spacing w:line="360" w:lineRule="auto"/>
        <w:ind w:left="4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投标人：（盖章）</w:t>
      </w:r>
    </w:p>
    <w:p>
      <w:pPr>
        <w:tabs>
          <w:tab w:val="left" w:pos="360"/>
          <w:tab w:val="left" w:pos="1800"/>
        </w:tabs>
        <w:spacing w:line="360" w:lineRule="auto"/>
        <w:ind w:left="4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tabs>
          <w:tab w:val="left" w:pos="360"/>
          <w:tab w:val="left" w:pos="1800"/>
        </w:tabs>
        <w:spacing w:line="360" w:lineRule="auto"/>
        <w:ind w:firstLine="6000" w:firstLineChars="2500"/>
        <w:rPr>
          <w:rFonts w:asciiTheme="minorEastAsia" w:hAnsiTheme="minorEastAsia" w:eastAsiaTheme="minorEastAsia" w:cstheme="minorEastAsia"/>
          <w:bCs/>
          <w:sz w:val="24"/>
        </w:rPr>
      </w:pPr>
    </w:p>
    <w:tbl>
      <w:tblPr>
        <w:tblStyle w:val="24"/>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法定代表身份证复印件或扫描件（正、反两面）</w:t>
            </w:r>
          </w:p>
        </w:tc>
      </w:tr>
    </w:tbl>
    <w:p>
      <w:pPr>
        <w:tabs>
          <w:tab w:val="left" w:pos="360"/>
          <w:tab w:val="left" w:pos="1800"/>
        </w:tabs>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注：法定代表身份证复印件或扫描件应反映出证件有效期等所载内容。</w:t>
      </w:r>
    </w:p>
    <w:p>
      <w:pPr>
        <w:tabs>
          <w:tab w:val="left" w:pos="360"/>
          <w:tab w:val="left" w:pos="1800"/>
        </w:tabs>
        <w:spacing w:line="360" w:lineRule="auto"/>
        <w:ind w:left="1980" w:firstLine="1080"/>
        <w:rPr>
          <w:rFonts w:ascii="仿宋_GB2312" w:eastAsia="仿宋_GB2312"/>
          <w:bCs/>
        </w:rPr>
      </w:pPr>
    </w:p>
    <w:p>
      <w:pPr>
        <w:tabs>
          <w:tab w:val="left" w:pos="360"/>
          <w:tab w:val="left" w:pos="1800"/>
        </w:tabs>
        <w:spacing w:line="360" w:lineRule="auto"/>
        <w:rPr>
          <w:rFonts w:ascii="仿宋_GB2312" w:eastAsia="仿宋_GB2312"/>
          <w:bCs/>
          <w:sz w:val="24"/>
        </w:rPr>
      </w:pPr>
    </w:p>
    <w:p>
      <w:pPr>
        <w:tabs>
          <w:tab w:val="left" w:pos="360"/>
          <w:tab w:val="left" w:pos="1800"/>
        </w:tabs>
        <w:spacing w:line="360" w:lineRule="auto"/>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pPr>
    </w:p>
    <w:p>
      <w:pPr>
        <w:spacing w:line="360" w:lineRule="auto"/>
        <w:jc w:val="center"/>
        <w:rPr>
          <w:rFonts w:ascii="宋体" w:hAnsi="宋体" w:cs="宋体"/>
          <w:b/>
          <w:sz w:val="28"/>
          <w:szCs w:val="28"/>
        </w:rPr>
      </w:pPr>
      <w:r>
        <w:rPr>
          <w:rFonts w:hint="eastAsia" w:ascii="宋体" w:hAnsi="宋体" w:cs="宋体"/>
          <w:b/>
          <w:sz w:val="28"/>
          <w:szCs w:val="28"/>
        </w:rPr>
        <w:t>3、法定代表授权书</w:t>
      </w:r>
    </w:p>
    <w:p>
      <w:pPr>
        <w:tabs>
          <w:tab w:val="left" w:pos="360"/>
          <w:tab w:val="left" w:pos="1800"/>
        </w:tabs>
        <w:spacing w:line="360" w:lineRule="auto"/>
        <w:ind w:left="19" w:leftChars="9" w:firstLine="458" w:firstLineChars="191"/>
        <w:rPr>
          <w:rFonts w:ascii="仿宋_GB2312" w:eastAsia="仿宋_GB2312"/>
          <w:sz w:val="24"/>
        </w:rPr>
      </w:pPr>
    </w:p>
    <w:p>
      <w:pPr>
        <w:tabs>
          <w:tab w:val="left" w:pos="360"/>
          <w:tab w:val="left" w:pos="1800"/>
        </w:tabs>
        <w:spacing w:line="360" w:lineRule="auto"/>
        <w:ind w:left="19" w:leftChars="9" w:firstLine="458" w:firstLineChars="19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本授权委托书声明：我（姓名）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系（投标人名称）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的法定代表，现授权委托（投标人名称）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，其身份证号为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为我投标人代理人，以本投标人的名义参加 （招标人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（招标项目名称）的招标活动。</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代理人在递交投标文件、招标、合同招标过程中所签署的一切文件和处理与之有关的一切事务，我均予以承认。</w:t>
      </w:r>
    </w:p>
    <w:p>
      <w:pPr>
        <w:tabs>
          <w:tab w:val="left" w:pos="360"/>
          <w:tab w:val="left" w:pos="1800"/>
        </w:tabs>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本授权委托书期限自</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日起至</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日止。</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委托代理人无转委权。特此委托。</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            性别：           年龄：</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                  部门：           职务：</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投标人：（盖章）</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法定代表：（签字或盖章）</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委托代理人：（签字或盖章）</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tbl>
      <w:tblPr>
        <w:tblStyle w:val="24"/>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2" w:hRule="atLeast"/>
          <w:jc w:val="center"/>
        </w:trPr>
        <w:tc>
          <w:tcPr>
            <w:tcW w:w="6952" w:type="dxa"/>
          </w:tcPr>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委托代理人身份证复印件或扫描件（正、反两面）</w:t>
            </w:r>
          </w:p>
        </w:tc>
      </w:tr>
    </w:tbl>
    <w:p>
      <w:pPr>
        <w:tabs>
          <w:tab w:val="left" w:pos="360"/>
          <w:tab w:val="left" w:pos="1800"/>
        </w:tabs>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注：委托代理人身份证复印件或扫描件应反映出证件有效期等所载内容，</w:t>
      </w:r>
      <w:r>
        <w:rPr>
          <w:rFonts w:hint="eastAsia" w:asciiTheme="minorEastAsia" w:hAnsiTheme="minorEastAsia" w:eastAsiaTheme="minorEastAsia" w:cstheme="minorEastAsia"/>
          <w:b/>
          <w:sz w:val="24"/>
        </w:rPr>
        <w:t>作为本</w:t>
      </w:r>
      <w:r>
        <w:rPr>
          <w:rFonts w:hint="eastAsia" w:asciiTheme="minorEastAsia" w:hAnsiTheme="minorEastAsia" w:eastAsiaTheme="minorEastAsia" w:cstheme="minorEastAsia"/>
          <w:b/>
          <w:bCs/>
          <w:sz w:val="24"/>
        </w:rPr>
        <w:t>法定代表人授权书的附件。</w:t>
      </w:r>
    </w:p>
    <w:p>
      <w:pPr>
        <w:pStyle w:val="2"/>
      </w:pPr>
    </w:p>
    <w:p>
      <w:pPr>
        <w:pStyle w:val="2"/>
      </w:pPr>
    </w:p>
    <w:p>
      <w:pPr>
        <w:tabs>
          <w:tab w:val="left" w:pos="360"/>
          <w:tab w:val="left" w:pos="1800"/>
        </w:tabs>
        <w:spacing w:line="360" w:lineRule="auto"/>
        <w:ind w:firstLine="562" w:firstLineChars="200"/>
        <w:jc w:val="center"/>
        <w:rPr>
          <w:rFonts w:ascii="宋体" w:hAnsi="宋体" w:cs="宋体"/>
          <w:b/>
          <w:sz w:val="28"/>
          <w:szCs w:val="28"/>
        </w:rPr>
      </w:pPr>
    </w:p>
    <w:p>
      <w:pPr>
        <w:tabs>
          <w:tab w:val="left" w:pos="360"/>
          <w:tab w:val="left" w:pos="1800"/>
        </w:tabs>
        <w:spacing w:line="360" w:lineRule="auto"/>
        <w:ind w:firstLine="562" w:firstLineChars="200"/>
        <w:jc w:val="center"/>
        <w:rPr>
          <w:rFonts w:ascii="宋体" w:hAnsi="宋体" w:cs="宋体"/>
          <w:sz w:val="24"/>
        </w:rPr>
      </w:pPr>
      <w:r>
        <w:rPr>
          <w:rFonts w:hint="eastAsia" w:ascii="宋体" w:hAnsi="宋体" w:cs="宋体"/>
          <w:b/>
          <w:sz w:val="28"/>
          <w:szCs w:val="28"/>
        </w:rPr>
        <w:t>4、投标人资格声明</w:t>
      </w:r>
    </w:p>
    <w:tbl>
      <w:tblPr>
        <w:tblStyle w:val="24"/>
        <w:tblW w:w="92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192"/>
        <w:gridCol w:w="1737"/>
        <w:gridCol w:w="1549"/>
        <w:gridCol w:w="198"/>
        <w:gridCol w:w="138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841" w:type="dxa"/>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投标人名称</w:t>
            </w:r>
          </w:p>
        </w:tc>
        <w:tc>
          <w:tcPr>
            <w:tcW w:w="7376" w:type="dxa"/>
            <w:gridSpan w:val="6"/>
            <w:vAlign w:val="center"/>
          </w:tcPr>
          <w:p>
            <w:pPr>
              <w:spacing w:line="360" w:lineRule="auto"/>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841" w:type="dxa"/>
            <w:vAlign w:val="center"/>
          </w:tcPr>
          <w:p>
            <w:pPr>
              <w:spacing w:line="360" w:lineRule="auto"/>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地 址</w:t>
            </w:r>
          </w:p>
        </w:tc>
        <w:tc>
          <w:tcPr>
            <w:tcW w:w="7376" w:type="dxa"/>
            <w:gridSpan w:val="6"/>
            <w:vAlign w:val="center"/>
          </w:tcPr>
          <w:p>
            <w:pPr>
              <w:spacing w:line="360" w:lineRule="auto"/>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41" w:type="dxa"/>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主管部门</w:t>
            </w:r>
          </w:p>
        </w:tc>
        <w:tc>
          <w:tcPr>
            <w:tcW w:w="1192" w:type="dxa"/>
            <w:vAlign w:val="center"/>
          </w:tcPr>
          <w:p>
            <w:pPr>
              <w:spacing w:line="360" w:lineRule="auto"/>
              <w:rPr>
                <w:rFonts w:asciiTheme="minorEastAsia" w:hAnsiTheme="minorEastAsia" w:eastAsiaTheme="minorEastAsia" w:cstheme="minorEastAsia"/>
                <w:bCs/>
                <w:szCs w:val="21"/>
              </w:rPr>
            </w:pPr>
          </w:p>
        </w:tc>
        <w:tc>
          <w:tcPr>
            <w:tcW w:w="1737" w:type="dxa"/>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w:t>
            </w:r>
          </w:p>
        </w:tc>
        <w:tc>
          <w:tcPr>
            <w:tcW w:w="1549" w:type="dxa"/>
            <w:vAlign w:val="center"/>
          </w:tcPr>
          <w:p>
            <w:pPr>
              <w:spacing w:line="360" w:lineRule="auto"/>
              <w:rPr>
                <w:rFonts w:asciiTheme="minorEastAsia" w:hAnsiTheme="minorEastAsia" w:eastAsiaTheme="minorEastAsia" w:cstheme="minorEastAsia"/>
                <w:bCs/>
                <w:szCs w:val="21"/>
              </w:rPr>
            </w:pPr>
          </w:p>
        </w:tc>
        <w:tc>
          <w:tcPr>
            <w:tcW w:w="1583" w:type="dxa"/>
            <w:gridSpan w:val="2"/>
            <w:vAlign w:val="center"/>
          </w:tcPr>
          <w:p>
            <w:pPr>
              <w:spacing w:line="360" w:lineRule="auto"/>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 务</w:t>
            </w:r>
          </w:p>
        </w:tc>
        <w:tc>
          <w:tcPr>
            <w:tcW w:w="1315" w:type="dxa"/>
          </w:tcPr>
          <w:p>
            <w:pPr>
              <w:spacing w:line="360" w:lineRule="auto"/>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841" w:type="dxa"/>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注册时间</w:t>
            </w:r>
          </w:p>
        </w:tc>
        <w:tc>
          <w:tcPr>
            <w:tcW w:w="2929" w:type="dxa"/>
            <w:gridSpan w:val="2"/>
          </w:tcPr>
          <w:p>
            <w:pPr>
              <w:spacing w:line="360" w:lineRule="auto"/>
              <w:rPr>
                <w:rFonts w:asciiTheme="minorEastAsia" w:hAnsiTheme="minorEastAsia" w:eastAsiaTheme="minorEastAsia" w:cstheme="minorEastAsia"/>
                <w:bCs/>
                <w:szCs w:val="21"/>
              </w:rPr>
            </w:pPr>
          </w:p>
        </w:tc>
        <w:tc>
          <w:tcPr>
            <w:tcW w:w="1549" w:type="dxa"/>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经济类型</w:t>
            </w:r>
          </w:p>
        </w:tc>
        <w:tc>
          <w:tcPr>
            <w:tcW w:w="2898" w:type="dxa"/>
            <w:gridSpan w:val="3"/>
          </w:tcPr>
          <w:p>
            <w:pPr>
              <w:spacing w:line="360" w:lineRule="auto"/>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770" w:type="dxa"/>
            <w:gridSpan w:val="3"/>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营业执照号</w:t>
            </w:r>
          </w:p>
        </w:tc>
        <w:tc>
          <w:tcPr>
            <w:tcW w:w="4447" w:type="dxa"/>
            <w:gridSpan w:val="4"/>
            <w:vAlign w:val="center"/>
          </w:tcPr>
          <w:p>
            <w:pPr>
              <w:spacing w:line="360" w:lineRule="auto"/>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770" w:type="dxa"/>
            <w:gridSpan w:val="3"/>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近三年内（2018年至2020年）有经营活动中有无重大违法纪录</w:t>
            </w:r>
          </w:p>
        </w:tc>
        <w:tc>
          <w:tcPr>
            <w:tcW w:w="4447" w:type="dxa"/>
            <w:gridSpan w:val="4"/>
            <w:vAlign w:val="center"/>
          </w:tcPr>
          <w:p>
            <w:pPr>
              <w:spacing w:line="360" w:lineRule="auto"/>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1841" w:type="dxa"/>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是否依法</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缴纳税收</w:t>
            </w:r>
          </w:p>
        </w:tc>
        <w:tc>
          <w:tcPr>
            <w:tcW w:w="2929" w:type="dxa"/>
            <w:gridSpan w:val="2"/>
          </w:tcPr>
          <w:p>
            <w:pPr>
              <w:spacing w:line="360" w:lineRule="auto"/>
              <w:rPr>
                <w:rFonts w:asciiTheme="minorEastAsia" w:hAnsiTheme="minorEastAsia" w:eastAsiaTheme="minorEastAsia" w:cstheme="minorEastAsia"/>
                <w:bCs/>
                <w:szCs w:val="21"/>
              </w:rPr>
            </w:pPr>
          </w:p>
        </w:tc>
        <w:tc>
          <w:tcPr>
            <w:tcW w:w="1747" w:type="dxa"/>
            <w:gridSpan w:val="2"/>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是否依法缴纳社会保障资金</w:t>
            </w:r>
          </w:p>
        </w:tc>
        <w:tc>
          <w:tcPr>
            <w:tcW w:w="2700" w:type="dxa"/>
            <w:gridSpan w:val="2"/>
          </w:tcPr>
          <w:p>
            <w:pPr>
              <w:spacing w:line="360" w:lineRule="auto"/>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841" w:type="dxa"/>
            <w:vMerge w:val="restart"/>
          </w:tcPr>
          <w:p>
            <w:pPr>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单</w:t>
            </w:r>
          </w:p>
          <w:p>
            <w:pPr>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位</w:t>
            </w:r>
          </w:p>
          <w:p>
            <w:pPr>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概</w:t>
            </w:r>
          </w:p>
          <w:p>
            <w:pPr>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况</w:t>
            </w:r>
          </w:p>
        </w:tc>
        <w:tc>
          <w:tcPr>
            <w:tcW w:w="1192" w:type="dxa"/>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注册资本</w:t>
            </w:r>
          </w:p>
        </w:tc>
        <w:tc>
          <w:tcPr>
            <w:tcW w:w="1737" w:type="dxa"/>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万元</w:t>
            </w:r>
          </w:p>
        </w:tc>
        <w:tc>
          <w:tcPr>
            <w:tcW w:w="1747" w:type="dxa"/>
            <w:gridSpan w:val="2"/>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占地面积</w:t>
            </w:r>
          </w:p>
        </w:tc>
        <w:tc>
          <w:tcPr>
            <w:tcW w:w="2700" w:type="dxa"/>
            <w:gridSpan w:val="2"/>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841" w:type="dxa"/>
            <w:vMerge w:val="continue"/>
          </w:tcPr>
          <w:p>
            <w:pPr>
              <w:spacing w:line="360" w:lineRule="auto"/>
              <w:rPr>
                <w:rFonts w:asciiTheme="minorEastAsia" w:hAnsiTheme="minorEastAsia" w:eastAsiaTheme="minorEastAsia" w:cstheme="minorEastAsia"/>
                <w:bCs/>
                <w:szCs w:val="21"/>
              </w:rPr>
            </w:pPr>
          </w:p>
        </w:tc>
        <w:tc>
          <w:tcPr>
            <w:tcW w:w="1192" w:type="dxa"/>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职工总数</w:t>
            </w:r>
          </w:p>
        </w:tc>
        <w:tc>
          <w:tcPr>
            <w:tcW w:w="1737" w:type="dxa"/>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人</w:t>
            </w:r>
          </w:p>
        </w:tc>
        <w:tc>
          <w:tcPr>
            <w:tcW w:w="1747" w:type="dxa"/>
            <w:gridSpan w:val="2"/>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建筑面积</w:t>
            </w:r>
          </w:p>
        </w:tc>
        <w:tc>
          <w:tcPr>
            <w:tcW w:w="2700" w:type="dxa"/>
            <w:gridSpan w:val="2"/>
          </w:tcPr>
          <w:p>
            <w:pPr>
              <w:spacing w:line="360" w:lineRule="auto"/>
              <w:ind w:firstLine="1575" w:firstLineChars="7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841" w:type="dxa"/>
            <w:vMerge w:val="continue"/>
          </w:tcPr>
          <w:p>
            <w:pPr>
              <w:spacing w:line="360" w:lineRule="auto"/>
              <w:rPr>
                <w:rFonts w:asciiTheme="minorEastAsia" w:hAnsiTheme="minorEastAsia" w:eastAsiaTheme="minorEastAsia" w:cstheme="minorEastAsia"/>
                <w:bCs/>
                <w:szCs w:val="21"/>
              </w:rPr>
            </w:pPr>
          </w:p>
        </w:tc>
        <w:tc>
          <w:tcPr>
            <w:tcW w:w="1192" w:type="dxa"/>
            <w:vMerge w:val="restart"/>
            <w:vAlign w:val="center"/>
          </w:tcPr>
          <w:p>
            <w:pPr>
              <w:spacing w:line="360" w:lineRule="auto"/>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资产</w:t>
            </w:r>
          </w:p>
          <w:p>
            <w:pPr>
              <w:spacing w:line="360" w:lineRule="auto"/>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情况</w:t>
            </w:r>
          </w:p>
        </w:tc>
        <w:tc>
          <w:tcPr>
            <w:tcW w:w="3484" w:type="dxa"/>
            <w:gridSpan w:val="3"/>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净资产：        万元</w:t>
            </w:r>
          </w:p>
        </w:tc>
        <w:tc>
          <w:tcPr>
            <w:tcW w:w="2700" w:type="dxa"/>
            <w:gridSpan w:val="2"/>
            <w:vMerge w:val="restart"/>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固定资产原值 ：    万元</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841" w:type="dxa"/>
            <w:vMerge w:val="continue"/>
          </w:tcPr>
          <w:p>
            <w:pPr>
              <w:spacing w:line="360" w:lineRule="auto"/>
              <w:rPr>
                <w:rFonts w:asciiTheme="minorEastAsia" w:hAnsiTheme="minorEastAsia" w:eastAsiaTheme="minorEastAsia" w:cstheme="minorEastAsia"/>
                <w:bCs/>
                <w:szCs w:val="21"/>
              </w:rPr>
            </w:pPr>
          </w:p>
        </w:tc>
        <w:tc>
          <w:tcPr>
            <w:tcW w:w="1192" w:type="dxa"/>
            <w:vMerge w:val="continue"/>
          </w:tcPr>
          <w:p>
            <w:pPr>
              <w:spacing w:line="360" w:lineRule="auto"/>
              <w:rPr>
                <w:rFonts w:asciiTheme="minorEastAsia" w:hAnsiTheme="minorEastAsia" w:eastAsiaTheme="minorEastAsia" w:cstheme="minorEastAsia"/>
                <w:bCs/>
                <w:szCs w:val="21"/>
              </w:rPr>
            </w:pPr>
          </w:p>
        </w:tc>
        <w:tc>
          <w:tcPr>
            <w:tcW w:w="3484" w:type="dxa"/>
            <w:gridSpan w:val="3"/>
            <w:vAlign w:val="center"/>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 债：         万元</w:t>
            </w:r>
          </w:p>
        </w:tc>
        <w:tc>
          <w:tcPr>
            <w:tcW w:w="2700" w:type="dxa"/>
            <w:gridSpan w:val="2"/>
            <w:vMerge w:val="continue"/>
          </w:tcPr>
          <w:p>
            <w:pPr>
              <w:spacing w:line="360" w:lineRule="auto"/>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841" w:type="dxa"/>
            <w:vMerge w:val="restart"/>
            <w:vAlign w:val="center"/>
          </w:tcPr>
          <w:p>
            <w:pPr>
              <w:ind w:firstLine="105" w:firstLineChars="5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财务状况</w:t>
            </w:r>
          </w:p>
          <w:p>
            <w:pPr>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（最近三年2018年至2020年）</w:t>
            </w:r>
          </w:p>
        </w:tc>
        <w:tc>
          <w:tcPr>
            <w:tcW w:w="1192" w:type="dxa"/>
            <w:vAlign w:val="center"/>
          </w:tcPr>
          <w:p>
            <w:pPr>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年份</w:t>
            </w:r>
          </w:p>
        </w:tc>
        <w:tc>
          <w:tcPr>
            <w:tcW w:w="1737" w:type="dxa"/>
            <w:vAlign w:val="center"/>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主营收入</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（万元）</w:t>
            </w:r>
          </w:p>
        </w:tc>
        <w:tc>
          <w:tcPr>
            <w:tcW w:w="1747" w:type="dxa"/>
            <w:gridSpan w:val="2"/>
            <w:vAlign w:val="center"/>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收入总额</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（万元）</w:t>
            </w:r>
          </w:p>
        </w:tc>
        <w:tc>
          <w:tcPr>
            <w:tcW w:w="1385" w:type="dxa"/>
            <w:vAlign w:val="center"/>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利润总额</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（万元）</w:t>
            </w:r>
          </w:p>
        </w:tc>
        <w:tc>
          <w:tcPr>
            <w:tcW w:w="1315" w:type="dxa"/>
            <w:vAlign w:val="center"/>
          </w:tcPr>
          <w:p>
            <w:pPr>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净利润</w:t>
            </w:r>
          </w:p>
          <w:p>
            <w:pPr>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1" w:type="dxa"/>
            <w:vMerge w:val="continue"/>
            <w:vAlign w:val="center"/>
          </w:tcPr>
          <w:p>
            <w:pPr>
              <w:rPr>
                <w:rFonts w:asciiTheme="minorEastAsia" w:hAnsiTheme="minorEastAsia" w:eastAsiaTheme="minorEastAsia" w:cstheme="minorEastAsia"/>
                <w:bCs/>
                <w:szCs w:val="21"/>
              </w:rPr>
            </w:pPr>
          </w:p>
        </w:tc>
        <w:tc>
          <w:tcPr>
            <w:tcW w:w="1192" w:type="dxa"/>
            <w:vAlign w:val="center"/>
          </w:tcPr>
          <w:p>
            <w:pPr>
              <w:rPr>
                <w:rFonts w:asciiTheme="minorEastAsia" w:hAnsiTheme="minorEastAsia" w:eastAsiaTheme="minorEastAsia" w:cstheme="minorEastAsia"/>
                <w:bCs/>
                <w:szCs w:val="21"/>
              </w:rPr>
            </w:pPr>
          </w:p>
        </w:tc>
        <w:tc>
          <w:tcPr>
            <w:tcW w:w="1737" w:type="dxa"/>
            <w:vAlign w:val="center"/>
          </w:tcPr>
          <w:p>
            <w:pPr>
              <w:rPr>
                <w:rFonts w:asciiTheme="minorEastAsia" w:hAnsiTheme="minorEastAsia" w:eastAsiaTheme="minorEastAsia" w:cstheme="minorEastAsia"/>
                <w:bCs/>
                <w:szCs w:val="21"/>
              </w:rPr>
            </w:pPr>
          </w:p>
        </w:tc>
        <w:tc>
          <w:tcPr>
            <w:tcW w:w="1747" w:type="dxa"/>
            <w:gridSpan w:val="2"/>
            <w:vAlign w:val="center"/>
          </w:tcPr>
          <w:p>
            <w:pPr>
              <w:rPr>
                <w:rFonts w:asciiTheme="minorEastAsia" w:hAnsiTheme="minorEastAsia" w:eastAsiaTheme="minorEastAsia" w:cstheme="minorEastAsia"/>
                <w:bCs/>
                <w:szCs w:val="21"/>
              </w:rPr>
            </w:pPr>
          </w:p>
        </w:tc>
        <w:tc>
          <w:tcPr>
            <w:tcW w:w="1385" w:type="dxa"/>
            <w:vAlign w:val="center"/>
          </w:tcPr>
          <w:p>
            <w:pPr>
              <w:rPr>
                <w:rFonts w:asciiTheme="minorEastAsia" w:hAnsiTheme="minorEastAsia" w:eastAsiaTheme="minorEastAsia" w:cstheme="minorEastAsia"/>
                <w:bCs/>
                <w:szCs w:val="21"/>
              </w:rPr>
            </w:pPr>
          </w:p>
        </w:tc>
        <w:tc>
          <w:tcPr>
            <w:tcW w:w="1315" w:type="dxa"/>
            <w:vAlign w:val="center"/>
          </w:tcPr>
          <w:p>
            <w:pPr>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841" w:type="dxa"/>
            <w:vMerge w:val="continue"/>
          </w:tcPr>
          <w:p>
            <w:pPr>
              <w:rPr>
                <w:rFonts w:asciiTheme="minorEastAsia" w:hAnsiTheme="minorEastAsia" w:eastAsiaTheme="minorEastAsia" w:cstheme="minorEastAsia"/>
                <w:bCs/>
                <w:szCs w:val="21"/>
              </w:rPr>
            </w:pPr>
          </w:p>
        </w:tc>
        <w:tc>
          <w:tcPr>
            <w:tcW w:w="1192" w:type="dxa"/>
            <w:vAlign w:val="center"/>
          </w:tcPr>
          <w:p>
            <w:pPr>
              <w:rPr>
                <w:rFonts w:asciiTheme="minorEastAsia" w:hAnsiTheme="minorEastAsia" w:eastAsiaTheme="minorEastAsia" w:cstheme="minorEastAsia"/>
                <w:bCs/>
                <w:szCs w:val="21"/>
              </w:rPr>
            </w:pPr>
          </w:p>
        </w:tc>
        <w:tc>
          <w:tcPr>
            <w:tcW w:w="1737" w:type="dxa"/>
          </w:tcPr>
          <w:p>
            <w:pPr>
              <w:rPr>
                <w:rFonts w:asciiTheme="minorEastAsia" w:hAnsiTheme="minorEastAsia" w:eastAsiaTheme="minorEastAsia" w:cstheme="minorEastAsia"/>
                <w:bCs/>
                <w:szCs w:val="21"/>
              </w:rPr>
            </w:pPr>
          </w:p>
        </w:tc>
        <w:tc>
          <w:tcPr>
            <w:tcW w:w="1747" w:type="dxa"/>
            <w:gridSpan w:val="2"/>
          </w:tcPr>
          <w:p>
            <w:pPr>
              <w:rPr>
                <w:rFonts w:asciiTheme="minorEastAsia" w:hAnsiTheme="minorEastAsia" w:eastAsiaTheme="minorEastAsia" w:cstheme="minorEastAsia"/>
                <w:bCs/>
                <w:szCs w:val="21"/>
              </w:rPr>
            </w:pPr>
          </w:p>
        </w:tc>
        <w:tc>
          <w:tcPr>
            <w:tcW w:w="1385" w:type="dxa"/>
          </w:tcPr>
          <w:p>
            <w:pPr>
              <w:rPr>
                <w:rFonts w:asciiTheme="minorEastAsia" w:hAnsiTheme="minorEastAsia" w:eastAsiaTheme="minorEastAsia" w:cstheme="minorEastAsia"/>
                <w:bCs/>
                <w:szCs w:val="21"/>
              </w:rPr>
            </w:pPr>
          </w:p>
        </w:tc>
        <w:tc>
          <w:tcPr>
            <w:tcW w:w="1315" w:type="dxa"/>
          </w:tcPr>
          <w:p>
            <w:pPr>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841" w:type="dxa"/>
            <w:vMerge w:val="continue"/>
          </w:tcPr>
          <w:p>
            <w:pPr>
              <w:rPr>
                <w:rFonts w:asciiTheme="minorEastAsia" w:hAnsiTheme="minorEastAsia" w:eastAsiaTheme="minorEastAsia" w:cstheme="minorEastAsia"/>
                <w:bCs/>
                <w:szCs w:val="21"/>
              </w:rPr>
            </w:pPr>
          </w:p>
        </w:tc>
        <w:tc>
          <w:tcPr>
            <w:tcW w:w="1192" w:type="dxa"/>
            <w:vAlign w:val="center"/>
          </w:tcPr>
          <w:p>
            <w:pPr>
              <w:rPr>
                <w:rFonts w:asciiTheme="minorEastAsia" w:hAnsiTheme="minorEastAsia" w:eastAsiaTheme="minorEastAsia" w:cstheme="minorEastAsia"/>
                <w:bCs/>
                <w:szCs w:val="21"/>
              </w:rPr>
            </w:pPr>
          </w:p>
        </w:tc>
        <w:tc>
          <w:tcPr>
            <w:tcW w:w="1737" w:type="dxa"/>
          </w:tcPr>
          <w:p>
            <w:pPr>
              <w:rPr>
                <w:rFonts w:asciiTheme="minorEastAsia" w:hAnsiTheme="minorEastAsia" w:eastAsiaTheme="minorEastAsia" w:cstheme="minorEastAsia"/>
                <w:bCs/>
                <w:szCs w:val="21"/>
              </w:rPr>
            </w:pPr>
          </w:p>
        </w:tc>
        <w:tc>
          <w:tcPr>
            <w:tcW w:w="1747" w:type="dxa"/>
            <w:gridSpan w:val="2"/>
          </w:tcPr>
          <w:p>
            <w:pPr>
              <w:rPr>
                <w:rFonts w:asciiTheme="minorEastAsia" w:hAnsiTheme="minorEastAsia" w:eastAsiaTheme="minorEastAsia" w:cstheme="minorEastAsia"/>
                <w:bCs/>
                <w:szCs w:val="21"/>
              </w:rPr>
            </w:pPr>
          </w:p>
        </w:tc>
        <w:tc>
          <w:tcPr>
            <w:tcW w:w="1385" w:type="dxa"/>
          </w:tcPr>
          <w:p>
            <w:pPr>
              <w:rPr>
                <w:rFonts w:asciiTheme="minorEastAsia" w:hAnsiTheme="minorEastAsia" w:eastAsiaTheme="minorEastAsia" w:cstheme="minorEastAsia"/>
                <w:bCs/>
                <w:szCs w:val="21"/>
              </w:rPr>
            </w:pPr>
          </w:p>
        </w:tc>
        <w:tc>
          <w:tcPr>
            <w:tcW w:w="1315" w:type="dxa"/>
          </w:tcPr>
          <w:p>
            <w:pPr>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841" w:type="dxa"/>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经营范围</w:t>
            </w:r>
          </w:p>
        </w:tc>
        <w:tc>
          <w:tcPr>
            <w:tcW w:w="7376" w:type="dxa"/>
            <w:gridSpan w:val="6"/>
            <w:vAlign w:val="center"/>
          </w:tcPr>
          <w:p>
            <w:pPr>
              <w:rPr>
                <w:rFonts w:asciiTheme="minorEastAsia" w:hAnsiTheme="minorEastAsia" w:eastAsia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841" w:type="dxa"/>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备注 </w:t>
            </w:r>
          </w:p>
        </w:tc>
        <w:tc>
          <w:tcPr>
            <w:tcW w:w="7376" w:type="dxa"/>
            <w:gridSpan w:val="6"/>
            <w:vAlign w:val="center"/>
          </w:tcPr>
          <w:p>
            <w:pPr>
              <w:rPr>
                <w:rFonts w:asciiTheme="minorEastAsia" w:hAnsiTheme="minorEastAsia" w:eastAsiaTheme="minorEastAsia" w:cstheme="minorEastAsia"/>
                <w:bCs/>
                <w:szCs w:val="21"/>
              </w:rPr>
            </w:pPr>
          </w:p>
        </w:tc>
      </w:tr>
    </w:tbl>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我们保证上述声明中的资料和数据是真实的、正确的，我们同意如贵方要求，可以出示相关证明文件。</w:t>
      </w:r>
    </w:p>
    <w:p>
      <w:pPr>
        <w:rPr>
          <w:rFonts w:asciiTheme="minorEastAsia" w:hAnsiTheme="minorEastAsia" w:eastAsiaTheme="minorEastAsia" w:cstheme="minorEastAsia"/>
          <w:bCs/>
          <w:szCs w:val="21"/>
        </w:rPr>
      </w:pPr>
    </w:p>
    <w:p>
      <w:pPr>
        <w:spacing w:line="360" w:lineRule="auto"/>
        <w:rPr>
          <w:rFonts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投标人（盖章）：</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rPr>
        <w:t>法定代表人或委托代理人（签字或盖章）</w:t>
      </w:r>
      <w:r>
        <w:rPr>
          <w:rFonts w:hint="eastAsia" w:asciiTheme="minorEastAsia" w:hAnsiTheme="minorEastAsia" w:eastAsiaTheme="minorEastAsia" w:cstheme="minorEastAsia"/>
          <w:bCs/>
          <w:szCs w:val="21"/>
        </w:rPr>
        <w:t>：</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电话号和传真号：                                                 日期：   年   月   日</w:t>
      </w:r>
    </w:p>
    <w:p>
      <w:pPr>
        <w:tabs>
          <w:tab w:val="left" w:pos="360"/>
          <w:tab w:val="left" w:pos="1800"/>
        </w:tabs>
        <w:spacing w:line="480" w:lineRule="exact"/>
        <w:jc w:val="center"/>
        <w:rPr>
          <w:rFonts w:ascii="宋体" w:hAnsi="宋体" w:cs="宋体"/>
          <w:b/>
          <w:bCs/>
          <w:sz w:val="28"/>
          <w:szCs w:val="28"/>
        </w:rPr>
      </w:pPr>
      <w:r>
        <w:rPr>
          <w:rFonts w:hint="eastAsia" w:ascii="宋体" w:hAnsi="宋体" w:cs="宋体"/>
          <w:b/>
          <w:sz w:val="28"/>
          <w:szCs w:val="28"/>
        </w:rPr>
        <w:br w:type="page"/>
      </w:r>
      <w:r>
        <w:rPr>
          <w:rFonts w:hint="eastAsia" w:ascii="宋体" w:hAnsi="宋体" w:cs="宋体"/>
          <w:b/>
          <w:sz w:val="28"/>
          <w:szCs w:val="28"/>
        </w:rPr>
        <w:t>5、</w:t>
      </w:r>
      <w:r>
        <w:rPr>
          <w:rFonts w:hint="eastAsia" w:ascii="宋体" w:hAnsi="宋体" w:cs="宋体"/>
          <w:b/>
          <w:bCs/>
          <w:sz w:val="28"/>
          <w:szCs w:val="28"/>
        </w:rPr>
        <w:t xml:space="preserve"> 诚信声明</w:t>
      </w:r>
    </w:p>
    <w:p>
      <w:pPr>
        <w:tabs>
          <w:tab w:val="left" w:pos="360"/>
          <w:tab w:val="left" w:pos="1800"/>
        </w:tabs>
        <w:spacing w:line="480" w:lineRule="exact"/>
        <w:ind w:left="239" w:leftChars="114" w:firstLine="240" w:firstLineChars="100"/>
        <w:rPr>
          <w:rFonts w:ascii="宋体" w:hAnsi="宋体" w:cs="宋体"/>
          <w:sz w:val="24"/>
        </w:rPr>
      </w:pPr>
    </w:p>
    <w:p>
      <w:pPr>
        <w:tabs>
          <w:tab w:val="left" w:pos="6300"/>
        </w:tabs>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招标项目名称：</w:t>
      </w:r>
    </w:p>
    <w:p>
      <w:pPr>
        <w:tabs>
          <w:tab w:val="left" w:pos="6300"/>
        </w:tabs>
        <w:snapToGrid w:val="0"/>
        <w:spacing w:line="480" w:lineRule="auto"/>
        <w:ind w:firstLine="570"/>
        <w:rPr>
          <w:rFonts w:asciiTheme="minorEastAsia" w:hAnsiTheme="minorEastAsia" w:eastAsiaTheme="minorEastAsia" w:cstheme="minorEastAsia"/>
          <w:sz w:val="24"/>
        </w:rPr>
      </w:pP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致：（招标代理机构名称）</w:t>
      </w: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郑重声明，我公司具有良好的商业信誉和健全的财务会计制度，具有履行合同所必需的设备和专业技术能力，在合同签订前后随时愿意提供相关证明材料；我公司还同时声明参加本项目招标活动前三年内无重大违法活动记录，符合《政府招标法》规定的投标人资格条件。我方对以上声明负全部法律责任。</w:t>
      </w: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特此声明。</w:t>
      </w:r>
    </w:p>
    <w:p>
      <w:pPr>
        <w:tabs>
          <w:tab w:val="left" w:pos="6300"/>
        </w:tabs>
        <w:snapToGrid w:val="0"/>
        <w:spacing w:line="480" w:lineRule="auto"/>
        <w:ind w:firstLine="570"/>
        <w:rPr>
          <w:rFonts w:asciiTheme="minorEastAsia" w:hAnsiTheme="minorEastAsia" w:eastAsiaTheme="minorEastAsia" w:cstheme="minorEastAsia"/>
          <w:sz w:val="24"/>
        </w:rPr>
      </w:pPr>
    </w:p>
    <w:p>
      <w:pPr>
        <w:tabs>
          <w:tab w:val="left" w:pos="6300"/>
        </w:tabs>
        <w:snapToGrid w:val="0"/>
        <w:spacing w:line="480" w:lineRule="auto"/>
        <w:ind w:firstLine="570"/>
        <w:rPr>
          <w:rFonts w:asciiTheme="minorEastAsia" w:hAnsiTheme="minorEastAsia" w:eastAsiaTheme="minorEastAsia" w:cstheme="minorEastAsia"/>
          <w:sz w:val="24"/>
        </w:rPr>
      </w:pPr>
    </w:p>
    <w:p>
      <w:pPr>
        <w:tabs>
          <w:tab w:val="left" w:pos="6300"/>
        </w:tabs>
        <w:snapToGrid w:val="0"/>
        <w:spacing w:line="480" w:lineRule="auto"/>
        <w:ind w:firstLine="570"/>
        <w:rPr>
          <w:rFonts w:asciiTheme="minorEastAsia" w:hAnsiTheme="minorEastAsia" w:eastAsiaTheme="minorEastAsia" w:cstheme="minorEastAsia"/>
          <w:sz w:val="24"/>
        </w:rPr>
      </w:pPr>
    </w:p>
    <w:p>
      <w:pPr>
        <w:tabs>
          <w:tab w:val="left" w:pos="6300"/>
        </w:tabs>
        <w:snapToGrid w:val="0"/>
        <w:spacing w:line="480" w:lineRule="auto"/>
        <w:ind w:right="424"/>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（投标人公章）</w:t>
      </w:r>
    </w:p>
    <w:p>
      <w:pPr>
        <w:tabs>
          <w:tab w:val="left" w:pos="6300"/>
        </w:tabs>
        <w:snapToGrid w:val="0"/>
        <w:spacing w:line="480" w:lineRule="auto"/>
        <w:ind w:right="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p>
      <w:pPr>
        <w:spacing w:line="480" w:lineRule="auto"/>
        <w:ind w:firstLine="573"/>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4"/>
        </w:rPr>
        <w:br w:type="page"/>
      </w:r>
    </w:p>
    <w:p>
      <w:pPr>
        <w:tabs>
          <w:tab w:val="left" w:pos="360"/>
          <w:tab w:val="left" w:pos="1800"/>
        </w:tabs>
        <w:spacing w:line="480" w:lineRule="exact"/>
        <w:jc w:val="center"/>
        <w:rPr>
          <w:rFonts w:ascii="宋体" w:hAnsi="宋体" w:cs="宋体"/>
          <w:b/>
          <w:sz w:val="28"/>
          <w:szCs w:val="28"/>
        </w:rPr>
      </w:pPr>
      <w:r>
        <w:rPr>
          <w:rFonts w:hint="eastAsia" w:ascii="宋体" w:hAnsi="宋体" w:cs="宋体"/>
          <w:b/>
          <w:sz w:val="28"/>
          <w:szCs w:val="28"/>
        </w:rPr>
        <w:t>6、 中小企业声明函</w:t>
      </w:r>
    </w:p>
    <w:p>
      <w:pPr>
        <w:tabs>
          <w:tab w:val="left" w:pos="6300"/>
        </w:tabs>
        <w:snapToGrid w:val="0"/>
        <w:spacing w:line="500" w:lineRule="exact"/>
        <w:ind w:firstLine="480" w:firstLineChars="200"/>
        <w:outlineLvl w:val="0"/>
        <w:rPr>
          <w:rFonts w:ascii="宋体" w:hAnsi="宋体" w:cs="宋体"/>
          <w:sz w:val="24"/>
        </w:rPr>
      </w:pPr>
    </w:p>
    <w:p>
      <w:pPr>
        <w:tabs>
          <w:tab w:val="left" w:pos="6300"/>
        </w:tabs>
        <w:snapToGrid w:val="0"/>
        <w:spacing w:line="48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本公司</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郑重声明，根据《政府招标促进中小企业发展管理办法》（财库﹝2020﹞46 号）的规定，本公司参加</w:t>
      </w:r>
      <w:r>
        <w:rPr>
          <w:rFonts w:hint="eastAsia" w:asciiTheme="minorEastAsia" w:hAnsiTheme="minorEastAsia" w:eastAsiaTheme="minorEastAsia" w:cstheme="minorEastAsia"/>
          <w:sz w:val="24"/>
          <w:u w:val="single"/>
        </w:rPr>
        <w:t xml:space="preserve"> （单位名称）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招标活动，服务全部由符合政策要求的中小企业承接。相关企业（含联合体中的中小企业、签订分包意向协议的中小企业）的具体情况如下：</w:t>
      </w:r>
    </w:p>
    <w:p>
      <w:pPr>
        <w:tabs>
          <w:tab w:val="left" w:pos="6300"/>
        </w:tabs>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u w:val="single"/>
        </w:rPr>
        <w:t xml:space="preserve">（标的名称） </w:t>
      </w:r>
      <w:r>
        <w:rPr>
          <w:rFonts w:hint="eastAsia" w:asciiTheme="minorEastAsia" w:hAnsiTheme="minorEastAsia" w:eastAsiaTheme="minorEastAsia" w:cstheme="minorEastAsia"/>
          <w:sz w:val="24"/>
        </w:rPr>
        <w:t>，属于 （招标文件中明确的所属行业） ；承建（承接）企业为 （企业名称） ，从业人员 人，营业收入为 万元，资产总额为 万元，属于 （中型企业、小型企业、微型企业） ；</w:t>
      </w: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w:t>
      </w: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为大企业的情形，也不存在与大企业的负责人为同一人的情形。</w:t>
      </w:r>
    </w:p>
    <w:p>
      <w:pPr>
        <w:spacing w:line="480" w:lineRule="auto"/>
        <w:rPr>
          <w:rFonts w:ascii="宋体" w:hAnsi="宋体" w:cs="宋体"/>
          <w:bCs/>
          <w:sz w:val="24"/>
        </w:rPr>
      </w:pPr>
      <w:r>
        <w:rPr>
          <w:rFonts w:hint="eastAsia" w:ascii="宋体" w:hAnsi="宋体" w:cs="宋体"/>
          <w:bCs/>
          <w:sz w:val="24"/>
        </w:rPr>
        <w:t>本企业对上述声明内容的真实性负责。如有虚假，将依法承担相应责任。</w:t>
      </w:r>
    </w:p>
    <w:p>
      <w:pPr>
        <w:pStyle w:val="2"/>
        <w:rPr>
          <w:rFonts w:ascii="宋体" w:hAnsi="宋体" w:cs="宋体"/>
          <w:bCs/>
          <w:sz w:val="24"/>
        </w:rPr>
      </w:pPr>
    </w:p>
    <w:p>
      <w:pPr>
        <w:pStyle w:val="2"/>
        <w:rPr>
          <w:rFonts w:ascii="宋体" w:hAnsi="宋体" w:cs="宋体"/>
          <w:bCs/>
          <w:sz w:val="24"/>
        </w:rPr>
      </w:pPr>
    </w:p>
    <w:p>
      <w:pPr>
        <w:pStyle w:val="2"/>
        <w:rPr>
          <w:rFonts w:ascii="宋体" w:hAnsi="宋体" w:cs="宋体"/>
          <w:bCs/>
          <w:sz w:val="24"/>
        </w:rPr>
      </w:pPr>
    </w:p>
    <w:p>
      <w:pPr>
        <w:pStyle w:val="2"/>
        <w:rPr>
          <w:rFonts w:ascii="宋体" w:hAnsi="宋体" w:cs="宋体"/>
          <w:bCs/>
          <w:sz w:val="24"/>
        </w:rPr>
      </w:pPr>
    </w:p>
    <w:p>
      <w:pPr>
        <w:tabs>
          <w:tab w:val="left" w:pos="6300"/>
        </w:tabs>
        <w:snapToGrid w:val="0"/>
        <w:spacing w:line="480" w:lineRule="auto"/>
        <w:ind w:firstLine="570"/>
        <w:rPr>
          <w:rFonts w:asciiTheme="minorEastAsia" w:hAnsiTheme="minorEastAsia" w:eastAsiaTheme="minorEastAsia" w:cstheme="minorEastAsia"/>
          <w:sz w:val="24"/>
        </w:rPr>
      </w:pPr>
    </w:p>
    <w:p>
      <w:pPr>
        <w:tabs>
          <w:tab w:val="left" w:pos="6300"/>
        </w:tabs>
        <w:snapToGrid w:val="0"/>
        <w:spacing w:line="480" w:lineRule="auto"/>
        <w:ind w:firstLine="57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企业名称（盖章）：</w:t>
      </w:r>
    </w:p>
    <w:p>
      <w:pPr>
        <w:tabs>
          <w:tab w:val="left" w:pos="6300"/>
        </w:tabs>
        <w:snapToGrid w:val="0"/>
        <w:spacing w:line="480" w:lineRule="auto"/>
        <w:ind w:firstLine="57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w:t>
      </w:r>
    </w:p>
    <w:p>
      <w:pPr>
        <w:pStyle w:val="2"/>
        <w:rPr>
          <w:rFonts w:ascii="宋体" w:hAnsi="宋体" w:cs="宋体"/>
          <w:bCs/>
          <w:sz w:val="28"/>
          <w:szCs w:val="28"/>
        </w:rPr>
      </w:pPr>
    </w:p>
    <w:p>
      <w:pPr>
        <w:pStyle w:val="2"/>
        <w:rPr>
          <w:rFonts w:ascii="宋体" w:hAnsi="宋体" w:cs="宋体"/>
          <w:bCs/>
          <w:sz w:val="28"/>
          <w:szCs w:val="28"/>
        </w:rPr>
      </w:pPr>
    </w:p>
    <w:p>
      <w:pPr>
        <w:pStyle w:val="2"/>
        <w:rPr>
          <w:rFonts w:ascii="宋体" w:hAnsi="宋体" w:cs="宋体"/>
          <w:bCs/>
          <w:sz w:val="28"/>
          <w:szCs w:val="28"/>
        </w:rPr>
      </w:pPr>
    </w:p>
    <w:p>
      <w:pPr>
        <w:pStyle w:val="2"/>
        <w:rPr>
          <w:rFonts w:ascii="宋体" w:hAnsi="宋体" w:cs="宋体"/>
          <w:bCs/>
          <w:sz w:val="28"/>
          <w:szCs w:val="28"/>
        </w:rPr>
      </w:pPr>
    </w:p>
    <w:p>
      <w:pPr>
        <w:pStyle w:val="2"/>
        <w:rPr>
          <w:rFonts w:ascii="宋体" w:hAnsi="宋体" w:cs="宋体"/>
          <w:bCs/>
          <w:sz w:val="28"/>
          <w:szCs w:val="28"/>
        </w:rPr>
      </w:pPr>
    </w:p>
    <w:p>
      <w:pPr>
        <w:spacing w:line="360" w:lineRule="auto"/>
        <w:jc w:val="center"/>
        <w:rPr>
          <w:rFonts w:ascii="宋体" w:hAnsi="宋体" w:cs="宋体"/>
          <w:b/>
          <w:sz w:val="28"/>
          <w:szCs w:val="28"/>
        </w:rPr>
      </w:pPr>
      <w:r>
        <w:rPr>
          <w:rFonts w:hint="eastAsia" w:ascii="宋体" w:hAnsi="宋体" w:cs="宋体"/>
          <w:b/>
          <w:sz w:val="28"/>
          <w:szCs w:val="28"/>
        </w:rPr>
        <w:t>7、商务报价一览表</w:t>
      </w:r>
    </w:p>
    <w:p>
      <w:pPr>
        <w:spacing w:line="360" w:lineRule="auto"/>
        <w:rPr>
          <w:rFonts w:ascii="宋体" w:hAnsi="宋体" w:cs="宋体"/>
          <w:sz w:val="24"/>
        </w:rPr>
      </w:pPr>
      <w:r>
        <w:rPr>
          <w:rFonts w:hint="eastAsia" w:ascii="宋体" w:hAnsi="宋体" w:cs="宋体"/>
          <w:sz w:val="24"/>
        </w:rPr>
        <w:t xml:space="preserve"> 项目名称：                                                   币种：人民币</w:t>
      </w:r>
    </w:p>
    <w:tbl>
      <w:tblPr>
        <w:tblStyle w:val="24"/>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311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b/>
                <w:sz w:val="24"/>
              </w:rPr>
            </w:pPr>
            <w:r>
              <w:rPr>
                <w:rFonts w:hint="eastAsia" w:ascii="宋体" w:hAnsi="宋体" w:cs="宋体"/>
                <w:b/>
                <w:sz w:val="24"/>
              </w:rPr>
              <w:t>工程名称</w:t>
            </w:r>
          </w:p>
        </w:tc>
        <w:tc>
          <w:tcPr>
            <w:tcW w:w="6142" w:type="dxa"/>
            <w:tcBorders>
              <w:top w:val="single" w:color="auto" w:sz="4" w:space="0"/>
              <w:left w:val="single" w:color="auto" w:sz="4" w:space="0"/>
              <w:right w:val="single" w:color="auto" w:sz="4" w:space="0"/>
            </w:tcBorders>
            <w:vAlign w:val="center"/>
          </w:tcPr>
          <w:p>
            <w:pPr>
              <w:spacing w:line="288" w:lineRule="auto"/>
              <w:jc w:val="center"/>
              <w:rPr>
                <w:rFonts w:ascii="宋体" w:hAnsi="宋体" w:cs="宋体"/>
                <w:sz w:val="24"/>
              </w:rPr>
            </w:pPr>
            <w:r>
              <w:rPr>
                <w:rFonts w:hint="eastAsia" w:ascii="宋体" w:hAnsi="宋体" w:cs="宋体"/>
                <w:sz w:val="24"/>
              </w:rPr>
              <w:t>克拉玛依市排水管理处污水处理设施维修修缮及应急抢修队伍入围项目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311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b/>
                <w:sz w:val="24"/>
              </w:rPr>
            </w:pPr>
            <w:r>
              <w:rPr>
                <w:rFonts w:hint="eastAsia" w:ascii="宋体" w:hAnsi="宋体" w:cs="宋体"/>
                <w:b/>
                <w:sz w:val="24"/>
              </w:rPr>
              <w:t>承诺经审定的竣工结算价下浮率（%）</w:t>
            </w:r>
          </w:p>
        </w:tc>
        <w:tc>
          <w:tcPr>
            <w:tcW w:w="6142" w:type="dxa"/>
            <w:tcBorders>
              <w:top w:val="single" w:color="auto" w:sz="4" w:space="0"/>
              <w:left w:val="single" w:color="auto" w:sz="4" w:space="0"/>
              <w:right w:val="single" w:color="auto" w:sz="4" w:space="0"/>
            </w:tcBorders>
            <w:vAlign w:val="center"/>
          </w:tcPr>
          <w:p>
            <w:pPr>
              <w:spacing w:line="288" w:lineRule="auto"/>
              <w:rPr>
                <w:rFonts w:ascii="宋体" w:hAnsi="宋体" w:cs="宋体"/>
                <w:sz w:val="24"/>
              </w:rPr>
            </w:pPr>
            <w:r>
              <w:rPr>
                <w:rFonts w:hint="eastAsia" w:ascii="宋体" w:hAnsi="宋体" w:cs="宋体"/>
                <w:sz w:val="24"/>
              </w:rPr>
              <w:t>下浮率：</w:t>
            </w:r>
            <w:r>
              <w:rPr>
                <w:rFonts w:hint="eastAsia" w:ascii="宋体" w:hAnsi="宋体" w:cs="宋体"/>
                <w:sz w:val="24"/>
                <w:u w:val="single"/>
              </w:rPr>
              <w:t xml:space="preserve">   </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3116" w:type="dxa"/>
            <w:tcBorders>
              <w:top w:val="single" w:color="auto" w:sz="4" w:space="0"/>
              <w:left w:val="single" w:color="auto" w:sz="4" w:space="0"/>
              <w:bottom w:val="single" w:color="auto" w:sz="4" w:space="0"/>
              <w:right w:val="single" w:color="auto" w:sz="4" w:space="0"/>
            </w:tcBorders>
            <w:vAlign w:val="center"/>
          </w:tcPr>
          <w:p>
            <w:pPr>
              <w:spacing w:line="288" w:lineRule="auto"/>
              <w:ind w:left="1625" w:leftChars="200" w:hanging="1205" w:hangingChars="500"/>
              <w:jc w:val="center"/>
              <w:rPr>
                <w:rFonts w:ascii="宋体" w:hAnsi="宋体" w:cs="宋体"/>
                <w:b/>
                <w:sz w:val="24"/>
              </w:rPr>
            </w:pPr>
            <w:r>
              <w:rPr>
                <w:rFonts w:hint="eastAsia" w:ascii="宋体" w:hAnsi="宋体" w:cs="宋体"/>
                <w:b/>
                <w:sz w:val="24"/>
              </w:rPr>
              <w:t>工程质量承诺</w:t>
            </w:r>
          </w:p>
        </w:tc>
        <w:tc>
          <w:tcPr>
            <w:tcW w:w="6142" w:type="dxa"/>
            <w:tcBorders>
              <w:left w:val="single" w:color="auto" w:sz="4" w:space="0"/>
              <w:right w:val="single" w:color="auto" w:sz="4" w:space="0"/>
            </w:tcBorders>
            <w:vAlign w:val="center"/>
          </w:tcPr>
          <w:p>
            <w:pPr>
              <w:spacing w:line="288"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3116" w:type="dxa"/>
            <w:tcBorders>
              <w:top w:val="single" w:color="auto" w:sz="4" w:space="0"/>
              <w:left w:val="single" w:color="auto" w:sz="4" w:space="0"/>
              <w:bottom w:val="single" w:color="auto" w:sz="4" w:space="0"/>
              <w:right w:val="single" w:color="auto" w:sz="4" w:space="0"/>
            </w:tcBorders>
            <w:vAlign w:val="center"/>
          </w:tcPr>
          <w:p>
            <w:pPr>
              <w:spacing w:line="288" w:lineRule="auto"/>
              <w:ind w:left="1625" w:leftChars="200" w:hanging="1205" w:hangingChars="500"/>
              <w:jc w:val="center"/>
              <w:rPr>
                <w:rFonts w:ascii="宋体" w:hAnsi="宋体" w:cs="宋体"/>
                <w:b/>
                <w:sz w:val="24"/>
              </w:rPr>
            </w:pPr>
            <w:r>
              <w:rPr>
                <w:rFonts w:hint="eastAsia" w:ascii="宋体" w:hAnsi="宋体" w:cs="宋体"/>
                <w:b/>
                <w:sz w:val="24"/>
              </w:rPr>
              <w:t>项目负责人</w:t>
            </w:r>
          </w:p>
        </w:tc>
        <w:tc>
          <w:tcPr>
            <w:tcW w:w="6142" w:type="dxa"/>
            <w:tcBorders>
              <w:left w:val="single" w:color="auto" w:sz="4" w:space="0"/>
              <w:right w:val="single" w:color="auto" w:sz="4" w:space="0"/>
            </w:tcBorders>
            <w:vAlign w:val="center"/>
          </w:tcPr>
          <w:p>
            <w:pPr>
              <w:spacing w:line="288"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3116" w:type="dxa"/>
            <w:tcBorders>
              <w:top w:val="single" w:color="auto" w:sz="4" w:space="0"/>
              <w:left w:val="single" w:color="auto" w:sz="4" w:space="0"/>
              <w:bottom w:val="single" w:color="auto" w:sz="4" w:space="0"/>
              <w:right w:val="single" w:color="auto" w:sz="4" w:space="0"/>
            </w:tcBorders>
            <w:vAlign w:val="center"/>
          </w:tcPr>
          <w:p>
            <w:pPr>
              <w:spacing w:line="288" w:lineRule="auto"/>
              <w:ind w:left="1625" w:leftChars="200" w:hanging="1205" w:hangingChars="500"/>
              <w:jc w:val="center"/>
              <w:rPr>
                <w:rFonts w:ascii="宋体" w:hAnsi="宋体" w:cs="宋体"/>
                <w:b/>
                <w:sz w:val="24"/>
              </w:rPr>
            </w:pPr>
            <w:r>
              <w:rPr>
                <w:rFonts w:hint="eastAsia" w:ascii="宋体" w:hAnsi="宋体" w:cs="宋体"/>
                <w:b/>
                <w:sz w:val="24"/>
              </w:rPr>
              <w:t>服务期限</w:t>
            </w:r>
          </w:p>
        </w:tc>
        <w:tc>
          <w:tcPr>
            <w:tcW w:w="6142" w:type="dxa"/>
            <w:tcBorders>
              <w:left w:val="single" w:color="auto" w:sz="4" w:space="0"/>
              <w:right w:val="single" w:color="auto" w:sz="4" w:space="0"/>
            </w:tcBorders>
            <w:vAlign w:val="center"/>
          </w:tcPr>
          <w:p>
            <w:pPr>
              <w:spacing w:line="288" w:lineRule="auto"/>
              <w:rPr>
                <w:rFonts w:ascii="宋体" w:hAnsi="宋体" w:cs="宋体"/>
                <w:sz w:val="24"/>
              </w:rPr>
            </w:pPr>
            <w:r>
              <w:rPr>
                <w:rFonts w:hint="eastAsia" w:ascii="宋体" w:hAnsi="宋体" w:cs="宋体"/>
                <w:b/>
                <w:sz w:val="24"/>
              </w:rPr>
              <w:t>自</w:t>
            </w:r>
            <w:r>
              <w:rPr>
                <w:rFonts w:hint="eastAsia" w:ascii="宋体" w:hAnsi="宋体" w:cs="宋体"/>
                <w:b/>
                <w:sz w:val="24"/>
                <w:lang w:eastAsia="zh-CN"/>
              </w:rPr>
              <w:t>成交</w:t>
            </w:r>
            <w:r>
              <w:rPr>
                <w:rFonts w:hint="eastAsia" w:ascii="宋体" w:hAnsi="宋体" w:cs="宋体"/>
                <w:b/>
                <w:sz w:val="24"/>
              </w:rPr>
              <w:t>之日起至2022年12月31日止。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3116" w:type="dxa"/>
            <w:tcBorders>
              <w:top w:val="single" w:color="auto" w:sz="4" w:space="0"/>
              <w:left w:val="single" w:color="auto" w:sz="4" w:space="0"/>
              <w:bottom w:val="single" w:color="auto" w:sz="4" w:space="0"/>
              <w:right w:val="single" w:color="auto" w:sz="4" w:space="0"/>
            </w:tcBorders>
            <w:vAlign w:val="center"/>
          </w:tcPr>
          <w:p>
            <w:pPr>
              <w:spacing w:line="288" w:lineRule="auto"/>
              <w:ind w:left="1625" w:leftChars="200" w:hanging="1205" w:hangingChars="500"/>
              <w:jc w:val="center"/>
              <w:rPr>
                <w:rFonts w:ascii="宋体" w:hAnsi="宋体" w:cs="宋体"/>
                <w:b/>
                <w:sz w:val="24"/>
              </w:rPr>
            </w:pPr>
            <w:r>
              <w:rPr>
                <w:rFonts w:hint="eastAsia" w:ascii="宋体" w:hAnsi="宋体" w:cs="宋体"/>
                <w:b/>
                <w:sz w:val="24"/>
              </w:rPr>
              <w:t>承包方式</w:t>
            </w:r>
          </w:p>
        </w:tc>
        <w:tc>
          <w:tcPr>
            <w:tcW w:w="6142" w:type="dxa"/>
            <w:tcBorders>
              <w:left w:val="single" w:color="auto" w:sz="4" w:space="0"/>
              <w:right w:val="single" w:color="auto" w:sz="4" w:space="0"/>
            </w:tcBorders>
            <w:vAlign w:val="center"/>
          </w:tcPr>
          <w:p>
            <w:pPr>
              <w:spacing w:line="288" w:lineRule="auto"/>
              <w:rPr>
                <w:rFonts w:ascii="宋体" w:hAnsi="宋体" w:cs="宋体"/>
                <w:sz w:val="24"/>
              </w:rPr>
            </w:pPr>
            <w:r>
              <w:rPr>
                <w:rFonts w:hint="eastAsia" w:ascii="宋体" w:hAnsi="宋体" w:cs="宋体"/>
                <w:b/>
                <w:sz w:val="24"/>
              </w:rPr>
              <w:t>包工包料、包质量、包工期、包安全施工。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4" w:hRule="atLeast"/>
          <w:jc w:val="center"/>
        </w:trPr>
        <w:tc>
          <w:tcPr>
            <w:tcW w:w="9258" w:type="dxa"/>
            <w:gridSpan w:val="2"/>
            <w:tcBorders>
              <w:top w:val="single" w:color="auto" w:sz="4" w:space="0"/>
              <w:left w:val="single" w:color="auto" w:sz="4" w:space="0"/>
              <w:right w:val="single" w:color="auto" w:sz="4" w:space="0"/>
            </w:tcBorders>
          </w:tcPr>
          <w:p>
            <w:pPr>
              <w:spacing w:line="360" w:lineRule="auto"/>
              <w:ind w:left="17" w:leftChars="8" w:right="181" w:rightChars="86" w:firstLine="458" w:firstLineChars="191"/>
              <w:rPr>
                <w:rFonts w:ascii="宋体" w:hAnsi="宋体" w:cs="宋体"/>
                <w:sz w:val="24"/>
              </w:rPr>
            </w:pPr>
            <w:r>
              <w:rPr>
                <w:rFonts w:hint="eastAsia"/>
                <w:sz w:val="24"/>
              </w:rPr>
              <w:t>注：1、报价包含的内容：为克拉玛依市排水管理处污水处理设施维修修缮及应急抢修队伍入围项目本招标文件约定全部内容的全部费用。</w:t>
            </w:r>
            <w:r>
              <w:rPr>
                <w:rFonts w:hint="eastAsia" w:ascii="宋体" w:hAnsi="宋体" w:cs="宋体"/>
                <w:sz w:val="24"/>
              </w:rPr>
              <w:t xml:space="preserve">                             </w:t>
            </w:r>
          </w:p>
          <w:p>
            <w:pPr>
              <w:spacing w:line="288" w:lineRule="auto"/>
              <w:ind w:right="420"/>
              <w:jc w:val="center"/>
              <w:rPr>
                <w:rFonts w:ascii="宋体" w:hAnsi="宋体" w:cs="宋体"/>
                <w:sz w:val="24"/>
              </w:rPr>
            </w:pPr>
            <w:r>
              <w:rPr>
                <w:rFonts w:hint="eastAsia" w:ascii="宋体" w:hAnsi="宋体" w:cs="宋体"/>
                <w:sz w:val="24"/>
              </w:rPr>
              <w:t xml:space="preserve">                            </w:t>
            </w:r>
          </w:p>
          <w:p>
            <w:pPr>
              <w:spacing w:line="288" w:lineRule="auto"/>
              <w:ind w:right="420"/>
              <w:jc w:val="center"/>
              <w:rPr>
                <w:rFonts w:ascii="宋体" w:hAnsi="宋体" w:cs="宋体"/>
                <w:sz w:val="24"/>
              </w:rPr>
            </w:pPr>
          </w:p>
          <w:p>
            <w:pPr>
              <w:spacing w:line="288" w:lineRule="auto"/>
              <w:ind w:right="420"/>
              <w:jc w:val="center"/>
              <w:rPr>
                <w:rFonts w:ascii="宋体" w:hAnsi="宋体" w:cs="宋体"/>
                <w:sz w:val="24"/>
              </w:rPr>
            </w:pPr>
            <w:r>
              <w:rPr>
                <w:rFonts w:hint="eastAsia" w:ascii="宋体" w:hAnsi="宋体" w:cs="宋体"/>
                <w:sz w:val="24"/>
              </w:rPr>
              <w:t xml:space="preserve">                                  投标人：（盖章）</w:t>
            </w:r>
          </w:p>
          <w:p>
            <w:pPr>
              <w:spacing w:line="288" w:lineRule="auto"/>
              <w:ind w:firstLine="8400" w:firstLineChars="3500"/>
              <w:rPr>
                <w:rFonts w:ascii="宋体" w:hAnsi="宋体" w:cs="宋体"/>
                <w:sz w:val="24"/>
              </w:rPr>
            </w:pPr>
          </w:p>
          <w:p>
            <w:pPr>
              <w:spacing w:line="288" w:lineRule="auto"/>
              <w:ind w:left="5460" w:leftChars="2600" w:firstLine="6360" w:firstLineChars="2650"/>
              <w:jc w:val="left"/>
              <w:rPr>
                <w:rFonts w:ascii="宋体" w:hAnsi="宋体" w:cs="宋体"/>
                <w:sz w:val="24"/>
              </w:rPr>
            </w:pPr>
            <w:r>
              <w:rPr>
                <w:rFonts w:hint="eastAsia" w:ascii="宋体" w:hAnsi="宋体" w:cs="宋体"/>
                <w:sz w:val="24"/>
              </w:rPr>
              <w:t>法法定代表人或委托代理人：（签字或盖章）</w:t>
            </w:r>
          </w:p>
          <w:p>
            <w:pPr>
              <w:spacing w:line="288" w:lineRule="auto"/>
              <w:ind w:left="5460" w:leftChars="2600" w:firstLine="6360" w:firstLineChars="2650"/>
              <w:rPr>
                <w:rFonts w:ascii="宋体" w:hAnsi="宋体" w:cs="宋体"/>
                <w:sz w:val="24"/>
              </w:rPr>
            </w:pPr>
          </w:p>
        </w:tc>
      </w:tr>
    </w:tbl>
    <w:p>
      <w:pPr>
        <w:spacing w:line="360" w:lineRule="auto"/>
        <w:jc w:val="right"/>
        <w:rPr>
          <w:rFonts w:ascii="宋体" w:hAnsi="宋体" w:cs="宋体"/>
          <w:sz w:val="24"/>
        </w:rPr>
      </w:pPr>
      <w:r>
        <w:rPr>
          <w:rFonts w:hint="eastAsia" w:ascii="宋体" w:hAnsi="宋体" w:cs="宋体"/>
          <w:sz w:val="24"/>
        </w:rPr>
        <w:t>报价日期：   年  月   日</w:t>
      </w:r>
    </w:p>
    <w:p>
      <w:pPr>
        <w:pStyle w:val="2"/>
        <w:rPr>
          <w:rFonts w:ascii="宋体" w:hAnsi="宋体" w:cs="宋体"/>
          <w:b/>
          <w:sz w:val="28"/>
          <w:szCs w:val="28"/>
        </w:rPr>
      </w:pPr>
    </w:p>
    <w:p>
      <w:pPr>
        <w:tabs>
          <w:tab w:val="left" w:pos="2720"/>
          <w:tab w:val="center" w:pos="4470"/>
        </w:tabs>
        <w:spacing w:line="360" w:lineRule="auto"/>
        <w:jc w:val="left"/>
        <w:rPr>
          <w:rFonts w:ascii="宋体" w:hAnsi="宋体" w:cs="宋体"/>
          <w:b/>
          <w:sz w:val="28"/>
          <w:szCs w:val="28"/>
        </w:rPr>
      </w:pPr>
      <w:r>
        <w:rPr>
          <w:rFonts w:hint="eastAsia" w:ascii="宋体" w:hAnsi="宋体" w:cs="宋体"/>
          <w:b/>
          <w:sz w:val="28"/>
          <w:szCs w:val="28"/>
        </w:rPr>
        <w:tab/>
      </w:r>
    </w:p>
    <w:p>
      <w:pPr>
        <w:pStyle w:val="5"/>
        <w:numPr>
          <w:ilvl w:val="0"/>
          <w:numId w:val="0"/>
        </w:numPr>
        <w:jc w:val="center"/>
        <w:rPr>
          <w:rFonts w:cs="宋体"/>
          <w:szCs w:val="24"/>
        </w:rPr>
      </w:pPr>
      <w:r>
        <w:rPr>
          <w:rFonts w:hint="eastAsia" w:cs="宋体"/>
          <w:sz w:val="30"/>
          <w:szCs w:val="30"/>
        </w:rPr>
        <w:t>8、</w:t>
      </w:r>
      <w:r>
        <w:rPr>
          <w:rFonts w:hint="eastAsia" w:cs="宋体"/>
          <w:bCs w:val="0"/>
          <w:kern w:val="2"/>
          <w:sz w:val="28"/>
          <w:szCs w:val="28"/>
        </w:rPr>
        <w:t>近三年（自2018年1月1日至今）完成过类似业绩</w:t>
      </w:r>
    </w:p>
    <w:tbl>
      <w:tblPr>
        <w:tblStyle w:val="24"/>
        <w:tblpPr w:leftFromText="180" w:rightFromText="180" w:vertAnchor="text" w:horzAnchor="page" w:tblpX="1449" w:tblpY="367"/>
        <w:tblOverlap w:val="never"/>
        <w:tblW w:w="921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039"/>
        <w:gridCol w:w="2245"/>
        <w:gridCol w:w="2245"/>
        <w:gridCol w:w="18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jc w:val="center"/>
              <w:rPr>
                <w:rFonts w:ascii="宋体" w:hAnsi="宋体" w:cs="宋体"/>
                <w:sz w:val="24"/>
              </w:rPr>
            </w:pPr>
            <w:r>
              <w:rPr>
                <w:rFonts w:hint="eastAsia" w:ascii="宋体" w:hAnsi="宋体" w:cs="宋体"/>
                <w:sz w:val="24"/>
              </w:rPr>
              <w:t>序号</w:t>
            </w:r>
          </w:p>
        </w:tc>
        <w:tc>
          <w:tcPr>
            <w:tcW w:w="2039" w:type="dxa"/>
            <w:vAlign w:val="center"/>
          </w:tcPr>
          <w:p>
            <w:pPr>
              <w:jc w:val="center"/>
              <w:rPr>
                <w:rFonts w:ascii="宋体" w:hAnsi="宋体" w:cs="宋体"/>
                <w:sz w:val="24"/>
              </w:rPr>
            </w:pPr>
            <w:r>
              <w:rPr>
                <w:rFonts w:hint="eastAsia" w:ascii="宋体" w:hAnsi="宋体" w:cs="宋体"/>
                <w:sz w:val="24"/>
              </w:rPr>
              <w:t>项目名称</w:t>
            </w:r>
          </w:p>
        </w:tc>
        <w:tc>
          <w:tcPr>
            <w:tcW w:w="2245" w:type="dxa"/>
          </w:tcPr>
          <w:p>
            <w:pPr>
              <w:spacing w:line="520" w:lineRule="exact"/>
              <w:jc w:val="center"/>
              <w:rPr>
                <w:rFonts w:ascii="宋体" w:hAnsi="宋体" w:cs="宋体"/>
                <w:sz w:val="24"/>
              </w:rPr>
            </w:pPr>
            <w:r>
              <w:rPr>
                <w:rFonts w:hint="eastAsia" w:ascii="宋体" w:hAnsi="宋体" w:cs="宋体"/>
                <w:sz w:val="24"/>
              </w:rPr>
              <w:t>投资额</w:t>
            </w:r>
          </w:p>
        </w:tc>
        <w:tc>
          <w:tcPr>
            <w:tcW w:w="2245" w:type="dxa"/>
          </w:tcPr>
          <w:p>
            <w:pPr>
              <w:spacing w:line="520" w:lineRule="exact"/>
              <w:jc w:val="center"/>
              <w:rPr>
                <w:rFonts w:ascii="宋体" w:hAnsi="宋体" w:cs="宋体"/>
                <w:sz w:val="24"/>
              </w:rPr>
            </w:pPr>
            <w:r>
              <w:rPr>
                <w:rFonts w:hint="eastAsia" w:ascii="宋体" w:hAnsi="宋体" w:cs="宋体"/>
                <w:sz w:val="24"/>
              </w:rPr>
              <w:t>项目描述</w:t>
            </w:r>
          </w:p>
        </w:tc>
        <w:tc>
          <w:tcPr>
            <w:tcW w:w="1821" w:type="dxa"/>
          </w:tcPr>
          <w:p>
            <w:pPr>
              <w:spacing w:line="520" w:lineRule="exact"/>
              <w:jc w:val="center"/>
              <w:rPr>
                <w:rFonts w:ascii="宋体" w:hAnsi="宋体" w:cs="宋体"/>
                <w:sz w:val="24"/>
              </w:rPr>
            </w:pPr>
            <w:r>
              <w:rPr>
                <w:rFonts w:hint="eastAsia" w:ascii="宋体" w:hAnsi="宋体" w:cs="宋体"/>
                <w:sz w:val="24"/>
              </w:rPr>
              <w:t>项目质量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jc w:val="center"/>
              <w:rPr>
                <w:rFonts w:ascii="宋体" w:hAnsi="宋体" w:cs="宋体"/>
                <w:sz w:val="24"/>
              </w:rPr>
            </w:pPr>
            <w:r>
              <w:rPr>
                <w:rFonts w:hint="eastAsia" w:ascii="宋体" w:hAnsi="宋体" w:cs="宋体"/>
                <w:sz w:val="24"/>
              </w:rPr>
              <w:t>1</w:t>
            </w:r>
          </w:p>
        </w:tc>
        <w:tc>
          <w:tcPr>
            <w:tcW w:w="2039" w:type="dxa"/>
            <w:vAlign w:val="center"/>
          </w:tcPr>
          <w:p>
            <w:pPr>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1821" w:type="dxa"/>
          </w:tcPr>
          <w:p>
            <w:pPr>
              <w:spacing w:line="520" w:lineRule="exact"/>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jc w:val="center"/>
              <w:rPr>
                <w:rFonts w:ascii="宋体" w:hAnsi="宋体" w:cs="宋体"/>
                <w:sz w:val="24"/>
              </w:rPr>
            </w:pPr>
            <w:r>
              <w:rPr>
                <w:rFonts w:hint="eastAsia" w:ascii="宋体" w:hAnsi="宋体" w:cs="宋体"/>
                <w:sz w:val="24"/>
              </w:rPr>
              <w:t>2</w:t>
            </w:r>
          </w:p>
        </w:tc>
        <w:tc>
          <w:tcPr>
            <w:tcW w:w="2039" w:type="dxa"/>
            <w:vAlign w:val="center"/>
          </w:tcPr>
          <w:p>
            <w:pPr>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1821" w:type="dxa"/>
          </w:tcPr>
          <w:p>
            <w:pPr>
              <w:spacing w:line="520" w:lineRule="exact"/>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jc w:val="center"/>
              <w:rPr>
                <w:rFonts w:ascii="宋体" w:hAnsi="宋体" w:cs="宋体"/>
                <w:sz w:val="24"/>
              </w:rPr>
            </w:pPr>
            <w:r>
              <w:rPr>
                <w:rFonts w:hint="eastAsia" w:ascii="宋体" w:hAnsi="宋体" w:cs="宋体"/>
                <w:sz w:val="24"/>
              </w:rPr>
              <w:t>3</w:t>
            </w:r>
          </w:p>
        </w:tc>
        <w:tc>
          <w:tcPr>
            <w:tcW w:w="2039" w:type="dxa"/>
            <w:vAlign w:val="center"/>
          </w:tcPr>
          <w:p>
            <w:pPr>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1821" w:type="dxa"/>
          </w:tcPr>
          <w:p>
            <w:pPr>
              <w:spacing w:line="520" w:lineRule="exact"/>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jc w:val="center"/>
              <w:rPr>
                <w:rFonts w:ascii="宋体" w:hAnsi="宋体" w:cs="宋体"/>
                <w:sz w:val="24"/>
              </w:rPr>
            </w:pPr>
            <w:r>
              <w:rPr>
                <w:rFonts w:hint="eastAsia" w:ascii="宋体" w:hAnsi="宋体" w:cs="宋体"/>
                <w:sz w:val="24"/>
              </w:rPr>
              <w:t>4</w:t>
            </w:r>
          </w:p>
        </w:tc>
        <w:tc>
          <w:tcPr>
            <w:tcW w:w="2039" w:type="dxa"/>
            <w:vAlign w:val="center"/>
          </w:tcPr>
          <w:p>
            <w:pPr>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1821" w:type="dxa"/>
          </w:tcPr>
          <w:p>
            <w:pPr>
              <w:spacing w:line="520" w:lineRule="exact"/>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jc w:val="center"/>
              <w:rPr>
                <w:rFonts w:ascii="宋体" w:hAnsi="宋体" w:cs="宋体"/>
                <w:sz w:val="24"/>
              </w:rPr>
            </w:pPr>
            <w:r>
              <w:rPr>
                <w:rFonts w:hint="eastAsia" w:ascii="宋体" w:hAnsi="宋体" w:cs="宋体"/>
                <w:sz w:val="24"/>
              </w:rPr>
              <w:t>5</w:t>
            </w:r>
          </w:p>
        </w:tc>
        <w:tc>
          <w:tcPr>
            <w:tcW w:w="2039" w:type="dxa"/>
            <w:vAlign w:val="center"/>
          </w:tcPr>
          <w:p>
            <w:pPr>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1821" w:type="dxa"/>
          </w:tcPr>
          <w:p>
            <w:pPr>
              <w:spacing w:line="520" w:lineRule="exact"/>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jc w:val="center"/>
              <w:rPr>
                <w:rFonts w:ascii="宋体" w:hAnsi="宋体" w:cs="宋体"/>
                <w:sz w:val="24"/>
              </w:rPr>
            </w:pPr>
            <w:r>
              <w:rPr>
                <w:rFonts w:hint="eastAsia" w:ascii="宋体" w:hAnsi="宋体" w:cs="宋体"/>
                <w:sz w:val="24"/>
              </w:rPr>
              <w:t>6</w:t>
            </w:r>
          </w:p>
        </w:tc>
        <w:tc>
          <w:tcPr>
            <w:tcW w:w="2039" w:type="dxa"/>
            <w:vAlign w:val="center"/>
          </w:tcPr>
          <w:p>
            <w:pPr>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1821" w:type="dxa"/>
          </w:tcPr>
          <w:p>
            <w:pPr>
              <w:spacing w:line="520" w:lineRule="exact"/>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jc w:val="center"/>
              <w:rPr>
                <w:rFonts w:ascii="宋体" w:hAnsi="宋体" w:cs="宋体"/>
                <w:sz w:val="24"/>
              </w:rPr>
            </w:pPr>
            <w:r>
              <w:rPr>
                <w:rFonts w:hint="eastAsia" w:ascii="宋体" w:hAnsi="宋体" w:cs="宋体"/>
                <w:sz w:val="24"/>
              </w:rPr>
              <w:t>...</w:t>
            </w:r>
          </w:p>
        </w:tc>
        <w:tc>
          <w:tcPr>
            <w:tcW w:w="2039" w:type="dxa"/>
            <w:vAlign w:val="center"/>
          </w:tcPr>
          <w:p>
            <w:pPr>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1821" w:type="dxa"/>
          </w:tcPr>
          <w:p>
            <w:pPr>
              <w:spacing w:line="520" w:lineRule="exact"/>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jc w:val="center"/>
              <w:rPr>
                <w:rFonts w:ascii="宋体" w:hAnsi="宋体" w:cs="宋体"/>
                <w:sz w:val="24"/>
              </w:rPr>
            </w:pPr>
          </w:p>
        </w:tc>
        <w:tc>
          <w:tcPr>
            <w:tcW w:w="2039" w:type="dxa"/>
            <w:vAlign w:val="center"/>
          </w:tcPr>
          <w:p>
            <w:pPr>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1821" w:type="dxa"/>
          </w:tcPr>
          <w:p>
            <w:pPr>
              <w:spacing w:line="520" w:lineRule="exact"/>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jc w:val="center"/>
              <w:rPr>
                <w:rFonts w:ascii="宋体" w:hAnsi="宋体" w:cs="宋体"/>
                <w:sz w:val="24"/>
              </w:rPr>
            </w:pPr>
          </w:p>
        </w:tc>
        <w:tc>
          <w:tcPr>
            <w:tcW w:w="2039" w:type="dxa"/>
            <w:vAlign w:val="center"/>
          </w:tcPr>
          <w:p>
            <w:pPr>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2245" w:type="dxa"/>
          </w:tcPr>
          <w:p>
            <w:pPr>
              <w:spacing w:line="520" w:lineRule="exact"/>
              <w:jc w:val="center"/>
              <w:rPr>
                <w:rFonts w:ascii="宋体" w:hAnsi="宋体" w:cs="宋体"/>
                <w:sz w:val="24"/>
              </w:rPr>
            </w:pPr>
          </w:p>
        </w:tc>
        <w:tc>
          <w:tcPr>
            <w:tcW w:w="1821" w:type="dxa"/>
          </w:tcPr>
          <w:p>
            <w:pPr>
              <w:spacing w:line="520" w:lineRule="exact"/>
              <w:jc w:val="center"/>
              <w:rPr>
                <w:rFonts w:ascii="宋体" w:hAnsi="宋体" w:cs="宋体"/>
                <w:sz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宋体" w:hAnsi="宋体" w:cs="宋体"/>
          <w:sz w:val="24"/>
        </w:rPr>
      </w:pPr>
      <w:r>
        <w:rPr>
          <w:rFonts w:hint="eastAsia" w:ascii="宋体" w:hAnsi="宋体" w:cs="宋体"/>
          <w:sz w:val="24"/>
        </w:rPr>
        <w:t>注：（仅限于投标人自身实施的）以上业绩需提供有关书面证明材料复印件（如中标通知书/中标通知书或采购合同）。</w:t>
      </w:r>
    </w:p>
    <w:p>
      <w:pPr>
        <w:spacing w:line="400" w:lineRule="exact"/>
        <w:rPr>
          <w:rFonts w:ascii="宋体" w:hAnsi="宋体" w:cs="宋体"/>
          <w:sz w:val="24"/>
        </w:rPr>
      </w:pPr>
    </w:p>
    <w:p>
      <w:pPr>
        <w:adjustRightInd w:val="0"/>
        <w:spacing w:line="400" w:lineRule="exact"/>
        <w:ind w:firstLine="480" w:firstLineChars="200"/>
        <w:jc w:val="left"/>
        <w:rPr>
          <w:rFonts w:ascii="宋体" w:hAnsi="宋体" w:cs="宋体"/>
          <w:sz w:val="24"/>
        </w:rPr>
      </w:pPr>
      <w:r>
        <w:rPr>
          <w:rFonts w:hint="eastAsia" w:ascii="宋体" w:hAnsi="宋体" w:cs="宋体"/>
          <w:sz w:val="24"/>
        </w:rPr>
        <w:t xml:space="preserve">投标人（盖章）：         </w:t>
      </w:r>
    </w:p>
    <w:p>
      <w:pPr>
        <w:adjustRightInd w:val="0"/>
        <w:spacing w:line="400" w:lineRule="exact"/>
        <w:ind w:firstLine="480" w:firstLineChars="200"/>
        <w:jc w:val="left"/>
        <w:rPr>
          <w:rFonts w:ascii="宋体" w:hAnsi="宋体" w:cs="宋体"/>
          <w:sz w:val="24"/>
        </w:rPr>
      </w:pPr>
    </w:p>
    <w:p>
      <w:pPr>
        <w:spacing w:line="400" w:lineRule="exact"/>
        <w:ind w:right="480" w:firstLine="480" w:firstLineChars="200"/>
        <w:jc w:val="left"/>
        <w:rPr>
          <w:rFonts w:ascii="宋体" w:hAnsi="宋体" w:cs="宋体"/>
          <w:bCs/>
          <w:sz w:val="24"/>
        </w:rPr>
      </w:pPr>
      <w:r>
        <w:rPr>
          <w:rFonts w:hint="eastAsia" w:ascii="宋体" w:hAnsi="宋体" w:cs="宋体"/>
          <w:sz w:val="24"/>
        </w:rPr>
        <w:t>法定代表人或授权委托人（签字或盖章）：</w:t>
      </w:r>
    </w:p>
    <w:p>
      <w:pPr>
        <w:spacing w:line="400" w:lineRule="exact"/>
        <w:ind w:right="480" w:firstLine="480" w:firstLineChars="200"/>
        <w:jc w:val="right"/>
        <w:rPr>
          <w:rFonts w:ascii="宋体" w:hAnsi="宋体" w:cs="宋体"/>
          <w:b/>
          <w:sz w:val="24"/>
        </w:rPr>
      </w:pPr>
      <w:r>
        <w:rPr>
          <w:rFonts w:hint="eastAsia" w:ascii="宋体" w:hAnsi="宋体" w:cs="宋体"/>
          <w:bCs/>
          <w:sz w:val="24"/>
        </w:rPr>
        <w:t>年  月  日</w:t>
      </w:r>
    </w:p>
    <w:p>
      <w:pPr>
        <w:spacing w:line="360" w:lineRule="auto"/>
        <w:jc w:val="center"/>
        <w:rPr>
          <w:rFonts w:ascii="宋体" w:hAnsi="宋体" w:cs="宋体"/>
          <w:b/>
          <w:bCs/>
          <w:sz w:val="30"/>
          <w:szCs w:val="30"/>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9、项目负责人简历表</w:t>
      </w:r>
    </w:p>
    <w:tbl>
      <w:tblPr>
        <w:tblStyle w:val="24"/>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95"/>
        <w:gridCol w:w="782"/>
        <w:gridCol w:w="824"/>
        <w:gridCol w:w="373"/>
        <w:gridCol w:w="859"/>
        <w:gridCol w:w="966"/>
        <w:gridCol w:w="597"/>
        <w:gridCol w:w="1530"/>
        <w:gridCol w:w="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姓名</w:t>
            </w:r>
          </w:p>
        </w:tc>
        <w:tc>
          <w:tcPr>
            <w:tcW w:w="1801" w:type="dxa"/>
            <w:gridSpan w:val="3"/>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性别</w:t>
            </w:r>
          </w:p>
        </w:tc>
        <w:tc>
          <w:tcPr>
            <w:tcW w:w="1563"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年龄</w:t>
            </w:r>
          </w:p>
        </w:tc>
        <w:tc>
          <w:tcPr>
            <w:tcW w:w="177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职务</w:t>
            </w:r>
          </w:p>
        </w:tc>
        <w:tc>
          <w:tcPr>
            <w:tcW w:w="1801" w:type="dxa"/>
            <w:gridSpan w:val="3"/>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职称</w:t>
            </w:r>
          </w:p>
        </w:tc>
        <w:tc>
          <w:tcPr>
            <w:tcW w:w="1563"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拟在本合同担任职务</w:t>
            </w:r>
          </w:p>
        </w:tc>
        <w:tc>
          <w:tcPr>
            <w:tcW w:w="177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28" w:type="dxa"/>
            <w:gridSpan w:val="4"/>
            <w:vMerge w:val="restart"/>
            <w:tcBorders>
              <w:top w:val="single" w:color="auto" w:sz="4" w:space="0"/>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项目负责人建造师专业及等级</w:t>
            </w:r>
          </w:p>
        </w:tc>
        <w:tc>
          <w:tcPr>
            <w:tcW w:w="1232" w:type="dxa"/>
            <w:gridSpan w:val="2"/>
            <w:tcBorders>
              <w:top w:val="single" w:color="auto" w:sz="4" w:space="0"/>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专业</w:t>
            </w:r>
          </w:p>
        </w:tc>
        <w:tc>
          <w:tcPr>
            <w:tcW w:w="4937" w:type="dxa"/>
            <w:gridSpan w:val="5"/>
            <w:tcBorders>
              <w:top w:val="single" w:color="auto" w:sz="4" w:space="0"/>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28" w:type="dxa"/>
            <w:gridSpan w:val="4"/>
            <w:vMerge w:val="continue"/>
            <w:tcBorders>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1232" w:type="dxa"/>
            <w:gridSpan w:val="2"/>
            <w:tcBorders>
              <w:top w:val="single" w:color="auto" w:sz="4" w:space="0"/>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等级</w:t>
            </w:r>
          </w:p>
        </w:tc>
        <w:tc>
          <w:tcPr>
            <w:tcW w:w="4937" w:type="dxa"/>
            <w:gridSpan w:val="5"/>
            <w:tcBorders>
              <w:top w:val="single" w:color="auto" w:sz="4" w:space="0"/>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28" w:type="dxa"/>
            <w:gridSpan w:val="4"/>
            <w:vMerge w:val="continue"/>
            <w:tcBorders>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1232" w:type="dxa"/>
            <w:gridSpan w:val="2"/>
            <w:tcBorders>
              <w:top w:val="single" w:color="auto" w:sz="4" w:space="0"/>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证书编号</w:t>
            </w:r>
          </w:p>
        </w:tc>
        <w:tc>
          <w:tcPr>
            <w:tcW w:w="4937" w:type="dxa"/>
            <w:gridSpan w:val="5"/>
            <w:tcBorders>
              <w:top w:val="single" w:color="auto" w:sz="4" w:space="0"/>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28" w:type="dxa"/>
            <w:gridSpan w:val="4"/>
            <w:tcBorders>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安全生产考核合格证</w:t>
            </w:r>
          </w:p>
        </w:tc>
        <w:tc>
          <w:tcPr>
            <w:tcW w:w="1232" w:type="dxa"/>
            <w:gridSpan w:val="2"/>
            <w:tcBorders>
              <w:top w:val="single" w:color="auto" w:sz="4" w:space="0"/>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证书编号</w:t>
            </w:r>
          </w:p>
        </w:tc>
        <w:tc>
          <w:tcPr>
            <w:tcW w:w="4937" w:type="dxa"/>
            <w:gridSpan w:val="5"/>
            <w:tcBorders>
              <w:top w:val="single" w:color="auto" w:sz="4" w:space="0"/>
              <w:left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504" w:type="dxa"/>
            <w:gridSpan w:val="3"/>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毕业院校</w:t>
            </w:r>
          </w:p>
        </w:tc>
        <w:tc>
          <w:tcPr>
            <w:tcW w:w="6993" w:type="dxa"/>
            <w:gridSpan w:val="8"/>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 xml:space="preserve">月毕业于 </w:t>
            </w:r>
            <w:r>
              <w:rPr>
                <w:rFonts w:hint="eastAsia" w:ascii="宋体" w:hAnsi="宋体" w:cs="宋体"/>
                <w:sz w:val="24"/>
                <w:u w:val="single"/>
              </w:rPr>
              <w:t xml:space="preserve">     </w:t>
            </w:r>
            <w:r>
              <w:rPr>
                <w:rFonts w:hint="eastAsia" w:ascii="宋体" w:hAnsi="宋体" w:cs="宋体"/>
                <w:sz w:val="24"/>
              </w:rPr>
              <w:t>学校</w:t>
            </w:r>
            <w:r>
              <w:rPr>
                <w:rFonts w:hint="eastAsia" w:ascii="宋体" w:hAnsi="宋体" w:cs="宋体"/>
                <w:sz w:val="24"/>
                <w:u w:val="single"/>
              </w:rPr>
              <w:t xml:space="preserve">   </w:t>
            </w:r>
            <w:r>
              <w:rPr>
                <w:rFonts w:hint="eastAsia" w:ascii="宋体" w:hAnsi="宋体" w:cs="宋体"/>
                <w:sz w:val="24"/>
              </w:rPr>
              <w:t xml:space="preserve">专业，学制 </w:t>
            </w:r>
            <w:r>
              <w:rPr>
                <w:rFonts w:hint="eastAsia" w:ascii="宋体" w:hAnsi="宋体" w:cs="宋体"/>
                <w:sz w:val="24"/>
                <w:u w:val="single"/>
              </w:rPr>
              <w:t xml:space="preserve">    </w:t>
            </w:r>
            <w:r>
              <w:rPr>
                <w:rFonts w:hint="eastAsia" w:ascii="宋体" w:hAnsi="宋体"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504" w:type="dxa"/>
            <w:gridSpan w:val="3"/>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参加工作时间</w:t>
            </w:r>
          </w:p>
        </w:tc>
        <w:tc>
          <w:tcPr>
            <w:tcW w:w="2056" w:type="dxa"/>
            <w:gridSpan w:val="3"/>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3165" w:type="dxa"/>
            <w:gridSpan w:val="4"/>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从事本专业工作时间</w:t>
            </w:r>
          </w:p>
        </w:tc>
        <w:tc>
          <w:tcPr>
            <w:tcW w:w="177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497" w:type="dxa"/>
            <w:gridSpan w:val="11"/>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22"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年～年</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参加过施工的工程项目名称</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建设规模</w:t>
            </w:r>
          </w:p>
        </w:tc>
        <w:tc>
          <w:tcPr>
            <w:tcW w:w="2127"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担任何职</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22"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979" w:type="dxa"/>
            <w:gridSpan w:val="3"/>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825"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2127"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844"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22"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979" w:type="dxa"/>
            <w:gridSpan w:val="3"/>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825"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2127"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844"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722"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979" w:type="dxa"/>
            <w:gridSpan w:val="3"/>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825"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2127"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844"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22"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979" w:type="dxa"/>
            <w:gridSpan w:val="3"/>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825"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2127"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844"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22"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979" w:type="dxa"/>
            <w:gridSpan w:val="3"/>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825"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2127"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1844" w:type="dxa"/>
            <w:gridSpan w:val="2"/>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r>
    </w:tbl>
    <w:p>
      <w:pPr>
        <w:pStyle w:val="12"/>
        <w:tabs>
          <w:tab w:val="left" w:pos="360"/>
          <w:tab w:val="left" w:pos="1800"/>
        </w:tabs>
        <w:spacing w:line="360" w:lineRule="auto"/>
        <w:ind w:left="0" w:leftChars="0"/>
        <w:rPr>
          <w:rFonts w:ascii="宋体" w:hAnsi="宋体" w:cs="宋体"/>
          <w:sz w:val="24"/>
        </w:rPr>
      </w:pPr>
      <w:r>
        <w:rPr>
          <w:rFonts w:hint="eastAsia" w:ascii="宋体" w:hAnsi="宋体" w:eastAsia="宋体" w:cs="宋体"/>
          <w:b/>
        </w:rPr>
        <w:t>说明：项目负责人提供建造师注册证书复印件、安全生产考核合格证书复印件附于本表后，作为本表的附件。</w:t>
      </w:r>
    </w:p>
    <w:p>
      <w:pPr>
        <w:tabs>
          <w:tab w:val="left" w:pos="360"/>
          <w:tab w:val="left" w:pos="1800"/>
        </w:tabs>
        <w:spacing w:line="360" w:lineRule="auto"/>
        <w:ind w:right="960"/>
        <w:rPr>
          <w:rFonts w:ascii="宋体" w:hAnsi="宋体" w:cs="宋体"/>
          <w:sz w:val="24"/>
        </w:rPr>
      </w:pPr>
      <w:r>
        <w:rPr>
          <w:rFonts w:hint="eastAsia" w:ascii="宋体" w:hAnsi="宋体" w:cs="宋体"/>
          <w:sz w:val="24"/>
        </w:rPr>
        <w:t>投标人：（盖章）</w:t>
      </w:r>
    </w:p>
    <w:p>
      <w:pPr>
        <w:tabs>
          <w:tab w:val="left" w:pos="360"/>
          <w:tab w:val="left" w:pos="1800"/>
        </w:tabs>
        <w:spacing w:line="360" w:lineRule="auto"/>
        <w:ind w:right="960"/>
        <w:rPr>
          <w:rFonts w:ascii="宋体" w:hAnsi="宋体" w:cs="宋体"/>
          <w:sz w:val="24"/>
        </w:rPr>
      </w:pPr>
      <w:r>
        <w:rPr>
          <w:rFonts w:hint="eastAsia" w:ascii="宋体" w:hAnsi="宋体" w:cs="宋体"/>
          <w:sz w:val="24"/>
        </w:rPr>
        <w:t>法定代表人或委托代理人：（签字或盖章）</w:t>
      </w:r>
    </w:p>
    <w:p>
      <w:pPr>
        <w:rPr>
          <w:rFonts w:ascii="宋体" w:hAnsi="宋体" w:cs="宋体"/>
          <w:color w:val="000000"/>
          <w:sz w:val="24"/>
        </w:rPr>
      </w:pPr>
      <w:r>
        <w:rPr>
          <w:rFonts w:hint="eastAsia" w:ascii="宋体" w:hAnsi="宋体" w:cs="宋体"/>
          <w:bCs/>
          <w:sz w:val="24"/>
        </w:rPr>
        <w:t>日期：  年  月  日</w:t>
      </w:r>
    </w:p>
    <w:p>
      <w:pPr>
        <w:pStyle w:val="2"/>
        <w:jc w:val="center"/>
        <w:rPr>
          <w:rFonts w:ascii="宋体" w:hAnsi="宋体" w:cs="宋体"/>
          <w:b/>
          <w:sz w:val="28"/>
          <w:szCs w:val="28"/>
        </w:rPr>
      </w:pPr>
    </w:p>
    <w:p>
      <w:pPr>
        <w:tabs>
          <w:tab w:val="left" w:pos="360"/>
          <w:tab w:val="left" w:pos="1800"/>
        </w:tabs>
        <w:spacing w:line="360" w:lineRule="auto"/>
        <w:jc w:val="center"/>
        <w:rPr>
          <w:rFonts w:ascii="宋体" w:hAnsi="宋体" w:cs="宋体"/>
          <w:b/>
          <w:bCs/>
          <w:sz w:val="30"/>
          <w:szCs w:val="30"/>
        </w:rPr>
      </w:pPr>
      <w:r>
        <w:rPr>
          <w:rFonts w:hint="eastAsia" w:ascii="宋体" w:hAnsi="宋体" w:cs="宋体"/>
          <w:b/>
          <w:sz w:val="28"/>
          <w:szCs w:val="28"/>
        </w:rPr>
        <w:t>10、主要施工管理人员表</w:t>
      </w:r>
    </w:p>
    <w:tbl>
      <w:tblPr>
        <w:tblStyle w:val="24"/>
        <w:tblpPr w:leftFromText="180" w:rightFromText="180" w:vertAnchor="text" w:horzAnchor="margin" w:tblpXSpec="center" w:tblpY="146"/>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名    称</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姓名</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职务</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职称</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证书</w:t>
            </w: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现场</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1、项目负责人</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2、项目技术负责人</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3、施工员</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4、劳务员</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5、质检员</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6、安全员</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7、材料员</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8、机械员</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sz w:val="24"/>
              </w:rPr>
            </w:pPr>
            <w:r>
              <w:rPr>
                <w:rFonts w:hint="eastAsia" w:ascii="宋体" w:hAnsi="宋体" w:cs="宋体"/>
                <w:sz w:val="24"/>
              </w:rPr>
              <w:t>9、资料员</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360" w:lineRule="auto"/>
              <w:jc w:val="center"/>
              <w:rPr>
                <w:rFonts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c>
          <w:tcPr>
            <w:tcW w:w="419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360" w:lineRule="auto"/>
              <w:rPr>
                <w:rFonts w:ascii="宋体" w:hAnsi="宋体" w:cs="宋体"/>
                <w:b/>
                <w:sz w:val="24"/>
              </w:rPr>
            </w:pPr>
            <w:r>
              <w:rPr>
                <w:rFonts w:hint="eastAsia" w:ascii="宋体" w:hAnsi="宋体" w:cs="宋体"/>
                <w:b/>
                <w:sz w:val="24"/>
              </w:rPr>
              <w:t>注：1、须提供上述管理人员岗位证书复印件，技术负责人提供职称证书复印件，安全员提供安全生产考核合格证书复印件。</w:t>
            </w:r>
          </w:p>
          <w:p>
            <w:pPr>
              <w:numPr>
                <w:ilvl w:val="0"/>
                <w:numId w:val="7"/>
              </w:numPr>
              <w:tabs>
                <w:tab w:val="left" w:pos="360"/>
                <w:tab w:val="left" w:pos="1800"/>
              </w:tabs>
              <w:spacing w:line="360" w:lineRule="auto"/>
              <w:ind w:firstLine="482" w:firstLineChars="200"/>
              <w:rPr>
                <w:rFonts w:ascii="宋体" w:hAnsi="宋体" w:cs="宋体"/>
                <w:b/>
                <w:bCs/>
                <w:sz w:val="24"/>
              </w:rPr>
            </w:pPr>
            <w:r>
              <w:rPr>
                <w:rFonts w:hint="eastAsia" w:ascii="宋体" w:hAnsi="宋体" w:cs="宋体"/>
                <w:b/>
                <w:bCs/>
                <w:sz w:val="24"/>
              </w:rPr>
              <w:t>本工程安全员配置不少于1人。</w:t>
            </w:r>
          </w:p>
        </w:tc>
      </w:tr>
    </w:tbl>
    <w:p>
      <w:pPr>
        <w:tabs>
          <w:tab w:val="left" w:pos="360"/>
          <w:tab w:val="left" w:pos="1800"/>
        </w:tabs>
        <w:spacing w:line="360" w:lineRule="auto"/>
        <w:ind w:right="960"/>
        <w:rPr>
          <w:rFonts w:ascii="宋体" w:hAnsi="宋体" w:cs="宋体"/>
          <w:sz w:val="24"/>
        </w:rPr>
      </w:pPr>
      <w:r>
        <w:rPr>
          <w:rFonts w:hint="eastAsia" w:ascii="宋体" w:hAnsi="宋体" w:cs="宋体"/>
          <w:sz w:val="24"/>
        </w:rPr>
        <w:t>投标人：（盖章）</w:t>
      </w:r>
    </w:p>
    <w:p>
      <w:pPr>
        <w:tabs>
          <w:tab w:val="left" w:pos="360"/>
          <w:tab w:val="left" w:pos="1800"/>
        </w:tabs>
        <w:spacing w:line="360" w:lineRule="auto"/>
        <w:ind w:right="960"/>
        <w:rPr>
          <w:rFonts w:ascii="宋体" w:hAnsi="宋体" w:cs="宋体"/>
          <w:sz w:val="24"/>
        </w:rPr>
      </w:pPr>
      <w:r>
        <w:rPr>
          <w:rFonts w:hint="eastAsia" w:ascii="宋体" w:hAnsi="宋体" w:cs="宋体"/>
          <w:sz w:val="24"/>
        </w:rPr>
        <w:t>法定代表人或委托代理人：（签字或盖章）</w:t>
      </w:r>
    </w:p>
    <w:p>
      <w:pPr>
        <w:tabs>
          <w:tab w:val="left" w:pos="360"/>
          <w:tab w:val="left" w:pos="1800"/>
        </w:tabs>
        <w:spacing w:line="360" w:lineRule="auto"/>
        <w:ind w:left="1980" w:leftChars="943" w:firstLine="3960" w:firstLineChars="1650"/>
        <w:rPr>
          <w:rFonts w:ascii="宋体" w:hAnsi="宋体" w:cs="宋体"/>
          <w:sz w:val="24"/>
        </w:rPr>
      </w:pPr>
      <w:r>
        <w:rPr>
          <w:rFonts w:hint="eastAsia" w:ascii="宋体" w:hAnsi="宋体" w:cs="宋体"/>
          <w:sz w:val="24"/>
        </w:rPr>
        <w:t>日期：     年   月   日</w:t>
      </w:r>
    </w:p>
    <w:p>
      <w:pPr>
        <w:pStyle w:val="2"/>
        <w:jc w:val="center"/>
        <w:rPr>
          <w:rFonts w:ascii="宋体" w:hAnsi="宋体" w:cs="宋体"/>
          <w:b/>
          <w:bCs/>
          <w:sz w:val="30"/>
          <w:szCs w:val="30"/>
        </w:rPr>
      </w:pPr>
    </w:p>
    <w:p>
      <w:pPr>
        <w:tabs>
          <w:tab w:val="left" w:pos="360"/>
          <w:tab w:val="left" w:pos="1800"/>
        </w:tabs>
        <w:jc w:val="center"/>
        <w:rPr>
          <w:rFonts w:ascii="宋体" w:hAnsi="宋体" w:cs="宋体"/>
          <w:b/>
          <w:bCs/>
          <w:sz w:val="30"/>
          <w:szCs w:val="30"/>
        </w:rPr>
      </w:pPr>
      <w:r>
        <w:rPr>
          <w:rFonts w:hint="eastAsia" w:ascii="宋体" w:hAnsi="宋体" w:cs="宋体"/>
          <w:b/>
          <w:bCs/>
          <w:sz w:val="30"/>
          <w:szCs w:val="30"/>
        </w:rPr>
        <w:t>11、</w:t>
      </w:r>
      <w:r>
        <w:rPr>
          <w:rFonts w:hint="eastAsia" w:ascii="宋体" w:hAnsi="宋体" w:cs="宋体"/>
          <w:b/>
          <w:sz w:val="28"/>
          <w:szCs w:val="28"/>
        </w:rPr>
        <w:t>拟投入本项目的主要机械、设备表</w:t>
      </w:r>
    </w:p>
    <w:p>
      <w:pPr>
        <w:tabs>
          <w:tab w:val="left" w:pos="360"/>
          <w:tab w:val="left" w:pos="1800"/>
        </w:tabs>
        <w:jc w:val="center"/>
        <w:rPr>
          <w:rFonts w:ascii="仿宋" w:hAnsi="仿宋" w:eastAsia="仿宋" w:cs="仿宋"/>
          <w:color w:val="000000"/>
          <w:sz w:val="24"/>
        </w:rPr>
      </w:pPr>
    </w:p>
    <w:tbl>
      <w:tblPr>
        <w:tblStyle w:val="24"/>
        <w:tblW w:w="9052"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819"/>
        <w:gridCol w:w="823"/>
        <w:gridCol w:w="822"/>
        <w:gridCol w:w="822"/>
        <w:gridCol w:w="704"/>
        <w:gridCol w:w="704"/>
        <w:gridCol w:w="704"/>
        <w:gridCol w:w="708"/>
        <w:gridCol w:w="570"/>
        <w:gridCol w:w="89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trPr>
        <w:tc>
          <w:tcPr>
            <w:tcW w:w="586" w:type="dxa"/>
            <w:vMerge w:val="restart"/>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序号</w:t>
            </w:r>
          </w:p>
        </w:tc>
        <w:tc>
          <w:tcPr>
            <w:tcW w:w="819" w:type="dxa"/>
            <w:vMerge w:val="restart"/>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设备名称</w:t>
            </w:r>
          </w:p>
        </w:tc>
        <w:tc>
          <w:tcPr>
            <w:tcW w:w="823" w:type="dxa"/>
            <w:vMerge w:val="restart"/>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规格型号</w:t>
            </w:r>
          </w:p>
        </w:tc>
        <w:tc>
          <w:tcPr>
            <w:tcW w:w="822" w:type="dxa"/>
            <w:vMerge w:val="restart"/>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产地</w:t>
            </w:r>
          </w:p>
        </w:tc>
        <w:tc>
          <w:tcPr>
            <w:tcW w:w="822" w:type="dxa"/>
            <w:vMerge w:val="restart"/>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出厂时间</w:t>
            </w:r>
          </w:p>
        </w:tc>
        <w:tc>
          <w:tcPr>
            <w:tcW w:w="3390" w:type="dxa"/>
            <w:gridSpan w:val="5"/>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数量（台/套）</w:t>
            </w:r>
          </w:p>
        </w:tc>
        <w:tc>
          <w:tcPr>
            <w:tcW w:w="898" w:type="dxa"/>
            <w:vMerge w:val="restart"/>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现状</w:t>
            </w:r>
          </w:p>
        </w:tc>
        <w:tc>
          <w:tcPr>
            <w:tcW w:w="892" w:type="dxa"/>
            <w:vMerge w:val="restart"/>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86" w:type="dxa"/>
            <w:vMerge w:val="continue"/>
            <w:vAlign w:val="center"/>
          </w:tcPr>
          <w:p>
            <w:pPr>
              <w:tabs>
                <w:tab w:val="left" w:pos="360"/>
                <w:tab w:val="left" w:pos="1800"/>
              </w:tabs>
              <w:spacing w:line="360" w:lineRule="auto"/>
              <w:jc w:val="center"/>
              <w:rPr>
                <w:rFonts w:ascii="宋体" w:hAnsi="宋体" w:cs="宋体"/>
                <w:sz w:val="24"/>
              </w:rPr>
            </w:pPr>
          </w:p>
        </w:tc>
        <w:tc>
          <w:tcPr>
            <w:tcW w:w="819" w:type="dxa"/>
            <w:vMerge w:val="continue"/>
            <w:vAlign w:val="center"/>
          </w:tcPr>
          <w:p>
            <w:pPr>
              <w:tabs>
                <w:tab w:val="left" w:pos="360"/>
                <w:tab w:val="left" w:pos="1800"/>
              </w:tabs>
              <w:spacing w:line="360" w:lineRule="auto"/>
              <w:jc w:val="center"/>
              <w:rPr>
                <w:rFonts w:ascii="宋体" w:hAnsi="宋体" w:cs="宋体"/>
                <w:sz w:val="24"/>
              </w:rPr>
            </w:pPr>
          </w:p>
        </w:tc>
        <w:tc>
          <w:tcPr>
            <w:tcW w:w="823" w:type="dxa"/>
            <w:vMerge w:val="continue"/>
            <w:vAlign w:val="center"/>
          </w:tcPr>
          <w:p>
            <w:pPr>
              <w:tabs>
                <w:tab w:val="left" w:pos="360"/>
                <w:tab w:val="left" w:pos="1800"/>
              </w:tabs>
              <w:spacing w:line="360" w:lineRule="auto"/>
              <w:jc w:val="center"/>
              <w:rPr>
                <w:rFonts w:ascii="宋体" w:hAnsi="宋体" w:cs="宋体"/>
                <w:sz w:val="24"/>
              </w:rPr>
            </w:pPr>
          </w:p>
        </w:tc>
        <w:tc>
          <w:tcPr>
            <w:tcW w:w="822" w:type="dxa"/>
            <w:vMerge w:val="continue"/>
          </w:tcPr>
          <w:p>
            <w:pPr>
              <w:tabs>
                <w:tab w:val="left" w:pos="360"/>
                <w:tab w:val="left" w:pos="1800"/>
              </w:tabs>
              <w:spacing w:line="360" w:lineRule="auto"/>
              <w:jc w:val="center"/>
              <w:rPr>
                <w:rFonts w:ascii="宋体" w:hAnsi="宋体" w:cs="宋体"/>
                <w:sz w:val="24"/>
              </w:rPr>
            </w:pPr>
          </w:p>
        </w:tc>
        <w:tc>
          <w:tcPr>
            <w:tcW w:w="822" w:type="dxa"/>
            <w:vMerge w:val="continue"/>
          </w:tcPr>
          <w:p>
            <w:pPr>
              <w:tabs>
                <w:tab w:val="left" w:pos="360"/>
                <w:tab w:val="left" w:pos="1800"/>
              </w:tabs>
              <w:spacing w:line="360" w:lineRule="auto"/>
              <w:jc w:val="center"/>
              <w:rPr>
                <w:rFonts w:ascii="宋体" w:hAnsi="宋体" w:cs="宋体"/>
                <w:sz w:val="24"/>
              </w:rPr>
            </w:pPr>
          </w:p>
        </w:tc>
        <w:tc>
          <w:tcPr>
            <w:tcW w:w="2820" w:type="dxa"/>
            <w:gridSpan w:val="4"/>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其中</w:t>
            </w:r>
          </w:p>
        </w:tc>
        <w:tc>
          <w:tcPr>
            <w:tcW w:w="570" w:type="dxa"/>
            <w:vMerge w:val="restart"/>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小计</w:t>
            </w:r>
          </w:p>
        </w:tc>
        <w:tc>
          <w:tcPr>
            <w:tcW w:w="898" w:type="dxa"/>
            <w:vMerge w:val="continue"/>
          </w:tcPr>
          <w:p>
            <w:pPr>
              <w:tabs>
                <w:tab w:val="left" w:pos="360"/>
                <w:tab w:val="left" w:pos="1800"/>
              </w:tabs>
              <w:spacing w:line="360" w:lineRule="auto"/>
              <w:jc w:val="center"/>
              <w:rPr>
                <w:rFonts w:ascii="宋体" w:hAnsi="宋体" w:cs="宋体"/>
                <w:sz w:val="24"/>
              </w:rPr>
            </w:pPr>
          </w:p>
        </w:tc>
        <w:tc>
          <w:tcPr>
            <w:tcW w:w="892" w:type="dxa"/>
            <w:vMerge w:val="continue"/>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exact"/>
        </w:trPr>
        <w:tc>
          <w:tcPr>
            <w:tcW w:w="586" w:type="dxa"/>
            <w:vMerge w:val="continue"/>
            <w:vAlign w:val="center"/>
          </w:tcPr>
          <w:p>
            <w:pPr>
              <w:tabs>
                <w:tab w:val="left" w:pos="360"/>
                <w:tab w:val="left" w:pos="1800"/>
              </w:tabs>
              <w:spacing w:line="360" w:lineRule="auto"/>
              <w:jc w:val="center"/>
              <w:rPr>
                <w:rFonts w:ascii="宋体" w:hAnsi="宋体" w:cs="宋体"/>
                <w:sz w:val="24"/>
              </w:rPr>
            </w:pPr>
          </w:p>
        </w:tc>
        <w:tc>
          <w:tcPr>
            <w:tcW w:w="819" w:type="dxa"/>
            <w:vMerge w:val="continue"/>
            <w:vAlign w:val="center"/>
          </w:tcPr>
          <w:p>
            <w:pPr>
              <w:tabs>
                <w:tab w:val="left" w:pos="360"/>
                <w:tab w:val="left" w:pos="1800"/>
              </w:tabs>
              <w:spacing w:line="360" w:lineRule="auto"/>
              <w:jc w:val="center"/>
              <w:rPr>
                <w:rFonts w:ascii="宋体" w:hAnsi="宋体" w:cs="宋体"/>
                <w:sz w:val="24"/>
              </w:rPr>
            </w:pPr>
          </w:p>
        </w:tc>
        <w:tc>
          <w:tcPr>
            <w:tcW w:w="823" w:type="dxa"/>
            <w:vMerge w:val="continue"/>
            <w:vAlign w:val="center"/>
          </w:tcPr>
          <w:p>
            <w:pPr>
              <w:tabs>
                <w:tab w:val="left" w:pos="360"/>
                <w:tab w:val="left" w:pos="1800"/>
              </w:tabs>
              <w:spacing w:line="360" w:lineRule="auto"/>
              <w:jc w:val="center"/>
              <w:rPr>
                <w:rFonts w:ascii="宋体" w:hAnsi="宋体" w:cs="宋体"/>
                <w:sz w:val="24"/>
              </w:rPr>
            </w:pPr>
          </w:p>
        </w:tc>
        <w:tc>
          <w:tcPr>
            <w:tcW w:w="822" w:type="dxa"/>
            <w:vMerge w:val="continue"/>
          </w:tcPr>
          <w:p>
            <w:pPr>
              <w:tabs>
                <w:tab w:val="left" w:pos="360"/>
                <w:tab w:val="left" w:pos="1800"/>
              </w:tabs>
              <w:spacing w:line="360" w:lineRule="auto"/>
              <w:jc w:val="center"/>
              <w:rPr>
                <w:rFonts w:ascii="宋体" w:hAnsi="宋体" w:cs="宋体"/>
                <w:sz w:val="24"/>
              </w:rPr>
            </w:pPr>
          </w:p>
        </w:tc>
        <w:tc>
          <w:tcPr>
            <w:tcW w:w="822" w:type="dxa"/>
            <w:vMerge w:val="continue"/>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自有</w:t>
            </w:r>
          </w:p>
        </w:tc>
        <w:tc>
          <w:tcPr>
            <w:tcW w:w="704" w:type="dxa"/>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租赁</w:t>
            </w:r>
          </w:p>
        </w:tc>
        <w:tc>
          <w:tcPr>
            <w:tcW w:w="704" w:type="dxa"/>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新购</w:t>
            </w:r>
          </w:p>
        </w:tc>
        <w:tc>
          <w:tcPr>
            <w:tcW w:w="708" w:type="dxa"/>
            <w:vAlign w:val="center"/>
          </w:tcPr>
          <w:p>
            <w:pPr>
              <w:tabs>
                <w:tab w:val="left" w:pos="360"/>
                <w:tab w:val="left" w:pos="1800"/>
              </w:tabs>
              <w:spacing w:line="360" w:lineRule="auto"/>
              <w:jc w:val="center"/>
              <w:rPr>
                <w:rFonts w:ascii="宋体" w:hAnsi="宋体" w:cs="宋体"/>
                <w:sz w:val="24"/>
              </w:rPr>
            </w:pPr>
            <w:r>
              <w:rPr>
                <w:rFonts w:hint="eastAsia" w:ascii="宋体" w:hAnsi="宋体" w:cs="宋体"/>
                <w:sz w:val="24"/>
              </w:rPr>
              <w:t>特别</w:t>
            </w:r>
          </w:p>
          <w:p>
            <w:pPr>
              <w:tabs>
                <w:tab w:val="left" w:pos="360"/>
                <w:tab w:val="left" w:pos="1800"/>
              </w:tabs>
              <w:spacing w:line="360" w:lineRule="auto"/>
              <w:jc w:val="center"/>
              <w:rPr>
                <w:rFonts w:ascii="宋体" w:hAnsi="宋体" w:cs="宋体"/>
                <w:sz w:val="24"/>
              </w:rPr>
            </w:pPr>
            <w:r>
              <w:rPr>
                <w:rFonts w:hint="eastAsia" w:ascii="宋体" w:hAnsi="宋体" w:cs="宋体"/>
                <w:sz w:val="24"/>
              </w:rPr>
              <w:t>制造</w:t>
            </w:r>
          </w:p>
        </w:tc>
        <w:tc>
          <w:tcPr>
            <w:tcW w:w="570" w:type="dxa"/>
            <w:vMerge w:val="continue"/>
            <w:vAlign w:val="center"/>
          </w:tcPr>
          <w:p>
            <w:pPr>
              <w:tabs>
                <w:tab w:val="left" w:pos="360"/>
                <w:tab w:val="left" w:pos="1800"/>
              </w:tabs>
              <w:spacing w:line="360" w:lineRule="auto"/>
              <w:jc w:val="center"/>
              <w:rPr>
                <w:rFonts w:ascii="宋体" w:hAnsi="宋体" w:cs="宋体"/>
                <w:sz w:val="24"/>
              </w:rPr>
            </w:pPr>
          </w:p>
        </w:tc>
        <w:tc>
          <w:tcPr>
            <w:tcW w:w="898" w:type="dxa"/>
            <w:vMerge w:val="continue"/>
            <w:vAlign w:val="center"/>
          </w:tcPr>
          <w:p>
            <w:pPr>
              <w:tabs>
                <w:tab w:val="left" w:pos="360"/>
                <w:tab w:val="left" w:pos="1800"/>
              </w:tabs>
              <w:spacing w:line="360" w:lineRule="auto"/>
              <w:jc w:val="center"/>
              <w:rPr>
                <w:rFonts w:ascii="宋体" w:hAnsi="宋体" w:cs="宋体"/>
                <w:sz w:val="24"/>
              </w:rPr>
            </w:pPr>
          </w:p>
        </w:tc>
        <w:tc>
          <w:tcPr>
            <w:tcW w:w="892" w:type="dxa"/>
            <w:vMerge w:val="continue"/>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86" w:type="dxa"/>
            <w:vAlign w:val="center"/>
          </w:tcPr>
          <w:p>
            <w:pPr>
              <w:tabs>
                <w:tab w:val="left" w:pos="360"/>
                <w:tab w:val="left" w:pos="1800"/>
              </w:tabs>
              <w:spacing w:line="360" w:lineRule="auto"/>
              <w:jc w:val="center"/>
              <w:rPr>
                <w:rFonts w:ascii="宋体" w:hAnsi="宋体" w:cs="宋体"/>
                <w:sz w:val="24"/>
              </w:rPr>
            </w:pPr>
          </w:p>
        </w:tc>
        <w:tc>
          <w:tcPr>
            <w:tcW w:w="819" w:type="dxa"/>
            <w:vAlign w:val="center"/>
          </w:tcPr>
          <w:p>
            <w:pPr>
              <w:tabs>
                <w:tab w:val="left" w:pos="360"/>
                <w:tab w:val="left" w:pos="1800"/>
              </w:tabs>
              <w:spacing w:line="360" w:lineRule="auto"/>
              <w:jc w:val="center"/>
              <w:rPr>
                <w:rFonts w:ascii="宋体" w:hAnsi="宋体" w:cs="宋体"/>
                <w:sz w:val="24"/>
              </w:rPr>
            </w:pPr>
          </w:p>
        </w:tc>
        <w:tc>
          <w:tcPr>
            <w:tcW w:w="823" w:type="dxa"/>
            <w:vAlign w:val="center"/>
          </w:tcPr>
          <w:p>
            <w:pPr>
              <w:tabs>
                <w:tab w:val="left" w:pos="360"/>
                <w:tab w:val="left" w:pos="1800"/>
              </w:tabs>
              <w:spacing w:line="360" w:lineRule="auto"/>
              <w:jc w:val="center"/>
              <w:rPr>
                <w:rFonts w:ascii="宋体" w:hAnsi="宋体" w:cs="宋体"/>
                <w:sz w:val="24"/>
              </w:rPr>
            </w:pPr>
          </w:p>
        </w:tc>
        <w:tc>
          <w:tcPr>
            <w:tcW w:w="822" w:type="dxa"/>
          </w:tcPr>
          <w:p>
            <w:pPr>
              <w:tabs>
                <w:tab w:val="left" w:pos="360"/>
                <w:tab w:val="left" w:pos="1800"/>
              </w:tabs>
              <w:spacing w:line="360" w:lineRule="auto"/>
              <w:jc w:val="center"/>
              <w:rPr>
                <w:rFonts w:ascii="宋体" w:hAnsi="宋体" w:cs="宋体"/>
                <w:sz w:val="24"/>
              </w:rPr>
            </w:pPr>
          </w:p>
        </w:tc>
        <w:tc>
          <w:tcPr>
            <w:tcW w:w="822"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8" w:type="dxa"/>
            <w:vAlign w:val="center"/>
          </w:tcPr>
          <w:p>
            <w:pPr>
              <w:tabs>
                <w:tab w:val="left" w:pos="360"/>
                <w:tab w:val="left" w:pos="1800"/>
              </w:tabs>
              <w:spacing w:line="360" w:lineRule="auto"/>
              <w:jc w:val="center"/>
              <w:rPr>
                <w:rFonts w:ascii="宋体" w:hAnsi="宋体" w:cs="宋体"/>
                <w:sz w:val="24"/>
              </w:rPr>
            </w:pPr>
          </w:p>
        </w:tc>
        <w:tc>
          <w:tcPr>
            <w:tcW w:w="570" w:type="dxa"/>
            <w:vAlign w:val="center"/>
          </w:tcPr>
          <w:p>
            <w:pPr>
              <w:tabs>
                <w:tab w:val="left" w:pos="360"/>
                <w:tab w:val="left" w:pos="1800"/>
              </w:tabs>
              <w:spacing w:line="360" w:lineRule="auto"/>
              <w:jc w:val="center"/>
              <w:rPr>
                <w:rFonts w:ascii="宋体" w:hAnsi="宋体" w:cs="宋体"/>
                <w:sz w:val="24"/>
              </w:rPr>
            </w:pPr>
          </w:p>
        </w:tc>
        <w:tc>
          <w:tcPr>
            <w:tcW w:w="898" w:type="dxa"/>
            <w:vAlign w:val="center"/>
          </w:tcPr>
          <w:p>
            <w:pPr>
              <w:tabs>
                <w:tab w:val="left" w:pos="360"/>
                <w:tab w:val="left" w:pos="1800"/>
              </w:tabs>
              <w:spacing w:line="360" w:lineRule="auto"/>
              <w:jc w:val="center"/>
              <w:rPr>
                <w:rFonts w:ascii="宋体" w:hAnsi="宋体" w:cs="宋体"/>
                <w:sz w:val="24"/>
              </w:rPr>
            </w:pPr>
          </w:p>
        </w:tc>
        <w:tc>
          <w:tcPr>
            <w:tcW w:w="892" w:type="dxa"/>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86" w:type="dxa"/>
            <w:vAlign w:val="center"/>
          </w:tcPr>
          <w:p>
            <w:pPr>
              <w:tabs>
                <w:tab w:val="left" w:pos="360"/>
                <w:tab w:val="left" w:pos="1800"/>
              </w:tabs>
              <w:spacing w:line="360" w:lineRule="auto"/>
              <w:jc w:val="center"/>
              <w:rPr>
                <w:rFonts w:ascii="宋体" w:hAnsi="宋体" w:cs="宋体"/>
                <w:sz w:val="24"/>
              </w:rPr>
            </w:pPr>
          </w:p>
        </w:tc>
        <w:tc>
          <w:tcPr>
            <w:tcW w:w="819" w:type="dxa"/>
            <w:vAlign w:val="center"/>
          </w:tcPr>
          <w:p>
            <w:pPr>
              <w:tabs>
                <w:tab w:val="left" w:pos="360"/>
                <w:tab w:val="left" w:pos="1800"/>
              </w:tabs>
              <w:spacing w:line="360" w:lineRule="auto"/>
              <w:jc w:val="center"/>
              <w:rPr>
                <w:rFonts w:ascii="宋体" w:hAnsi="宋体" w:cs="宋体"/>
                <w:sz w:val="24"/>
              </w:rPr>
            </w:pPr>
          </w:p>
        </w:tc>
        <w:tc>
          <w:tcPr>
            <w:tcW w:w="823" w:type="dxa"/>
            <w:vAlign w:val="center"/>
          </w:tcPr>
          <w:p>
            <w:pPr>
              <w:tabs>
                <w:tab w:val="left" w:pos="360"/>
                <w:tab w:val="left" w:pos="1800"/>
              </w:tabs>
              <w:spacing w:line="360" w:lineRule="auto"/>
              <w:jc w:val="center"/>
              <w:rPr>
                <w:rFonts w:ascii="宋体" w:hAnsi="宋体" w:cs="宋体"/>
                <w:sz w:val="24"/>
              </w:rPr>
            </w:pPr>
          </w:p>
        </w:tc>
        <w:tc>
          <w:tcPr>
            <w:tcW w:w="822" w:type="dxa"/>
          </w:tcPr>
          <w:p>
            <w:pPr>
              <w:tabs>
                <w:tab w:val="left" w:pos="360"/>
                <w:tab w:val="left" w:pos="1800"/>
              </w:tabs>
              <w:spacing w:line="360" w:lineRule="auto"/>
              <w:jc w:val="center"/>
              <w:rPr>
                <w:rFonts w:ascii="宋体" w:hAnsi="宋体" w:cs="宋体"/>
                <w:sz w:val="24"/>
              </w:rPr>
            </w:pPr>
          </w:p>
        </w:tc>
        <w:tc>
          <w:tcPr>
            <w:tcW w:w="822"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8" w:type="dxa"/>
            <w:vAlign w:val="center"/>
          </w:tcPr>
          <w:p>
            <w:pPr>
              <w:tabs>
                <w:tab w:val="left" w:pos="360"/>
                <w:tab w:val="left" w:pos="1800"/>
              </w:tabs>
              <w:spacing w:line="360" w:lineRule="auto"/>
              <w:jc w:val="center"/>
              <w:rPr>
                <w:rFonts w:ascii="宋体" w:hAnsi="宋体" w:cs="宋体"/>
                <w:sz w:val="24"/>
              </w:rPr>
            </w:pPr>
          </w:p>
        </w:tc>
        <w:tc>
          <w:tcPr>
            <w:tcW w:w="570" w:type="dxa"/>
            <w:vAlign w:val="center"/>
          </w:tcPr>
          <w:p>
            <w:pPr>
              <w:tabs>
                <w:tab w:val="left" w:pos="360"/>
                <w:tab w:val="left" w:pos="1800"/>
              </w:tabs>
              <w:spacing w:line="360" w:lineRule="auto"/>
              <w:jc w:val="center"/>
              <w:rPr>
                <w:rFonts w:ascii="宋体" w:hAnsi="宋体" w:cs="宋体"/>
                <w:sz w:val="24"/>
              </w:rPr>
            </w:pPr>
          </w:p>
        </w:tc>
        <w:tc>
          <w:tcPr>
            <w:tcW w:w="898" w:type="dxa"/>
            <w:vAlign w:val="center"/>
          </w:tcPr>
          <w:p>
            <w:pPr>
              <w:tabs>
                <w:tab w:val="left" w:pos="360"/>
                <w:tab w:val="left" w:pos="1800"/>
              </w:tabs>
              <w:spacing w:line="360" w:lineRule="auto"/>
              <w:jc w:val="center"/>
              <w:rPr>
                <w:rFonts w:ascii="宋体" w:hAnsi="宋体" w:cs="宋体"/>
                <w:sz w:val="24"/>
              </w:rPr>
            </w:pPr>
          </w:p>
        </w:tc>
        <w:tc>
          <w:tcPr>
            <w:tcW w:w="892" w:type="dxa"/>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86" w:type="dxa"/>
            <w:vAlign w:val="center"/>
          </w:tcPr>
          <w:p>
            <w:pPr>
              <w:tabs>
                <w:tab w:val="left" w:pos="360"/>
                <w:tab w:val="left" w:pos="1800"/>
              </w:tabs>
              <w:spacing w:line="360" w:lineRule="auto"/>
              <w:jc w:val="center"/>
              <w:rPr>
                <w:rFonts w:ascii="宋体" w:hAnsi="宋体" w:cs="宋体"/>
                <w:sz w:val="24"/>
              </w:rPr>
            </w:pPr>
          </w:p>
        </w:tc>
        <w:tc>
          <w:tcPr>
            <w:tcW w:w="819" w:type="dxa"/>
            <w:vAlign w:val="center"/>
          </w:tcPr>
          <w:p>
            <w:pPr>
              <w:tabs>
                <w:tab w:val="left" w:pos="360"/>
                <w:tab w:val="left" w:pos="1800"/>
              </w:tabs>
              <w:spacing w:line="360" w:lineRule="auto"/>
              <w:jc w:val="center"/>
              <w:rPr>
                <w:rFonts w:ascii="宋体" w:hAnsi="宋体" w:cs="宋体"/>
                <w:sz w:val="24"/>
              </w:rPr>
            </w:pPr>
          </w:p>
        </w:tc>
        <w:tc>
          <w:tcPr>
            <w:tcW w:w="823" w:type="dxa"/>
            <w:vAlign w:val="center"/>
          </w:tcPr>
          <w:p>
            <w:pPr>
              <w:tabs>
                <w:tab w:val="left" w:pos="360"/>
                <w:tab w:val="left" w:pos="1800"/>
              </w:tabs>
              <w:spacing w:line="360" w:lineRule="auto"/>
              <w:jc w:val="center"/>
              <w:rPr>
                <w:rFonts w:ascii="宋体" w:hAnsi="宋体" w:cs="宋体"/>
                <w:sz w:val="24"/>
              </w:rPr>
            </w:pPr>
          </w:p>
        </w:tc>
        <w:tc>
          <w:tcPr>
            <w:tcW w:w="822" w:type="dxa"/>
          </w:tcPr>
          <w:p>
            <w:pPr>
              <w:tabs>
                <w:tab w:val="left" w:pos="360"/>
                <w:tab w:val="left" w:pos="1800"/>
              </w:tabs>
              <w:spacing w:line="360" w:lineRule="auto"/>
              <w:jc w:val="center"/>
              <w:rPr>
                <w:rFonts w:ascii="宋体" w:hAnsi="宋体" w:cs="宋体"/>
                <w:sz w:val="24"/>
              </w:rPr>
            </w:pPr>
          </w:p>
        </w:tc>
        <w:tc>
          <w:tcPr>
            <w:tcW w:w="822"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8" w:type="dxa"/>
            <w:vAlign w:val="center"/>
          </w:tcPr>
          <w:p>
            <w:pPr>
              <w:tabs>
                <w:tab w:val="left" w:pos="360"/>
                <w:tab w:val="left" w:pos="1800"/>
              </w:tabs>
              <w:spacing w:line="360" w:lineRule="auto"/>
              <w:jc w:val="center"/>
              <w:rPr>
                <w:rFonts w:ascii="宋体" w:hAnsi="宋体" w:cs="宋体"/>
                <w:sz w:val="24"/>
              </w:rPr>
            </w:pPr>
          </w:p>
        </w:tc>
        <w:tc>
          <w:tcPr>
            <w:tcW w:w="570" w:type="dxa"/>
            <w:vAlign w:val="center"/>
          </w:tcPr>
          <w:p>
            <w:pPr>
              <w:tabs>
                <w:tab w:val="left" w:pos="360"/>
                <w:tab w:val="left" w:pos="1800"/>
              </w:tabs>
              <w:spacing w:line="360" w:lineRule="auto"/>
              <w:jc w:val="center"/>
              <w:rPr>
                <w:rFonts w:ascii="宋体" w:hAnsi="宋体" w:cs="宋体"/>
                <w:sz w:val="24"/>
              </w:rPr>
            </w:pPr>
          </w:p>
        </w:tc>
        <w:tc>
          <w:tcPr>
            <w:tcW w:w="898" w:type="dxa"/>
            <w:vAlign w:val="center"/>
          </w:tcPr>
          <w:p>
            <w:pPr>
              <w:tabs>
                <w:tab w:val="left" w:pos="360"/>
                <w:tab w:val="left" w:pos="1800"/>
              </w:tabs>
              <w:spacing w:line="360" w:lineRule="auto"/>
              <w:jc w:val="center"/>
              <w:rPr>
                <w:rFonts w:ascii="宋体" w:hAnsi="宋体" w:cs="宋体"/>
                <w:sz w:val="24"/>
              </w:rPr>
            </w:pPr>
          </w:p>
        </w:tc>
        <w:tc>
          <w:tcPr>
            <w:tcW w:w="892" w:type="dxa"/>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586" w:type="dxa"/>
            <w:vAlign w:val="center"/>
          </w:tcPr>
          <w:p>
            <w:pPr>
              <w:tabs>
                <w:tab w:val="left" w:pos="360"/>
                <w:tab w:val="left" w:pos="1800"/>
              </w:tabs>
              <w:spacing w:line="360" w:lineRule="auto"/>
              <w:jc w:val="center"/>
              <w:rPr>
                <w:rFonts w:ascii="宋体" w:hAnsi="宋体" w:cs="宋体"/>
                <w:sz w:val="24"/>
              </w:rPr>
            </w:pPr>
          </w:p>
        </w:tc>
        <w:tc>
          <w:tcPr>
            <w:tcW w:w="819" w:type="dxa"/>
            <w:vAlign w:val="center"/>
          </w:tcPr>
          <w:p>
            <w:pPr>
              <w:tabs>
                <w:tab w:val="left" w:pos="360"/>
                <w:tab w:val="left" w:pos="1800"/>
              </w:tabs>
              <w:spacing w:line="360" w:lineRule="auto"/>
              <w:jc w:val="center"/>
              <w:rPr>
                <w:rFonts w:ascii="宋体" w:hAnsi="宋体" w:cs="宋体"/>
                <w:sz w:val="24"/>
              </w:rPr>
            </w:pPr>
          </w:p>
        </w:tc>
        <w:tc>
          <w:tcPr>
            <w:tcW w:w="823" w:type="dxa"/>
            <w:vAlign w:val="center"/>
          </w:tcPr>
          <w:p>
            <w:pPr>
              <w:tabs>
                <w:tab w:val="left" w:pos="360"/>
                <w:tab w:val="left" w:pos="1800"/>
              </w:tabs>
              <w:spacing w:line="360" w:lineRule="auto"/>
              <w:jc w:val="center"/>
              <w:rPr>
                <w:rFonts w:ascii="宋体" w:hAnsi="宋体" w:cs="宋体"/>
                <w:sz w:val="24"/>
              </w:rPr>
            </w:pPr>
          </w:p>
        </w:tc>
        <w:tc>
          <w:tcPr>
            <w:tcW w:w="822" w:type="dxa"/>
          </w:tcPr>
          <w:p>
            <w:pPr>
              <w:tabs>
                <w:tab w:val="left" w:pos="360"/>
                <w:tab w:val="left" w:pos="1800"/>
              </w:tabs>
              <w:spacing w:line="360" w:lineRule="auto"/>
              <w:jc w:val="center"/>
              <w:rPr>
                <w:rFonts w:ascii="宋体" w:hAnsi="宋体" w:cs="宋体"/>
                <w:sz w:val="24"/>
              </w:rPr>
            </w:pPr>
          </w:p>
        </w:tc>
        <w:tc>
          <w:tcPr>
            <w:tcW w:w="822"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8" w:type="dxa"/>
            <w:vAlign w:val="center"/>
          </w:tcPr>
          <w:p>
            <w:pPr>
              <w:tabs>
                <w:tab w:val="left" w:pos="360"/>
                <w:tab w:val="left" w:pos="1800"/>
              </w:tabs>
              <w:spacing w:line="360" w:lineRule="auto"/>
              <w:jc w:val="center"/>
              <w:rPr>
                <w:rFonts w:ascii="宋体" w:hAnsi="宋体" w:cs="宋体"/>
                <w:sz w:val="24"/>
              </w:rPr>
            </w:pPr>
          </w:p>
        </w:tc>
        <w:tc>
          <w:tcPr>
            <w:tcW w:w="570" w:type="dxa"/>
            <w:vAlign w:val="center"/>
          </w:tcPr>
          <w:p>
            <w:pPr>
              <w:tabs>
                <w:tab w:val="left" w:pos="360"/>
                <w:tab w:val="left" w:pos="1800"/>
              </w:tabs>
              <w:spacing w:line="360" w:lineRule="auto"/>
              <w:jc w:val="center"/>
              <w:rPr>
                <w:rFonts w:ascii="宋体" w:hAnsi="宋体" w:cs="宋体"/>
                <w:sz w:val="24"/>
              </w:rPr>
            </w:pPr>
          </w:p>
        </w:tc>
        <w:tc>
          <w:tcPr>
            <w:tcW w:w="898" w:type="dxa"/>
            <w:vAlign w:val="center"/>
          </w:tcPr>
          <w:p>
            <w:pPr>
              <w:tabs>
                <w:tab w:val="left" w:pos="360"/>
                <w:tab w:val="left" w:pos="1800"/>
              </w:tabs>
              <w:spacing w:line="360" w:lineRule="auto"/>
              <w:jc w:val="center"/>
              <w:rPr>
                <w:rFonts w:ascii="宋体" w:hAnsi="宋体" w:cs="宋体"/>
                <w:sz w:val="24"/>
              </w:rPr>
            </w:pPr>
          </w:p>
        </w:tc>
        <w:tc>
          <w:tcPr>
            <w:tcW w:w="892" w:type="dxa"/>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586" w:type="dxa"/>
            <w:vAlign w:val="center"/>
          </w:tcPr>
          <w:p>
            <w:pPr>
              <w:tabs>
                <w:tab w:val="left" w:pos="360"/>
                <w:tab w:val="left" w:pos="1800"/>
              </w:tabs>
              <w:spacing w:line="360" w:lineRule="auto"/>
              <w:jc w:val="center"/>
              <w:rPr>
                <w:rFonts w:ascii="宋体" w:hAnsi="宋体" w:cs="宋体"/>
                <w:sz w:val="24"/>
              </w:rPr>
            </w:pPr>
          </w:p>
        </w:tc>
        <w:tc>
          <w:tcPr>
            <w:tcW w:w="819" w:type="dxa"/>
            <w:vAlign w:val="center"/>
          </w:tcPr>
          <w:p>
            <w:pPr>
              <w:tabs>
                <w:tab w:val="left" w:pos="360"/>
                <w:tab w:val="left" w:pos="1800"/>
              </w:tabs>
              <w:spacing w:line="360" w:lineRule="auto"/>
              <w:jc w:val="center"/>
              <w:rPr>
                <w:rFonts w:ascii="宋体" w:hAnsi="宋体" w:cs="宋体"/>
                <w:sz w:val="24"/>
              </w:rPr>
            </w:pPr>
          </w:p>
        </w:tc>
        <w:tc>
          <w:tcPr>
            <w:tcW w:w="823" w:type="dxa"/>
            <w:vAlign w:val="center"/>
          </w:tcPr>
          <w:p>
            <w:pPr>
              <w:tabs>
                <w:tab w:val="left" w:pos="360"/>
                <w:tab w:val="left" w:pos="1800"/>
              </w:tabs>
              <w:spacing w:line="360" w:lineRule="auto"/>
              <w:jc w:val="center"/>
              <w:rPr>
                <w:rFonts w:ascii="宋体" w:hAnsi="宋体" w:cs="宋体"/>
                <w:sz w:val="24"/>
              </w:rPr>
            </w:pPr>
          </w:p>
        </w:tc>
        <w:tc>
          <w:tcPr>
            <w:tcW w:w="822" w:type="dxa"/>
          </w:tcPr>
          <w:p>
            <w:pPr>
              <w:tabs>
                <w:tab w:val="left" w:pos="360"/>
                <w:tab w:val="left" w:pos="1800"/>
              </w:tabs>
              <w:spacing w:line="360" w:lineRule="auto"/>
              <w:jc w:val="center"/>
              <w:rPr>
                <w:rFonts w:ascii="宋体" w:hAnsi="宋体" w:cs="宋体"/>
                <w:sz w:val="24"/>
              </w:rPr>
            </w:pPr>
          </w:p>
        </w:tc>
        <w:tc>
          <w:tcPr>
            <w:tcW w:w="822"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8" w:type="dxa"/>
            <w:vAlign w:val="center"/>
          </w:tcPr>
          <w:p>
            <w:pPr>
              <w:tabs>
                <w:tab w:val="left" w:pos="360"/>
                <w:tab w:val="left" w:pos="1800"/>
              </w:tabs>
              <w:spacing w:line="360" w:lineRule="auto"/>
              <w:jc w:val="center"/>
              <w:rPr>
                <w:rFonts w:ascii="宋体" w:hAnsi="宋体" w:cs="宋体"/>
                <w:sz w:val="24"/>
              </w:rPr>
            </w:pPr>
          </w:p>
        </w:tc>
        <w:tc>
          <w:tcPr>
            <w:tcW w:w="570" w:type="dxa"/>
            <w:vAlign w:val="center"/>
          </w:tcPr>
          <w:p>
            <w:pPr>
              <w:tabs>
                <w:tab w:val="left" w:pos="360"/>
                <w:tab w:val="left" w:pos="1800"/>
              </w:tabs>
              <w:spacing w:line="360" w:lineRule="auto"/>
              <w:jc w:val="center"/>
              <w:rPr>
                <w:rFonts w:ascii="宋体" w:hAnsi="宋体" w:cs="宋体"/>
                <w:sz w:val="24"/>
              </w:rPr>
            </w:pPr>
          </w:p>
        </w:tc>
        <w:tc>
          <w:tcPr>
            <w:tcW w:w="898" w:type="dxa"/>
            <w:vAlign w:val="center"/>
          </w:tcPr>
          <w:p>
            <w:pPr>
              <w:tabs>
                <w:tab w:val="left" w:pos="360"/>
                <w:tab w:val="left" w:pos="1800"/>
              </w:tabs>
              <w:spacing w:line="360" w:lineRule="auto"/>
              <w:jc w:val="center"/>
              <w:rPr>
                <w:rFonts w:ascii="宋体" w:hAnsi="宋体" w:cs="宋体"/>
                <w:sz w:val="24"/>
              </w:rPr>
            </w:pPr>
          </w:p>
        </w:tc>
        <w:tc>
          <w:tcPr>
            <w:tcW w:w="892" w:type="dxa"/>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86" w:type="dxa"/>
            <w:vAlign w:val="center"/>
          </w:tcPr>
          <w:p>
            <w:pPr>
              <w:tabs>
                <w:tab w:val="left" w:pos="360"/>
                <w:tab w:val="left" w:pos="1800"/>
              </w:tabs>
              <w:spacing w:line="360" w:lineRule="auto"/>
              <w:jc w:val="center"/>
              <w:rPr>
                <w:rFonts w:ascii="宋体" w:hAnsi="宋体" w:cs="宋体"/>
                <w:sz w:val="24"/>
              </w:rPr>
            </w:pPr>
          </w:p>
        </w:tc>
        <w:tc>
          <w:tcPr>
            <w:tcW w:w="819" w:type="dxa"/>
            <w:vAlign w:val="center"/>
          </w:tcPr>
          <w:p>
            <w:pPr>
              <w:tabs>
                <w:tab w:val="left" w:pos="360"/>
                <w:tab w:val="left" w:pos="1800"/>
              </w:tabs>
              <w:spacing w:line="360" w:lineRule="auto"/>
              <w:jc w:val="center"/>
              <w:rPr>
                <w:rFonts w:ascii="宋体" w:hAnsi="宋体" w:cs="宋体"/>
                <w:sz w:val="24"/>
              </w:rPr>
            </w:pPr>
          </w:p>
        </w:tc>
        <w:tc>
          <w:tcPr>
            <w:tcW w:w="823" w:type="dxa"/>
            <w:vAlign w:val="center"/>
          </w:tcPr>
          <w:p>
            <w:pPr>
              <w:tabs>
                <w:tab w:val="left" w:pos="360"/>
                <w:tab w:val="left" w:pos="1800"/>
              </w:tabs>
              <w:spacing w:line="360" w:lineRule="auto"/>
              <w:jc w:val="center"/>
              <w:rPr>
                <w:rFonts w:ascii="宋体" w:hAnsi="宋体" w:cs="宋体"/>
                <w:sz w:val="24"/>
              </w:rPr>
            </w:pPr>
          </w:p>
        </w:tc>
        <w:tc>
          <w:tcPr>
            <w:tcW w:w="822" w:type="dxa"/>
          </w:tcPr>
          <w:p>
            <w:pPr>
              <w:tabs>
                <w:tab w:val="left" w:pos="360"/>
                <w:tab w:val="left" w:pos="1800"/>
              </w:tabs>
              <w:spacing w:line="360" w:lineRule="auto"/>
              <w:jc w:val="center"/>
              <w:rPr>
                <w:rFonts w:ascii="宋体" w:hAnsi="宋体" w:cs="宋体"/>
                <w:sz w:val="24"/>
              </w:rPr>
            </w:pPr>
          </w:p>
        </w:tc>
        <w:tc>
          <w:tcPr>
            <w:tcW w:w="822"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8" w:type="dxa"/>
            <w:vAlign w:val="center"/>
          </w:tcPr>
          <w:p>
            <w:pPr>
              <w:tabs>
                <w:tab w:val="left" w:pos="360"/>
                <w:tab w:val="left" w:pos="1800"/>
              </w:tabs>
              <w:spacing w:line="360" w:lineRule="auto"/>
              <w:jc w:val="center"/>
              <w:rPr>
                <w:rFonts w:ascii="宋体" w:hAnsi="宋体" w:cs="宋体"/>
                <w:sz w:val="24"/>
              </w:rPr>
            </w:pPr>
          </w:p>
        </w:tc>
        <w:tc>
          <w:tcPr>
            <w:tcW w:w="570" w:type="dxa"/>
            <w:vAlign w:val="center"/>
          </w:tcPr>
          <w:p>
            <w:pPr>
              <w:tabs>
                <w:tab w:val="left" w:pos="360"/>
                <w:tab w:val="left" w:pos="1800"/>
              </w:tabs>
              <w:spacing w:line="360" w:lineRule="auto"/>
              <w:jc w:val="center"/>
              <w:rPr>
                <w:rFonts w:ascii="宋体" w:hAnsi="宋体" w:cs="宋体"/>
                <w:sz w:val="24"/>
              </w:rPr>
            </w:pPr>
          </w:p>
        </w:tc>
        <w:tc>
          <w:tcPr>
            <w:tcW w:w="898" w:type="dxa"/>
            <w:vAlign w:val="center"/>
          </w:tcPr>
          <w:p>
            <w:pPr>
              <w:tabs>
                <w:tab w:val="left" w:pos="360"/>
                <w:tab w:val="left" w:pos="1800"/>
              </w:tabs>
              <w:spacing w:line="360" w:lineRule="auto"/>
              <w:jc w:val="center"/>
              <w:rPr>
                <w:rFonts w:ascii="宋体" w:hAnsi="宋体" w:cs="宋体"/>
                <w:sz w:val="24"/>
              </w:rPr>
            </w:pPr>
          </w:p>
        </w:tc>
        <w:tc>
          <w:tcPr>
            <w:tcW w:w="892" w:type="dxa"/>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86" w:type="dxa"/>
            <w:vAlign w:val="center"/>
          </w:tcPr>
          <w:p>
            <w:pPr>
              <w:tabs>
                <w:tab w:val="left" w:pos="360"/>
                <w:tab w:val="left" w:pos="1800"/>
              </w:tabs>
              <w:spacing w:line="360" w:lineRule="auto"/>
              <w:jc w:val="center"/>
              <w:rPr>
                <w:rFonts w:ascii="宋体" w:hAnsi="宋体" w:cs="宋体"/>
                <w:sz w:val="24"/>
              </w:rPr>
            </w:pPr>
          </w:p>
        </w:tc>
        <w:tc>
          <w:tcPr>
            <w:tcW w:w="819" w:type="dxa"/>
            <w:vAlign w:val="center"/>
          </w:tcPr>
          <w:p>
            <w:pPr>
              <w:tabs>
                <w:tab w:val="left" w:pos="360"/>
                <w:tab w:val="left" w:pos="1800"/>
              </w:tabs>
              <w:spacing w:line="360" w:lineRule="auto"/>
              <w:jc w:val="center"/>
              <w:rPr>
                <w:rFonts w:ascii="宋体" w:hAnsi="宋体" w:cs="宋体"/>
                <w:sz w:val="24"/>
              </w:rPr>
            </w:pPr>
          </w:p>
        </w:tc>
        <w:tc>
          <w:tcPr>
            <w:tcW w:w="823" w:type="dxa"/>
            <w:vAlign w:val="center"/>
          </w:tcPr>
          <w:p>
            <w:pPr>
              <w:tabs>
                <w:tab w:val="left" w:pos="360"/>
                <w:tab w:val="left" w:pos="1800"/>
              </w:tabs>
              <w:spacing w:line="360" w:lineRule="auto"/>
              <w:jc w:val="center"/>
              <w:rPr>
                <w:rFonts w:ascii="宋体" w:hAnsi="宋体" w:cs="宋体"/>
                <w:sz w:val="24"/>
              </w:rPr>
            </w:pPr>
          </w:p>
        </w:tc>
        <w:tc>
          <w:tcPr>
            <w:tcW w:w="822" w:type="dxa"/>
          </w:tcPr>
          <w:p>
            <w:pPr>
              <w:tabs>
                <w:tab w:val="left" w:pos="360"/>
                <w:tab w:val="left" w:pos="1800"/>
              </w:tabs>
              <w:spacing w:line="360" w:lineRule="auto"/>
              <w:jc w:val="center"/>
              <w:rPr>
                <w:rFonts w:ascii="宋体" w:hAnsi="宋体" w:cs="宋体"/>
                <w:sz w:val="24"/>
              </w:rPr>
            </w:pPr>
          </w:p>
        </w:tc>
        <w:tc>
          <w:tcPr>
            <w:tcW w:w="822"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8" w:type="dxa"/>
            <w:vAlign w:val="center"/>
          </w:tcPr>
          <w:p>
            <w:pPr>
              <w:tabs>
                <w:tab w:val="left" w:pos="360"/>
                <w:tab w:val="left" w:pos="1800"/>
              </w:tabs>
              <w:spacing w:line="360" w:lineRule="auto"/>
              <w:jc w:val="center"/>
              <w:rPr>
                <w:rFonts w:ascii="宋体" w:hAnsi="宋体" w:cs="宋体"/>
                <w:sz w:val="24"/>
              </w:rPr>
            </w:pPr>
          </w:p>
        </w:tc>
        <w:tc>
          <w:tcPr>
            <w:tcW w:w="570" w:type="dxa"/>
            <w:vAlign w:val="center"/>
          </w:tcPr>
          <w:p>
            <w:pPr>
              <w:tabs>
                <w:tab w:val="left" w:pos="360"/>
                <w:tab w:val="left" w:pos="1800"/>
              </w:tabs>
              <w:spacing w:line="360" w:lineRule="auto"/>
              <w:jc w:val="center"/>
              <w:rPr>
                <w:rFonts w:ascii="宋体" w:hAnsi="宋体" w:cs="宋体"/>
                <w:sz w:val="24"/>
              </w:rPr>
            </w:pPr>
          </w:p>
        </w:tc>
        <w:tc>
          <w:tcPr>
            <w:tcW w:w="898" w:type="dxa"/>
            <w:vAlign w:val="center"/>
          </w:tcPr>
          <w:p>
            <w:pPr>
              <w:tabs>
                <w:tab w:val="left" w:pos="360"/>
                <w:tab w:val="left" w:pos="1800"/>
              </w:tabs>
              <w:spacing w:line="360" w:lineRule="auto"/>
              <w:jc w:val="center"/>
              <w:rPr>
                <w:rFonts w:ascii="宋体" w:hAnsi="宋体" w:cs="宋体"/>
                <w:sz w:val="24"/>
              </w:rPr>
            </w:pPr>
          </w:p>
        </w:tc>
        <w:tc>
          <w:tcPr>
            <w:tcW w:w="892" w:type="dxa"/>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86" w:type="dxa"/>
            <w:vAlign w:val="center"/>
          </w:tcPr>
          <w:p>
            <w:pPr>
              <w:tabs>
                <w:tab w:val="left" w:pos="360"/>
                <w:tab w:val="left" w:pos="1800"/>
              </w:tabs>
              <w:spacing w:line="360" w:lineRule="auto"/>
              <w:jc w:val="center"/>
              <w:rPr>
                <w:rFonts w:ascii="宋体" w:hAnsi="宋体" w:cs="宋体"/>
                <w:sz w:val="24"/>
              </w:rPr>
            </w:pPr>
          </w:p>
        </w:tc>
        <w:tc>
          <w:tcPr>
            <w:tcW w:w="819" w:type="dxa"/>
            <w:vAlign w:val="center"/>
          </w:tcPr>
          <w:p>
            <w:pPr>
              <w:tabs>
                <w:tab w:val="left" w:pos="360"/>
                <w:tab w:val="left" w:pos="1800"/>
              </w:tabs>
              <w:spacing w:line="360" w:lineRule="auto"/>
              <w:jc w:val="center"/>
              <w:rPr>
                <w:rFonts w:ascii="宋体" w:hAnsi="宋体" w:cs="宋体"/>
                <w:sz w:val="24"/>
              </w:rPr>
            </w:pPr>
          </w:p>
        </w:tc>
        <w:tc>
          <w:tcPr>
            <w:tcW w:w="823" w:type="dxa"/>
            <w:vAlign w:val="center"/>
          </w:tcPr>
          <w:p>
            <w:pPr>
              <w:tabs>
                <w:tab w:val="left" w:pos="360"/>
                <w:tab w:val="left" w:pos="1800"/>
              </w:tabs>
              <w:spacing w:line="360" w:lineRule="auto"/>
              <w:jc w:val="center"/>
              <w:rPr>
                <w:rFonts w:ascii="宋体" w:hAnsi="宋体" w:cs="宋体"/>
                <w:sz w:val="24"/>
              </w:rPr>
            </w:pPr>
          </w:p>
        </w:tc>
        <w:tc>
          <w:tcPr>
            <w:tcW w:w="822" w:type="dxa"/>
          </w:tcPr>
          <w:p>
            <w:pPr>
              <w:tabs>
                <w:tab w:val="left" w:pos="360"/>
                <w:tab w:val="left" w:pos="1800"/>
              </w:tabs>
              <w:spacing w:line="360" w:lineRule="auto"/>
              <w:jc w:val="center"/>
              <w:rPr>
                <w:rFonts w:ascii="宋体" w:hAnsi="宋体" w:cs="宋体"/>
                <w:sz w:val="24"/>
              </w:rPr>
            </w:pPr>
          </w:p>
        </w:tc>
        <w:tc>
          <w:tcPr>
            <w:tcW w:w="822"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8" w:type="dxa"/>
            <w:vAlign w:val="center"/>
          </w:tcPr>
          <w:p>
            <w:pPr>
              <w:tabs>
                <w:tab w:val="left" w:pos="360"/>
                <w:tab w:val="left" w:pos="1800"/>
              </w:tabs>
              <w:spacing w:line="360" w:lineRule="auto"/>
              <w:jc w:val="center"/>
              <w:rPr>
                <w:rFonts w:ascii="宋体" w:hAnsi="宋体" w:cs="宋体"/>
                <w:sz w:val="24"/>
              </w:rPr>
            </w:pPr>
          </w:p>
        </w:tc>
        <w:tc>
          <w:tcPr>
            <w:tcW w:w="570" w:type="dxa"/>
            <w:vAlign w:val="center"/>
          </w:tcPr>
          <w:p>
            <w:pPr>
              <w:tabs>
                <w:tab w:val="left" w:pos="360"/>
                <w:tab w:val="left" w:pos="1800"/>
              </w:tabs>
              <w:spacing w:line="360" w:lineRule="auto"/>
              <w:jc w:val="center"/>
              <w:rPr>
                <w:rFonts w:ascii="宋体" w:hAnsi="宋体" w:cs="宋体"/>
                <w:sz w:val="24"/>
              </w:rPr>
            </w:pPr>
          </w:p>
        </w:tc>
        <w:tc>
          <w:tcPr>
            <w:tcW w:w="898" w:type="dxa"/>
            <w:vAlign w:val="center"/>
          </w:tcPr>
          <w:p>
            <w:pPr>
              <w:tabs>
                <w:tab w:val="left" w:pos="360"/>
                <w:tab w:val="left" w:pos="1800"/>
              </w:tabs>
              <w:spacing w:line="360" w:lineRule="auto"/>
              <w:jc w:val="center"/>
              <w:rPr>
                <w:rFonts w:ascii="宋体" w:hAnsi="宋体" w:cs="宋体"/>
                <w:sz w:val="24"/>
              </w:rPr>
            </w:pPr>
          </w:p>
        </w:tc>
        <w:tc>
          <w:tcPr>
            <w:tcW w:w="892" w:type="dxa"/>
            <w:vAlign w:val="center"/>
          </w:tcPr>
          <w:p>
            <w:pPr>
              <w:tabs>
                <w:tab w:val="left" w:pos="360"/>
                <w:tab w:val="left" w:pos="180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86" w:type="dxa"/>
            <w:vAlign w:val="center"/>
          </w:tcPr>
          <w:p>
            <w:pPr>
              <w:tabs>
                <w:tab w:val="left" w:pos="360"/>
                <w:tab w:val="left" w:pos="1800"/>
              </w:tabs>
              <w:spacing w:line="360" w:lineRule="auto"/>
              <w:jc w:val="center"/>
              <w:rPr>
                <w:rFonts w:ascii="宋体" w:hAnsi="宋体" w:cs="宋体"/>
                <w:sz w:val="24"/>
              </w:rPr>
            </w:pPr>
          </w:p>
        </w:tc>
        <w:tc>
          <w:tcPr>
            <w:tcW w:w="819" w:type="dxa"/>
            <w:vAlign w:val="center"/>
          </w:tcPr>
          <w:p>
            <w:pPr>
              <w:tabs>
                <w:tab w:val="left" w:pos="360"/>
                <w:tab w:val="left" w:pos="1800"/>
              </w:tabs>
              <w:spacing w:line="360" w:lineRule="auto"/>
              <w:jc w:val="center"/>
              <w:rPr>
                <w:rFonts w:ascii="宋体" w:hAnsi="宋体" w:cs="宋体"/>
                <w:sz w:val="24"/>
              </w:rPr>
            </w:pPr>
          </w:p>
        </w:tc>
        <w:tc>
          <w:tcPr>
            <w:tcW w:w="823" w:type="dxa"/>
            <w:vAlign w:val="center"/>
          </w:tcPr>
          <w:p>
            <w:pPr>
              <w:tabs>
                <w:tab w:val="left" w:pos="360"/>
                <w:tab w:val="left" w:pos="1800"/>
              </w:tabs>
              <w:spacing w:line="360" w:lineRule="auto"/>
              <w:jc w:val="center"/>
              <w:rPr>
                <w:rFonts w:ascii="宋体" w:hAnsi="宋体" w:cs="宋体"/>
                <w:sz w:val="24"/>
              </w:rPr>
            </w:pPr>
          </w:p>
        </w:tc>
        <w:tc>
          <w:tcPr>
            <w:tcW w:w="822" w:type="dxa"/>
          </w:tcPr>
          <w:p>
            <w:pPr>
              <w:tabs>
                <w:tab w:val="left" w:pos="360"/>
                <w:tab w:val="left" w:pos="1800"/>
              </w:tabs>
              <w:spacing w:line="360" w:lineRule="auto"/>
              <w:jc w:val="center"/>
              <w:rPr>
                <w:rFonts w:ascii="宋体" w:hAnsi="宋体" w:cs="宋体"/>
                <w:sz w:val="24"/>
              </w:rPr>
            </w:pPr>
          </w:p>
        </w:tc>
        <w:tc>
          <w:tcPr>
            <w:tcW w:w="822"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4" w:type="dxa"/>
            <w:vAlign w:val="center"/>
          </w:tcPr>
          <w:p>
            <w:pPr>
              <w:tabs>
                <w:tab w:val="left" w:pos="360"/>
                <w:tab w:val="left" w:pos="1800"/>
              </w:tabs>
              <w:spacing w:line="360" w:lineRule="auto"/>
              <w:jc w:val="center"/>
              <w:rPr>
                <w:rFonts w:ascii="宋体" w:hAnsi="宋体" w:cs="宋体"/>
                <w:sz w:val="24"/>
              </w:rPr>
            </w:pPr>
          </w:p>
        </w:tc>
        <w:tc>
          <w:tcPr>
            <w:tcW w:w="708" w:type="dxa"/>
            <w:vAlign w:val="center"/>
          </w:tcPr>
          <w:p>
            <w:pPr>
              <w:tabs>
                <w:tab w:val="left" w:pos="360"/>
                <w:tab w:val="left" w:pos="1800"/>
              </w:tabs>
              <w:spacing w:line="360" w:lineRule="auto"/>
              <w:jc w:val="center"/>
              <w:rPr>
                <w:rFonts w:ascii="宋体" w:hAnsi="宋体" w:cs="宋体"/>
                <w:sz w:val="24"/>
              </w:rPr>
            </w:pPr>
          </w:p>
        </w:tc>
        <w:tc>
          <w:tcPr>
            <w:tcW w:w="570" w:type="dxa"/>
            <w:vAlign w:val="center"/>
          </w:tcPr>
          <w:p>
            <w:pPr>
              <w:tabs>
                <w:tab w:val="left" w:pos="360"/>
                <w:tab w:val="left" w:pos="1800"/>
              </w:tabs>
              <w:spacing w:line="360" w:lineRule="auto"/>
              <w:jc w:val="center"/>
              <w:rPr>
                <w:rFonts w:ascii="宋体" w:hAnsi="宋体" w:cs="宋体"/>
                <w:sz w:val="24"/>
              </w:rPr>
            </w:pPr>
          </w:p>
        </w:tc>
        <w:tc>
          <w:tcPr>
            <w:tcW w:w="898" w:type="dxa"/>
            <w:vAlign w:val="center"/>
          </w:tcPr>
          <w:p>
            <w:pPr>
              <w:tabs>
                <w:tab w:val="left" w:pos="360"/>
                <w:tab w:val="left" w:pos="1800"/>
              </w:tabs>
              <w:spacing w:line="360" w:lineRule="auto"/>
              <w:jc w:val="center"/>
              <w:rPr>
                <w:rFonts w:ascii="宋体" w:hAnsi="宋体" w:cs="宋体"/>
                <w:sz w:val="24"/>
              </w:rPr>
            </w:pPr>
          </w:p>
        </w:tc>
        <w:tc>
          <w:tcPr>
            <w:tcW w:w="892" w:type="dxa"/>
            <w:vAlign w:val="center"/>
          </w:tcPr>
          <w:p>
            <w:pPr>
              <w:tabs>
                <w:tab w:val="left" w:pos="360"/>
                <w:tab w:val="left" w:pos="1800"/>
              </w:tabs>
              <w:spacing w:line="360" w:lineRule="auto"/>
              <w:jc w:val="center"/>
              <w:rPr>
                <w:rFonts w:ascii="宋体" w:hAnsi="宋体" w:cs="宋体"/>
                <w:sz w:val="24"/>
              </w:rPr>
            </w:pPr>
          </w:p>
        </w:tc>
      </w:tr>
    </w:tbl>
    <w:p>
      <w:pPr>
        <w:tabs>
          <w:tab w:val="left" w:pos="360"/>
          <w:tab w:val="left" w:pos="1800"/>
        </w:tabs>
        <w:spacing w:line="360" w:lineRule="auto"/>
        <w:rPr>
          <w:rFonts w:ascii="宋体" w:hAnsi="宋体" w:cs="宋体"/>
          <w:sz w:val="24"/>
        </w:rPr>
      </w:pPr>
      <w:r>
        <w:rPr>
          <w:rFonts w:hint="eastAsia" w:ascii="宋体" w:hAnsi="宋体" w:cs="宋体"/>
          <w:sz w:val="24"/>
        </w:rPr>
        <w:t>注：1. 施工机械设备按本工程施工需要的顺序填写；</w:t>
      </w:r>
    </w:p>
    <w:p>
      <w:pPr>
        <w:tabs>
          <w:tab w:val="left" w:pos="360"/>
          <w:tab w:val="left" w:pos="1800"/>
        </w:tabs>
        <w:spacing w:line="360" w:lineRule="auto"/>
        <w:rPr>
          <w:rFonts w:ascii="宋体" w:hAnsi="宋体" w:cs="宋体"/>
          <w:sz w:val="24"/>
        </w:rPr>
      </w:pPr>
      <w:r>
        <w:rPr>
          <w:rFonts w:hint="eastAsia" w:ascii="宋体" w:hAnsi="宋体" w:cs="宋体"/>
          <w:sz w:val="24"/>
        </w:rPr>
        <w:t>2. 填写拟派于本工程的具体设备；</w:t>
      </w:r>
    </w:p>
    <w:p>
      <w:pPr>
        <w:tabs>
          <w:tab w:val="left" w:pos="360"/>
          <w:tab w:val="left" w:pos="1800"/>
        </w:tabs>
        <w:spacing w:line="360" w:lineRule="auto"/>
        <w:rPr>
          <w:rFonts w:ascii="宋体" w:hAnsi="宋体" w:cs="宋体"/>
          <w:sz w:val="24"/>
        </w:rPr>
      </w:pPr>
      <w:r>
        <w:rPr>
          <w:rFonts w:hint="eastAsia" w:ascii="宋体" w:hAnsi="宋体" w:cs="宋体"/>
          <w:sz w:val="24"/>
        </w:rPr>
        <w:t>3. 注明机械设备出厂日期、目前存放地点、承担工作等内容。</w:t>
      </w: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rPr>
          <w:rFonts w:ascii="宋体" w:hAnsi="宋体" w:cs="宋体"/>
          <w:sz w:val="24"/>
        </w:rPr>
      </w:pPr>
      <w:r>
        <w:rPr>
          <w:rFonts w:hint="eastAsia" w:ascii="宋体" w:hAnsi="宋体" w:cs="宋体"/>
          <w:sz w:val="24"/>
        </w:rPr>
        <w:t xml:space="preserve">投标人：（盖章）             </w:t>
      </w: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rPr>
          <w:rFonts w:ascii="宋体" w:hAnsi="宋体" w:cs="宋体"/>
          <w:sz w:val="24"/>
        </w:rPr>
      </w:pPr>
      <w:r>
        <w:rPr>
          <w:rFonts w:hint="eastAsia" w:ascii="宋体" w:hAnsi="宋体" w:cs="宋体"/>
          <w:sz w:val="24"/>
        </w:rPr>
        <w:t>法定代表人或委托代理人：（签字或盖章）</w:t>
      </w: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rPr>
          <w:rFonts w:ascii="宋体" w:hAnsi="宋体" w:cs="宋体"/>
          <w:b/>
          <w:sz w:val="28"/>
          <w:szCs w:val="28"/>
        </w:rPr>
      </w:pPr>
      <w:r>
        <w:rPr>
          <w:rFonts w:hint="eastAsia" w:ascii="宋体" w:hAnsi="宋体" w:cs="宋体"/>
          <w:sz w:val="24"/>
        </w:rPr>
        <w:t>日期：     年   月   日</w:t>
      </w:r>
    </w:p>
    <w:p>
      <w:pPr>
        <w:numPr>
          <w:ilvl w:val="0"/>
          <w:numId w:val="8"/>
        </w:numPr>
        <w:tabs>
          <w:tab w:val="left" w:pos="2720"/>
          <w:tab w:val="center" w:pos="4470"/>
        </w:tabs>
        <w:spacing w:line="360" w:lineRule="auto"/>
        <w:jc w:val="center"/>
        <w:rPr>
          <w:rFonts w:ascii="宋体" w:hAnsi="宋体" w:cs="宋体"/>
          <w:b/>
          <w:sz w:val="28"/>
          <w:szCs w:val="28"/>
        </w:rPr>
      </w:pPr>
      <w:r>
        <w:rPr>
          <w:rFonts w:hint="eastAsia" w:ascii="宋体" w:hAnsi="宋体" w:cs="宋体"/>
          <w:b/>
          <w:sz w:val="28"/>
          <w:szCs w:val="28"/>
        </w:rPr>
        <w:t>其他方案</w:t>
      </w: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1.施工方案</w:t>
      </w: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2.质量保证方案</w:t>
      </w: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3.安全文明施工方案</w:t>
      </w: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4.安全施工方案</w:t>
      </w: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5.合理化建议</w:t>
      </w:r>
    </w:p>
    <w:p>
      <w:pPr>
        <w:tabs>
          <w:tab w:val="left" w:pos="6300"/>
        </w:tabs>
        <w:snapToGrid w:val="0"/>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以上方案等内容等格式自拟</w:t>
      </w:r>
    </w:p>
    <w:p>
      <w:pPr>
        <w:tabs>
          <w:tab w:val="left" w:pos="2720"/>
          <w:tab w:val="center" w:pos="4470"/>
        </w:tabs>
        <w:spacing w:line="360" w:lineRule="auto"/>
        <w:jc w:val="center"/>
        <w:rPr>
          <w:rFonts w:ascii="宋体" w:hAnsi="宋体" w:cs="宋体"/>
          <w:b/>
          <w:sz w:val="28"/>
          <w:szCs w:val="28"/>
        </w:rPr>
      </w:pPr>
    </w:p>
    <w:p>
      <w:pPr>
        <w:pStyle w:val="2"/>
        <w:rPr>
          <w:rFonts w:ascii="宋体" w:hAnsi="宋体" w:cs="宋体"/>
          <w:b/>
          <w:sz w:val="28"/>
          <w:szCs w:val="28"/>
        </w:rPr>
      </w:pPr>
    </w:p>
    <w:p>
      <w:pPr>
        <w:pStyle w:val="3"/>
        <w:rPr>
          <w:rFonts w:ascii="宋体" w:hAnsi="宋体" w:cs="宋体"/>
          <w:b/>
          <w:sz w:val="28"/>
          <w:szCs w:val="28"/>
        </w:rPr>
      </w:pPr>
    </w:p>
    <w:p>
      <w:pPr>
        <w:rPr>
          <w:rFonts w:ascii="宋体" w:hAnsi="宋体" w:cs="宋体"/>
          <w:b/>
          <w:sz w:val="28"/>
          <w:szCs w:val="28"/>
        </w:rPr>
      </w:pPr>
    </w:p>
    <w:p>
      <w:pPr>
        <w:pStyle w:val="2"/>
        <w:rPr>
          <w:rFonts w:ascii="宋体" w:hAnsi="宋体" w:cs="宋体"/>
          <w:b/>
          <w:sz w:val="28"/>
          <w:szCs w:val="28"/>
        </w:rPr>
      </w:pPr>
    </w:p>
    <w:p>
      <w:pPr>
        <w:pStyle w:val="3"/>
        <w:rPr>
          <w:rFonts w:ascii="宋体" w:hAnsi="宋体" w:cs="宋体"/>
          <w:b/>
          <w:sz w:val="28"/>
          <w:szCs w:val="28"/>
        </w:rPr>
      </w:pPr>
    </w:p>
    <w:p>
      <w:pPr>
        <w:rPr>
          <w:rFonts w:ascii="宋体" w:hAnsi="宋体" w:cs="宋体"/>
          <w:b/>
          <w:sz w:val="28"/>
          <w:szCs w:val="28"/>
        </w:rPr>
      </w:pPr>
    </w:p>
    <w:p>
      <w:pPr>
        <w:pStyle w:val="2"/>
        <w:rPr>
          <w:rFonts w:ascii="宋体" w:hAnsi="宋体" w:cs="宋体"/>
          <w:b/>
          <w:sz w:val="28"/>
          <w:szCs w:val="28"/>
        </w:rPr>
      </w:pPr>
    </w:p>
    <w:p>
      <w:pPr>
        <w:pStyle w:val="3"/>
        <w:rPr>
          <w:rFonts w:ascii="宋体" w:hAnsi="宋体" w:cs="宋体"/>
          <w:b/>
          <w:sz w:val="28"/>
          <w:szCs w:val="28"/>
        </w:rPr>
      </w:pPr>
    </w:p>
    <w:p>
      <w:pPr>
        <w:rPr>
          <w:rFonts w:ascii="宋体" w:hAnsi="宋体" w:cs="宋体"/>
          <w:b/>
          <w:sz w:val="28"/>
          <w:szCs w:val="28"/>
        </w:rPr>
      </w:pPr>
    </w:p>
    <w:p>
      <w:pPr>
        <w:pStyle w:val="2"/>
        <w:rPr>
          <w:rFonts w:ascii="宋体" w:hAnsi="宋体" w:cs="宋体"/>
          <w:b/>
          <w:sz w:val="28"/>
          <w:szCs w:val="28"/>
        </w:rPr>
      </w:pPr>
    </w:p>
    <w:p>
      <w:pPr>
        <w:pStyle w:val="3"/>
        <w:rPr>
          <w:rFonts w:ascii="宋体" w:hAnsi="宋体" w:cs="宋体"/>
          <w:b/>
          <w:sz w:val="28"/>
          <w:szCs w:val="28"/>
        </w:rPr>
      </w:pPr>
    </w:p>
    <w:p>
      <w:pPr>
        <w:rPr>
          <w:rFonts w:ascii="宋体" w:hAnsi="宋体" w:cs="宋体"/>
          <w:b/>
          <w:sz w:val="28"/>
          <w:szCs w:val="28"/>
        </w:rPr>
      </w:pPr>
    </w:p>
    <w:p>
      <w:pPr>
        <w:pStyle w:val="2"/>
        <w:rPr>
          <w:rFonts w:ascii="宋体" w:hAnsi="宋体" w:cs="宋体"/>
          <w:b/>
          <w:sz w:val="28"/>
          <w:szCs w:val="28"/>
        </w:rPr>
      </w:pPr>
    </w:p>
    <w:p>
      <w:pPr>
        <w:pStyle w:val="3"/>
      </w:pPr>
    </w:p>
    <w:p>
      <w:pPr>
        <w:tabs>
          <w:tab w:val="left" w:pos="2720"/>
          <w:tab w:val="center" w:pos="4470"/>
        </w:tabs>
        <w:spacing w:line="360" w:lineRule="auto"/>
        <w:jc w:val="center"/>
        <w:rPr>
          <w:rFonts w:ascii="宋体" w:hAnsi="宋体" w:cs="宋体"/>
          <w:b/>
          <w:sz w:val="28"/>
          <w:szCs w:val="28"/>
        </w:rPr>
      </w:pPr>
      <w:r>
        <w:rPr>
          <w:rFonts w:hint="eastAsia" w:ascii="宋体" w:hAnsi="宋体" w:cs="宋体"/>
          <w:b/>
          <w:sz w:val="28"/>
          <w:szCs w:val="28"/>
        </w:rPr>
        <w:t>13、资格性/符合性自查表</w:t>
      </w:r>
    </w:p>
    <w:tbl>
      <w:tblPr>
        <w:tblStyle w:val="24"/>
        <w:tblW w:w="9056"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6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79" w:hRule="exact"/>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招标文件要求</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自查结论</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22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见投标文件第（）页</w:t>
            </w:r>
          </w:p>
        </w:tc>
      </w:tr>
    </w:tbl>
    <w:p>
      <w:pPr>
        <w:spacing w:line="360" w:lineRule="auto"/>
        <w:jc w:val="left"/>
        <w:rPr>
          <w:rFonts w:ascii="宋体" w:hAnsi="宋体" w:cs="宋体"/>
          <w:sz w:val="24"/>
        </w:rPr>
      </w:pPr>
      <w:r>
        <w:rPr>
          <w:rFonts w:hint="eastAsia" w:ascii="宋体" w:hAnsi="宋体" w:cs="宋体"/>
          <w:sz w:val="24"/>
        </w:rPr>
        <w:t>注：1、以上材料将作为招标投标人有效性审核的重要内容之一，投标人必须严格按照其内容及序列要求在投标文件中对应如实提供，对资格性和符合性证明文件的任何缺漏和不符合项将会直接导致投标文件无效！投标人根据自查结论在对应的□打“√”。</w:t>
      </w:r>
    </w:p>
    <w:p>
      <w:pPr>
        <w:spacing w:line="360" w:lineRule="auto"/>
        <w:jc w:val="left"/>
        <w:rPr>
          <w:rFonts w:ascii="宋体" w:hAnsi="宋体" w:cs="宋体"/>
          <w:b/>
          <w:bCs/>
          <w:sz w:val="28"/>
          <w:szCs w:val="28"/>
        </w:rPr>
      </w:pPr>
      <w:r>
        <w:rPr>
          <w:rFonts w:hint="eastAsia" w:ascii="宋体" w:hAnsi="宋体" w:cs="宋体"/>
          <w:sz w:val="24"/>
        </w:rPr>
        <w:t>2、各投标人按此表格式填写，表格不够时可自行添加。</w:t>
      </w:r>
    </w:p>
    <w:p>
      <w:pPr>
        <w:spacing w:line="360" w:lineRule="auto"/>
        <w:jc w:val="center"/>
        <w:rPr>
          <w:rFonts w:hint="eastAsia" w:ascii="宋体" w:hAnsi="宋体" w:cs="宋体"/>
          <w:b/>
          <w:bCs/>
          <w:sz w:val="30"/>
          <w:szCs w:val="30"/>
        </w:rPr>
      </w:pPr>
    </w:p>
    <w:p>
      <w:pPr>
        <w:spacing w:line="360" w:lineRule="auto"/>
        <w:jc w:val="center"/>
        <w:rPr>
          <w:rFonts w:ascii="宋体" w:hAnsi="宋体" w:cs="宋体"/>
          <w:b/>
          <w:bCs/>
          <w:sz w:val="30"/>
          <w:szCs w:val="30"/>
        </w:rPr>
      </w:pPr>
      <w:r>
        <w:rPr>
          <w:rFonts w:hint="eastAsia" w:ascii="宋体" w:hAnsi="宋体" w:cs="宋体"/>
          <w:b/>
          <w:bCs/>
          <w:sz w:val="30"/>
          <w:szCs w:val="30"/>
        </w:rPr>
        <w:t>第六章、评标标准（综合评分法）</w:t>
      </w:r>
    </w:p>
    <w:p>
      <w:pPr>
        <w:spacing w:line="360" w:lineRule="auto"/>
        <w:rPr>
          <w:rFonts w:ascii="宋体" w:hAnsi="宋体" w:cs="宋体"/>
          <w:b/>
          <w:bCs/>
          <w:sz w:val="24"/>
        </w:rPr>
      </w:pPr>
      <w:r>
        <w:rPr>
          <w:rFonts w:hint="eastAsia" w:ascii="宋体" w:hAnsi="宋体" w:cs="宋体"/>
          <w:b/>
          <w:bCs/>
          <w:sz w:val="24"/>
        </w:rPr>
        <w:t>1、资格性审查</w:t>
      </w:r>
    </w:p>
    <w:tbl>
      <w:tblPr>
        <w:tblStyle w:val="24"/>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00"/>
        <w:gridCol w:w="4700"/>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78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6200" w:type="dxa"/>
            <w:gridSpan w:val="2"/>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评审因素</w:t>
            </w:r>
          </w:p>
        </w:tc>
        <w:tc>
          <w:tcPr>
            <w:tcW w:w="227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78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00" w:type="dxa"/>
            <w:vAlign w:val="center"/>
          </w:tcPr>
          <w:p>
            <w:pPr>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投标人应符合的基本资格条件</w:t>
            </w:r>
          </w:p>
        </w:tc>
        <w:tc>
          <w:tcPr>
            <w:tcW w:w="4700" w:type="dxa"/>
            <w:vAlign w:val="center"/>
          </w:tcPr>
          <w:p>
            <w:pPr>
              <w:spacing w:line="400" w:lineRule="exact"/>
              <w:rPr>
                <w:rFonts w:asciiTheme="minorEastAsia" w:hAnsiTheme="minorEastAsia" w:eastAsiaTheme="minorEastAsia" w:cstheme="minorEastAsia"/>
                <w:sz w:val="24"/>
                <w:lang w:val="zh-CN"/>
              </w:rPr>
            </w:pPr>
            <w:r>
              <w:rPr>
                <w:rStyle w:val="27"/>
                <w:rFonts w:hint="eastAsia" w:ascii="宋体" w:hAnsi="宋体" w:cs="宋体"/>
                <w:b w:val="0"/>
                <w:bCs/>
                <w:kern w:val="0"/>
                <w:sz w:val="24"/>
                <w:szCs w:val="22"/>
              </w:rPr>
              <w:t>满足《中华人民共和国政府采购法》第二十二条规定。</w:t>
            </w:r>
          </w:p>
        </w:tc>
        <w:tc>
          <w:tcPr>
            <w:tcW w:w="2271" w:type="dxa"/>
            <w:vAlign w:val="center"/>
          </w:tcPr>
          <w:p>
            <w:pPr>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786" w:type="dxa"/>
            <w:vMerge w:val="restart"/>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2</w:t>
            </w:r>
          </w:p>
        </w:tc>
        <w:tc>
          <w:tcPr>
            <w:tcW w:w="1500" w:type="dxa"/>
            <w:vMerge w:val="restart"/>
            <w:vAlign w:val="center"/>
          </w:tcPr>
          <w:p>
            <w:pP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投标人应</w:t>
            </w:r>
            <w:r>
              <w:rPr>
                <w:rStyle w:val="27"/>
                <w:rFonts w:hint="eastAsia" w:ascii="宋体" w:hAnsi="宋体" w:cs="宋体"/>
                <w:b w:val="0"/>
                <w:bCs/>
                <w:kern w:val="0"/>
                <w:sz w:val="24"/>
                <w:szCs w:val="22"/>
              </w:rPr>
              <w:t>特定资格</w:t>
            </w:r>
            <w:r>
              <w:rPr>
                <w:rFonts w:hint="eastAsia" w:asciiTheme="minorEastAsia" w:hAnsiTheme="minorEastAsia" w:eastAsiaTheme="minorEastAsia" w:cstheme="minorEastAsia"/>
                <w:sz w:val="24"/>
                <w:lang w:val="zh-CN"/>
              </w:rPr>
              <w:t>条件</w:t>
            </w:r>
          </w:p>
        </w:tc>
        <w:tc>
          <w:tcPr>
            <w:tcW w:w="4700" w:type="dxa"/>
            <w:vAlign w:val="center"/>
          </w:tcPr>
          <w:p>
            <w:pPr>
              <w:pStyle w:val="2"/>
              <w:spacing w:line="400" w:lineRule="exact"/>
              <w:rPr>
                <w:rFonts w:asciiTheme="minorEastAsia" w:hAnsiTheme="minorEastAsia" w:eastAsiaTheme="minorEastAsia" w:cstheme="minorEastAsia"/>
                <w:sz w:val="24"/>
                <w:lang w:val="zh-CN"/>
              </w:rPr>
            </w:pPr>
            <w:r>
              <w:rPr>
                <w:rStyle w:val="27"/>
                <w:rFonts w:hint="eastAsia" w:ascii="宋体" w:hAnsi="宋体" w:cs="宋体"/>
                <w:b w:val="0"/>
                <w:bCs/>
                <w:kern w:val="0"/>
                <w:sz w:val="24"/>
                <w:szCs w:val="22"/>
              </w:rPr>
              <w:t>（1）具有建设行政主管部门核发的市政公用工程总承包</w:t>
            </w:r>
            <w:r>
              <w:rPr>
                <w:rStyle w:val="27"/>
                <w:rFonts w:hint="eastAsia" w:ascii="宋体" w:hAnsi="宋体" w:cs="宋体"/>
                <w:b w:val="0"/>
                <w:bCs/>
                <w:color w:val="auto"/>
                <w:kern w:val="0"/>
                <w:sz w:val="24"/>
                <w:szCs w:val="22"/>
              </w:rPr>
              <w:t>叁级及以上和建筑工程总承包叁级及以上资质证书并且具备有效的安全生产许可证；</w:t>
            </w:r>
          </w:p>
        </w:tc>
        <w:tc>
          <w:tcPr>
            <w:tcW w:w="2271" w:type="dxa"/>
            <w:vAlign w:val="center"/>
          </w:tcPr>
          <w:p>
            <w:pPr>
              <w:widowControl/>
              <w:spacing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786" w:type="dxa"/>
            <w:vMerge w:val="continue"/>
            <w:vAlign w:val="center"/>
          </w:tcPr>
          <w:p>
            <w:pPr>
              <w:jc w:val="center"/>
              <w:rPr>
                <w:rFonts w:asciiTheme="minorEastAsia" w:hAnsiTheme="minorEastAsia" w:eastAsiaTheme="minorEastAsia" w:cstheme="minorEastAsia"/>
                <w:sz w:val="24"/>
              </w:rPr>
            </w:pPr>
          </w:p>
        </w:tc>
        <w:tc>
          <w:tcPr>
            <w:tcW w:w="1500" w:type="dxa"/>
            <w:vMerge w:val="continue"/>
            <w:vAlign w:val="center"/>
          </w:tcPr>
          <w:p>
            <w:pPr>
              <w:rPr>
                <w:rFonts w:asciiTheme="minorEastAsia" w:hAnsiTheme="minorEastAsia" w:eastAsiaTheme="minorEastAsia" w:cstheme="minorEastAsia"/>
                <w:sz w:val="24"/>
                <w:lang w:val="zh-CN"/>
              </w:rPr>
            </w:pPr>
          </w:p>
        </w:tc>
        <w:tc>
          <w:tcPr>
            <w:tcW w:w="4700" w:type="dxa"/>
            <w:vAlign w:val="center"/>
          </w:tcPr>
          <w:p>
            <w:pPr>
              <w:pStyle w:val="2"/>
              <w:spacing w:line="360" w:lineRule="auto"/>
              <w:rPr>
                <w:rFonts w:asciiTheme="minorEastAsia" w:hAnsiTheme="minorEastAsia" w:eastAsiaTheme="minorEastAsia" w:cstheme="minorEastAsia"/>
                <w:sz w:val="24"/>
                <w:lang w:val="zh-CN"/>
              </w:rPr>
            </w:pPr>
            <w:r>
              <w:rPr>
                <w:rStyle w:val="27"/>
                <w:rFonts w:hint="eastAsia" w:ascii="宋体" w:hAnsi="宋体" w:cs="宋体"/>
                <w:b w:val="0"/>
                <w:bCs/>
                <w:kern w:val="0"/>
                <w:sz w:val="24"/>
                <w:szCs w:val="22"/>
              </w:rPr>
              <w:t>（2）项目负责人具有市政工程建造师二级及以上（市政专业）</w:t>
            </w:r>
            <w:r>
              <w:rPr>
                <w:rFonts w:hint="eastAsia" w:ascii="宋体" w:hAnsi="宋体" w:cs="宋体"/>
                <w:bCs/>
                <w:kern w:val="0"/>
                <w:sz w:val="24"/>
                <w:szCs w:val="22"/>
              </w:rPr>
              <w:t>并取得有效期内的安全生产考核合格证（A类或B类）</w:t>
            </w:r>
            <w:r>
              <w:rPr>
                <w:rStyle w:val="27"/>
                <w:rFonts w:hint="eastAsia" w:ascii="宋体" w:hAnsi="宋体" w:cs="宋体"/>
                <w:b w:val="0"/>
                <w:bCs/>
                <w:kern w:val="0"/>
                <w:sz w:val="24"/>
                <w:szCs w:val="22"/>
              </w:rPr>
              <w:t>。</w:t>
            </w:r>
          </w:p>
        </w:tc>
        <w:tc>
          <w:tcPr>
            <w:tcW w:w="2271" w:type="dxa"/>
            <w:vAlign w:val="center"/>
          </w:tcPr>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jc w:val="center"/>
        </w:trPr>
        <w:tc>
          <w:tcPr>
            <w:tcW w:w="786" w:type="dxa"/>
            <w:vMerge w:val="continue"/>
            <w:vAlign w:val="center"/>
          </w:tcPr>
          <w:p>
            <w:pPr>
              <w:jc w:val="center"/>
              <w:rPr>
                <w:rFonts w:asciiTheme="minorEastAsia" w:hAnsiTheme="minorEastAsia" w:eastAsiaTheme="minorEastAsia" w:cstheme="minorEastAsia"/>
                <w:sz w:val="24"/>
              </w:rPr>
            </w:pPr>
          </w:p>
        </w:tc>
        <w:tc>
          <w:tcPr>
            <w:tcW w:w="1500" w:type="dxa"/>
            <w:vMerge w:val="continue"/>
            <w:vAlign w:val="center"/>
          </w:tcPr>
          <w:p>
            <w:pPr>
              <w:rPr>
                <w:rFonts w:asciiTheme="minorEastAsia" w:hAnsiTheme="minorEastAsia" w:eastAsiaTheme="minorEastAsia" w:cstheme="minorEastAsia"/>
                <w:sz w:val="24"/>
                <w:lang w:val="zh-CN"/>
              </w:rPr>
            </w:pPr>
          </w:p>
        </w:tc>
        <w:tc>
          <w:tcPr>
            <w:tcW w:w="4700" w:type="dxa"/>
            <w:vAlign w:val="center"/>
          </w:tcPr>
          <w:p>
            <w:pPr>
              <w:pStyle w:val="2"/>
              <w:spacing w:line="360" w:lineRule="auto"/>
              <w:rPr>
                <w:rStyle w:val="27"/>
                <w:rFonts w:ascii="宋体" w:hAnsi="宋体" w:cs="宋体"/>
                <w:b w:val="0"/>
                <w:bCs/>
                <w:kern w:val="0"/>
                <w:sz w:val="24"/>
                <w:szCs w:val="22"/>
              </w:rPr>
            </w:pPr>
            <w:r>
              <w:rPr>
                <w:rStyle w:val="27"/>
                <w:rFonts w:hint="eastAsia" w:ascii="宋体" w:hAnsi="宋体" w:cs="宋体"/>
                <w:b w:val="0"/>
                <w:bCs/>
                <w:kern w:val="0"/>
                <w:sz w:val="24"/>
                <w:szCs w:val="22"/>
              </w:rPr>
              <w:t>（3）疆外申请人应具有新疆维吾尔自治区住房和城乡建设厅出具的有效期内的《（2021）年新疆维吾尔自治区区外进疆建筑企业信息报送册》且信息报送册中具备本招标公告要求的相应施工资质。</w:t>
            </w:r>
          </w:p>
        </w:tc>
        <w:tc>
          <w:tcPr>
            <w:tcW w:w="2271" w:type="dxa"/>
            <w:vAlign w:val="center"/>
          </w:tcPr>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8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6200" w:type="dxa"/>
            <w:gridSpan w:val="2"/>
            <w:vAlign w:val="center"/>
          </w:tcPr>
          <w:p>
            <w:pP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不支持联合体</w:t>
            </w:r>
          </w:p>
        </w:tc>
        <w:tc>
          <w:tcPr>
            <w:tcW w:w="2271" w:type="dxa"/>
            <w:vAlign w:val="center"/>
          </w:tcPr>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符合招标文件规定</w:t>
            </w:r>
          </w:p>
        </w:tc>
      </w:tr>
    </w:tbl>
    <w:p>
      <w:pPr>
        <w:spacing w:line="360" w:lineRule="auto"/>
        <w:rPr>
          <w:rFonts w:asciiTheme="minorEastAsia" w:hAnsiTheme="minorEastAsia" w:eastAsiaTheme="minorEastAsia" w:cstheme="minorEastAsia"/>
          <w:b/>
          <w:bCs/>
          <w:sz w:val="24"/>
        </w:rPr>
      </w:pPr>
    </w:p>
    <w:p>
      <w:pPr>
        <w:spacing w:line="360" w:lineRule="auto"/>
        <w:rPr>
          <w:rFonts w:asciiTheme="minorEastAsia" w:hAnsiTheme="minorEastAsia" w:eastAsiaTheme="minorEastAsia" w:cstheme="minorEastAsia"/>
          <w:b/>
          <w:bCs/>
          <w:sz w:val="24"/>
        </w:rPr>
      </w:pPr>
    </w:p>
    <w:p>
      <w:pPr>
        <w:spacing w:line="360" w:lineRule="auto"/>
        <w:rPr>
          <w:rFonts w:asciiTheme="minorEastAsia" w:hAnsiTheme="minorEastAsia" w:eastAsiaTheme="minorEastAsia" w:cstheme="minorEastAsia"/>
          <w:b/>
          <w:bCs/>
          <w:sz w:val="24"/>
        </w:rPr>
      </w:pPr>
    </w:p>
    <w:p>
      <w:pPr>
        <w:pStyle w:val="2"/>
        <w:rPr>
          <w:rFonts w:asciiTheme="minorEastAsia" w:hAnsiTheme="minorEastAsia" w:eastAsiaTheme="minorEastAsia" w:cstheme="minorEastAsia"/>
          <w:b/>
          <w:bCs/>
          <w:sz w:val="24"/>
        </w:rPr>
      </w:pPr>
    </w:p>
    <w:p>
      <w:pPr>
        <w:pStyle w:val="2"/>
        <w:rPr>
          <w:rFonts w:asciiTheme="minorEastAsia" w:hAnsiTheme="minorEastAsia" w:eastAsiaTheme="minorEastAsia" w:cstheme="minorEastAsia"/>
          <w:b/>
          <w:bCs/>
          <w:sz w:val="24"/>
        </w:rPr>
      </w:pPr>
    </w:p>
    <w:p>
      <w:pPr>
        <w:pStyle w:val="2"/>
        <w:rPr>
          <w:rFonts w:asciiTheme="minorEastAsia" w:hAnsiTheme="minorEastAsia" w:eastAsiaTheme="minorEastAsia" w:cstheme="minorEastAsia"/>
          <w:b/>
          <w:bCs/>
          <w:sz w:val="24"/>
        </w:rPr>
      </w:pPr>
    </w:p>
    <w:p>
      <w:pPr>
        <w:pStyle w:val="2"/>
        <w:rPr>
          <w:rFonts w:asciiTheme="minorEastAsia" w:hAnsiTheme="minorEastAsia" w:eastAsiaTheme="minorEastAsia" w:cstheme="minorEastAsia"/>
          <w:b/>
          <w:bCs/>
          <w:sz w:val="24"/>
        </w:rPr>
      </w:pPr>
    </w:p>
    <w:p>
      <w:pPr>
        <w:spacing w:line="360" w:lineRule="auto"/>
        <w:rPr>
          <w:rFonts w:asciiTheme="minorEastAsia" w:hAnsiTheme="minorEastAsia" w:eastAsiaTheme="minorEastAsia" w:cstheme="minorEastAsia"/>
          <w:b/>
          <w:bCs/>
          <w:sz w:val="24"/>
        </w:rPr>
      </w:pP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2、符合性审查</w:t>
      </w:r>
    </w:p>
    <w:tbl>
      <w:tblPr>
        <w:tblStyle w:val="24"/>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01"/>
        <w:gridCol w:w="2366"/>
        <w:gridCol w:w="4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04" w:type="dxa"/>
            <w:vAlign w:val="center"/>
          </w:tcPr>
          <w:p>
            <w:pPr>
              <w:spacing w:line="5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3867" w:type="dxa"/>
            <w:gridSpan w:val="2"/>
            <w:vAlign w:val="center"/>
          </w:tcPr>
          <w:p>
            <w:pPr>
              <w:spacing w:line="5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评审因素</w:t>
            </w:r>
          </w:p>
        </w:tc>
        <w:tc>
          <w:tcPr>
            <w:tcW w:w="4266" w:type="dxa"/>
            <w:vAlign w:val="center"/>
          </w:tcPr>
          <w:p>
            <w:pPr>
              <w:spacing w:line="5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4" w:type="dxa"/>
            <w:vMerge w:val="restart"/>
            <w:vAlign w:val="center"/>
          </w:tcPr>
          <w:p>
            <w:pPr>
              <w:spacing w:line="5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1501" w:type="dxa"/>
            <w:vMerge w:val="restart"/>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有效性审查</w:t>
            </w:r>
          </w:p>
        </w:tc>
        <w:tc>
          <w:tcPr>
            <w:tcW w:w="23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投标文件</w:t>
            </w:r>
            <w:r>
              <w:rPr>
                <w:rFonts w:hint="eastAsia" w:asciiTheme="minorEastAsia" w:hAnsiTheme="minorEastAsia" w:eastAsiaTheme="minorEastAsia" w:cstheme="minorEastAsia"/>
                <w:sz w:val="24"/>
              </w:rPr>
              <w:t>签署</w:t>
            </w:r>
          </w:p>
        </w:tc>
        <w:tc>
          <w:tcPr>
            <w:tcW w:w="42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投标文件</w:t>
            </w:r>
            <w:r>
              <w:rPr>
                <w:rFonts w:hint="eastAsia" w:asciiTheme="minorEastAsia" w:hAnsiTheme="minorEastAsia" w:eastAsiaTheme="minorEastAsia" w:cstheme="minorEastAsia"/>
                <w:sz w:val="24"/>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704" w:type="dxa"/>
            <w:vMerge w:val="continue"/>
            <w:vAlign w:val="center"/>
          </w:tcPr>
          <w:p>
            <w:pPr>
              <w:spacing w:line="500" w:lineRule="exact"/>
              <w:jc w:val="center"/>
              <w:rPr>
                <w:rFonts w:asciiTheme="minorEastAsia" w:hAnsiTheme="minorEastAsia" w:eastAsiaTheme="minorEastAsia" w:cstheme="minorEastAsia"/>
                <w:kern w:val="0"/>
                <w:sz w:val="24"/>
              </w:rPr>
            </w:pPr>
          </w:p>
        </w:tc>
        <w:tc>
          <w:tcPr>
            <w:tcW w:w="1501" w:type="dxa"/>
            <w:vMerge w:val="continue"/>
            <w:vAlign w:val="center"/>
          </w:tcPr>
          <w:p>
            <w:pPr>
              <w:spacing w:line="500" w:lineRule="exact"/>
              <w:rPr>
                <w:rFonts w:asciiTheme="minorEastAsia" w:hAnsiTheme="minorEastAsia" w:eastAsiaTheme="minorEastAsia" w:cstheme="minorEastAsia"/>
                <w:kern w:val="0"/>
                <w:sz w:val="24"/>
              </w:rPr>
            </w:pPr>
          </w:p>
        </w:tc>
        <w:tc>
          <w:tcPr>
            <w:tcW w:w="2366"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法定代表人身份证明及授权委托书</w:t>
            </w:r>
          </w:p>
        </w:tc>
        <w:tc>
          <w:tcPr>
            <w:tcW w:w="4266"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法定代表人身份证明及授权委托书有效，且符合招标文件规定的格式，签字或盖章齐全。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704" w:type="dxa"/>
            <w:vMerge w:val="restart"/>
            <w:vAlign w:val="center"/>
          </w:tcPr>
          <w:p>
            <w:pPr>
              <w:spacing w:line="5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501" w:type="dxa"/>
            <w:vMerge w:val="restart"/>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完整性审查</w:t>
            </w:r>
          </w:p>
        </w:tc>
        <w:tc>
          <w:tcPr>
            <w:tcW w:w="23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投标文件份数</w:t>
            </w:r>
          </w:p>
        </w:tc>
        <w:tc>
          <w:tcPr>
            <w:tcW w:w="42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投标文件正本、副本等投标文件数量符合</w:t>
            </w:r>
            <w:r>
              <w:rPr>
                <w:rFonts w:hint="eastAsia" w:asciiTheme="minorEastAsia" w:hAnsiTheme="minorEastAsia" w:eastAsiaTheme="minorEastAsia" w:cstheme="minorEastAsia"/>
                <w:kern w:val="0"/>
                <w:sz w:val="24"/>
              </w:rPr>
              <w:t>招标文件</w:t>
            </w:r>
            <w:r>
              <w:rPr>
                <w:rFonts w:hint="eastAsia" w:asciiTheme="minorEastAsia" w:hAnsiTheme="minorEastAsia" w:eastAsiaTheme="minorEastAsia" w:cstheme="minorEastAsia"/>
                <w:sz w:val="24"/>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4" w:type="dxa"/>
            <w:vMerge w:val="continue"/>
            <w:vAlign w:val="center"/>
          </w:tcPr>
          <w:p>
            <w:pPr>
              <w:spacing w:line="500" w:lineRule="exact"/>
              <w:jc w:val="center"/>
              <w:rPr>
                <w:rFonts w:asciiTheme="minorEastAsia" w:hAnsiTheme="minorEastAsia" w:eastAsiaTheme="minorEastAsia" w:cstheme="minorEastAsia"/>
                <w:kern w:val="0"/>
                <w:sz w:val="24"/>
              </w:rPr>
            </w:pPr>
          </w:p>
        </w:tc>
        <w:tc>
          <w:tcPr>
            <w:tcW w:w="1501" w:type="dxa"/>
            <w:vMerge w:val="continue"/>
            <w:vAlign w:val="center"/>
          </w:tcPr>
          <w:p>
            <w:pPr>
              <w:spacing w:line="500" w:lineRule="exact"/>
              <w:rPr>
                <w:rFonts w:asciiTheme="minorEastAsia" w:hAnsiTheme="minorEastAsia" w:eastAsiaTheme="minorEastAsia" w:cstheme="minorEastAsia"/>
                <w:kern w:val="0"/>
                <w:sz w:val="24"/>
              </w:rPr>
            </w:pPr>
          </w:p>
        </w:tc>
        <w:tc>
          <w:tcPr>
            <w:tcW w:w="2366" w:type="dxa"/>
            <w:vAlign w:val="center"/>
          </w:tcPr>
          <w:p>
            <w:pPr>
              <w:spacing w:line="50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投标文件内容</w:t>
            </w:r>
          </w:p>
        </w:tc>
        <w:tc>
          <w:tcPr>
            <w:tcW w:w="4266" w:type="dxa"/>
            <w:vAlign w:val="center"/>
          </w:tcPr>
          <w:p>
            <w:pPr>
              <w:spacing w:line="50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4" w:type="dxa"/>
            <w:vMerge w:val="restart"/>
            <w:vAlign w:val="center"/>
          </w:tcPr>
          <w:p>
            <w:pPr>
              <w:spacing w:line="5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1501" w:type="dxa"/>
            <w:vMerge w:val="restart"/>
            <w:vAlign w:val="center"/>
          </w:tcPr>
          <w:p>
            <w:pPr>
              <w:spacing w:line="50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招标文件的投标程度审查</w:t>
            </w:r>
          </w:p>
        </w:tc>
        <w:tc>
          <w:tcPr>
            <w:tcW w:w="23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投标文件</w:t>
            </w:r>
            <w:r>
              <w:rPr>
                <w:rFonts w:hint="eastAsia" w:asciiTheme="minorEastAsia" w:hAnsiTheme="minorEastAsia" w:eastAsiaTheme="minorEastAsia" w:cstheme="minorEastAsia"/>
                <w:kern w:val="0"/>
                <w:sz w:val="24"/>
              </w:rPr>
              <w:t>内容</w:t>
            </w:r>
          </w:p>
        </w:tc>
        <w:tc>
          <w:tcPr>
            <w:tcW w:w="4266" w:type="dxa"/>
            <w:vAlign w:val="center"/>
          </w:tcPr>
          <w:p>
            <w:pPr>
              <w:pStyle w:val="12"/>
              <w:spacing w:line="500" w:lineRule="exact"/>
              <w:ind w:left="0" w:leftChars="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对招标文件规定的内容全部做出投标。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4" w:type="dxa"/>
            <w:vMerge w:val="continue"/>
            <w:vAlign w:val="center"/>
          </w:tcPr>
          <w:p>
            <w:pPr>
              <w:spacing w:line="500" w:lineRule="exact"/>
              <w:jc w:val="center"/>
              <w:rPr>
                <w:rFonts w:asciiTheme="minorEastAsia" w:hAnsiTheme="minorEastAsia" w:eastAsiaTheme="minorEastAsia" w:cstheme="minorEastAsia"/>
                <w:kern w:val="0"/>
                <w:sz w:val="24"/>
              </w:rPr>
            </w:pPr>
          </w:p>
        </w:tc>
        <w:tc>
          <w:tcPr>
            <w:tcW w:w="1501" w:type="dxa"/>
            <w:vMerge w:val="continue"/>
            <w:vAlign w:val="center"/>
          </w:tcPr>
          <w:p>
            <w:pPr>
              <w:spacing w:line="500" w:lineRule="exact"/>
              <w:rPr>
                <w:rFonts w:asciiTheme="minorEastAsia" w:hAnsiTheme="minorEastAsia" w:eastAsiaTheme="minorEastAsia" w:cstheme="minorEastAsia"/>
                <w:kern w:val="0"/>
                <w:sz w:val="24"/>
              </w:rPr>
            </w:pPr>
          </w:p>
        </w:tc>
        <w:tc>
          <w:tcPr>
            <w:tcW w:w="23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质量技术</w:t>
            </w:r>
          </w:p>
        </w:tc>
        <w:tc>
          <w:tcPr>
            <w:tcW w:w="42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4" w:type="dxa"/>
            <w:vMerge w:val="continue"/>
            <w:vAlign w:val="center"/>
          </w:tcPr>
          <w:p>
            <w:pPr>
              <w:spacing w:line="500" w:lineRule="exact"/>
              <w:jc w:val="center"/>
              <w:rPr>
                <w:rFonts w:asciiTheme="minorEastAsia" w:hAnsiTheme="minorEastAsia" w:eastAsiaTheme="minorEastAsia" w:cstheme="minorEastAsia"/>
                <w:kern w:val="0"/>
                <w:sz w:val="24"/>
              </w:rPr>
            </w:pPr>
          </w:p>
        </w:tc>
        <w:tc>
          <w:tcPr>
            <w:tcW w:w="1501" w:type="dxa"/>
            <w:vMerge w:val="continue"/>
            <w:vAlign w:val="center"/>
          </w:tcPr>
          <w:p>
            <w:pPr>
              <w:spacing w:line="500" w:lineRule="exact"/>
              <w:rPr>
                <w:rFonts w:asciiTheme="minorEastAsia" w:hAnsiTheme="minorEastAsia" w:eastAsiaTheme="minorEastAsia" w:cstheme="minorEastAsia"/>
                <w:kern w:val="0"/>
                <w:sz w:val="24"/>
              </w:rPr>
            </w:pPr>
          </w:p>
        </w:tc>
        <w:tc>
          <w:tcPr>
            <w:tcW w:w="23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项目进度服务期限</w:t>
            </w:r>
          </w:p>
        </w:tc>
        <w:tc>
          <w:tcPr>
            <w:tcW w:w="42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w:t>
            </w:r>
            <w:r>
              <w:rPr>
                <w:rFonts w:hint="eastAsia" w:asciiTheme="minorEastAsia" w:hAnsiTheme="minorEastAsia" w:eastAsiaTheme="minorEastAsia" w:cstheme="minorEastAsia"/>
                <w:sz w:val="24"/>
                <w:lang w:val="zh-CN"/>
              </w:rPr>
              <w:t>规定</w:t>
            </w: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4" w:type="dxa"/>
            <w:vMerge w:val="continue"/>
            <w:vAlign w:val="center"/>
          </w:tcPr>
          <w:p>
            <w:pPr>
              <w:spacing w:line="500" w:lineRule="exact"/>
              <w:jc w:val="center"/>
              <w:rPr>
                <w:rFonts w:asciiTheme="minorEastAsia" w:hAnsiTheme="minorEastAsia" w:eastAsiaTheme="minorEastAsia" w:cstheme="minorEastAsia"/>
                <w:kern w:val="0"/>
                <w:sz w:val="24"/>
              </w:rPr>
            </w:pPr>
          </w:p>
        </w:tc>
        <w:tc>
          <w:tcPr>
            <w:tcW w:w="1501" w:type="dxa"/>
            <w:vMerge w:val="continue"/>
            <w:vAlign w:val="center"/>
          </w:tcPr>
          <w:p>
            <w:pPr>
              <w:spacing w:line="500" w:lineRule="exact"/>
              <w:rPr>
                <w:rFonts w:asciiTheme="minorEastAsia" w:hAnsiTheme="minorEastAsia" w:eastAsiaTheme="minorEastAsia" w:cstheme="minorEastAsia"/>
                <w:kern w:val="0"/>
                <w:sz w:val="24"/>
              </w:rPr>
            </w:pPr>
          </w:p>
        </w:tc>
        <w:tc>
          <w:tcPr>
            <w:tcW w:w="23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w:t>
            </w:r>
          </w:p>
        </w:tc>
        <w:tc>
          <w:tcPr>
            <w:tcW w:w="42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w:t>
            </w:r>
            <w:r>
              <w:rPr>
                <w:rFonts w:hint="eastAsia" w:asciiTheme="minorEastAsia" w:hAnsiTheme="minorEastAsia" w:eastAsiaTheme="minorEastAsia" w:cstheme="minorEastAsia"/>
                <w:sz w:val="24"/>
                <w:lang w:val="zh-CN"/>
              </w:rPr>
              <w:t>规定</w:t>
            </w: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04" w:type="dxa"/>
            <w:vMerge w:val="continue"/>
            <w:vAlign w:val="center"/>
          </w:tcPr>
          <w:p>
            <w:pPr>
              <w:spacing w:line="500" w:lineRule="exact"/>
              <w:jc w:val="center"/>
              <w:rPr>
                <w:rFonts w:asciiTheme="minorEastAsia" w:hAnsiTheme="minorEastAsia" w:eastAsiaTheme="minorEastAsia" w:cstheme="minorEastAsia"/>
                <w:kern w:val="0"/>
                <w:sz w:val="24"/>
              </w:rPr>
            </w:pPr>
          </w:p>
        </w:tc>
        <w:tc>
          <w:tcPr>
            <w:tcW w:w="1501" w:type="dxa"/>
            <w:vMerge w:val="continue"/>
            <w:vAlign w:val="center"/>
          </w:tcPr>
          <w:p>
            <w:pPr>
              <w:spacing w:line="500" w:lineRule="exact"/>
              <w:rPr>
                <w:rFonts w:asciiTheme="minorEastAsia" w:hAnsiTheme="minorEastAsia" w:eastAsiaTheme="minorEastAsia" w:cstheme="minorEastAsia"/>
                <w:sz w:val="24"/>
                <w:lang w:val="zh-CN"/>
              </w:rPr>
            </w:pPr>
          </w:p>
        </w:tc>
        <w:tc>
          <w:tcPr>
            <w:tcW w:w="23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投标文件</w:t>
            </w:r>
            <w:r>
              <w:rPr>
                <w:rFonts w:hint="eastAsia" w:asciiTheme="minorEastAsia" w:hAnsiTheme="minorEastAsia" w:eastAsiaTheme="minorEastAsia" w:cstheme="minorEastAsia"/>
                <w:kern w:val="0"/>
                <w:sz w:val="24"/>
              </w:rPr>
              <w:t>有效期</w:t>
            </w:r>
          </w:p>
        </w:tc>
        <w:tc>
          <w:tcPr>
            <w:tcW w:w="4266" w:type="dxa"/>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w:t>
            </w:r>
            <w:r>
              <w:rPr>
                <w:rFonts w:hint="eastAsia" w:asciiTheme="minorEastAsia" w:hAnsiTheme="minorEastAsia" w:eastAsiaTheme="minorEastAsia" w:cstheme="minorEastAsia"/>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04" w:type="dxa"/>
            <w:vMerge w:val="continue"/>
            <w:tcBorders>
              <w:bottom w:val="single" w:color="auto" w:sz="4" w:space="0"/>
            </w:tcBorders>
            <w:vAlign w:val="center"/>
          </w:tcPr>
          <w:p>
            <w:pPr>
              <w:spacing w:line="500" w:lineRule="exact"/>
              <w:jc w:val="center"/>
              <w:rPr>
                <w:rFonts w:asciiTheme="minorEastAsia" w:hAnsiTheme="minorEastAsia" w:eastAsiaTheme="minorEastAsia" w:cstheme="minorEastAsia"/>
                <w:kern w:val="0"/>
                <w:sz w:val="24"/>
              </w:rPr>
            </w:pPr>
          </w:p>
        </w:tc>
        <w:tc>
          <w:tcPr>
            <w:tcW w:w="1501" w:type="dxa"/>
            <w:vMerge w:val="continue"/>
            <w:tcBorders>
              <w:bottom w:val="single" w:color="auto" w:sz="4" w:space="0"/>
            </w:tcBorders>
            <w:vAlign w:val="center"/>
          </w:tcPr>
          <w:p>
            <w:pPr>
              <w:spacing w:line="500" w:lineRule="exact"/>
              <w:rPr>
                <w:rFonts w:asciiTheme="minorEastAsia" w:hAnsiTheme="minorEastAsia" w:eastAsiaTheme="minorEastAsia" w:cstheme="minorEastAsia"/>
                <w:sz w:val="24"/>
                <w:lang w:val="zh-CN"/>
              </w:rPr>
            </w:pPr>
          </w:p>
        </w:tc>
        <w:tc>
          <w:tcPr>
            <w:tcW w:w="2366" w:type="dxa"/>
            <w:tcBorders>
              <w:bottom w:val="single" w:color="auto" w:sz="4" w:space="0"/>
            </w:tcBorders>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其他</w:t>
            </w:r>
          </w:p>
        </w:tc>
        <w:tc>
          <w:tcPr>
            <w:tcW w:w="4266" w:type="dxa"/>
            <w:tcBorders>
              <w:bottom w:val="single" w:color="auto" w:sz="4" w:space="0"/>
            </w:tcBorders>
            <w:vAlign w:val="center"/>
          </w:tcPr>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满足招标文件相关</w:t>
            </w:r>
            <w:r>
              <w:rPr>
                <w:rFonts w:hint="eastAsia" w:asciiTheme="minorEastAsia" w:hAnsiTheme="minorEastAsia" w:eastAsiaTheme="minorEastAsia" w:cstheme="minorEastAsia"/>
                <w:sz w:val="24"/>
                <w:lang w:val="zh-CN"/>
              </w:rPr>
              <w:t>规定。</w:t>
            </w:r>
          </w:p>
        </w:tc>
      </w:tr>
    </w:tbl>
    <w:p>
      <w:pPr>
        <w:rPr>
          <w:rFonts w:ascii="宋体" w:hAnsi="宋体" w:cs="宋体"/>
          <w:b/>
          <w:sz w:val="24"/>
        </w:rPr>
        <w:sectPr>
          <w:headerReference r:id="rId3" w:type="default"/>
          <w:footerReference r:id="rId4" w:type="default"/>
          <w:pgSz w:w="11906" w:h="16838"/>
          <w:pgMar w:top="1440" w:right="1486" w:bottom="1440" w:left="1600" w:header="851" w:footer="992" w:gutter="0"/>
          <w:pgNumType w:fmt="numberInDash"/>
          <w:cols w:space="425" w:num="1"/>
          <w:docGrid w:type="lines" w:linePitch="312" w:charSpace="0"/>
        </w:sectPr>
      </w:pPr>
      <w:r>
        <w:rPr>
          <w:rFonts w:hint="eastAsia" w:ascii="宋体" w:hAnsi="宋体" w:cs="宋体"/>
          <w:b/>
          <w:sz w:val="24"/>
        </w:rPr>
        <w:t>注：以上评审内容，有一项不通过者，视为投标人初步评审不通过，未通过初审的其投标文件将按照无效投标处理</w:t>
      </w:r>
    </w:p>
    <w:p>
      <w:pPr>
        <w:spacing w:before="38"/>
        <w:jc w:val="left"/>
        <w:rPr>
          <w:sz w:val="24"/>
        </w:rPr>
      </w:pPr>
      <w:r>
        <w:rPr>
          <w:rFonts w:hint="eastAsia" w:ascii="宋体" w:hAnsi="宋体" w:cs="宋体"/>
          <w:b/>
          <w:bCs/>
          <w:sz w:val="24"/>
        </w:rPr>
        <w:t>3、评分</w:t>
      </w:r>
    </w:p>
    <w:p>
      <w:pPr>
        <w:spacing w:before="38"/>
        <w:ind w:firstLine="480" w:firstLineChars="200"/>
        <w:jc w:val="left"/>
        <w:rPr>
          <w:rFonts w:ascii="宋体" w:hAnsi="宋体" w:cs="宋体"/>
          <w:sz w:val="24"/>
        </w:rPr>
      </w:pPr>
      <w:r>
        <w:rPr>
          <w:rFonts w:hint="eastAsia" w:ascii="宋体" w:hAnsi="宋体" w:cs="宋体"/>
          <w:sz w:val="24"/>
        </w:rPr>
        <w:t>本项目评审采用</w:t>
      </w:r>
      <w:r>
        <w:rPr>
          <w:rFonts w:hint="eastAsia" w:ascii="宋体" w:hAnsi="宋体" w:cs="宋体"/>
          <w:b/>
          <w:bCs/>
          <w:sz w:val="24"/>
        </w:rPr>
        <w:t>综合评分法</w:t>
      </w:r>
      <w:r>
        <w:rPr>
          <w:rFonts w:hint="eastAsia" w:ascii="宋体" w:hAnsi="宋体" w:cs="宋体"/>
          <w:sz w:val="24"/>
        </w:rPr>
        <w:t>。由商务部分、技术部分二部分组成，总分值为 100分。详细如下：</w:t>
      </w:r>
    </w:p>
    <w:tbl>
      <w:tblPr>
        <w:tblStyle w:val="24"/>
        <w:tblpPr w:leftFromText="180" w:rightFromText="180" w:vertAnchor="text" w:horzAnchor="page" w:tblpXSpec="center" w:tblpY="1036"/>
        <w:tblW w:w="9627" w:type="dxa"/>
        <w:tblInd w:w="0" w:type="dxa"/>
        <w:tblLayout w:type="fixed"/>
        <w:tblCellMar>
          <w:top w:w="0" w:type="dxa"/>
          <w:left w:w="108" w:type="dxa"/>
          <w:bottom w:w="0" w:type="dxa"/>
          <w:right w:w="108" w:type="dxa"/>
        </w:tblCellMar>
      </w:tblPr>
      <w:tblGrid>
        <w:gridCol w:w="494"/>
        <w:gridCol w:w="956"/>
        <w:gridCol w:w="7427"/>
        <w:gridCol w:w="750"/>
      </w:tblGrid>
      <w:tr>
        <w:tblPrEx>
          <w:tblCellMar>
            <w:top w:w="0" w:type="dxa"/>
            <w:left w:w="108" w:type="dxa"/>
            <w:bottom w:w="0" w:type="dxa"/>
            <w:right w:w="108" w:type="dxa"/>
          </w:tblCellMar>
        </w:tblPrEx>
        <w:trPr>
          <w:trHeight w:val="663" w:hRule="atLeast"/>
        </w:trPr>
        <w:tc>
          <w:tcPr>
            <w:tcW w:w="494" w:type="dxa"/>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序号</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评审</w:t>
            </w:r>
          </w:p>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xml:space="preserve">指标         </w:t>
            </w:r>
          </w:p>
        </w:tc>
        <w:tc>
          <w:tcPr>
            <w:tcW w:w="7427"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评分标准</w:t>
            </w:r>
          </w:p>
        </w:tc>
        <w:tc>
          <w:tcPr>
            <w:tcW w:w="7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分值</w:t>
            </w:r>
          </w:p>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范围</w:t>
            </w:r>
          </w:p>
        </w:tc>
      </w:tr>
      <w:tr>
        <w:tblPrEx>
          <w:tblCellMar>
            <w:top w:w="0" w:type="dxa"/>
            <w:left w:w="108" w:type="dxa"/>
            <w:bottom w:w="0" w:type="dxa"/>
            <w:right w:w="108" w:type="dxa"/>
          </w:tblCellMar>
        </w:tblPrEx>
        <w:trPr>
          <w:trHeight w:val="981" w:hRule="atLeast"/>
        </w:trPr>
        <w:tc>
          <w:tcPr>
            <w:tcW w:w="494" w:type="dxa"/>
            <w:tcBorders>
              <w:top w:val="single" w:color="auto" w:sz="4" w:space="0"/>
              <w:left w:val="single" w:color="auto" w:sz="4" w:space="0"/>
              <w:bottom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商务</w:t>
            </w:r>
          </w:p>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报价</w:t>
            </w:r>
          </w:p>
          <w:p>
            <w:pPr>
              <w:pStyle w:val="2"/>
              <w:rPr>
                <w:sz w:val="20"/>
                <w:szCs w:val="22"/>
              </w:rPr>
            </w:pPr>
            <w:r>
              <w:rPr>
                <w:rFonts w:hint="eastAsia" w:asciiTheme="minorEastAsia" w:hAnsiTheme="minorEastAsia" w:eastAsiaTheme="minorEastAsia" w:cstheme="minorEastAsia"/>
                <w:kern w:val="0"/>
                <w:sz w:val="22"/>
                <w:szCs w:val="22"/>
              </w:rPr>
              <w:t>(15分）</w:t>
            </w:r>
          </w:p>
        </w:tc>
        <w:tc>
          <w:tcPr>
            <w:tcW w:w="742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Cs/>
                <w:kern w:val="0"/>
                <w:sz w:val="22"/>
                <w:szCs w:val="22"/>
                <w:highlight w:val="none"/>
              </w:rPr>
              <w:t>满足招标文件要求的所有投标人的最</w:t>
            </w:r>
            <w:r>
              <w:rPr>
                <w:rFonts w:hint="eastAsia" w:asciiTheme="minorEastAsia" w:hAnsiTheme="minorEastAsia" w:eastAsiaTheme="minorEastAsia" w:cstheme="minorEastAsia"/>
                <w:bCs/>
                <w:kern w:val="0"/>
                <w:sz w:val="22"/>
                <w:szCs w:val="22"/>
                <w:highlight w:val="none"/>
                <w:lang w:eastAsia="zh-CN"/>
              </w:rPr>
              <w:t>高下浮率</w:t>
            </w:r>
            <w:r>
              <w:rPr>
                <w:rFonts w:hint="eastAsia" w:asciiTheme="minorEastAsia" w:hAnsiTheme="minorEastAsia" w:eastAsiaTheme="minorEastAsia" w:cstheme="minorEastAsia"/>
                <w:bCs/>
                <w:kern w:val="0"/>
                <w:sz w:val="22"/>
                <w:szCs w:val="22"/>
                <w:highlight w:val="none"/>
              </w:rPr>
              <w:t>报价为基准价，最</w:t>
            </w:r>
            <w:r>
              <w:rPr>
                <w:rFonts w:hint="eastAsia" w:asciiTheme="minorEastAsia" w:hAnsiTheme="minorEastAsia" w:eastAsiaTheme="minorEastAsia" w:cstheme="minorEastAsia"/>
                <w:bCs/>
                <w:kern w:val="0"/>
                <w:sz w:val="22"/>
                <w:szCs w:val="22"/>
                <w:highlight w:val="none"/>
                <w:lang w:eastAsia="zh-CN"/>
              </w:rPr>
              <w:t>高下浮率</w:t>
            </w:r>
            <w:r>
              <w:rPr>
                <w:rFonts w:hint="eastAsia" w:asciiTheme="minorEastAsia" w:hAnsiTheme="minorEastAsia" w:eastAsiaTheme="minorEastAsia" w:cstheme="minorEastAsia"/>
                <w:bCs/>
                <w:kern w:val="0"/>
                <w:sz w:val="22"/>
                <w:szCs w:val="22"/>
                <w:highlight w:val="none"/>
              </w:rPr>
              <w:t>报价等于基准价时，得15分，下浮率不得低于5%，超出的为无效投标报价。</w:t>
            </w:r>
            <w:r>
              <w:rPr>
                <w:rFonts w:hint="eastAsia" w:asciiTheme="minorEastAsia" w:hAnsiTheme="minorEastAsia" w:eastAsiaTheme="minorEastAsia" w:cstheme="minorEastAsia"/>
                <w:bCs/>
                <w:color w:val="auto"/>
                <w:kern w:val="0"/>
                <w:sz w:val="21"/>
                <w:szCs w:val="21"/>
                <w:highlight w:val="none"/>
              </w:rPr>
              <w:t xml:space="preserve"> </w:t>
            </w:r>
            <w:r>
              <w:rPr>
                <w:rFonts w:hint="eastAsia" w:asciiTheme="minorEastAsia" w:hAnsiTheme="minorEastAsia" w:eastAsiaTheme="minorEastAsia" w:cstheme="minorEastAsia"/>
                <w:bCs/>
                <w:color w:val="auto"/>
                <w:kern w:val="0"/>
                <w:sz w:val="21"/>
                <w:szCs w:val="21"/>
                <w:highlight w:val="none"/>
                <w:lang w:eastAsia="zh-CN"/>
              </w:rPr>
              <w:t>商务</w:t>
            </w:r>
            <w:r>
              <w:rPr>
                <w:rFonts w:hint="eastAsia" w:asciiTheme="minorEastAsia" w:hAnsiTheme="minorEastAsia" w:eastAsiaTheme="minorEastAsia" w:cstheme="minorEastAsia"/>
                <w:bCs/>
                <w:color w:val="auto"/>
                <w:kern w:val="0"/>
                <w:sz w:val="21"/>
                <w:szCs w:val="21"/>
                <w:highlight w:val="none"/>
              </w:rPr>
              <w:t>报价得分=（</w:t>
            </w:r>
            <w:r>
              <w:rPr>
                <w:rFonts w:hint="eastAsia" w:asciiTheme="minorEastAsia" w:hAnsiTheme="minorEastAsia" w:eastAsiaTheme="minorEastAsia" w:cstheme="minorEastAsia"/>
                <w:bCs/>
                <w:color w:val="auto"/>
                <w:kern w:val="0"/>
                <w:sz w:val="21"/>
                <w:szCs w:val="21"/>
                <w:highlight w:val="none"/>
                <w:lang w:eastAsia="zh-CN"/>
              </w:rPr>
              <w:t>商务</w:t>
            </w:r>
            <w:r>
              <w:rPr>
                <w:rFonts w:hint="eastAsia" w:asciiTheme="minorEastAsia" w:hAnsiTheme="minorEastAsia" w:eastAsiaTheme="minorEastAsia" w:cstheme="minorEastAsia"/>
                <w:bCs/>
                <w:color w:val="auto"/>
                <w:kern w:val="0"/>
                <w:sz w:val="21"/>
                <w:szCs w:val="21"/>
                <w:highlight w:val="none"/>
              </w:rPr>
              <w:t>报价/基准价）×</w:t>
            </w:r>
            <w:r>
              <w:rPr>
                <w:rFonts w:hint="eastAsia" w:asciiTheme="minorEastAsia" w:hAnsiTheme="minorEastAsia" w:eastAsiaTheme="minorEastAsia" w:cstheme="minorEastAsia"/>
                <w:bCs/>
                <w:color w:val="auto"/>
                <w:kern w:val="0"/>
                <w:sz w:val="21"/>
                <w:szCs w:val="21"/>
                <w:highlight w:val="none"/>
                <w:lang w:val="en-US" w:eastAsia="zh-CN"/>
              </w:rPr>
              <w:t>15%</w:t>
            </w:r>
            <w:r>
              <w:rPr>
                <w:rFonts w:hint="eastAsia" w:asciiTheme="minorEastAsia" w:hAnsiTheme="minorEastAsia" w:eastAsiaTheme="minorEastAsia" w:cstheme="minorEastAsia"/>
                <w:bCs/>
                <w:color w:val="auto"/>
                <w:kern w:val="0"/>
                <w:sz w:val="21"/>
                <w:szCs w:val="21"/>
                <w:highlight w:val="none"/>
              </w:rPr>
              <w:t>×100</w:t>
            </w:r>
            <w:r>
              <w:rPr>
                <w:rFonts w:hint="eastAsia" w:asciiTheme="minorEastAsia" w:hAnsiTheme="minorEastAsia" w:eastAsiaTheme="minorEastAsia" w:cstheme="minorEastAsia"/>
                <w:b w:val="0"/>
                <w:bCs/>
                <w:color w:val="auto"/>
                <w:kern w:val="0"/>
                <w:sz w:val="21"/>
                <w:szCs w:val="21"/>
                <w:highlight w:val="none"/>
              </w:rPr>
              <w:t>。</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0-15</w:t>
            </w:r>
          </w:p>
        </w:tc>
      </w:tr>
      <w:tr>
        <w:tblPrEx>
          <w:tblCellMar>
            <w:top w:w="0" w:type="dxa"/>
            <w:left w:w="108" w:type="dxa"/>
            <w:bottom w:w="0" w:type="dxa"/>
            <w:right w:w="108" w:type="dxa"/>
          </w:tblCellMar>
        </w:tblPrEx>
        <w:trPr>
          <w:trHeight w:val="605" w:hRule="atLeast"/>
        </w:trPr>
        <w:tc>
          <w:tcPr>
            <w:tcW w:w="494" w:type="dxa"/>
            <w:vMerge w:val="restart"/>
            <w:tcBorders>
              <w:top w:val="single" w:color="auto" w:sz="4" w:space="0"/>
              <w:left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w:t>
            </w:r>
          </w:p>
        </w:tc>
        <w:tc>
          <w:tcPr>
            <w:tcW w:w="956" w:type="dxa"/>
            <w:vMerge w:val="restart"/>
            <w:tcBorders>
              <w:top w:val="single" w:color="auto" w:sz="4" w:space="0"/>
              <w:left w:val="single" w:color="auto" w:sz="4" w:space="0"/>
              <w:right w:val="single" w:color="auto" w:sz="4" w:space="0"/>
            </w:tcBorders>
            <w:vAlign w:val="center"/>
          </w:tcPr>
          <w:p>
            <w:pPr>
              <w:widowControl/>
              <w:jc w:val="center"/>
            </w:pPr>
            <w:r>
              <w:rPr>
                <w:rFonts w:hint="eastAsia"/>
              </w:rPr>
              <w:t>企业</w:t>
            </w:r>
          </w:p>
          <w:p>
            <w:pPr>
              <w:widowControl/>
              <w:jc w:val="center"/>
            </w:pPr>
            <w:r>
              <w:rPr>
                <w:rFonts w:hint="eastAsia"/>
              </w:rPr>
              <w:t>实力</w:t>
            </w:r>
          </w:p>
          <w:p>
            <w:pPr>
              <w:pStyle w:val="22"/>
              <w:ind w:firstLine="0" w:firstLineChars="0"/>
            </w:pPr>
            <w:r>
              <w:rPr>
                <w:rFonts w:hint="eastAsia" w:ascii="宋体" w:hAnsi="宋体" w:cs="宋体"/>
                <w:color w:val="000000"/>
                <w:kern w:val="0"/>
                <w:sz w:val="22"/>
                <w:szCs w:val="22"/>
                <w:lang w:bidi="ar"/>
              </w:rPr>
              <w:t>(20分）</w:t>
            </w:r>
          </w:p>
        </w:tc>
        <w:tc>
          <w:tcPr>
            <w:tcW w:w="742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Cs/>
                <w:kern w:val="0"/>
                <w:sz w:val="22"/>
                <w:szCs w:val="22"/>
              </w:rPr>
            </w:pPr>
            <w:r>
              <w:rPr>
                <w:rFonts w:hint="eastAsia" w:ascii="宋体" w:hAnsi="宋体" w:cs="宋体"/>
                <w:color w:val="000000"/>
                <w:kern w:val="0"/>
                <w:sz w:val="22"/>
                <w:szCs w:val="22"/>
                <w:lang w:bidi="ar"/>
              </w:rPr>
              <w:t>近三年（2018年1月1日至今）承担过类似同类项目业绩的提供合同复印件。每具有一项得1分，最高得3分，没有不得分。</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0-3</w:t>
            </w:r>
          </w:p>
        </w:tc>
      </w:tr>
      <w:tr>
        <w:tblPrEx>
          <w:tblCellMar>
            <w:top w:w="0" w:type="dxa"/>
            <w:left w:w="108" w:type="dxa"/>
            <w:bottom w:w="0" w:type="dxa"/>
            <w:right w:w="108" w:type="dxa"/>
          </w:tblCellMar>
        </w:tblPrEx>
        <w:trPr>
          <w:trHeight w:val="691" w:hRule="atLeast"/>
        </w:trPr>
        <w:tc>
          <w:tcPr>
            <w:tcW w:w="494" w:type="dxa"/>
            <w:vMerge w:val="continue"/>
            <w:tcBorders>
              <w:left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p>
        </w:tc>
        <w:tc>
          <w:tcPr>
            <w:tcW w:w="956" w:type="dxa"/>
            <w:vMerge w:val="continue"/>
            <w:tcBorders>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p>
        </w:tc>
        <w:tc>
          <w:tcPr>
            <w:tcW w:w="742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近三年用户单位对投标人承担的同类项目反馈意见良好，每提供一份得1分，最高得3分。（附相关证明材料加盖公章，一个项目仅限提供一份反馈材料。）</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0-3</w:t>
            </w:r>
          </w:p>
        </w:tc>
      </w:tr>
      <w:tr>
        <w:tblPrEx>
          <w:tblCellMar>
            <w:top w:w="0" w:type="dxa"/>
            <w:left w:w="108" w:type="dxa"/>
            <w:bottom w:w="0" w:type="dxa"/>
            <w:right w:w="108" w:type="dxa"/>
          </w:tblCellMar>
        </w:tblPrEx>
        <w:trPr>
          <w:trHeight w:val="90" w:hRule="atLeast"/>
        </w:trPr>
        <w:tc>
          <w:tcPr>
            <w:tcW w:w="494" w:type="dxa"/>
            <w:vMerge w:val="continue"/>
            <w:tcBorders>
              <w:left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p>
        </w:tc>
        <w:tc>
          <w:tcPr>
            <w:tcW w:w="956" w:type="dxa"/>
            <w:vMerge w:val="continue"/>
            <w:tcBorders>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p>
        </w:tc>
        <w:tc>
          <w:tcPr>
            <w:tcW w:w="742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投标人提供近三年的财务报表或财务审计报告，每提供一年得1分；本项最多得3分。（附相关证明材料）</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0-3</w:t>
            </w:r>
          </w:p>
        </w:tc>
      </w:tr>
      <w:tr>
        <w:tblPrEx>
          <w:tblCellMar>
            <w:top w:w="0" w:type="dxa"/>
            <w:left w:w="108" w:type="dxa"/>
            <w:bottom w:w="0" w:type="dxa"/>
            <w:right w:w="108" w:type="dxa"/>
          </w:tblCellMar>
        </w:tblPrEx>
        <w:trPr>
          <w:trHeight w:val="1504" w:hRule="atLeast"/>
        </w:trPr>
        <w:tc>
          <w:tcPr>
            <w:tcW w:w="494" w:type="dxa"/>
            <w:vMerge w:val="continue"/>
            <w:tcBorders>
              <w:left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p>
        </w:tc>
        <w:tc>
          <w:tcPr>
            <w:tcW w:w="956" w:type="dxa"/>
            <w:vMerge w:val="continue"/>
            <w:tcBorders>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p>
        </w:tc>
        <w:tc>
          <w:tcPr>
            <w:tcW w:w="742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投标人提供本地强有力的现场管理班子名单,包括投标人项目负责人、项目技术负责人、施工员、质量员、安全员、材料员、机械员、资料员、电工等人员名单，（所有人员须有相应的上岗证或专业技能证明材料及公司为技术人员缴纳社保的证明材料）。人员及证件齐全得7分，每少一人或一证件扣2分，直至扣完为止。</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0-7</w:t>
            </w:r>
          </w:p>
        </w:tc>
      </w:tr>
      <w:tr>
        <w:tblPrEx>
          <w:tblCellMar>
            <w:top w:w="0" w:type="dxa"/>
            <w:left w:w="108" w:type="dxa"/>
            <w:bottom w:w="0" w:type="dxa"/>
            <w:right w:w="108" w:type="dxa"/>
          </w:tblCellMar>
        </w:tblPrEx>
        <w:trPr>
          <w:trHeight w:val="90" w:hRule="atLeast"/>
        </w:trPr>
        <w:tc>
          <w:tcPr>
            <w:tcW w:w="494" w:type="dxa"/>
            <w:vMerge w:val="continue"/>
            <w:tcBorders>
              <w:left w:val="single" w:color="auto" w:sz="4" w:space="0"/>
              <w:bottom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p>
        </w:tc>
        <w:tc>
          <w:tcPr>
            <w:tcW w:w="956" w:type="dxa"/>
            <w:vMerge w:val="continue"/>
            <w:tcBorders>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p>
        </w:tc>
        <w:tc>
          <w:tcPr>
            <w:tcW w:w="742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bCs/>
                <w:kern w:val="0"/>
                <w:sz w:val="22"/>
                <w:szCs w:val="22"/>
              </w:rPr>
            </w:pPr>
            <w:r>
              <w:rPr>
                <w:rFonts w:hint="eastAsia" w:ascii="宋体" w:hAnsi="宋体" w:cs="宋体"/>
                <w:color w:val="000000"/>
                <w:kern w:val="0"/>
                <w:sz w:val="22"/>
                <w:szCs w:val="22"/>
                <w:lang w:bidi="ar"/>
              </w:rPr>
              <w:t>本地现场管理班子名单中每具备一名中级职称及以上的专业技术人员的得1分，最多得4分（附相关证明材料）。</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0-4</w:t>
            </w:r>
          </w:p>
        </w:tc>
      </w:tr>
      <w:tr>
        <w:tblPrEx>
          <w:tblCellMar>
            <w:top w:w="0" w:type="dxa"/>
            <w:left w:w="108" w:type="dxa"/>
            <w:bottom w:w="0" w:type="dxa"/>
            <w:right w:w="108" w:type="dxa"/>
          </w:tblCellMar>
        </w:tblPrEx>
        <w:trPr>
          <w:trHeight w:val="902" w:hRule="atLeast"/>
        </w:trPr>
        <w:tc>
          <w:tcPr>
            <w:tcW w:w="494" w:type="dxa"/>
            <w:vMerge w:val="restart"/>
            <w:tcBorders>
              <w:top w:val="single" w:color="auto" w:sz="4" w:space="0"/>
              <w:left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w:t>
            </w:r>
          </w:p>
        </w:tc>
        <w:tc>
          <w:tcPr>
            <w:tcW w:w="956" w:type="dxa"/>
            <w:vMerge w:val="restart"/>
            <w:tcBorders>
              <w:top w:val="single" w:color="auto" w:sz="4" w:space="0"/>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技术</w:t>
            </w:r>
          </w:p>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方案(50分）</w:t>
            </w:r>
          </w:p>
        </w:tc>
        <w:tc>
          <w:tcPr>
            <w:tcW w:w="7427" w:type="dxa"/>
            <w:tcBorders>
              <w:top w:val="single" w:color="auto" w:sz="4" w:space="0"/>
              <w:left w:val="single" w:color="auto" w:sz="4" w:space="0"/>
              <w:bottom w:val="single" w:color="auto" w:sz="4" w:space="0"/>
              <w:right w:val="single" w:color="auto" w:sz="4" w:space="0"/>
            </w:tcBorders>
          </w:tcPr>
          <w:p>
            <w:pPr>
              <w:pStyle w:val="2"/>
              <w:rPr>
                <w:rFonts w:asciiTheme="minorEastAsia" w:hAnsiTheme="minorEastAsia" w:eastAsiaTheme="minorEastAsia" w:cstheme="minorEastAsia"/>
                <w:color w:val="auto"/>
                <w:kern w:val="0"/>
                <w:sz w:val="22"/>
                <w:szCs w:val="22"/>
              </w:rPr>
            </w:pPr>
            <w:r>
              <w:rPr>
                <w:rFonts w:hint="eastAsia" w:ascii="宋体" w:hAnsi="宋体" w:cs="宋体"/>
                <w:color w:val="auto"/>
                <w:kern w:val="0"/>
                <w:sz w:val="22"/>
                <w:szCs w:val="22"/>
                <w:lang w:bidi="ar"/>
              </w:rPr>
              <w:t>投标人充分了解项目需求、项目实际情况等，结合招标文件要求对计划内和DN300-DN1200重力流排水管线破损维修修缮内容编制切实可行的施工组织方案。排水管线开挖项目要编制针对不同工况下的作业流程、标准、维修措施和必备的辅助工具，非开挖项目要编制使用的机械设备、辅助工具、材料性能、施工流程和完成周期。根据各投标人的方案进行横向对比，内容全面完整具有针对性得19-25分，其次得10-19分，再次得1-9分，内容不全或无此项方案不得分。</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0-25</w:t>
            </w:r>
          </w:p>
        </w:tc>
      </w:tr>
      <w:tr>
        <w:tblPrEx>
          <w:tblCellMar>
            <w:top w:w="0" w:type="dxa"/>
            <w:left w:w="108" w:type="dxa"/>
            <w:bottom w:w="0" w:type="dxa"/>
            <w:right w:w="108" w:type="dxa"/>
          </w:tblCellMar>
        </w:tblPrEx>
        <w:trPr>
          <w:trHeight w:val="1308" w:hRule="atLeast"/>
        </w:trPr>
        <w:tc>
          <w:tcPr>
            <w:tcW w:w="494" w:type="dxa"/>
            <w:vMerge w:val="continue"/>
            <w:tcBorders>
              <w:left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p>
        </w:tc>
        <w:tc>
          <w:tcPr>
            <w:tcW w:w="956" w:type="dxa"/>
            <w:vMerge w:val="continue"/>
            <w:tcBorders>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p>
        </w:tc>
        <w:tc>
          <w:tcPr>
            <w:tcW w:w="7427" w:type="dxa"/>
            <w:tcBorders>
              <w:top w:val="single" w:color="auto" w:sz="4" w:space="0"/>
              <w:left w:val="single" w:color="auto" w:sz="4" w:space="0"/>
              <w:right w:val="single" w:color="auto" w:sz="4" w:space="0"/>
            </w:tcBorders>
          </w:tcPr>
          <w:p>
            <w:pPr>
              <w:pStyle w:val="2"/>
              <w:rPr>
                <w:rFonts w:asciiTheme="minorEastAsia" w:hAnsiTheme="minorEastAsia" w:eastAsiaTheme="minorEastAsia" w:cstheme="minorEastAsia"/>
                <w:color w:val="auto"/>
                <w:kern w:val="0"/>
                <w:sz w:val="22"/>
                <w:szCs w:val="22"/>
              </w:rPr>
            </w:pPr>
            <w:r>
              <w:rPr>
                <w:rFonts w:hint="eastAsia" w:ascii="宋体" w:hAnsi="宋体" w:cs="宋体"/>
                <w:color w:val="auto"/>
                <w:kern w:val="0"/>
                <w:sz w:val="22"/>
                <w:szCs w:val="22"/>
                <w:lang w:bidi="ar"/>
              </w:rPr>
              <w:t>投标人充分了解项目需求、项目实际情况等，结合招标文件要求对计划内和DN300-DN1200重力流排水管线破损维修修缮内容编制切实可行的质量保证方案和文明施工方案。根据各投标人的方案进行横向对比，内容全面完整具有针对性得1-2分，内容不全或无此项方案不得分。</w:t>
            </w:r>
          </w:p>
        </w:tc>
        <w:tc>
          <w:tcPr>
            <w:tcW w:w="750" w:type="dxa"/>
            <w:tcBorders>
              <w:top w:val="single" w:color="auto" w:sz="4" w:space="0"/>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0-2</w:t>
            </w:r>
          </w:p>
        </w:tc>
      </w:tr>
      <w:tr>
        <w:tblPrEx>
          <w:tblCellMar>
            <w:top w:w="0" w:type="dxa"/>
            <w:left w:w="108" w:type="dxa"/>
            <w:bottom w:w="0" w:type="dxa"/>
            <w:right w:w="108" w:type="dxa"/>
          </w:tblCellMar>
        </w:tblPrEx>
        <w:trPr>
          <w:trHeight w:val="275" w:hRule="atLeast"/>
        </w:trPr>
        <w:tc>
          <w:tcPr>
            <w:tcW w:w="494" w:type="dxa"/>
            <w:vMerge w:val="continue"/>
            <w:tcBorders>
              <w:left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p>
        </w:tc>
        <w:tc>
          <w:tcPr>
            <w:tcW w:w="956" w:type="dxa"/>
            <w:vMerge w:val="continue"/>
            <w:tcBorders>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p>
        </w:tc>
        <w:tc>
          <w:tcPr>
            <w:tcW w:w="7427"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color w:val="auto"/>
                <w:kern w:val="0"/>
                <w:sz w:val="22"/>
                <w:szCs w:val="22"/>
              </w:rPr>
            </w:pPr>
            <w:r>
              <w:rPr>
                <w:rFonts w:hint="eastAsia" w:ascii="宋体" w:hAnsi="宋体" w:cs="宋体"/>
                <w:color w:val="auto"/>
                <w:kern w:val="0"/>
                <w:sz w:val="22"/>
                <w:szCs w:val="22"/>
                <w:lang w:bidi="ar"/>
              </w:rPr>
              <w:t>投标人充分了解项目需求、项目实际情况等，结合招标文件要求对计划内和DN300-DN1200重力流排水管线破损维修修缮内容编制切实可行的安全施工方案。必须结合污水处理厂和排水管线维修抢修作业条件、主要危险源、特种作业施工等内容制定安全施工方案（含配备的安全防护装备），针对可能发生的事故事件编制现场应急处置方案。根据各投标人的方案进行横向对比，内容全面完整具有针对性得10-14分，其次得4-9分，再次得1-3分，内容不全或无此项方案不得分。</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0-14</w:t>
            </w:r>
          </w:p>
        </w:tc>
      </w:tr>
      <w:tr>
        <w:tblPrEx>
          <w:tblCellMar>
            <w:top w:w="0" w:type="dxa"/>
            <w:left w:w="108" w:type="dxa"/>
            <w:bottom w:w="0" w:type="dxa"/>
            <w:right w:w="108" w:type="dxa"/>
          </w:tblCellMar>
        </w:tblPrEx>
        <w:trPr>
          <w:trHeight w:val="1621" w:hRule="atLeast"/>
        </w:trPr>
        <w:tc>
          <w:tcPr>
            <w:tcW w:w="494" w:type="dxa"/>
            <w:vMerge w:val="continue"/>
            <w:tcBorders>
              <w:left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p>
        </w:tc>
        <w:tc>
          <w:tcPr>
            <w:tcW w:w="956" w:type="dxa"/>
            <w:vMerge w:val="continue"/>
            <w:tcBorders>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p>
        </w:tc>
        <w:tc>
          <w:tcPr>
            <w:tcW w:w="742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投标人充分了解项目需求、项目实际</w:t>
            </w:r>
            <w:r>
              <w:rPr>
                <w:rFonts w:hint="eastAsia" w:ascii="宋体" w:hAnsi="宋体" w:cs="宋体"/>
                <w:color w:val="auto"/>
                <w:kern w:val="0"/>
                <w:sz w:val="22"/>
                <w:szCs w:val="22"/>
                <w:lang w:bidi="ar"/>
              </w:rPr>
              <w:t>情况等，结合招标文件要求对计划内和DN300-DN1200重力流排水管线破损</w:t>
            </w:r>
            <w:r>
              <w:rPr>
                <w:rFonts w:hint="eastAsia" w:ascii="宋体" w:hAnsi="宋体" w:cs="宋体"/>
                <w:color w:val="000000" w:themeColor="text1"/>
                <w:kern w:val="0"/>
                <w:sz w:val="22"/>
                <w:szCs w:val="22"/>
                <w:lang w:bidi="ar"/>
                <w14:textFill>
                  <w14:solidFill>
                    <w14:schemeClr w14:val="tx1"/>
                  </w14:solidFill>
                </w14:textFill>
              </w:rPr>
              <w:t>维修修缮内容编制切实可行的人员、设备的配备方案和实施作业的合理化建议。根据各投标人的方案进行横向对比，内容全面完整具有针对性得1-2分，内容不全或无此项方案不得分。</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0-2</w:t>
            </w:r>
          </w:p>
        </w:tc>
      </w:tr>
      <w:tr>
        <w:tblPrEx>
          <w:tblCellMar>
            <w:top w:w="0" w:type="dxa"/>
            <w:left w:w="108" w:type="dxa"/>
            <w:bottom w:w="0" w:type="dxa"/>
            <w:right w:w="108" w:type="dxa"/>
          </w:tblCellMar>
        </w:tblPrEx>
        <w:trPr>
          <w:trHeight w:val="1015" w:hRule="atLeast"/>
        </w:trPr>
        <w:tc>
          <w:tcPr>
            <w:tcW w:w="494" w:type="dxa"/>
            <w:vMerge w:val="continue"/>
            <w:tcBorders>
              <w:left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p>
        </w:tc>
        <w:tc>
          <w:tcPr>
            <w:tcW w:w="956" w:type="dxa"/>
            <w:vMerge w:val="continue"/>
            <w:tcBorders>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p>
        </w:tc>
        <w:tc>
          <w:tcPr>
            <w:tcW w:w="7427" w:type="dxa"/>
            <w:tcBorders>
              <w:top w:val="single" w:color="auto" w:sz="4" w:space="0"/>
              <w:left w:val="single" w:color="auto" w:sz="4" w:space="0"/>
              <w:right w:val="single" w:color="auto" w:sz="4" w:space="0"/>
            </w:tcBorders>
            <w:vAlign w:val="center"/>
          </w:tcPr>
          <w:p>
            <w:pP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投标人充分了解项目需求、项目实际情况等，结合招标文件要求，制定冬夏两季南郊污水处理厂和第二污水处理厂压力外排管线破损应急处置方案，方案中要说明压力外排管线管径、材质、压力、运行特点和易出现的问题隐患，根据问题隐患类别制定包含处置流程、作业过程、人员配备、设备设施、重点环节做法和难点问题保障措施的具体方案，严格控制维修时间周期确保应急处置有效落实。</w:t>
            </w:r>
          </w:p>
        </w:tc>
        <w:tc>
          <w:tcPr>
            <w:tcW w:w="750"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0-7</w:t>
            </w:r>
          </w:p>
        </w:tc>
      </w:tr>
      <w:tr>
        <w:tblPrEx>
          <w:tblCellMar>
            <w:top w:w="0" w:type="dxa"/>
            <w:left w:w="108" w:type="dxa"/>
            <w:bottom w:w="0" w:type="dxa"/>
            <w:right w:w="108" w:type="dxa"/>
          </w:tblCellMar>
        </w:tblPrEx>
        <w:trPr>
          <w:trHeight w:val="1443" w:hRule="atLeast"/>
        </w:trPr>
        <w:tc>
          <w:tcPr>
            <w:tcW w:w="494" w:type="dxa"/>
            <w:tcBorders>
              <w:top w:val="single" w:color="auto" w:sz="4" w:space="0"/>
              <w:left w:val="single" w:color="auto" w:sz="4" w:space="0"/>
              <w:bottom w:val="single" w:color="auto" w:sz="4" w:space="0"/>
              <w:right w:val="single" w:color="auto" w:sz="4" w:space="0"/>
            </w:tcBorders>
            <w:textDirection w:val="lrTbV"/>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2"/>
                <w:szCs w:val="22"/>
              </w:rPr>
            </w:pPr>
            <w:r>
              <w:rPr>
                <w:rFonts w:hint="eastAsia" w:ascii="宋体" w:hAnsi="宋体" w:cs="宋体"/>
                <w:kern w:val="0"/>
                <w:sz w:val="22"/>
                <w:szCs w:val="22"/>
                <w:lang w:bidi="ar"/>
              </w:rPr>
              <w:t>管材配备计划（13分）</w:t>
            </w:r>
          </w:p>
        </w:tc>
        <w:tc>
          <w:tcPr>
            <w:tcW w:w="742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投标人需制定合理可行的材料供应方案，供应时间节点需与施工进度计划相呼应。同时需确保各类排水管材备品备件有充足的库存或货源，以清单和影像形式反映真实库存情况，以保障物资能在最短时间进场。根据投标人提供的材料供应方案及备品备件清单进行横向对比，优秀得9-13分，一般得1-8分，材质、类型库存不全或未提供库存情况的不得分。</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0-13</w:t>
            </w:r>
          </w:p>
        </w:tc>
      </w:tr>
      <w:tr>
        <w:tblPrEx>
          <w:tblCellMar>
            <w:top w:w="0" w:type="dxa"/>
            <w:left w:w="108" w:type="dxa"/>
            <w:bottom w:w="0" w:type="dxa"/>
            <w:right w:w="108" w:type="dxa"/>
          </w:tblCellMar>
        </w:tblPrEx>
        <w:trPr>
          <w:trHeight w:val="1457" w:hRule="atLeast"/>
        </w:trPr>
        <w:tc>
          <w:tcPr>
            <w:tcW w:w="494" w:type="dxa"/>
            <w:tcBorders>
              <w:top w:val="single" w:color="auto" w:sz="4" w:space="0"/>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5</w:t>
            </w:r>
          </w:p>
        </w:tc>
        <w:tc>
          <w:tcPr>
            <w:tcW w:w="956" w:type="dxa"/>
            <w:tcBorders>
              <w:top w:val="single" w:color="auto" w:sz="4" w:space="0"/>
              <w:left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投标文件编制质量</w:t>
            </w:r>
          </w:p>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（2分）</w:t>
            </w:r>
          </w:p>
        </w:tc>
        <w:tc>
          <w:tcPr>
            <w:tcW w:w="7427" w:type="dxa"/>
            <w:tcBorders>
              <w:top w:val="single" w:color="auto" w:sz="4" w:space="0"/>
              <w:left w:val="single" w:color="auto" w:sz="4" w:space="0"/>
              <w:right w:val="single" w:color="auto" w:sz="4" w:space="0"/>
            </w:tcBorders>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投标人根据招标文件条款和要求认真组织编写投标文件，满足招标文件要求，编制质量较高，技术方案内容详细，根据各投标人的投标文件进行横向对比，内容全面得1-2分，内容不全或方案不完备不得分。</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0-2</w:t>
            </w:r>
          </w:p>
        </w:tc>
      </w:tr>
      <w:tr>
        <w:tblPrEx>
          <w:tblCellMar>
            <w:top w:w="0" w:type="dxa"/>
            <w:left w:w="108" w:type="dxa"/>
            <w:bottom w:w="0" w:type="dxa"/>
            <w:right w:w="108" w:type="dxa"/>
          </w:tblCellMar>
        </w:tblPrEx>
        <w:trPr>
          <w:trHeight w:val="478" w:hRule="atLeast"/>
        </w:trPr>
        <w:tc>
          <w:tcPr>
            <w:tcW w:w="887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kern w:val="0"/>
                <w:sz w:val="22"/>
                <w:szCs w:val="22"/>
              </w:rPr>
              <w:t>评审得分合计</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100</w:t>
            </w:r>
          </w:p>
        </w:tc>
      </w:tr>
      <w:tr>
        <w:tblPrEx>
          <w:tblCellMar>
            <w:top w:w="0" w:type="dxa"/>
            <w:left w:w="108" w:type="dxa"/>
            <w:bottom w:w="0" w:type="dxa"/>
            <w:right w:w="108" w:type="dxa"/>
          </w:tblCellMar>
        </w:tblPrEx>
        <w:trPr>
          <w:trHeight w:val="519" w:hRule="atLeast"/>
        </w:trPr>
        <w:tc>
          <w:tcPr>
            <w:tcW w:w="8877" w:type="dxa"/>
            <w:gridSpan w:val="3"/>
            <w:tcBorders>
              <w:top w:val="single" w:color="auto" w:sz="4" w:space="0"/>
              <w:left w:val="single" w:color="auto" w:sz="4" w:space="0"/>
              <w:bottom w:val="single" w:color="auto" w:sz="4" w:space="0"/>
              <w:right w:val="single" w:color="auto" w:sz="4" w:space="0"/>
            </w:tcBorders>
            <w:vAlign w:val="center"/>
          </w:tcPr>
          <w:p>
            <w:pPr>
              <w:ind w:firstLine="442" w:firstLineChars="200"/>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注：评分计算结果保留两位小数，第三位小数四舍五入。</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 w:val="22"/>
                <w:szCs w:val="22"/>
              </w:rPr>
            </w:pPr>
          </w:p>
        </w:tc>
      </w:tr>
    </w:tbl>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报价政策性扣减的相关说明：</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1、关于小微企业：</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1.1按&lt;关于印发《政府采购促进中小企业发展管理办法》的通知&gt;（财库〔2020〕46号）之规定，中小企业的标准为：</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1.1.1提供本企业承担的服务，或者提供其他中小企业的服务，</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1.1.2本规定所称中小企业划分标准，是指国务院有关部门根据企业从业人员、营业收入、资产总额等指标制定的中小企业划型标准（工信部联企业〔2011〕300号）。</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1.1.3小型、微型企业提供有中型企业服务的，视同为中型企业；小型、微型、中型企业提供有大型企业服务的，视同为大型企业。</w:t>
      </w:r>
    </w:p>
    <w:p>
      <w:pPr>
        <w:pStyle w:val="2"/>
        <w:spacing w:line="260" w:lineRule="exact"/>
        <w:rPr>
          <w:rFonts w:asciiTheme="minorEastAsia" w:hAnsiTheme="minorEastAsia" w:eastAsiaTheme="minorEastAsia" w:cstheme="minorEastAsia"/>
          <w:b/>
          <w:bCs/>
          <w:sz w:val="24"/>
        </w:rPr>
      </w:pPr>
    </w:p>
    <w:sectPr>
      <w:headerReference r:id="rId5" w:type="default"/>
      <w:footerReference r:id="rId6"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1905"/>
              <wp:wrapNone/>
              <wp:docPr id="7" name="文本框 8"/>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a:effectLst/>
                    </wps:spPr>
                    <wps:txbx>
                      <w:txbxContent>
                        <w:p>
                          <w:pPr>
                            <w:pStyle w:val="15"/>
                          </w:pPr>
                          <w:r>
                            <w:fldChar w:fldCharType="begin"/>
                          </w:r>
                          <w:r>
                            <w:instrText xml:space="preserve"> PAGE  \* MERGEFORMAT </w:instrText>
                          </w:r>
                          <w:r>
                            <w:fldChar w:fldCharType="separate"/>
                          </w:r>
                          <w:r>
                            <w:t>- 52 -</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sUjg0AAAAAMBAAAPAAAAAAAAAAEAIAAAACIAAABkcnMvZG93bnJl&#10;di54bWxQSwECFAAUAAAACACHTuJAuDOZ+MwBAACZAwAADgAAAAAAAAABACAAAAAfAQAAZHJzL2Uy&#10;b0RvYy54bWxQSwUGAAAAAAYABgBZAQAAX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1905"/>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- 54 -</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KjY6xgEAAJsDAAAOAAAAAAAAAAEAIAAAAB4BAABkcnMvZTJvRG9jLnht&#10;bFBLBQYAAAAABgAGAFkBAABW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r>
      <w:rPr>
        <w:rFonts w:hint="eastAsia" w:eastAsia="方正大标宋简体"/>
        <w:color w:val="000000"/>
        <w:spacing w:val="20"/>
        <w:sz w:val="32"/>
      </w:rPr>
      <w:drawing>
        <wp:inline distT="0" distB="0" distL="114300" distR="114300">
          <wp:extent cx="4498975" cy="594360"/>
          <wp:effectExtent l="0" t="0" r="15875" b="15240"/>
          <wp:docPr id="4" name="图片 4"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B24"/>
    <w:multiLevelType w:val="singleLevel"/>
    <w:tmpl w:val="8B83EB24"/>
    <w:lvl w:ilvl="0" w:tentative="0">
      <w:start w:val="1"/>
      <w:numFmt w:val="decimal"/>
      <w:lvlText w:val="(%1)"/>
      <w:lvlJc w:val="left"/>
      <w:pPr>
        <w:ind w:left="425" w:hanging="425"/>
      </w:pPr>
      <w:rPr>
        <w:rFonts w:hint="default"/>
      </w:rPr>
    </w:lvl>
  </w:abstractNum>
  <w:abstractNum w:abstractNumId="1">
    <w:nsid w:val="B2F8DC68"/>
    <w:multiLevelType w:val="singleLevel"/>
    <w:tmpl w:val="B2F8DC68"/>
    <w:lvl w:ilvl="0" w:tentative="0">
      <w:start w:val="1"/>
      <w:numFmt w:val="decimal"/>
      <w:suff w:val="nothing"/>
      <w:lvlText w:val="%1、"/>
      <w:lvlJc w:val="left"/>
    </w:lvl>
  </w:abstractNum>
  <w:abstractNum w:abstractNumId="2">
    <w:nsid w:val="C40824E0"/>
    <w:multiLevelType w:val="singleLevel"/>
    <w:tmpl w:val="C40824E0"/>
    <w:lvl w:ilvl="0" w:tentative="0">
      <w:start w:val="10"/>
      <w:numFmt w:val="decimal"/>
      <w:suff w:val="nothing"/>
      <w:lvlText w:val="（%1）"/>
      <w:lvlJc w:val="left"/>
    </w:lvl>
  </w:abstractNum>
  <w:abstractNum w:abstractNumId="3">
    <w:nsid w:val="CFC6730B"/>
    <w:multiLevelType w:val="singleLevel"/>
    <w:tmpl w:val="CFC6730B"/>
    <w:lvl w:ilvl="0" w:tentative="0">
      <w:start w:val="4"/>
      <w:numFmt w:val="chineseCounting"/>
      <w:suff w:val="space"/>
      <w:lvlText w:val="第%1部分"/>
      <w:lvlJc w:val="left"/>
      <w:rPr>
        <w:rFonts w:hint="eastAsia"/>
      </w:rPr>
    </w:lvl>
  </w:abstractNum>
  <w:abstractNum w:abstractNumId="4">
    <w:nsid w:val="EE6D8585"/>
    <w:multiLevelType w:val="singleLevel"/>
    <w:tmpl w:val="EE6D8585"/>
    <w:lvl w:ilvl="0" w:tentative="0">
      <w:start w:val="2"/>
      <w:numFmt w:val="decimal"/>
      <w:suff w:val="nothing"/>
      <w:lvlText w:val="%1、"/>
      <w:lvlJc w:val="left"/>
    </w:lvl>
  </w:abstractNum>
  <w:abstractNum w:abstractNumId="5">
    <w:nsid w:val="00000004"/>
    <w:multiLevelType w:val="multilevel"/>
    <w:tmpl w:val="00000004"/>
    <w:lvl w:ilvl="0" w:tentative="0">
      <w:start w:val="1"/>
      <w:numFmt w:val="decimal"/>
      <w:pStyle w:val="5"/>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1031"/>
        </w:tabs>
        <w:ind w:left="1031" w:hanging="851"/>
      </w:pPr>
      <w:rPr>
        <w:rFonts w:hint="eastAsia" w:eastAsia="宋体"/>
        <w:b w:val="0"/>
        <w:i w:val="0"/>
        <w:sz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50707FAA"/>
    <w:multiLevelType w:val="singleLevel"/>
    <w:tmpl w:val="50707FAA"/>
    <w:lvl w:ilvl="0" w:tentative="0">
      <w:start w:val="1"/>
      <w:numFmt w:val="decimal"/>
      <w:suff w:val="nothing"/>
      <w:lvlText w:val="%1、"/>
      <w:lvlJc w:val="left"/>
    </w:lvl>
  </w:abstractNum>
  <w:abstractNum w:abstractNumId="7">
    <w:nsid w:val="6BB6A853"/>
    <w:multiLevelType w:val="singleLevel"/>
    <w:tmpl w:val="6BB6A853"/>
    <w:lvl w:ilvl="0" w:tentative="0">
      <w:start w:val="12"/>
      <w:numFmt w:val="decimal"/>
      <w:suff w:val="nothing"/>
      <w:lvlText w:val="%1、"/>
      <w:lvlJc w:val="left"/>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04A95"/>
    <w:rsid w:val="00011A1C"/>
    <w:rsid w:val="00011A9C"/>
    <w:rsid w:val="0004637B"/>
    <w:rsid w:val="00076412"/>
    <w:rsid w:val="00097B0E"/>
    <w:rsid w:val="000C1451"/>
    <w:rsid w:val="00127DB4"/>
    <w:rsid w:val="00144C9C"/>
    <w:rsid w:val="00145F98"/>
    <w:rsid w:val="00175EB5"/>
    <w:rsid w:val="001A7343"/>
    <w:rsid w:val="001E1A9B"/>
    <w:rsid w:val="001F40FA"/>
    <w:rsid w:val="00206B1D"/>
    <w:rsid w:val="00257A29"/>
    <w:rsid w:val="00272EF9"/>
    <w:rsid w:val="002B66EF"/>
    <w:rsid w:val="00367485"/>
    <w:rsid w:val="003913B3"/>
    <w:rsid w:val="003D1CF3"/>
    <w:rsid w:val="003F3840"/>
    <w:rsid w:val="00400313"/>
    <w:rsid w:val="004543AC"/>
    <w:rsid w:val="004A6A0D"/>
    <w:rsid w:val="004D1134"/>
    <w:rsid w:val="004D55D5"/>
    <w:rsid w:val="004F0180"/>
    <w:rsid w:val="00503EBD"/>
    <w:rsid w:val="005434C2"/>
    <w:rsid w:val="00691122"/>
    <w:rsid w:val="006A6E8D"/>
    <w:rsid w:val="006F5F12"/>
    <w:rsid w:val="00712F5F"/>
    <w:rsid w:val="00720A24"/>
    <w:rsid w:val="00793EA1"/>
    <w:rsid w:val="007A62B9"/>
    <w:rsid w:val="007D0169"/>
    <w:rsid w:val="007D2B1F"/>
    <w:rsid w:val="007D6F8A"/>
    <w:rsid w:val="007D71EE"/>
    <w:rsid w:val="007E5A42"/>
    <w:rsid w:val="008373E2"/>
    <w:rsid w:val="00857EAB"/>
    <w:rsid w:val="008B3229"/>
    <w:rsid w:val="009358A1"/>
    <w:rsid w:val="009364C7"/>
    <w:rsid w:val="0094596C"/>
    <w:rsid w:val="00967200"/>
    <w:rsid w:val="009B3ACF"/>
    <w:rsid w:val="009C4B23"/>
    <w:rsid w:val="009E091E"/>
    <w:rsid w:val="00A7582F"/>
    <w:rsid w:val="00AA2F9F"/>
    <w:rsid w:val="00AA6498"/>
    <w:rsid w:val="00AC084F"/>
    <w:rsid w:val="00AF4A54"/>
    <w:rsid w:val="00B478E8"/>
    <w:rsid w:val="00B965DB"/>
    <w:rsid w:val="00BC676E"/>
    <w:rsid w:val="00C243E1"/>
    <w:rsid w:val="00C268AE"/>
    <w:rsid w:val="00C82A1E"/>
    <w:rsid w:val="00C85A00"/>
    <w:rsid w:val="00CE2DA5"/>
    <w:rsid w:val="00D4613E"/>
    <w:rsid w:val="00DB6ED4"/>
    <w:rsid w:val="00DE7270"/>
    <w:rsid w:val="00E33D51"/>
    <w:rsid w:val="00E56643"/>
    <w:rsid w:val="00E625FD"/>
    <w:rsid w:val="00E65ED3"/>
    <w:rsid w:val="00EB02FE"/>
    <w:rsid w:val="00F222CC"/>
    <w:rsid w:val="00F428D9"/>
    <w:rsid w:val="00F43FB0"/>
    <w:rsid w:val="00F735C3"/>
    <w:rsid w:val="00FC2C02"/>
    <w:rsid w:val="012525F9"/>
    <w:rsid w:val="01BC7018"/>
    <w:rsid w:val="01D03419"/>
    <w:rsid w:val="02246D00"/>
    <w:rsid w:val="02254726"/>
    <w:rsid w:val="02282337"/>
    <w:rsid w:val="02D21442"/>
    <w:rsid w:val="02FE4054"/>
    <w:rsid w:val="0328236D"/>
    <w:rsid w:val="036544B5"/>
    <w:rsid w:val="03C10813"/>
    <w:rsid w:val="04AF3A96"/>
    <w:rsid w:val="05225518"/>
    <w:rsid w:val="05553BC0"/>
    <w:rsid w:val="056B36BE"/>
    <w:rsid w:val="05803578"/>
    <w:rsid w:val="05B2713E"/>
    <w:rsid w:val="05E1620A"/>
    <w:rsid w:val="06765E66"/>
    <w:rsid w:val="06774668"/>
    <w:rsid w:val="06964D04"/>
    <w:rsid w:val="06AE230C"/>
    <w:rsid w:val="07025224"/>
    <w:rsid w:val="070A23ED"/>
    <w:rsid w:val="077925AF"/>
    <w:rsid w:val="0779350E"/>
    <w:rsid w:val="078F5429"/>
    <w:rsid w:val="07B776EC"/>
    <w:rsid w:val="07E47E60"/>
    <w:rsid w:val="07FC6ED8"/>
    <w:rsid w:val="08131858"/>
    <w:rsid w:val="08132F25"/>
    <w:rsid w:val="082133C2"/>
    <w:rsid w:val="08551594"/>
    <w:rsid w:val="0859195C"/>
    <w:rsid w:val="085B49B9"/>
    <w:rsid w:val="089034A1"/>
    <w:rsid w:val="08A757AB"/>
    <w:rsid w:val="08E30B6D"/>
    <w:rsid w:val="096545A8"/>
    <w:rsid w:val="09B92EF2"/>
    <w:rsid w:val="0A2D0870"/>
    <w:rsid w:val="0A5040F7"/>
    <w:rsid w:val="0A5D2DE6"/>
    <w:rsid w:val="0A5E49A5"/>
    <w:rsid w:val="0AA2391D"/>
    <w:rsid w:val="0AD70C7B"/>
    <w:rsid w:val="0AE439D8"/>
    <w:rsid w:val="0AEF028D"/>
    <w:rsid w:val="0AF865C8"/>
    <w:rsid w:val="0B073E1A"/>
    <w:rsid w:val="0B37333C"/>
    <w:rsid w:val="0B814009"/>
    <w:rsid w:val="0B9E1856"/>
    <w:rsid w:val="0BAF49D6"/>
    <w:rsid w:val="0BB27B3E"/>
    <w:rsid w:val="0BDF14A0"/>
    <w:rsid w:val="0BF333DE"/>
    <w:rsid w:val="0C7E476D"/>
    <w:rsid w:val="0C852A9E"/>
    <w:rsid w:val="0CE712E3"/>
    <w:rsid w:val="0D855EF0"/>
    <w:rsid w:val="0DAF5AB1"/>
    <w:rsid w:val="0E3E6A2A"/>
    <w:rsid w:val="0EA765CC"/>
    <w:rsid w:val="0F0333AB"/>
    <w:rsid w:val="0F2A659F"/>
    <w:rsid w:val="0F6244B1"/>
    <w:rsid w:val="0F8C3E6B"/>
    <w:rsid w:val="0F9918FB"/>
    <w:rsid w:val="0FB02B1B"/>
    <w:rsid w:val="1027724A"/>
    <w:rsid w:val="1082781F"/>
    <w:rsid w:val="10F464DC"/>
    <w:rsid w:val="11244F9E"/>
    <w:rsid w:val="1152139A"/>
    <w:rsid w:val="1185201B"/>
    <w:rsid w:val="11BB0A89"/>
    <w:rsid w:val="11C06CF8"/>
    <w:rsid w:val="12543DC0"/>
    <w:rsid w:val="125A35B7"/>
    <w:rsid w:val="129317A0"/>
    <w:rsid w:val="12AA6F4E"/>
    <w:rsid w:val="12F81FCB"/>
    <w:rsid w:val="130E6277"/>
    <w:rsid w:val="130E7EAD"/>
    <w:rsid w:val="13166603"/>
    <w:rsid w:val="13480B45"/>
    <w:rsid w:val="13AD3A0E"/>
    <w:rsid w:val="13D81E60"/>
    <w:rsid w:val="14723763"/>
    <w:rsid w:val="1477284A"/>
    <w:rsid w:val="149B16E7"/>
    <w:rsid w:val="149B5650"/>
    <w:rsid w:val="14BF5B27"/>
    <w:rsid w:val="14FE26E2"/>
    <w:rsid w:val="15110159"/>
    <w:rsid w:val="15833361"/>
    <w:rsid w:val="15C9701E"/>
    <w:rsid w:val="16123E99"/>
    <w:rsid w:val="16281EEF"/>
    <w:rsid w:val="1672357B"/>
    <w:rsid w:val="169B262C"/>
    <w:rsid w:val="16C50573"/>
    <w:rsid w:val="16E25904"/>
    <w:rsid w:val="16E73E61"/>
    <w:rsid w:val="16E755FC"/>
    <w:rsid w:val="173E282C"/>
    <w:rsid w:val="175224E3"/>
    <w:rsid w:val="17647CE5"/>
    <w:rsid w:val="17707DA6"/>
    <w:rsid w:val="17F05399"/>
    <w:rsid w:val="180B72D7"/>
    <w:rsid w:val="18571F2A"/>
    <w:rsid w:val="186758E5"/>
    <w:rsid w:val="18A30349"/>
    <w:rsid w:val="18BD2CB6"/>
    <w:rsid w:val="19555632"/>
    <w:rsid w:val="197559ED"/>
    <w:rsid w:val="198454BD"/>
    <w:rsid w:val="19C039F1"/>
    <w:rsid w:val="19E3432C"/>
    <w:rsid w:val="19FC5F79"/>
    <w:rsid w:val="1A027C60"/>
    <w:rsid w:val="1A0C394D"/>
    <w:rsid w:val="1ACC15FD"/>
    <w:rsid w:val="1B0E6E75"/>
    <w:rsid w:val="1B295E11"/>
    <w:rsid w:val="1B325CD4"/>
    <w:rsid w:val="1BA9193A"/>
    <w:rsid w:val="1BC36F81"/>
    <w:rsid w:val="1BC72288"/>
    <w:rsid w:val="1BCC152C"/>
    <w:rsid w:val="1BD3618F"/>
    <w:rsid w:val="1BDC4A49"/>
    <w:rsid w:val="1BE973CA"/>
    <w:rsid w:val="1BEC51B7"/>
    <w:rsid w:val="1C0D4E25"/>
    <w:rsid w:val="1C6023B1"/>
    <w:rsid w:val="1C7409FF"/>
    <w:rsid w:val="1C85238F"/>
    <w:rsid w:val="1CB37D25"/>
    <w:rsid w:val="1CEE037A"/>
    <w:rsid w:val="1CF343A2"/>
    <w:rsid w:val="1D4D2172"/>
    <w:rsid w:val="1D71370E"/>
    <w:rsid w:val="1D7E00C0"/>
    <w:rsid w:val="1D846F8E"/>
    <w:rsid w:val="1D88366B"/>
    <w:rsid w:val="1D953537"/>
    <w:rsid w:val="1DAC0BF5"/>
    <w:rsid w:val="1DB90575"/>
    <w:rsid w:val="1DD57700"/>
    <w:rsid w:val="1E215FDE"/>
    <w:rsid w:val="1E434F96"/>
    <w:rsid w:val="1E562334"/>
    <w:rsid w:val="1E5D0198"/>
    <w:rsid w:val="1EA872CE"/>
    <w:rsid w:val="1EB608FC"/>
    <w:rsid w:val="1EDB0A97"/>
    <w:rsid w:val="1EE513F5"/>
    <w:rsid w:val="1F0A52E2"/>
    <w:rsid w:val="2014032E"/>
    <w:rsid w:val="205974B0"/>
    <w:rsid w:val="20B635E6"/>
    <w:rsid w:val="20F61559"/>
    <w:rsid w:val="21043906"/>
    <w:rsid w:val="21076FD9"/>
    <w:rsid w:val="21414DB3"/>
    <w:rsid w:val="21A47746"/>
    <w:rsid w:val="21AE1B87"/>
    <w:rsid w:val="21C65B59"/>
    <w:rsid w:val="224949D4"/>
    <w:rsid w:val="22783121"/>
    <w:rsid w:val="22D81CDF"/>
    <w:rsid w:val="22DC15BA"/>
    <w:rsid w:val="231356DE"/>
    <w:rsid w:val="23A6530D"/>
    <w:rsid w:val="23C7467A"/>
    <w:rsid w:val="241A480F"/>
    <w:rsid w:val="2490479C"/>
    <w:rsid w:val="24EC4A83"/>
    <w:rsid w:val="255631E3"/>
    <w:rsid w:val="25780E35"/>
    <w:rsid w:val="259F3930"/>
    <w:rsid w:val="25AC4D35"/>
    <w:rsid w:val="25BD04F3"/>
    <w:rsid w:val="25CB2F75"/>
    <w:rsid w:val="25F37720"/>
    <w:rsid w:val="261F41F3"/>
    <w:rsid w:val="262B70CC"/>
    <w:rsid w:val="26982C6F"/>
    <w:rsid w:val="270A5774"/>
    <w:rsid w:val="272956E4"/>
    <w:rsid w:val="273C1AD9"/>
    <w:rsid w:val="2773426F"/>
    <w:rsid w:val="27A70420"/>
    <w:rsid w:val="281C3422"/>
    <w:rsid w:val="28A52EDC"/>
    <w:rsid w:val="28F4317B"/>
    <w:rsid w:val="29340DF8"/>
    <w:rsid w:val="296E71BF"/>
    <w:rsid w:val="29791DCD"/>
    <w:rsid w:val="297E391D"/>
    <w:rsid w:val="298F232A"/>
    <w:rsid w:val="29B570DA"/>
    <w:rsid w:val="29EA1DC1"/>
    <w:rsid w:val="2ACC25B2"/>
    <w:rsid w:val="2B0173AB"/>
    <w:rsid w:val="2B3718B2"/>
    <w:rsid w:val="2B3A6FC3"/>
    <w:rsid w:val="2B860537"/>
    <w:rsid w:val="2BC738F6"/>
    <w:rsid w:val="2C010943"/>
    <w:rsid w:val="2C8B739A"/>
    <w:rsid w:val="2CD56C8F"/>
    <w:rsid w:val="2CED2E32"/>
    <w:rsid w:val="2D0C02CC"/>
    <w:rsid w:val="2D5351FC"/>
    <w:rsid w:val="2D5B3BEC"/>
    <w:rsid w:val="2E1961AA"/>
    <w:rsid w:val="2E295DE0"/>
    <w:rsid w:val="2E4A7A07"/>
    <w:rsid w:val="2E744F9B"/>
    <w:rsid w:val="2E771B67"/>
    <w:rsid w:val="2EAB44BC"/>
    <w:rsid w:val="2EE7586D"/>
    <w:rsid w:val="2EEA3207"/>
    <w:rsid w:val="2F1D6D46"/>
    <w:rsid w:val="2F1E6A16"/>
    <w:rsid w:val="2F504070"/>
    <w:rsid w:val="2F5B1B69"/>
    <w:rsid w:val="2F625C39"/>
    <w:rsid w:val="2F6350D8"/>
    <w:rsid w:val="2F877591"/>
    <w:rsid w:val="2F994E9B"/>
    <w:rsid w:val="30271F81"/>
    <w:rsid w:val="302E4177"/>
    <w:rsid w:val="30F44177"/>
    <w:rsid w:val="30F63CBF"/>
    <w:rsid w:val="31103CC5"/>
    <w:rsid w:val="31701E68"/>
    <w:rsid w:val="329E7049"/>
    <w:rsid w:val="32A53DD3"/>
    <w:rsid w:val="32AA7298"/>
    <w:rsid w:val="32B64752"/>
    <w:rsid w:val="32EC46AE"/>
    <w:rsid w:val="33476C8B"/>
    <w:rsid w:val="338479CA"/>
    <w:rsid w:val="33E17280"/>
    <w:rsid w:val="33EC7B9C"/>
    <w:rsid w:val="33F41838"/>
    <w:rsid w:val="34262EEC"/>
    <w:rsid w:val="348E24BF"/>
    <w:rsid w:val="34D072D8"/>
    <w:rsid w:val="35154799"/>
    <w:rsid w:val="35212B07"/>
    <w:rsid w:val="3549083A"/>
    <w:rsid w:val="356D1D0A"/>
    <w:rsid w:val="3575434F"/>
    <w:rsid w:val="35851FE3"/>
    <w:rsid w:val="35BF7AA7"/>
    <w:rsid w:val="35F76A56"/>
    <w:rsid w:val="36713042"/>
    <w:rsid w:val="377E1242"/>
    <w:rsid w:val="38174D98"/>
    <w:rsid w:val="38423024"/>
    <w:rsid w:val="38946770"/>
    <w:rsid w:val="38A83B57"/>
    <w:rsid w:val="38CE75BB"/>
    <w:rsid w:val="39273A0B"/>
    <w:rsid w:val="392D66BE"/>
    <w:rsid w:val="39674E4A"/>
    <w:rsid w:val="39F152C7"/>
    <w:rsid w:val="3A357172"/>
    <w:rsid w:val="3A397F22"/>
    <w:rsid w:val="3A7C1F9C"/>
    <w:rsid w:val="3A876EF7"/>
    <w:rsid w:val="3AF77B6D"/>
    <w:rsid w:val="3B050D08"/>
    <w:rsid w:val="3B151D0B"/>
    <w:rsid w:val="3B4A22D4"/>
    <w:rsid w:val="3B52521D"/>
    <w:rsid w:val="3B537D4F"/>
    <w:rsid w:val="3B6F4D8C"/>
    <w:rsid w:val="3B983E17"/>
    <w:rsid w:val="3BB02649"/>
    <w:rsid w:val="3BD24A47"/>
    <w:rsid w:val="3C000001"/>
    <w:rsid w:val="3C210E01"/>
    <w:rsid w:val="3C2F5E5A"/>
    <w:rsid w:val="3CC84F02"/>
    <w:rsid w:val="3D562F1D"/>
    <w:rsid w:val="3D89032F"/>
    <w:rsid w:val="3DC82FD8"/>
    <w:rsid w:val="3DDF67D0"/>
    <w:rsid w:val="3E42694D"/>
    <w:rsid w:val="3E9301EE"/>
    <w:rsid w:val="3F4F411A"/>
    <w:rsid w:val="3F8C0938"/>
    <w:rsid w:val="3FBF210B"/>
    <w:rsid w:val="3FC868BF"/>
    <w:rsid w:val="4014633F"/>
    <w:rsid w:val="405C1CCB"/>
    <w:rsid w:val="406A09CD"/>
    <w:rsid w:val="40871C46"/>
    <w:rsid w:val="40EB2E13"/>
    <w:rsid w:val="41416411"/>
    <w:rsid w:val="417646D2"/>
    <w:rsid w:val="41912A36"/>
    <w:rsid w:val="419868C9"/>
    <w:rsid w:val="426223AA"/>
    <w:rsid w:val="428829AF"/>
    <w:rsid w:val="42A926F5"/>
    <w:rsid w:val="42E47289"/>
    <w:rsid w:val="42FC1A49"/>
    <w:rsid w:val="43671615"/>
    <w:rsid w:val="43E060FD"/>
    <w:rsid w:val="440A62F3"/>
    <w:rsid w:val="447B5DAC"/>
    <w:rsid w:val="44EE6AAB"/>
    <w:rsid w:val="451B4863"/>
    <w:rsid w:val="452A69E3"/>
    <w:rsid w:val="4588014F"/>
    <w:rsid w:val="45F95F99"/>
    <w:rsid w:val="45FC62AA"/>
    <w:rsid w:val="464F674F"/>
    <w:rsid w:val="466D7EFE"/>
    <w:rsid w:val="46C77EC2"/>
    <w:rsid w:val="46FF5F7E"/>
    <w:rsid w:val="47156E6A"/>
    <w:rsid w:val="473C3FBD"/>
    <w:rsid w:val="47F60B91"/>
    <w:rsid w:val="481F1B55"/>
    <w:rsid w:val="4829584F"/>
    <w:rsid w:val="491B279C"/>
    <w:rsid w:val="49B14152"/>
    <w:rsid w:val="49D64CEE"/>
    <w:rsid w:val="4A1323A4"/>
    <w:rsid w:val="4A1A2167"/>
    <w:rsid w:val="4A48032F"/>
    <w:rsid w:val="4A723330"/>
    <w:rsid w:val="4B017321"/>
    <w:rsid w:val="4B5E76A1"/>
    <w:rsid w:val="4B99535C"/>
    <w:rsid w:val="4C8B0BFB"/>
    <w:rsid w:val="4CD846A5"/>
    <w:rsid w:val="4CE86A7A"/>
    <w:rsid w:val="4D014DD1"/>
    <w:rsid w:val="4D0633FC"/>
    <w:rsid w:val="4D20658B"/>
    <w:rsid w:val="4D957224"/>
    <w:rsid w:val="4DD54EA2"/>
    <w:rsid w:val="4E21054A"/>
    <w:rsid w:val="4E595FA5"/>
    <w:rsid w:val="4E8B7676"/>
    <w:rsid w:val="4EAC7E0E"/>
    <w:rsid w:val="4EB51578"/>
    <w:rsid w:val="4EC452A9"/>
    <w:rsid w:val="4ED951DA"/>
    <w:rsid w:val="4F271559"/>
    <w:rsid w:val="4F9F022F"/>
    <w:rsid w:val="4FC34284"/>
    <w:rsid w:val="4FE0473D"/>
    <w:rsid w:val="50004A95"/>
    <w:rsid w:val="501F5272"/>
    <w:rsid w:val="5028070F"/>
    <w:rsid w:val="5066669D"/>
    <w:rsid w:val="5077664B"/>
    <w:rsid w:val="508D4AF5"/>
    <w:rsid w:val="50DD3B96"/>
    <w:rsid w:val="50E53587"/>
    <w:rsid w:val="50FB7CD3"/>
    <w:rsid w:val="510760DA"/>
    <w:rsid w:val="51390F36"/>
    <w:rsid w:val="514E39D3"/>
    <w:rsid w:val="51776834"/>
    <w:rsid w:val="51AA1D87"/>
    <w:rsid w:val="51AF3936"/>
    <w:rsid w:val="51F53DA3"/>
    <w:rsid w:val="522F2BCE"/>
    <w:rsid w:val="5274489E"/>
    <w:rsid w:val="527E5B14"/>
    <w:rsid w:val="52B50F48"/>
    <w:rsid w:val="531516FB"/>
    <w:rsid w:val="53563FF9"/>
    <w:rsid w:val="535649D0"/>
    <w:rsid w:val="53B33108"/>
    <w:rsid w:val="53F16507"/>
    <w:rsid w:val="545E6BE5"/>
    <w:rsid w:val="546D01CE"/>
    <w:rsid w:val="548824F8"/>
    <w:rsid w:val="54A45761"/>
    <w:rsid w:val="54B151D4"/>
    <w:rsid w:val="54C45CA6"/>
    <w:rsid w:val="54DE3D89"/>
    <w:rsid w:val="54E030E0"/>
    <w:rsid w:val="54F04832"/>
    <w:rsid w:val="54F578C7"/>
    <w:rsid w:val="5509614E"/>
    <w:rsid w:val="5570230C"/>
    <w:rsid w:val="559B30B6"/>
    <w:rsid w:val="559C71D7"/>
    <w:rsid w:val="559D4932"/>
    <w:rsid w:val="55EE16DA"/>
    <w:rsid w:val="56255B76"/>
    <w:rsid w:val="56B107E7"/>
    <w:rsid w:val="56C127D0"/>
    <w:rsid w:val="56D12583"/>
    <w:rsid w:val="56E605DC"/>
    <w:rsid w:val="56FB0D6B"/>
    <w:rsid w:val="5705211A"/>
    <w:rsid w:val="57055CC2"/>
    <w:rsid w:val="571269EE"/>
    <w:rsid w:val="571B20B2"/>
    <w:rsid w:val="57355008"/>
    <w:rsid w:val="573C78BF"/>
    <w:rsid w:val="573F7601"/>
    <w:rsid w:val="575B6F5B"/>
    <w:rsid w:val="576B4D98"/>
    <w:rsid w:val="577A393A"/>
    <w:rsid w:val="5831177A"/>
    <w:rsid w:val="588B2B31"/>
    <w:rsid w:val="588E61F5"/>
    <w:rsid w:val="58B1365B"/>
    <w:rsid w:val="58CD73F0"/>
    <w:rsid w:val="59110A77"/>
    <w:rsid w:val="597C6B47"/>
    <w:rsid w:val="59C939F6"/>
    <w:rsid w:val="59D37C1C"/>
    <w:rsid w:val="5A570BE2"/>
    <w:rsid w:val="5A68780E"/>
    <w:rsid w:val="5A7551F0"/>
    <w:rsid w:val="5AE21575"/>
    <w:rsid w:val="5B7C4952"/>
    <w:rsid w:val="5B7E17F8"/>
    <w:rsid w:val="5BC26346"/>
    <w:rsid w:val="5C42398A"/>
    <w:rsid w:val="5CB525D0"/>
    <w:rsid w:val="5CED1068"/>
    <w:rsid w:val="5CFE6618"/>
    <w:rsid w:val="5D1F019A"/>
    <w:rsid w:val="5D262B65"/>
    <w:rsid w:val="5D262EF0"/>
    <w:rsid w:val="5D73152F"/>
    <w:rsid w:val="5D9C0ED5"/>
    <w:rsid w:val="5E035BD3"/>
    <w:rsid w:val="5EAF5291"/>
    <w:rsid w:val="5EB631AD"/>
    <w:rsid w:val="5EB96119"/>
    <w:rsid w:val="5EE01142"/>
    <w:rsid w:val="5F03760E"/>
    <w:rsid w:val="5F217676"/>
    <w:rsid w:val="5F6476A6"/>
    <w:rsid w:val="5F7A5417"/>
    <w:rsid w:val="5F9C4E33"/>
    <w:rsid w:val="5F9D4F88"/>
    <w:rsid w:val="5F9F5AB3"/>
    <w:rsid w:val="5FCB01D8"/>
    <w:rsid w:val="5FF702D1"/>
    <w:rsid w:val="6009431E"/>
    <w:rsid w:val="604B0B8C"/>
    <w:rsid w:val="60777475"/>
    <w:rsid w:val="609864D9"/>
    <w:rsid w:val="60C232FF"/>
    <w:rsid w:val="60C4331E"/>
    <w:rsid w:val="60DB1E2B"/>
    <w:rsid w:val="60F55967"/>
    <w:rsid w:val="610729FD"/>
    <w:rsid w:val="61C775EF"/>
    <w:rsid w:val="61D622D9"/>
    <w:rsid w:val="62CB5E4F"/>
    <w:rsid w:val="62F359D6"/>
    <w:rsid w:val="63344C4D"/>
    <w:rsid w:val="6389514D"/>
    <w:rsid w:val="63AE7336"/>
    <w:rsid w:val="64227BA4"/>
    <w:rsid w:val="64331F44"/>
    <w:rsid w:val="643A1880"/>
    <w:rsid w:val="6464738D"/>
    <w:rsid w:val="64836707"/>
    <w:rsid w:val="64B12B34"/>
    <w:rsid w:val="64D80755"/>
    <w:rsid w:val="65020F00"/>
    <w:rsid w:val="6530528B"/>
    <w:rsid w:val="65834054"/>
    <w:rsid w:val="659D6C99"/>
    <w:rsid w:val="6620296E"/>
    <w:rsid w:val="66510F74"/>
    <w:rsid w:val="66777625"/>
    <w:rsid w:val="66FC541B"/>
    <w:rsid w:val="670B5D1A"/>
    <w:rsid w:val="6744612E"/>
    <w:rsid w:val="676D6DC8"/>
    <w:rsid w:val="677F4B3D"/>
    <w:rsid w:val="67B41798"/>
    <w:rsid w:val="67E365FE"/>
    <w:rsid w:val="680B0026"/>
    <w:rsid w:val="683E4589"/>
    <w:rsid w:val="68492A7C"/>
    <w:rsid w:val="68647CB3"/>
    <w:rsid w:val="68C93FF6"/>
    <w:rsid w:val="68E02B96"/>
    <w:rsid w:val="68E71691"/>
    <w:rsid w:val="69056375"/>
    <w:rsid w:val="69FD3DED"/>
    <w:rsid w:val="6A9B436E"/>
    <w:rsid w:val="6ABE6D4A"/>
    <w:rsid w:val="6B113469"/>
    <w:rsid w:val="6B1700CF"/>
    <w:rsid w:val="6B221F70"/>
    <w:rsid w:val="6B273CA9"/>
    <w:rsid w:val="6B4D6FB4"/>
    <w:rsid w:val="6BB1672B"/>
    <w:rsid w:val="6BC3504B"/>
    <w:rsid w:val="6BE808A4"/>
    <w:rsid w:val="6BF91EC4"/>
    <w:rsid w:val="6C0118A4"/>
    <w:rsid w:val="6C1950FF"/>
    <w:rsid w:val="6C5F3CA6"/>
    <w:rsid w:val="6D510F2F"/>
    <w:rsid w:val="6D6D0877"/>
    <w:rsid w:val="6DE90B45"/>
    <w:rsid w:val="6E071417"/>
    <w:rsid w:val="6E2E58F9"/>
    <w:rsid w:val="6E326006"/>
    <w:rsid w:val="6EE01E9D"/>
    <w:rsid w:val="6F114EF6"/>
    <w:rsid w:val="6F53446B"/>
    <w:rsid w:val="6F72079E"/>
    <w:rsid w:val="6F895FB2"/>
    <w:rsid w:val="6F9F18DF"/>
    <w:rsid w:val="6FA468BA"/>
    <w:rsid w:val="6FC339A2"/>
    <w:rsid w:val="6FCD682F"/>
    <w:rsid w:val="6FCF7432"/>
    <w:rsid w:val="6FEA0DFA"/>
    <w:rsid w:val="70A42908"/>
    <w:rsid w:val="70D15725"/>
    <w:rsid w:val="70EC20C7"/>
    <w:rsid w:val="71654FF4"/>
    <w:rsid w:val="71730D49"/>
    <w:rsid w:val="71AB4D47"/>
    <w:rsid w:val="71C511D3"/>
    <w:rsid w:val="7202479D"/>
    <w:rsid w:val="726101EA"/>
    <w:rsid w:val="726D248E"/>
    <w:rsid w:val="72D120BA"/>
    <w:rsid w:val="72D276DF"/>
    <w:rsid w:val="734E241A"/>
    <w:rsid w:val="73886C04"/>
    <w:rsid w:val="73B45860"/>
    <w:rsid w:val="7426150B"/>
    <w:rsid w:val="748E2D2D"/>
    <w:rsid w:val="74924809"/>
    <w:rsid w:val="74C451FD"/>
    <w:rsid w:val="74D65F4F"/>
    <w:rsid w:val="74E4409E"/>
    <w:rsid w:val="75092E76"/>
    <w:rsid w:val="75293D9C"/>
    <w:rsid w:val="753516CB"/>
    <w:rsid w:val="755158CA"/>
    <w:rsid w:val="75655784"/>
    <w:rsid w:val="75736A77"/>
    <w:rsid w:val="75AC62C6"/>
    <w:rsid w:val="76085DD4"/>
    <w:rsid w:val="760E348E"/>
    <w:rsid w:val="7646630B"/>
    <w:rsid w:val="76815405"/>
    <w:rsid w:val="770D35AC"/>
    <w:rsid w:val="772F4DD9"/>
    <w:rsid w:val="77740DD4"/>
    <w:rsid w:val="77C61E17"/>
    <w:rsid w:val="78566A72"/>
    <w:rsid w:val="7869107C"/>
    <w:rsid w:val="78B41519"/>
    <w:rsid w:val="78D8336A"/>
    <w:rsid w:val="78E44763"/>
    <w:rsid w:val="794E27EF"/>
    <w:rsid w:val="795D50F2"/>
    <w:rsid w:val="79BC2823"/>
    <w:rsid w:val="79CB6C85"/>
    <w:rsid w:val="79F4337C"/>
    <w:rsid w:val="7A0A5568"/>
    <w:rsid w:val="7A164076"/>
    <w:rsid w:val="7A1E31DB"/>
    <w:rsid w:val="7A4C0954"/>
    <w:rsid w:val="7AB94A6E"/>
    <w:rsid w:val="7ACD159E"/>
    <w:rsid w:val="7ADE22DC"/>
    <w:rsid w:val="7B8E1711"/>
    <w:rsid w:val="7B9F63FE"/>
    <w:rsid w:val="7BA34456"/>
    <w:rsid w:val="7BAC2CC2"/>
    <w:rsid w:val="7BF51348"/>
    <w:rsid w:val="7BFD7D6D"/>
    <w:rsid w:val="7C573412"/>
    <w:rsid w:val="7CDE5B83"/>
    <w:rsid w:val="7CEA7748"/>
    <w:rsid w:val="7CF35C79"/>
    <w:rsid w:val="7D31246A"/>
    <w:rsid w:val="7D592DCF"/>
    <w:rsid w:val="7D6876FE"/>
    <w:rsid w:val="7D6A6880"/>
    <w:rsid w:val="7DD4554A"/>
    <w:rsid w:val="7DDF0A25"/>
    <w:rsid w:val="7DF63F72"/>
    <w:rsid w:val="7E1B72D4"/>
    <w:rsid w:val="7E517B74"/>
    <w:rsid w:val="7E534872"/>
    <w:rsid w:val="7E803C59"/>
    <w:rsid w:val="7E9B4FE0"/>
    <w:rsid w:val="7EA954B1"/>
    <w:rsid w:val="7EC86126"/>
    <w:rsid w:val="7ECD3C00"/>
    <w:rsid w:val="7ED15A38"/>
    <w:rsid w:val="7F7A3C39"/>
    <w:rsid w:val="7FA36220"/>
    <w:rsid w:val="7FC27DFD"/>
    <w:rsid w:val="7FC7650A"/>
    <w:rsid w:val="7FD5269C"/>
    <w:rsid w:val="7FDE7E2F"/>
    <w:rsid w:val="7FFA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utlineLvl w:val="0"/>
    </w:pPr>
    <w:rPr>
      <w:rFonts w:ascii="仿宋_GB2312"/>
      <w:sz w:val="32"/>
    </w:rPr>
  </w:style>
  <w:style w:type="paragraph" w:styleId="5">
    <w:name w:val="heading 2"/>
    <w:basedOn w:val="1"/>
    <w:next w:val="1"/>
    <w:qFormat/>
    <w:uiPriority w:val="0"/>
    <w:pPr>
      <w:keepLines/>
      <w:numPr>
        <w:ilvl w:val="0"/>
        <w:numId w:val="1"/>
      </w:numPr>
      <w:spacing w:line="360" w:lineRule="auto"/>
      <w:jc w:val="left"/>
      <w:outlineLvl w:val="1"/>
    </w:pPr>
    <w:rPr>
      <w:rFonts w:ascii="宋体" w:hAnsi="宋体"/>
      <w:b/>
      <w:bCs/>
      <w:kern w:val="0"/>
      <w:sz w:val="24"/>
      <w:szCs w:val="32"/>
    </w:rPr>
  </w:style>
  <w:style w:type="paragraph" w:styleId="6">
    <w:name w:val="heading 3"/>
    <w:basedOn w:val="1"/>
    <w:next w:val="1"/>
    <w:qFormat/>
    <w:uiPriority w:val="0"/>
    <w:pPr>
      <w:keepNext/>
      <w:keepLines/>
      <w:spacing w:before="260" w:after="260" w:line="415" w:lineRule="auto"/>
      <w:outlineLvl w:val="2"/>
    </w:pPr>
    <w:rPr>
      <w:b/>
      <w:bCs/>
      <w:kern w:val="0"/>
      <w:sz w:val="32"/>
      <w:szCs w:val="32"/>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9"/>
    <w:basedOn w:val="1"/>
    <w:next w:val="1"/>
    <w:unhideWhenUsed/>
    <w:qFormat/>
    <w:uiPriority w:val="39"/>
    <w:pPr>
      <w:ind w:left="1680"/>
      <w:jc w:val="left"/>
    </w:pPr>
    <w:rPr>
      <w:rFonts w:ascii="Calibri" w:hAnsi="Calibri" w:cs="Calibri"/>
      <w:sz w:val="18"/>
      <w:szCs w:val="18"/>
    </w:rPr>
  </w:style>
  <w:style w:type="paragraph" w:styleId="8">
    <w:name w:val="Normal Indent"/>
    <w:basedOn w:val="1"/>
    <w:qFormat/>
    <w:uiPriority w:val="0"/>
    <w:pPr>
      <w:widowControl/>
      <w:ind w:firstLine="420"/>
      <w:jc w:val="left"/>
    </w:pPr>
    <w:rPr>
      <w:rFonts w:ascii="Calibri" w:hAnsi="Calibri" w:cs="黑体"/>
      <w:szCs w:val="22"/>
    </w:rPr>
  </w:style>
  <w:style w:type="paragraph" w:styleId="9">
    <w:name w:val="annotation text"/>
    <w:basedOn w:val="1"/>
    <w:qFormat/>
    <w:uiPriority w:val="0"/>
    <w:pPr>
      <w:jc w:val="left"/>
    </w:pPr>
  </w:style>
  <w:style w:type="paragraph" w:styleId="10">
    <w:name w:val="Body Text Indent"/>
    <w:basedOn w:val="1"/>
    <w:qFormat/>
    <w:uiPriority w:val="0"/>
    <w:pPr>
      <w:spacing w:line="360" w:lineRule="auto"/>
    </w:pPr>
    <w:rPr>
      <w:rFonts w:ascii="仿宋体" w:eastAsia="仿宋体"/>
      <w:sz w:val="24"/>
    </w:rPr>
  </w:style>
  <w:style w:type="paragraph" w:styleId="11">
    <w:name w:val="Plain Text"/>
    <w:basedOn w:val="1"/>
    <w:unhideWhenUsed/>
    <w:qFormat/>
    <w:uiPriority w:val="99"/>
    <w:rPr>
      <w:rFonts w:ascii="宋体" w:hAnsi="Courier New" w:cs="Courier New"/>
      <w:szCs w:val="21"/>
    </w:rPr>
  </w:style>
  <w:style w:type="paragraph" w:styleId="12">
    <w:name w:val="Date"/>
    <w:basedOn w:val="1"/>
    <w:next w:val="1"/>
    <w:qFormat/>
    <w:uiPriority w:val="0"/>
    <w:pPr>
      <w:ind w:left="100" w:leftChars="2500"/>
    </w:pPr>
    <w:rPr>
      <w:rFonts w:ascii="华文仿宋" w:hAnsi="华文仿宋" w:eastAsia="华文仿宋"/>
      <w:sz w:val="24"/>
    </w:rPr>
  </w:style>
  <w:style w:type="paragraph" w:styleId="13">
    <w:name w:val="Body Text Indent 2"/>
    <w:basedOn w:val="1"/>
    <w:qFormat/>
    <w:uiPriority w:val="0"/>
    <w:pPr>
      <w:spacing w:line="360" w:lineRule="auto"/>
      <w:ind w:left="839" w:hanging="839" w:hangingChars="355"/>
    </w:pPr>
    <w:rPr>
      <w:b/>
      <w:sz w:val="24"/>
    </w:rPr>
  </w:style>
  <w:style w:type="paragraph" w:styleId="14">
    <w:name w:val="Balloon Text"/>
    <w:basedOn w:val="1"/>
    <w:link w:val="37"/>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99"/>
    <w:pPr>
      <w:spacing w:after="120" w:line="480" w:lineRule="auto"/>
    </w:pPr>
    <w:rPr>
      <w:rFonts w:ascii="Calibri" w:hAnsi="Calibri"/>
      <w:kern w:val="0"/>
      <w:sz w:val="20"/>
    </w:rPr>
  </w:style>
  <w:style w:type="paragraph" w:styleId="18">
    <w:name w:val="List Continue 2"/>
    <w:basedOn w:val="1"/>
    <w:qFormat/>
    <w:uiPriority w:val="0"/>
    <w:pPr>
      <w:spacing w:after="120"/>
      <w:ind w:left="840" w:leftChars="400"/>
    </w:p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w:basedOn w:val="2"/>
    <w:qFormat/>
    <w:uiPriority w:val="0"/>
    <w:pPr>
      <w:ind w:firstLine="420" w:firstLineChars="100"/>
    </w:pPr>
    <w:rPr>
      <w:szCs w:val="21"/>
    </w:rPr>
  </w:style>
  <w:style w:type="paragraph" w:styleId="23">
    <w:name w:val="Body Text First Indent 2"/>
    <w:basedOn w:val="10"/>
    <w:unhideWhenUsed/>
    <w:qFormat/>
    <w:uiPriority w:val="0"/>
    <w:pPr>
      <w:widowControl/>
      <w:ind w:firstLine="420" w:firstLineChars="200"/>
    </w:pPr>
    <w:rPr>
      <w:rFonts w:ascii="Calibri" w:eastAsia="宋体"/>
      <w:kern w:val="0"/>
      <w:sz w:val="21"/>
      <w:szCs w:val="21"/>
    </w:rPr>
  </w:style>
  <w:style w:type="table" w:styleId="25">
    <w:name w:val="Table Grid"/>
    <w:basedOn w:val="24"/>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semiHidden/>
    <w:unhideWhenUsed/>
    <w:qFormat/>
    <w:uiPriority w:val="99"/>
    <w:rPr>
      <w:color w:val="0000FF"/>
      <w:u w:val="single"/>
    </w:rPr>
  </w:style>
  <w:style w:type="paragraph" w:customStyle="1" w:styleId="30">
    <w:name w:val="默认段落字体 Para Char"/>
    <w:basedOn w:val="1"/>
    <w:qFormat/>
    <w:uiPriority w:val="0"/>
    <w:pPr>
      <w:adjustRightInd w:val="0"/>
      <w:spacing w:line="360" w:lineRule="auto"/>
    </w:p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
    <w:name w:val="列出段落1"/>
    <w:basedOn w:val="1"/>
    <w:qFormat/>
    <w:uiPriority w:val="34"/>
    <w:pPr>
      <w:ind w:firstLine="420" w:firstLineChars="200"/>
    </w:pPr>
  </w:style>
  <w:style w:type="character" w:customStyle="1" w:styleId="34">
    <w:name w:val="font11"/>
    <w:basedOn w:val="26"/>
    <w:qFormat/>
    <w:uiPriority w:val="0"/>
    <w:rPr>
      <w:rFonts w:hint="default" w:ascii="Times New Roman" w:hAnsi="Times New Roman" w:cs="Times New Roman"/>
      <w:color w:val="000000"/>
      <w:sz w:val="24"/>
      <w:szCs w:val="24"/>
      <w:u w:val="none"/>
    </w:rPr>
  </w:style>
  <w:style w:type="character" w:customStyle="1" w:styleId="35">
    <w:name w:val="font31"/>
    <w:basedOn w:val="26"/>
    <w:qFormat/>
    <w:uiPriority w:val="0"/>
    <w:rPr>
      <w:rFonts w:hint="eastAsia" w:ascii="宋体" w:hAnsi="宋体" w:eastAsia="宋体" w:cs="宋体"/>
      <w:color w:val="000000"/>
      <w:sz w:val="24"/>
      <w:szCs w:val="24"/>
      <w:u w:val="none"/>
    </w:rPr>
  </w:style>
  <w:style w:type="paragraph" w:customStyle="1" w:styleId="36">
    <w:name w:val="WPS Plain"/>
    <w:qFormat/>
    <w:uiPriority w:val="0"/>
    <w:rPr>
      <w:rFonts w:ascii="Times New Roman" w:hAnsi="Times New Roman" w:eastAsia="宋体" w:cs="Times New Roman"/>
      <w:lang w:val="en-US" w:eastAsia="zh-CN" w:bidi="ar-SA"/>
    </w:rPr>
  </w:style>
  <w:style w:type="character" w:customStyle="1" w:styleId="37">
    <w:name w:val="批注框文本 Char"/>
    <w:basedOn w:val="26"/>
    <w:link w:val="14"/>
    <w:qFormat/>
    <w:uiPriority w:val="0"/>
    <w:rPr>
      <w:kern w:val="2"/>
      <w:sz w:val="18"/>
      <w:szCs w:val="18"/>
    </w:rPr>
  </w:style>
  <w:style w:type="paragraph" w:customStyle="1" w:styleId="38">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9">
    <w:name w:val="apple-converted-space"/>
    <w:basedOn w:val="26"/>
    <w:qFormat/>
    <w:uiPriority w:val="0"/>
  </w:style>
  <w:style w:type="paragraph" w:customStyle="1" w:styleId="40">
    <w:name w:val="Table Paragraph"/>
    <w:basedOn w:val="1"/>
    <w:qFormat/>
    <w:uiPriority w:val="1"/>
    <w:rPr>
      <w:rFonts w:ascii="宋体" w:hAnsi="宋体" w:cs="宋体"/>
      <w:lang w:val="zh-CN" w:bidi="zh-CN"/>
    </w:rPr>
  </w:style>
  <w:style w:type="paragraph" w:customStyle="1" w:styleId="41">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42">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43">
    <w:name w:val="明显参考1"/>
    <w:basedOn w:val="26"/>
    <w:qFormat/>
    <w:uiPriority w:val="32"/>
    <w:rPr>
      <w:b/>
      <w:bCs/>
      <w:smallCaps/>
      <w:color w:val="C0504D"/>
      <w:spacing w:val="5"/>
      <w:u w:val="single"/>
    </w:rPr>
  </w:style>
  <w:style w:type="paragraph" w:styleId="44">
    <w:name w:val="List Paragraph"/>
    <w:basedOn w:val="1"/>
    <w:qFormat/>
    <w:uiPriority w:val="34"/>
    <w:pPr>
      <w:ind w:firstLine="420" w:firstLineChars="200"/>
    </w:pPr>
    <w:rPr>
      <w:rFonts w:ascii="Calibri" w:hAnsi="Calibri"/>
      <w:szCs w:val="22"/>
    </w:rPr>
  </w:style>
  <w:style w:type="character" w:customStyle="1" w:styleId="45">
    <w:name w:val="明显参考11"/>
    <w:basedOn w:val="26"/>
    <w:qFormat/>
    <w:uiPriority w:val="32"/>
    <w:rPr>
      <w:b/>
      <w:bCs/>
      <w:smallCaps/>
      <w:color w:val="C0504D"/>
      <w:spacing w:val="5"/>
      <w:u w:val="single"/>
    </w:rPr>
  </w:style>
  <w:style w:type="paragraph" w:customStyle="1" w:styleId="46">
    <w:name w:val="表格文字"/>
    <w:basedOn w:val="1"/>
    <w:qFormat/>
    <w:uiPriority w:val="0"/>
    <w:pPr>
      <w:jc w:val="left"/>
    </w:pPr>
    <w:rPr>
      <w:bCs/>
      <w:spacing w:val="10"/>
      <w:sz w:val="24"/>
    </w:rPr>
  </w:style>
  <w:style w:type="character" w:customStyle="1" w:styleId="47">
    <w:name w:val="font01"/>
    <w:basedOn w:val="26"/>
    <w:qFormat/>
    <w:uiPriority w:val="0"/>
    <w:rPr>
      <w:rFonts w:ascii="方正小标宋_GBK" w:hAnsi="方正小标宋_GBK" w:eastAsia="方正小标宋_GBK" w:cs="方正小标宋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4965</Words>
  <Characters>28303</Characters>
  <Lines>235</Lines>
  <Paragraphs>66</Paragraphs>
  <TotalTime>14</TotalTime>
  <ScaleCrop>false</ScaleCrop>
  <LinksUpToDate>false</LinksUpToDate>
  <CharactersWithSpaces>33202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2021-10-26T04:19:00Z</dcterms:created>
  <dc:creator>HapPy</dc:creator>
  <cp:lastModifiedBy>Administrator</cp:lastModifiedBy>
  <cp:lastPrinted>2021-11-02T03:22:00Z</cp:lastPrinted>
  <dcterms:modified xsi:type="dcterms:W3CDTF">2021-11-05T10:01:11Z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834D4238D2A546228C81AD1233C80AFC</vt:lpwstr>
  </property>
</Properties>
</file>