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rFonts w:hint="eastAsia" w:ascii="宋体" w:hAnsi="宋体" w:eastAsia="宋体" w:cs="宋体"/>
          <w:color w:val="000000" w:themeColor="text1"/>
          <w:highlight w:val="none"/>
          <w14:textFill>
            <w14:solidFill>
              <w14:schemeClr w14:val="tx1"/>
            </w14:solidFill>
          </w14:textFill>
        </w:rPr>
      </w:pPr>
      <w:bookmarkStart w:id="177" w:name="_GoBack"/>
      <w:bookmarkEnd w:id="177"/>
      <w:r>
        <w:rPr>
          <w:rFonts w:hint="eastAsia" w:ascii="宋体" w:hAnsi="宋体" w:eastAsia="宋体" w:cs="宋体"/>
          <w:color w:val="000000" w:themeColor="text1"/>
          <w:highlight w:val="none"/>
          <w14:textFill>
            <w14:solidFill>
              <w14:schemeClr w14:val="tx1"/>
            </w14:solidFill>
          </w14:textFill>
        </w:rPr>
        <w:drawing>
          <wp:inline distT="0" distB="0" distL="114300" distR="114300">
            <wp:extent cx="694690" cy="419100"/>
            <wp:effectExtent l="0" t="0" r="1016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94690" cy="419100"/>
                    </a:xfrm>
                    <a:prstGeom prst="rect">
                      <a:avLst/>
                    </a:prstGeom>
                    <a:noFill/>
                    <a:ln>
                      <a:noFill/>
                    </a:ln>
                  </pic:spPr>
                </pic:pic>
              </a:graphicData>
            </a:graphic>
          </wp:inline>
        </w:drawing>
      </w:r>
    </w:p>
    <w:p>
      <w:pPr>
        <w:ind w:right="105"/>
        <w:jc w:val="righ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新疆天麒</w:t>
      </w:r>
    </w:p>
    <w:p>
      <w:pPr>
        <w:spacing w:line="360" w:lineRule="auto"/>
        <w:ind w:left="420" w:leftChars="200"/>
        <w:jc w:val="center"/>
        <w:rPr>
          <w:rFonts w:hint="eastAsia" w:ascii="宋体" w:hAnsi="宋体" w:eastAsia="宋体" w:cs="宋体"/>
          <w:b/>
          <w:color w:val="000000" w:themeColor="text1"/>
          <w:sz w:val="36"/>
          <w:szCs w:val="36"/>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bookmarkStart w:id="0" w:name="_Toc225166185"/>
      <w:r>
        <w:rPr>
          <w:rFonts w:hint="eastAsia" w:ascii="宋体" w:hAnsi="宋体" w:cs="宋体"/>
          <w:b/>
          <w:color w:val="000000" w:themeColor="text1"/>
          <w:sz w:val="52"/>
          <w:szCs w:val="52"/>
          <w:highlight w:val="none"/>
          <w:lang w:eastAsia="zh-CN"/>
          <w14:textFill>
            <w14:solidFill>
              <w14:schemeClr w14:val="tx1"/>
            </w14:solidFill>
          </w14:textFill>
        </w:rPr>
        <w:t>乌尔禾“西部乌镇”环卫服务</w:t>
      </w:r>
    </w:p>
    <w:p>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招</w:t>
      </w:r>
      <w:r>
        <w:rPr>
          <w:rFonts w:hint="eastAsia" w:ascii="宋体" w:hAnsi="宋体" w:eastAsia="宋体" w:cs="宋体"/>
          <w:b/>
          <w:color w:val="000000" w:themeColor="text1"/>
          <w:sz w:val="72"/>
          <w:szCs w:val="7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72"/>
          <w:szCs w:val="72"/>
          <w:highlight w:val="none"/>
          <w14:textFill>
            <w14:solidFill>
              <w14:schemeClr w14:val="tx1"/>
            </w14:solidFill>
          </w14:textFill>
        </w:rPr>
        <w:t>标</w:t>
      </w:r>
      <w:r>
        <w:rPr>
          <w:rFonts w:hint="eastAsia" w:ascii="宋体" w:hAnsi="宋体" w:eastAsia="宋体" w:cs="宋体"/>
          <w:b/>
          <w:color w:val="000000" w:themeColor="text1"/>
          <w:sz w:val="72"/>
          <w:szCs w:val="7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72"/>
          <w:szCs w:val="72"/>
          <w:highlight w:val="none"/>
          <w14:textFill>
            <w14:solidFill>
              <w14:schemeClr w14:val="tx1"/>
            </w14:solidFill>
          </w14:textFill>
        </w:rPr>
        <w:t>文</w:t>
      </w:r>
      <w:r>
        <w:rPr>
          <w:rFonts w:hint="eastAsia" w:ascii="宋体" w:hAnsi="宋体" w:eastAsia="宋体" w:cs="宋体"/>
          <w:b/>
          <w:color w:val="000000" w:themeColor="text1"/>
          <w:sz w:val="72"/>
          <w:szCs w:val="7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72"/>
          <w:szCs w:val="72"/>
          <w:highlight w:val="none"/>
          <w14:textFill>
            <w14:solidFill>
              <w14:schemeClr w14:val="tx1"/>
            </w14:solidFill>
          </w14:textFill>
        </w:rPr>
        <w:t>件</w:t>
      </w:r>
      <w:bookmarkEnd w:id="0"/>
    </w:p>
    <w:p>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招标文件编号：</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WEHZRMZF（ZC）2021-02</w:t>
      </w:r>
    </w:p>
    <w:p>
      <w:pPr>
        <w:spacing w:line="360" w:lineRule="auto"/>
        <w:ind w:firstLine="602" w:firstLineChars="200"/>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ind w:firstLine="602" w:firstLineChars="200"/>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ind w:firstLine="602" w:firstLineChars="200"/>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ind w:firstLine="602" w:firstLineChars="200"/>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ind w:firstLine="602" w:firstLineChars="200"/>
        <w:rPr>
          <w:rFonts w:hint="eastAsia" w:ascii="宋体" w:hAnsi="宋体" w:eastAsia="宋体" w:cs="宋体"/>
          <w:b/>
          <w:color w:val="000000" w:themeColor="text1"/>
          <w:sz w:val="30"/>
          <w:szCs w:val="30"/>
          <w:highlight w:val="none"/>
          <w14:textFill>
            <w14:solidFill>
              <w14:schemeClr w14:val="tx1"/>
            </w14:solidFill>
          </w14:textFill>
        </w:rPr>
      </w:pPr>
    </w:p>
    <w:p>
      <w:pPr>
        <w:pStyle w:val="3"/>
        <w:keepNext w:val="0"/>
        <w:keepLines w:val="0"/>
        <w:widowControl/>
        <w:suppressLineNumbers w:val="0"/>
        <w:spacing w:line="450" w:lineRule="atLeast"/>
        <w:ind w:left="0" w:firstLine="602" w:firstLineChars="200"/>
        <w:jc w:val="both"/>
        <w:rPr>
          <w:rFonts w:hint="eastAsia" w:ascii="宋体" w:hAnsi="宋体" w:eastAsia="宋体" w:cs="宋体"/>
          <w:b/>
          <w:bCs w:val="0"/>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30"/>
          <w:szCs w:val="30"/>
          <w:highlight w:val="none"/>
          <w:lang w:val="en-US" w:eastAsia="zh-CN" w:bidi="ar-SA"/>
          <w14:textFill>
            <w14:solidFill>
              <w14:schemeClr w14:val="tx1"/>
            </w14:solidFill>
          </w14:textFill>
        </w:rPr>
        <w:t>采购人：乌尔禾区乌尔禾镇人民政府</w:t>
      </w:r>
    </w:p>
    <w:p>
      <w:pPr>
        <w:spacing w:line="360" w:lineRule="auto"/>
        <w:ind w:firstLine="602" w:firstLineChars="200"/>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 xml:space="preserve"> </w:t>
      </w:r>
    </w:p>
    <w:p>
      <w:pPr>
        <w:spacing w:line="360" w:lineRule="auto"/>
        <w:ind w:firstLine="602" w:firstLineChars="200"/>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招标代理：新疆天麒工程项目管理咨询有限责任公司</w:t>
      </w:r>
    </w:p>
    <w:p>
      <w:pPr>
        <w:spacing w:line="360" w:lineRule="auto"/>
        <w:ind w:firstLine="602" w:firstLineChars="200"/>
        <w:jc w:val="center"/>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ind w:firstLine="602" w:firstLineChars="200"/>
        <w:jc w:val="center"/>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ind w:firstLine="602" w:firstLineChars="200"/>
        <w:jc w:val="cente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二零二</w:t>
      </w:r>
      <w:r>
        <w:rPr>
          <w:rFonts w:hint="eastAsia" w:ascii="宋体" w:hAnsi="宋体" w:eastAsia="宋体" w:cs="宋体"/>
          <w:b/>
          <w:color w:val="000000" w:themeColor="text1"/>
          <w:sz w:val="30"/>
          <w:szCs w:val="30"/>
          <w:highlight w:val="none"/>
          <w:lang w:eastAsia="zh-CN"/>
          <w14:textFill>
            <w14:solidFill>
              <w14:schemeClr w14:val="tx1"/>
            </w14:solidFill>
          </w14:textFill>
        </w:rPr>
        <w:t>一</w:t>
      </w:r>
      <w:r>
        <w:rPr>
          <w:rFonts w:hint="eastAsia" w:ascii="宋体" w:hAnsi="宋体" w:eastAsia="宋体" w:cs="宋体"/>
          <w:b/>
          <w:color w:val="000000" w:themeColor="text1"/>
          <w:sz w:val="30"/>
          <w:szCs w:val="30"/>
          <w:highlight w:val="none"/>
          <w14:textFill>
            <w14:solidFill>
              <w14:schemeClr w14:val="tx1"/>
            </w14:solidFill>
          </w14:textFill>
        </w:rPr>
        <w:t>年</w:t>
      </w:r>
      <w:r>
        <w:rPr>
          <w:rFonts w:hint="eastAsia" w:ascii="宋体" w:hAnsi="宋体" w:eastAsia="宋体" w:cs="宋体"/>
          <w:b/>
          <w:color w:val="000000" w:themeColor="text1"/>
          <w:sz w:val="30"/>
          <w:szCs w:val="30"/>
          <w:highlight w:val="none"/>
          <w:lang w:eastAsia="zh-CN"/>
          <w14:textFill>
            <w14:solidFill>
              <w14:schemeClr w14:val="tx1"/>
            </w14:solidFill>
          </w14:textFill>
        </w:rPr>
        <w:t>十一</w:t>
      </w:r>
      <w:r>
        <w:rPr>
          <w:rFonts w:hint="eastAsia" w:ascii="宋体" w:hAnsi="宋体" w:eastAsia="宋体" w:cs="宋体"/>
          <w:b/>
          <w:color w:val="000000" w:themeColor="text1"/>
          <w:sz w:val="30"/>
          <w:szCs w:val="30"/>
          <w:highlight w:val="none"/>
          <w14:textFill>
            <w14:solidFill>
              <w14:schemeClr w14:val="tx1"/>
            </w14:solidFill>
          </w14:textFill>
        </w:rPr>
        <w:t>月</w:t>
      </w:r>
    </w:p>
    <w:p>
      <w:pPr>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sectPr>
          <w:headerReference r:id="rId3" w:type="default"/>
          <w:footerReference r:id="rId4" w:type="default"/>
          <w:pgSz w:w="11906" w:h="16838"/>
          <w:pgMar w:top="1134" w:right="1134" w:bottom="1134" w:left="1134" w:header="851" w:footer="992" w:gutter="0"/>
          <w:pgNumType w:start="1"/>
          <w:cols w:space="425" w:num="1"/>
          <w:docGrid w:type="lines" w:linePitch="312" w:charSpace="0"/>
        </w:sectPr>
      </w:pPr>
    </w:p>
    <w:p>
      <w:pPr>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总目录</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第一章</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招标公告--------------------------------------第2页</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第二章</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投标人须知------------------------------------第4页</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第三章项目采购需求----------------------------------第2</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页</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第四章</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合同条款------------------------------------第</w:t>
      </w: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t>页</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第五章</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投标文件格式----------------------------------第</w:t>
      </w:r>
      <w:r>
        <w:rPr>
          <w:rFonts w:hint="eastAsia" w:ascii="宋体" w:hAnsi="宋体" w:eastAsia="宋体" w:cs="宋体"/>
          <w:color w:val="000000" w:themeColor="text1"/>
          <w:sz w:val="28"/>
          <w:szCs w:val="28"/>
          <w:highlight w:val="none"/>
          <w:lang w:val="en-US" w:eastAsia="zh-CN"/>
          <w14:textFill>
            <w14:solidFill>
              <w14:schemeClr w14:val="tx1"/>
            </w14:solidFill>
          </w14:textFill>
        </w:rPr>
        <w:t>30</w:t>
      </w:r>
      <w:r>
        <w:rPr>
          <w:rFonts w:hint="eastAsia" w:ascii="宋体" w:hAnsi="宋体" w:eastAsia="宋体" w:cs="宋体"/>
          <w:color w:val="000000" w:themeColor="text1"/>
          <w:sz w:val="28"/>
          <w:szCs w:val="28"/>
          <w:highlight w:val="none"/>
          <w14:textFill>
            <w14:solidFill>
              <w14:schemeClr w14:val="tx1"/>
            </w14:solidFill>
          </w14:textFill>
        </w:rPr>
        <w:t>页</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第六章评标办法（综合评分法）-------------------------第</w:t>
      </w:r>
      <w:r>
        <w:rPr>
          <w:rFonts w:hint="eastAsia" w:ascii="宋体" w:hAnsi="宋体" w:eastAsia="宋体" w:cs="宋体"/>
          <w:color w:val="000000" w:themeColor="text1"/>
          <w:sz w:val="28"/>
          <w:szCs w:val="28"/>
          <w:highlight w:val="none"/>
          <w:lang w:val="en-US" w:eastAsia="zh-CN"/>
          <w14:textFill>
            <w14:solidFill>
              <w14:schemeClr w14:val="tx1"/>
            </w14:solidFill>
          </w14:textFill>
        </w:rPr>
        <w:t>44</w:t>
      </w:r>
      <w:r>
        <w:rPr>
          <w:rFonts w:hint="eastAsia" w:ascii="宋体" w:hAnsi="宋体" w:eastAsia="宋体" w:cs="宋体"/>
          <w:color w:val="000000" w:themeColor="text1"/>
          <w:sz w:val="28"/>
          <w:szCs w:val="28"/>
          <w:highlight w:val="none"/>
          <w14:textFill>
            <w14:solidFill>
              <w14:schemeClr w14:val="tx1"/>
            </w14:solidFill>
          </w14:textFill>
        </w:rPr>
        <w:t>页</w:t>
      </w:r>
    </w:p>
    <w:p>
      <w:pPr>
        <w:spacing w:line="360" w:lineRule="auto"/>
        <w:rPr>
          <w:rFonts w:ascii="仿宋_GB2312" w:eastAsia="仿宋_GB2312"/>
          <w:color w:val="000000" w:themeColor="text1"/>
          <w:sz w:val="32"/>
          <w:szCs w:val="32"/>
          <w:highlight w:val="none"/>
          <w14:textFill>
            <w14:solidFill>
              <w14:schemeClr w14:val="tx1"/>
            </w14:solidFill>
          </w14:textFill>
        </w:rPr>
      </w:pPr>
    </w:p>
    <w:p>
      <w:pPr>
        <w:spacing w:line="360" w:lineRule="auto"/>
        <w:rPr>
          <w:rFonts w:ascii="仿宋_GB2312" w:hAnsi="仿宋_GB2312" w:eastAsia="仿宋_GB2312" w:cs="仿宋_GB2312"/>
          <w:b/>
          <w:bCs/>
          <w:color w:val="000000" w:themeColor="text1"/>
          <w:sz w:val="24"/>
          <w:highlight w:val="none"/>
          <w14:textFill>
            <w14:solidFill>
              <w14:schemeClr w14:val="tx1"/>
            </w14:solidFill>
          </w14:textFill>
        </w:rPr>
      </w:pPr>
    </w:p>
    <w:p>
      <w:pPr>
        <w:spacing w:line="360" w:lineRule="auto"/>
        <w:rPr>
          <w:rFonts w:ascii="仿宋_GB2312" w:hAnsi="仿宋_GB2312" w:eastAsia="仿宋_GB2312" w:cs="仿宋_GB2312"/>
          <w:b/>
          <w:bCs/>
          <w:color w:val="000000" w:themeColor="text1"/>
          <w:sz w:val="24"/>
          <w:highlight w:val="none"/>
          <w14:textFill>
            <w14:solidFill>
              <w14:schemeClr w14:val="tx1"/>
            </w14:solidFill>
          </w14:textFill>
        </w:rPr>
      </w:pPr>
    </w:p>
    <w:p>
      <w:pPr>
        <w:spacing w:line="360" w:lineRule="auto"/>
        <w:rPr>
          <w:rFonts w:ascii="仿宋_GB2312" w:hAnsi="仿宋_GB2312" w:eastAsia="仿宋_GB2312" w:cs="仿宋_GB2312"/>
          <w:b/>
          <w:bCs/>
          <w:color w:val="000000" w:themeColor="text1"/>
          <w:sz w:val="24"/>
          <w:highlight w:val="none"/>
          <w14:textFill>
            <w14:solidFill>
              <w14:schemeClr w14:val="tx1"/>
            </w14:solidFill>
          </w14:textFill>
        </w:rPr>
      </w:pPr>
    </w:p>
    <w:p>
      <w:pPr>
        <w:spacing w:line="360" w:lineRule="auto"/>
        <w:rPr>
          <w:rFonts w:ascii="仿宋_GB2312" w:hAnsi="仿宋_GB2312" w:eastAsia="仿宋_GB2312" w:cs="仿宋_GB2312"/>
          <w:b/>
          <w:bCs/>
          <w:color w:val="000000" w:themeColor="text1"/>
          <w:sz w:val="24"/>
          <w:highlight w:val="none"/>
          <w14:textFill>
            <w14:solidFill>
              <w14:schemeClr w14:val="tx1"/>
            </w14:solidFill>
          </w14:textFill>
        </w:rPr>
      </w:pPr>
    </w:p>
    <w:p>
      <w:pPr>
        <w:spacing w:line="360" w:lineRule="auto"/>
        <w:rPr>
          <w:rFonts w:ascii="仿宋_GB2312" w:hAnsi="仿宋_GB2312" w:eastAsia="仿宋_GB2312" w:cs="仿宋_GB2312"/>
          <w:b/>
          <w:bCs/>
          <w:color w:val="000000" w:themeColor="text1"/>
          <w:sz w:val="24"/>
          <w:highlight w:val="none"/>
          <w14:textFill>
            <w14:solidFill>
              <w14:schemeClr w14:val="tx1"/>
            </w14:solidFill>
          </w14:textFill>
        </w:rPr>
      </w:pPr>
    </w:p>
    <w:p>
      <w:pPr>
        <w:spacing w:line="360" w:lineRule="auto"/>
        <w:rPr>
          <w:rFonts w:ascii="仿宋_GB2312" w:hAnsi="仿宋_GB2312" w:eastAsia="仿宋_GB2312" w:cs="仿宋_GB2312"/>
          <w:b/>
          <w:bCs/>
          <w:color w:val="000000" w:themeColor="text1"/>
          <w:sz w:val="24"/>
          <w:highlight w:val="none"/>
          <w14:textFill>
            <w14:solidFill>
              <w14:schemeClr w14:val="tx1"/>
            </w14:solidFill>
          </w14:textFill>
        </w:rPr>
      </w:pPr>
    </w:p>
    <w:p>
      <w:pPr>
        <w:spacing w:line="360" w:lineRule="auto"/>
        <w:rPr>
          <w:rFonts w:ascii="仿宋_GB2312" w:hAnsi="仿宋_GB2312" w:eastAsia="仿宋_GB2312" w:cs="仿宋_GB2312"/>
          <w:b/>
          <w:bCs/>
          <w:color w:val="000000" w:themeColor="text1"/>
          <w:sz w:val="24"/>
          <w:highlight w:val="none"/>
          <w14:textFill>
            <w14:solidFill>
              <w14:schemeClr w14:val="tx1"/>
            </w14:solidFill>
          </w14:textFill>
        </w:rPr>
      </w:pPr>
    </w:p>
    <w:p>
      <w:pPr>
        <w:spacing w:line="360" w:lineRule="auto"/>
        <w:rPr>
          <w:rFonts w:ascii="仿宋_GB2312" w:hAnsi="仿宋_GB2312" w:eastAsia="仿宋_GB2312" w:cs="仿宋_GB2312"/>
          <w:b/>
          <w:bCs/>
          <w:color w:val="000000" w:themeColor="text1"/>
          <w:sz w:val="24"/>
          <w:highlight w:val="none"/>
          <w14:textFill>
            <w14:solidFill>
              <w14:schemeClr w14:val="tx1"/>
            </w14:solidFill>
          </w14:textFill>
        </w:rPr>
      </w:pPr>
    </w:p>
    <w:p>
      <w:pPr>
        <w:spacing w:line="360" w:lineRule="auto"/>
        <w:rPr>
          <w:rFonts w:ascii="仿宋_GB2312" w:hAnsi="仿宋_GB2312" w:eastAsia="仿宋_GB2312" w:cs="仿宋_GB2312"/>
          <w:b/>
          <w:bCs/>
          <w:color w:val="000000" w:themeColor="text1"/>
          <w:sz w:val="24"/>
          <w:highlight w:val="none"/>
          <w14:textFill>
            <w14:solidFill>
              <w14:schemeClr w14:val="tx1"/>
            </w14:solidFill>
          </w14:textFill>
        </w:rPr>
      </w:pPr>
    </w:p>
    <w:p>
      <w:pPr>
        <w:widowControl/>
        <w:spacing w:after="121"/>
        <w:jc w:val="center"/>
        <w:rPr>
          <w:rFonts w:hint="eastAsia" w:ascii="Arial" w:hAnsi="Arial" w:cs="Arial"/>
          <w:color w:val="000000" w:themeColor="text1"/>
          <w:kern w:val="0"/>
          <w:sz w:val="19"/>
          <w:szCs w:val="19"/>
          <w:highlight w:val="none"/>
          <w:lang w:eastAsia="zh-CN"/>
          <w14:textFill>
            <w14:solidFill>
              <w14:schemeClr w14:val="tx1"/>
            </w14:solidFill>
          </w14:textFill>
        </w:rPr>
      </w:pPr>
    </w:p>
    <w:p>
      <w:pPr>
        <w:widowControl/>
        <w:spacing w:after="121"/>
        <w:jc w:val="center"/>
        <w:rPr>
          <w:rFonts w:hint="eastAsia" w:ascii="Arial" w:hAnsi="Arial" w:cs="Arial"/>
          <w:color w:val="000000" w:themeColor="text1"/>
          <w:kern w:val="0"/>
          <w:sz w:val="19"/>
          <w:szCs w:val="19"/>
          <w:highlight w:val="none"/>
          <w:lang w:eastAsia="zh-CN"/>
          <w14:textFill>
            <w14:solidFill>
              <w14:schemeClr w14:val="tx1"/>
            </w14:solidFill>
          </w14:textFill>
        </w:rPr>
      </w:pPr>
    </w:p>
    <w:p>
      <w:pPr>
        <w:widowControl/>
        <w:spacing w:before="61" w:after="61"/>
        <w:jc w:val="left"/>
        <w:rPr>
          <w:rFonts w:hint="eastAsia" w:ascii="Arial" w:hAnsi="Arial" w:cs="Arial"/>
          <w:color w:val="000000" w:themeColor="text1"/>
          <w:kern w:val="0"/>
          <w:sz w:val="19"/>
          <w:highlight w:val="none"/>
          <w:lang w:eastAsia="zh-CN"/>
          <w14:textFill>
            <w14:solidFill>
              <w14:schemeClr w14:val="tx1"/>
            </w14:solidFill>
          </w14:textFill>
        </w:rPr>
      </w:pPr>
    </w:p>
    <w:p>
      <w:pPr>
        <w:pStyle w:val="3"/>
        <w:numPr>
          <w:ilvl w:val="0"/>
          <w:numId w:val="0"/>
        </w:numPr>
        <w:spacing w:line="360" w:lineRule="auto"/>
        <w:jc w:val="center"/>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pPr>
      <w:bookmarkStart w:id="1" w:name="_Toc154996575"/>
      <w:r>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t>第一章  招标公告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w:t>
      </w:r>
      <w:r>
        <w:rPr>
          <w:rFonts w:hint="eastAsia" w:ascii="宋体" w:hAnsi="宋体" w:cs="宋体"/>
          <w:b w:val="0"/>
          <w:bCs w:val="0"/>
          <w:color w:val="000000" w:themeColor="text1"/>
          <w:kern w:val="44"/>
          <w:sz w:val="24"/>
          <w:szCs w:val="24"/>
          <w:highlight w:val="none"/>
          <w:u w:val="single"/>
          <w:lang w:val="en-US" w:eastAsia="zh-CN" w:bidi="ar-SA"/>
          <w14:textFill>
            <w14:solidFill>
              <w14:schemeClr w14:val="tx1"/>
            </w14:solidFill>
          </w14:textFill>
        </w:rPr>
        <w:t>乌尔禾“西部乌镇”环卫服务</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招标项目的潜在投标人应在</w:t>
      </w:r>
      <w:r>
        <w:rPr>
          <w:rFonts w:hint="eastAsia" w:ascii="宋体" w:hAnsi="宋体" w:eastAsia="宋体" w:cs="宋体"/>
          <w:color w:val="000000" w:themeColor="text1"/>
          <w:sz w:val="24"/>
          <w:szCs w:val="24"/>
          <w:highlight w:val="none"/>
          <w:u w:val="single"/>
          <w14:textFill>
            <w14:solidFill>
              <w14:schemeClr w14:val="tx1"/>
            </w14:solidFill>
          </w14:textFill>
        </w:rPr>
        <w:t>本网站</w:t>
      </w:r>
      <w:r>
        <w:rPr>
          <w:rFonts w:hint="eastAsia" w:ascii="宋体" w:hAnsi="宋体" w:eastAsia="宋体" w:cs="宋体"/>
          <w:color w:val="000000" w:themeColor="text1"/>
          <w:sz w:val="24"/>
          <w:szCs w:val="24"/>
          <w:highlight w:val="none"/>
          <w14:textFill>
            <w14:solidFill>
              <w14:schemeClr w14:val="tx1"/>
            </w14:solidFill>
          </w14:textFill>
        </w:rPr>
        <w:t>获取招标文件，并于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u w:val="single"/>
          <w14:textFill>
            <w14:solidFill>
              <w14:schemeClr w14:val="tx1"/>
            </w14:solidFill>
          </w14:textFill>
        </w:rPr>
        <w:t>年</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bCs/>
          <w:color w:val="000000" w:themeColor="text1"/>
          <w:sz w:val="24"/>
          <w:szCs w:val="24"/>
          <w:highlight w:val="none"/>
          <w:u w:val="single"/>
          <w14:textFill>
            <w14:solidFill>
              <w14:schemeClr w14:val="tx1"/>
            </w14:solidFill>
          </w14:textFill>
        </w:rPr>
        <w:t>月</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u w:val="single"/>
          <w14:textFill>
            <w14:solidFill>
              <w14:schemeClr w14:val="tx1"/>
            </w14:solidFill>
          </w14:textFill>
        </w:rPr>
        <w:t>日</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1</w:t>
      </w:r>
      <w:r>
        <w:rPr>
          <w:rFonts w:hint="eastAsia" w:ascii="宋体" w:hAnsi="宋体" w:cs="宋体"/>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点</w:t>
      </w:r>
      <w:r>
        <w:rPr>
          <w:rFonts w:hint="eastAsia" w:ascii="宋体" w:hAnsi="宋体" w:cs="宋体"/>
          <w:bCs/>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bCs/>
          <w:color w:val="000000" w:themeColor="text1"/>
          <w:sz w:val="24"/>
          <w:szCs w:val="24"/>
          <w:highlight w:val="none"/>
          <w:u w:val="single"/>
          <w14:textFill>
            <w14:solidFill>
              <w14:schemeClr w14:val="tx1"/>
            </w14:solidFill>
          </w14:textFill>
        </w:rPr>
        <w:t>分（</w:t>
      </w:r>
      <w:r>
        <w:rPr>
          <w:rFonts w:hint="eastAsia" w:ascii="宋体" w:hAnsi="宋体" w:eastAsia="宋体" w:cs="宋体"/>
          <w:bCs/>
          <w:color w:val="000000" w:themeColor="text1"/>
          <w:sz w:val="24"/>
          <w:szCs w:val="24"/>
          <w:highlight w:val="none"/>
          <w14:textFill>
            <w14:solidFill>
              <w14:schemeClr w14:val="tx1"/>
            </w14:solidFill>
          </w14:textFill>
        </w:rPr>
        <w:t>北京时间）前递交投标文件</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2" w:firstLineChars="200"/>
        <w:textAlignment w:val="auto"/>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pPr>
      <w:bookmarkStart w:id="2" w:name="_Toc28359002"/>
      <w:bookmarkStart w:id="3" w:name="_Toc35393790"/>
      <w:bookmarkStart w:id="4" w:name="_Toc28359079"/>
      <w:bookmarkStart w:id="5" w:name="_Toc35393621"/>
      <w:bookmarkStart w:id="6" w:name="_Hlk24379207"/>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一、项目基本情况</w:t>
      </w:r>
      <w:bookmarkEnd w:id="2"/>
      <w:bookmarkEnd w:id="3"/>
      <w:bookmarkEnd w:id="4"/>
      <w:bookmarkEnd w:id="5"/>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项目编号：</w:t>
      </w:r>
      <w:r>
        <w:rPr>
          <w:rFonts w:hint="eastAsia" w:cs="宋体"/>
          <w:b w:val="0"/>
          <w:bCs w:val="0"/>
          <w:color w:val="000000" w:themeColor="text1"/>
          <w:kern w:val="44"/>
          <w:sz w:val="24"/>
          <w:szCs w:val="24"/>
          <w:highlight w:val="none"/>
          <w:lang w:val="en-US" w:eastAsia="zh-CN" w:bidi="ar-SA"/>
          <w14:textFill>
            <w14:solidFill>
              <w14:schemeClr w14:val="tx1"/>
            </w14:solidFill>
          </w14:textFill>
        </w:rPr>
        <w:t>WEHZRMZF（ZC）2021-02</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项目名称：</w:t>
      </w:r>
      <w:bookmarkEnd w:id="6"/>
      <w:r>
        <w:rPr>
          <w:rFonts w:hint="eastAsia" w:cs="宋体"/>
          <w:b w:val="0"/>
          <w:bCs w:val="0"/>
          <w:color w:val="000000" w:themeColor="text1"/>
          <w:kern w:val="44"/>
          <w:sz w:val="24"/>
          <w:szCs w:val="24"/>
          <w:highlight w:val="none"/>
          <w:lang w:val="en-US" w:eastAsia="zh-CN" w:bidi="ar-SA"/>
          <w14:textFill>
            <w14:solidFill>
              <w14:schemeClr w14:val="tx1"/>
            </w14:solidFill>
          </w14:textFill>
        </w:rPr>
        <w:t>乌尔禾“西部乌镇”环卫服务</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default"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预算金额</w:t>
      </w:r>
      <w:r>
        <w:rPr>
          <w:rFonts w:hint="eastAsia" w:cs="宋体"/>
          <w:b w:val="0"/>
          <w:bCs w:val="0"/>
          <w:color w:val="000000" w:themeColor="text1"/>
          <w:kern w:val="44"/>
          <w:sz w:val="24"/>
          <w:szCs w:val="24"/>
          <w:highlight w:val="none"/>
          <w:lang w:val="en-US" w:eastAsia="zh-CN" w:bidi="ar-SA"/>
          <w14:textFill>
            <w14:solidFill>
              <w14:schemeClr w14:val="tx1"/>
            </w14:solidFill>
          </w14:textFill>
        </w:rPr>
        <w:t>：250.772809</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万元</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最高限价（如有）：</w:t>
      </w:r>
      <w:r>
        <w:rPr>
          <w:rFonts w:hint="eastAsia" w:eastAsia="宋体" w:cs="宋体"/>
          <w:b w:val="0"/>
          <w:bCs w:val="0"/>
          <w:color w:val="000000" w:themeColor="text1"/>
          <w:kern w:val="44"/>
          <w:sz w:val="24"/>
          <w:szCs w:val="24"/>
          <w:highlight w:val="none"/>
          <w:lang w:val="en-US" w:eastAsia="zh-CN" w:bidi="ar-SA"/>
          <w14:textFill>
            <w14:solidFill>
              <w14:schemeClr w14:val="tx1"/>
            </w14:solidFill>
          </w14:textFill>
        </w:rPr>
        <w:t>无</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采购需求：详见采购文件</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default"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合同履行期限：详见采购文件</w:t>
      </w:r>
      <w:r>
        <w:rPr>
          <w:rFonts w:hint="eastAsia" w:eastAsia="宋体" w:cs="宋体"/>
          <w:b w:val="0"/>
          <w:bCs w:val="0"/>
          <w:color w:val="000000" w:themeColor="text1"/>
          <w:kern w:val="44"/>
          <w:sz w:val="24"/>
          <w:szCs w:val="24"/>
          <w:highlight w:val="none"/>
          <w:lang w:val="en-US" w:eastAsia="zh-CN" w:bidi="ar-SA"/>
          <w14:textFill>
            <w14:solidFill>
              <w14:schemeClr w14:val="tx1"/>
            </w14:solidFill>
          </w14:textFill>
        </w:rPr>
        <w:t>。</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本项目（否）接受联合体投标。</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2"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bookmarkStart w:id="7" w:name="_Toc35393622"/>
      <w:bookmarkStart w:id="8" w:name="_Toc28359003"/>
      <w:bookmarkStart w:id="9" w:name="_Toc35393791"/>
      <w:bookmarkStart w:id="10" w:name="_Toc28359080"/>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二、申请人的资格要求：</w:t>
      </w:r>
      <w:bookmarkEnd w:id="7"/>
      <w:bookmarkEnd w:id="8"/>
      <w:bookmarkEnd w:id="9"/>
      <w:bookmarkEnd w:id="10"/>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1.满足《中华人民共和国政府采购法》第二十二条规定；</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bookmarkStart w:id="11" w:name="_Toc28359004"/>
      <w:bookmarkStart w:id="12" w:name="_Toc28359081"/>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2.落实政府采购政策需满足的资格要求：按照《财政部 工业和信息化部关于印发&lt;政府采购促进中小企业发展管理办法&gt;的通知》（财库〔2020〕46号）的规定，落实促进中小企业发展政策</w:t>
      </w:r>
      <w:r>
        <w:rPr>
          <w:rFonts w:hint="default"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default"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3.本项目的特定资格要求：</w:t>
      </w:r>
      <w:bookmarkStart w:id="13" w:name="_Toc35393623"/>
      <w:bookmarkStart w:id="14" w:name="_Toc35393792"/>
      <w:r>
        <w:rPr>
          <w:rFonts w:hint="eastAsia" w:cs="宋体"/>
          <w:b w:val="0"/>
          <w:bCs w:val="0"/>
          <w:color w:val="000000" w:themeColor="text1"/>
          <w:kern w:val="44"/>
          <w:sz w:val="24"/>
          <w:szCs w:val="24"/>
          <w:highlight w:val="none"/>
          <w:lang w:val="en-US" w:eastAsia="zh-CN" w:bidi="ar-SA"/>
          <w14:textFill>
            <w14:solidFill>
              <w14:schemeClr w14:val="tx1"/>
            </w14:solidFill>
          </w14:textFill>
        </w:rPr>
        <w:t>无。</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2" w:firstLineChars="200"/>
        <w:textAlignment w:val="auto"/>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三、获取招标文件</w:t>
      </w:r>
      <w:bookmarkEnd w:id="11"/>
      <w:bookmarkEnd w:id="12"/>
      <w:bookmarkEnd w:id="13"/>
      <w:bookmarkEnd w:id="14"/>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时间：</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202</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1</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年</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11</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月</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10</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日至</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202</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1</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年</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11</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月</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17</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日</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 xml:space="preserve"> 1</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9</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:00</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（提供期限自本公告发布之日起不得少于5个工作日），每天上午</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10:00</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至</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13:00</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下午16:00</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至</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19:00</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（北京时间，法定节假日除外）</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地点：</w:t>
      </w:r>
      <w:r>
        <w:rPr>
          <w:rFonts w:hint="eastAsia" w:eastAsia="宋体" w:cs="宋体"/>
          <w:b w:val="0"/>
          <w:bCs w:val="0"/>
          <w:color w:val="000000" w:themeColor="text1"/>
          <w:kern w:val="44"/>
          <w:sz w:val="24"/>
          <w:szCs w:val="24"/>
          <w:highlight w:val="none"/>
          <w:lang w:val="en-US" w:eastAsia="zh-CN" w:bidi="ar-SA"/>
          <w14:textFill>
            <w14:solidFill>
              <w14:schemeClr w14:val="tx1"/>
            </w14:solidFill>
          </w14:textFill>
        </w:rPr>
        <w:t>新疆政府采购网</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方式：</w:t>
      </w:r>
      <w:r>
        <w:rPr>
          <w:rFonts w:hint="eastAsia" w:eastAsia="宋体" w:cs="宋体"/>
          <w:b w:val="0"/>
          <w:bCs w:val="0"/>
          <w:color w:val="000000" w:themeColor="text1"/>
          <w:kern w:val="44"/>
          <w:sz w:val="24"/>
          <w:szCs w:val="24"/>
          <w:highlight w:val="none"/>
          <w:lang w:val="en-US" w:eastAsia="zh-CN" w:bidi="ar-SA"/>
          <w14:textFill>
            <w14:solidFill>
              <w14:schemeClr w14:val="tx1"/>
            </w14:solidFill>
          </w14:textFill>
        </w:rPr>
        <w:t>新疆政府采购网下载</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default"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售价：</w:t>
      </w:r>
      <w:r>
        <w:rPr>
          <w:rFonts w:hint="eastAsia" w:eastAsia="宋体" w:cs="宋体"/>
          <w:b w:val="0"/>
          <w:bCs w:val="0"/>
          <w:color w:val="000000" w:themeColor="text1"/>
          <w:kern w:val="44"/>
          <w:sz w:val="24"/>
          <w:szCs w:val="24"/>
          <w:highlight w:val="none"/>
          <w:lang w:val="en-US" w:eastAsia="zh-CN" w:bidi="ar-SA"/>
          <w14:textFill>
            <w14:solidFill>
              <w14:schemeClr w14:val="tx1"/>
            </w14:solidFill>
          </w14:textFill>
        </w:rPr>
        <w:t>300元/份</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2" w:firstLineChars="200"/>
        <w:textAlignment w:val="auto"/>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pPr>
      <w:bookmarkStart w:id="15" w:name="_Toc28359005"/>
      <w:bookmarkStart w:id="16" w:name="_Toc28359082"/>
      <w:bookmarkStart w:id="17" w:name="_Toc35393793"/>
      <w:bookmarkStart w:id="18" w:name="_Toc35393624"/>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四、提交投标文件</w:t>
      </w:r>
      <w:bookmarkEnd w:id="15"/>
      <w:bookmarkEnd w:id="16"/>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截止时间、开标时间和地点</w:t>
      </w:r>
      <w:bookmarkEnd w:id="17"/>
      <w:bookmarkEnd w:id="18"/>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pP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202</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1</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年</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11</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月</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30</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日</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1</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6</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点</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00</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分</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（北京时间）</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（自招标文件开始发出之日起至投标人提交投标文件截止之日止，不得少于20日）</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default"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地点：新疆天麒工程项目管理咨询有限责任公司一楼评标室（克拉玛依市通讯路44号）</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2" w:firstLineChars="200"/>
        <w:textAlignment w:val="auto"/>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pPr>
      <w:bookmarkStart w:id="19" w:name="_Toc28359007"/>
      <w:bookmarkStart w:id="20" w:name="_Toc28359084"/>
      <w:bookmarkStart w:id="21" w:name="_Toc35393794"/>
      <w:bookmarkStart w:id="22" w:name="_Toc35393625"/>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五、公告期限</w:t>
      </w:r>
      <w:bookmarkEnd w:id="19"/>
      <w:bookmarkEnd w:id="20"/>
      <w:bookmarkEnd w:id="21"/>
      <w:bookmarkEnd w:id="22"/>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自本公告发布之日起5个工作日。</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2" w:firstLineChars="200"/>
        <w:textAlignment w:val="auto"/>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pPr>
      <w:bookmarkStart w:id="23" w:name="_Toc35393795"/>
      <w:bookmarkStart w:id="24" w:name="_Toc35393626"/>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六、其他补充事宜</w:t>
      </w:r>
      <w:bookmarkEnd w:id="23"/>
      <w:bookmarkEnd w:id="24"/>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bookmarkStart w:id="25" w:name="_Toc35393796"/>
      <w:bookmarkStart w:id="26" w:name="_Toc28359085"/>
      <w:bookmarkStart w:id="27" w:name="_Toc35393627"/>
      <w:bookmarkStart w:id="28" w:name="_Toc28359008"/>
      <w:r>
        <w:rPr>
          <w:rFonts w:hint="eastAsia" w:cs="宋体"/>
          <w:b w:val="0"/>
          <w:bCs w:val="0"/>
          <w:color w:val="000000" w:themeColor="text1"/>
          <w:kern w:val="44"/>
          <w:sz w:val="24"/>
          <w:szCs w:val="24"/>
          <w:highlight w:val="none"/>
          <w:lang w:val="en-US" w:eastAsia="zh-CN" w:bidi="ar-SA"/>
          <w14:textFill>
            <w14:solidFill>
              <w14:schemeClr w14:val="tx1"/>
            </w14:solidFill>
          </w14:textFill>
        </w:rPr>
        <w:t>1、填</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写《</w:t>
      </w:r>
      <w:r>
        <w:rPr>
          <w:rFonts w:hint="eastAsia" w:cs="宋体"/>
          <w:b w:val="0"/>
          <w:bCs w:val="0"/>
          <w:color w:val="000000" w:themeColor="text1"/>
          <w:kern w:val="44"/>
          <w:sz w:val="24"/>
          <w:szCs w:val="24"/>
          <w:highlight w:val="none"/>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参加政府采购项目申请表》和《政府采购诚信承诺书》，将《申请表》、《政府采购诚信承诺书》及采购文件费交纳凭证扫描件一同发送至邮箱</w:t>
      </w:r>
      <w:r>
        <w:rPr>
          <w:rFonts w:hint="eastAsia" w:cs="宋体"/>
          <w:b w:val="0"/>
          <w:bCs w:val="0"/>
          <w:color w:val="000000" w:themeColor="text1"/>
          <w:kern w:val="44"/>
          <w:sz w:val="24"/>
          <w:szCs w:val="24"/>
          <w:highlight w:val="none"/>
          <w:lang w:val="en-US" w:eastAsia="zh-CN" w:bidi="ar-SA"/>
          <w14:textFill>
            <w14:solidFill>
              <w14:schemeClr w14:val="tx1"/>
            </w14:solidFill>
          </w14:textFill>
        </w:rPr>
        <w:t>2547416947</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@qq.com，邮件名称必须为：项目名称+项目编号+投标人名称，未提交申请表及文件费交纳凭证的投标人不得参加采购活动。申请表必须填写完整并加盖公章。</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cs="宋体"/>
          <w:b w:val="0"/>
          <w:bCs w:val="0"/>
          <w:color w:val="000000" w:themeColor="text1"/>
          <w:kern w:val="44"/>
          <w:sz w:val="24"/>
          <w:szCs w:val="24"/>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参加现场交易活动的所有人员须自行全程佩戴口罩，配合进行体温检测和身份登记，符合疫情防控要求方可参加现场交易活动。</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2" w:firstLineChars="200"/>
        <w:textAlignment w:val="auto"/>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七、对本次招标提出询问，请按以下方式联系。</w:t>
      </w:r>
      <w:bookmarkEnd w:id="25"/>
      <w:bookmarkEnd w:id="26"/>
      <w:bookmarkEnd w:id="27"/>
      <w:bookmarkEnd w:id="28"/>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1.采购人信息</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eastAsia="宋体" w:cs="宋体"/>
          <w:b w:val="0"/>
          <w:bCs w:val="0"/>
          <w:color w:val="000000" w:themeColor="text1"/>
          <w:kern w:val="44"/>
          <w:sz w:val="24"/>
          <w:szCs w:val="24"/>
          <w:highlight w:val="none"/>
          <w:u w:val="none"/>
          <w:lang w:val="en-US" w:eastAsia="zh-CN" w:bidi="ar-SA"/>
          <w14:textFill>
            <w14:solidFill>
              <w14:schemeClr w14:val="tx1"/>
            </w14:solidFill>
          </w14:textFill>
        </w:rPr>
      </w:pPr>
      <w:r>
        <w:rPr>
          <w:rFonts w:hint="eastAsia" w:eastAsia="宋体" w:cs="宋体"/>
          <w:b w:val="0"/>
          <w:bCs w:val="0"/>
          <w:color w:val="000000" w:themeColor="text1"/>
          <w:kern w:val="44"/>
          <w:sz w:val="24"/>
          <w:szCs w:val="24"/>
          <w:highlight w:val="none"/>
          <w:u w:val="none"/>
          <w:lang w:val="en-US" w:eastAsia="zh-CN" w:bidi="ar-SA"/>
          <w14:textFill>
            <w14:solidFill>
              <w14:schemeClr w14:val="tx1"/>
            </w14:solidFill>
          </w14:textFill>
        </w:rPr>
        <w:t>名 称：</w:t>
      </w:r>
      <w:r>
        <w:rPr>
          <w:rFonts w:hint="eastAsia" w:cs="宋体"/>
          <w:color w:val="000000" w:themeColor="text1"/>
          <w:kern w:val="2"/>
          <w:sz w:val="24"/>
          <w:szCs w:val="24"/>
          <w:highlight w:val="none"/>
          <w:u w:val="single"/>
          <w:lang w:val="en-US" w:eastAsia="zh-CN" w:bidi="ar-SA"/>
          <w14:textFill>
            <w14:solidFill>
              <w14:schemeClr w14:val="tx1"/>
            </w14:solidFill>
          </w14:textFill>
        </w:rPr>
        <w:t>乌尔禾区乌尔禾镇人民政府</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　</w:t>
      </w:r>
      <w:r>
        <w:rPr>
          <w:rFonts w:hint="eastAsia" w:eastAsia="宋体" w:cs="宋体"/>
          <w:b w:val="0"/>
          <w:bCs w:val="0"/>
          <w:color w:val="000000" w:themeColor="text1"/>
          <w:kern w:val="44"/>
          <w:sz w:val="24"/>
          <w:szCs w:val="24"/>
          <w:highlight w:val="none"/>
          <w:u w:val="none"/>
          <w:lang w:val="en-US" w:eastAsia="zh-CN" w:bidi="ar-SA"/>
          <w14:textFill>
            <w14:solidFill>
              <w14:schemeClr w14:val="tx1"/>
            </w14:solidFill>
          </w14:textFill>
        </w:rPr>
        <w:t>　　　　　　　　　　</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eastAsia="宋体" w:cs="宋体"/>
          <w:b w:val="0"/>
          <w:bCs w:val="0"/>
          <w:color w:val="000000" w:themeColor="text1"/>
          <w:kern w:val="44"/>
          <w:sz w:val="24"/>
          <w:szCs w:val="24"/>
          <w:highlight w:val="none"/>
          <w:u w:val="none"/>
          <w:lang w:val="en-US" w:eastAsia="zh-CN" w:bidi="ar-SA"/>
          <w14:textFill>
            <w14:solidFill>
              <w14:schemeClr w14:val="tx1"/>
            </w14:solidFill>
          </w14:textFill>
        </w:rPr>
        <w:t>地址：</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新疆克拉玛依市乌尔禾区同兴路31-5-3号二楼206办公室</w:t>
      </w:r>
      <w:r>
        <w:rPr>
          <w:rFonts w:hint="eastAsia" w:cs="宋体"/>
          <w:color w:val="000000" w:themeColor="text1"/>
          <w:kern w:val="2"/>
          <w:sz w:val="24"/>
          <w:szCs w:val="24"/>
          <w:highlight w:val="none"/>
          <w:u w:val="none"/>
          <w:lang w:val="en-US" w:eastAsia="zh-CN" w:bidi="ar-SA"/>
          <w14:textFill>
            <w14:solidFill>
              <w14:schemeClr w14:val="tx1"/>
            </w14:solidFill>
          </w14:textFill>
        </w:rPr>
        <w:t xml:space="preserve"> 　</w:t>
      </w:r>
      <w:r>
        <w:rPr>
          <w:rFonts w:hint="eastAsia" w:eastAsia="宋体" w:cs="宋体"/>
          <w:b w:val="0"/>
          <w:bCs w:val="0"/>
          <w:color w:val="000000" w:themeColor="text1"/>
          <w:kern w:val="44"/>
          <w:sz w:val="24"/>
          <w:szCs w:val="24"/>
          <w:highlight w:val="none"/>
          <w:u w:val="none"/>
          <w:lang w:val="en-US" w:eastAsia="zh-CN" w:bidi="ar-SA"/>
          <w14:textFill>
            <w14:solidFill>
              <w14:schemeClr w14:val="tx1"/>
            </w14:solidFill>
          </w14:textFill>
        </w:rPr>
        <w:t>　　　　</w:t>
      </w:r>
      <w:r>
        <w:rPr>
          <w:rFonts w:hint="eastAsia" w:eastAsia="宋体" w:cs="宋体"/>
          <w:b w:val="0"/>
          <w:bCs w:val="0"/>
          <w:color w:val="000000" w:themeColor="text1"/>
          <w:kern w:val="44"/>
          <w:sz w:val="24"/>
          <w:szCs w:val="24"/>
          <w:highlight w:val="none"/>
          <w:lang w:val="en-US" w:eastAsia="zh-CN" w:bidi="ar-SA"/>
          <w14:textFill>
            <w14:solidFill>
              <w14:schemeClr w14:val="tx1"/>
            </w14:solidFill>
          </w14:textFill>
        </w:rPr>
        <w:t>　　　　　　　</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eastAsia="宋体" w:cs="宋体"/>
          <w:b w:val="0"/>
          <w:bCs w:val="0"/>
          <w:color w:val="000000" w:themeColor="text1"/>
          <w:kern w:val="44"/>
          <w:sz w:val="24"/>
          <w:szCs w:val="24"/>
          <w:highlight w:val="none"/>
          <w:lang w:val="en-US" w:eastAsia="zh-CN" w:bidi="ar-SA"/>
          <w14:textFill>
            <w14:solidFill>
              <w14:schemeClr w14:val="tx1"/>
            </w14:solidFill>
          </w14:textFill>
        </w:rPr>
        <w:t>联系方式：</w:t>
      </w:r>
      <w:r>
        <w:rPr>
          <w:rFonts w:hint="eastAsia" w:cs="宋体"/>
          <w:color w:val="000000" w:themeColor="text1"/>
          <w:kern w:val="2"/>
          <w:sz w:val="24"/>
          <w:szCs w:val="24"/>
          <w:highlight w:val="none"/>
          <w:u w:val="single"/>
          <w:lang w:val="en-US" w:eastAsia="zh-CN" w:bidi="ar-SA"/>
          <w14:textFill>
            <w14:solidFill>
              <w14:schemeClr w14:val="tx1"/>
            </w14:solidFill>
          </w14:textFill>
        </w:rPr>
        <w:t>0990-6964573　</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　</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w:t>
      </w:r>
      <w:bookmarkStart w:id="29" w:name="_Toc28359009"/>
      <w:bookmarkStart w:id="30" w:name="_Toc28359086"/>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2.采购代理机构信息</w:t>
      </w:r>
      <w:bookmarkEnd w:id="29"/>
      <w:bookmarkEnd w:id="30"/>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bookmarkStart w:id="31" w:name="_Toc28359087"/>
      <w:bookmarkStart w:id="32" w:name="_Toc28359010"/>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u w:val="single"/>
          <w14:textFill>
            <w14:solidFill>
              <w14:schemeClr w14:val="tx1"/>
            </w14:solidFill>
          </w14:textFill>
        </w:rPr>
        <w:t>新疆天麒工程项目管理咨询有限责任公司</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single"/>
          <w14:textFill>
            <w14:solidFill>
              <w14:schemeClr w14:val="tx1"/>
            </w14:solidFill>
          </w14:textFill>
        </w:rPr>
        <w:t>新疆克拉玛依市通讯路44号</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0990-6222961</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3.项目联系方式</w:t>
      </w:r>
      <w:bookmarkEnd w:id="31"/>
      <w:bookmarkEnd w:id="32"/>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张高远</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（采购人）   王敏、</w:t>
      </w:r>
      <w:r>
        <w:rPr>
          <w:rFonts w:hint="eastAsia" w:ascii="宋体" w:hAnsi="宋体" w:cs="宋体"/>
          <w:color w:val="000000" w:themeColor="text1"/>
          <w:sz w:val="24"/>
          <w:szCs w:val="24"/>
          <w:highlight w:val="none"/>
          <w:u w:val="single"/>
          <w:lang w:val="en-US" w:eastAsia="zh-CN"/>
          <w14:textFill>
            <w14:solidFill>
              <w14:schemeClr w14:val="tx1"/>
            </w14:solidFill>
          </w14:textFill>
        </w:rPr>
        <w:t>巴音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（采购代理机构）</w:t>
      </w:r>
    </w:p>
    <w:p>
      <w:pPr>
        <w:pStyle w:val="51"/>
        <w:pageBreakBefore w:val="0"/>
        <w:kinsoku/>
        <w:wordWrap/>
        <w:overflowPunct/>
        <w:topLinePunct w:val="0"/>
        <w:autoSpaceDE/>
        <w:autoSpaceDN/>
        <w:bidi w:val="0"/>
        <w:adjustRightInd/>
        <w:snapToGrid w:val="0"/>
        <w:spacing w:before="0" w:beforeAutospacing="0" w:after="0" w:afterAutospacing="0"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cs="宋体"/>
          <w:color w:val="000000" w:themeColor="text1"/>
          <w:sz w:val="24"/>
          <w:szCs w:val="24"/>
          <w:highlight w:val="none"/>
          <w:u w:val="single"/>
          <w:lang w:val="en-US" w:eastAsia="zh-CN"/>
          <w14:textFill>
            <w14:solidFill>
              <w14:schemeClr w14:val="tx1"/>
            </w14:solidFill>
          </w14:textFill>
        </w:rPr>
        <w:t>0990-6964573</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0990-6222961</w:t>
      </w:r>
    </w:p>
    <w:p>
      <w:pPr>
        <w:pStyle w:val="5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eastAsia="宋体" w:cs="宋体"/>
          <w:b w:val="0"/>
          <w:bCs w:val="0"/>
          <w:color w:val="000000" w:themeColor="text1"/>
          <w:kern w:val="44"/>
          <w:sz w:val="24"/>
          <w:szCs w:val="24"/>
          <w:highlight w:val="none"/>
          <w:lang w:val="en-US" w:eastAsia="zh-CN" w:bidi="ar-SA"/>
          <w14:textFill>
            <w14:solidFill>
              <w14:schemeClr w14:val="tx1"/>
            </w14:solidFill>
          </w14:textFill>
        </w:rPr>
        <w:t> </w:t>
      </w:r>
    </w:p>
    <w:p>
      <w:pPr>
        <w:spacing w:line="300" w:lineRule="exact"/>
        <w:jc w:val="center"/>
        <w:rPr>
          <w:rFonts w:hint="eastAsia" w:ascii="宋体" w:hAnsi="宋体" w:cs="宋体"/>
          <w:b/>
          <w:bCs/>
          <w:color w:val="000000" w:themeColor="text1"/>
          <w:sz w:val="28"/>
          <w:szCs w:val="28"/>
          <w:highlight w:val="none"/>
          <w14:textFill>
            <w14:solidFill>
              <w14:schemeClr w14:val="tx1"/>
            </w14:solidFill>
          </w14:textFill>
        </w:rPr>
      </w:pPr>
    </w:p>
    <w:p>
      <w:pPr>
        <w:spacing w:line="300" w:lineRule="exact"/>
        <w:jc w:val="center"/>
        <w:rPr>
          <w:rFonts w:hint="eastAsia" w:ascii="宋体" w:hAnsi="宋体" w:cs="宋体"/>
          <w:b/>
          <w:bCs/>
          <w:color w:val="000000" w:themeColor="text1"/>
          <w:sz w:val="28"/>
          <w:szCs w:val="28"/>
          <w:highlight w:val="none"/>
          <w14:textFill>
            <w14:solidFill>
              <w14:schemeClr w14:val="tx1"/>
            </w14:solidFill>
          </w14:textFill>
        </w:rPr>
      </w:pPr>
    </w:p>
    <w:p>
      <w:pPr>
        <w:spacing w:line="300" w:lineRule="exact"/>
        <w:jc w:val="center"/>
        <w:rPr>
          <w:rFonts w:hint="eastAsia" w:ascii="宋体" w:hAnsi="宋体" w:cs="宋体"/>
          <w:b/>
          <w:bCs/>
          <w:color w:val="000000" w:themeColor="text1"/>
          <w:sz w:val="28"/>
          <w:szCs w:val="28"/>
          <w:highlight w:val="none"/>
          <w14:textFill>
            <w14:solidFill>
              <w14:schemeClr w14:val="tx1"/>
            </w14:solidFill>
          </w14:textFill>
        </w:rPr>
      </w:pPr>
    </w:p>
    <w:p>
      <w:pPr>
        <w:spacing w:line="300" w:lineRule="exact"/>
        <w:jc w:val="center"/>
        <w:rPr>
          <w:rFonts w:hint="eastAsia" w:ascii="宋体" w:hAnsi="宋体" w:cs="宋体"/>
          <w:b/>
          <w:bCs/>
          <w:color w:val="000000" w:themeColor="text1"/>
          <w:sz w:val="28"/>
          <w:szCs w:val="28"/>
          <w:highlight w:val="none"/>
          <w14:textFill>
            <w14:solidFill>
              <w14:schemeClr w14:val="tx1"/>
            </w14:solidFill>
          </w14:textFill>
        </w:rPr>
      </w:pPr>
    </w:p>
    <w:p>
      <w:pPr>
        <w:spacing w:line="300" w:lineRule="exact"/>
        <w:jc w:val="center"/>
        <w:rPr>
          <w:rFonts w:hint="eastAsia" w:ascii="宋体" w:hAnsi="宋体" w:cs="宋体"/>
          <w:b/>
          <w:bCs/>
          <w:color w:val="000000" w:themeColor="text1"/>
          <w:sz w:val="28"/>
          <w:szCs w:val="28"/>
          <w:highlight w:val="none"/>
          <w14:textFill>
            <w14:solidFill>
              <w14:schemeClr w14:val="tx1"/>
            </w14:solidFill>
          </w14:textFill>
        </w:rPr>
      </w:pPr>
    </w:p>
    <w:p>
      <w:pPr>
        <w:spacing w:line="300" w:lineRule="exact"/>
        <w:jc w:val="center"/>
        <w:rPr>
          <w:rFonts w:hint="eastAsia" w:ascii="宋体" w:hAnsi="宋体" w:cs="宋体"/>
          <w:b/>
          <w:bCs/>
          <w:color w:val="000000" w:themeColor="text1"/>
          <w:sz w:val="28"/>
          <w:szCs w:val="28"/>
          <w:highlight w:val="none"/>
          <w14:textFill>
            <w14:solidFill>
              <w14:schemeClr w14:val="tx1"/>
            </w14:solidFill>
          </w14:textFill>
        </w:rPr>
      </w:pPr>
    </w:p>
    <w:p>
      <w:pPr>
        <w:spacing w:line="300" w:lineRule="exact"/>
        <w:jc w:val="center"/>
        <w:rPr>
          <w:rFonts w:hint="eastAsia" w:ascii="宋体" w:hAnsi="宋体" w:cs="宋体"/>
          <w:b/>
          <w:bCs/>
          <w:color w:val="000000" w:themeColor="text1"/>
          <w:sz w:val="28"/>
          <w:szCs w:val="28"/>
          <w:highlight w:val="none"/>
          <w14:textFill>
            <w14:solidFill>
              <w14:schemeClr w14:val="tx1"/>
            </w14:solidFill>
          </w14:textFill>
        </w:rPr>
      </w:pPr>
    </w:p>
    <w:p>
      <w:pPr>
        <w:spacing w:line="300" w:lineRule="exact"/>
        <w:jc w:val="center"/>
        <w:rPr>
          <w:rFonts w:hint="eastAsia" w:ascii="宋体" w:hAnsi="宋体" w:cs="宋体"/>
          <w:b/>
          <w:bCs/>
          <w:color w:val="000000" w:themeColor="text1"/>
          <w:sz w:val="28"/>
          <w:szCs w:val="28"/>
          <w:highlight w:val="none"/>
          <w14:textFill>
            <w14:solidFill>
              <w14:schemeClr w14:val="tx1"/>
            </w14:solidFill>
          </w14:textFill>
        </w:rPr>
      </w:pPr>
    </w:p>
    <w:p>
      <w:pPr>
        <w:spacing w:line="300" w:lineRule="exact"/>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第二章  投标人须知</w:t>
      </w:r>
    </w:p>
    <w:tbl>
      <w:tblPr>
        <w:tblStyle w:val="57"/>
        <w:tblpPr w:leftFromText="180" w:rightFromText="180" w:vertAnchor="text" w:horzAnchor="margin" w:tblpXSpec="center" w:tblpY="815"/>
        <w:tblW w:w="10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67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970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675" w:type="dxa"/>
            <w:vAlign w:val="center"/>
          </w:tcPr>
          <w:p>
            <w:pPr>
              <w:pStyle w:val="34"/>
              <w:keepNext w:val="0"/>
              <w:keepLines w:val="0"/>
              <w:pageBreakBefore w:val="0"/>
              <w:kinsoku/>
              <w:wordWrap/>
              <w:overflowPunct/>
              <w:topLinePunct w:val="0"/>
              <w:autoSpaceDE/>
              <w:autoSpaceDN/>
              <w:bidi w:val="0"/>
              <w:adjustRightInd/>
              <w:snapToGrid/>
              <w:spacing w:line="440" w:lineRule="exact"/>
              <w:ind w:left="0" w:left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700" w:type="dxa"/>
            <w:vAlign w:val="center"/>
          </w:tcPr>
          <w:p>
            <w:pPr>
              <w:pStyle w:val="5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工程名称：乌尔禾“西部乌镇”环卫服务</w:t>
            </w:r>
          </w:p>
          <w:p>
            <w:pPr>
              <w:pStyle w:val="5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default"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招标文件编号：</w:t>
            </w:r>
            <w:r>
              <w:rPr>
                <w:rFonts w:hint="eastAsia" w:cs="宋体"/>
                <w:color w:val="000000" w:themeColor="text1"/>
                <w:highlight w:val="none"/>
                <w:lang w:val="en-US" w:eastAsia="zh-CN"/>
                <w14:textFill>
                  <w14:solidFill>
                    <w14:schemeClr w14:val="tx1"/>
                  </w14:solidFill>
                </w14:textFill>
              </w:rPr>
              <w:t>WEHZRMZF（ZC）2021-02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675" w:type="dxa"/>
            <w:vAlign w:val="center"/>
          </w:tcPr>
          <w:p>
            <w:pPr>
              <w:pStyle w:val="51"/>
              <w:keepNext w:val="0"/>
              <w:keepLines w:val="0"/>
              <w:pageBreakBefore w:val="0"/>
              <w:kinsoku/>
              <w:wordWrap/>
              <w:overflowPunct/>
              <w:topLinePunct w:val="0"/>
              <w:autoSpaceDE/>
              <w:autoSpaceDN/>
              <w:bidi w:val="0"/>
              <w:adjustRightInd/>
              <w:snapToGrid/>
              <w:spacing w:before="0" w:beforeAutospacing="0" w:after="0" w:afterAutospacing="0" w:line="440" w:lineRule="exact"/>
              <w:jc w:val="center"/>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w:t>
            </w:r>
          </w:p>
        </w:tc>
        <w:tc>
          <w:tcPr>
            <w:tcW w:w="9700" w:type="dxa"/>
          </w:tcPr>
          <w:p>
            <w:pPr>
              <w:pStyle w:val="5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采购人：乌尔禾区乌尔禾镇人民政府</w:t>
            </w:r>
          </w:p>
          <w:p>
            <w:pPr>
              <w:pStyle w:val="5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地  址：新疆克拉玛依市乌尔禾区同兴路</w:t>
            </w:r>
            <w:r>
              <w:rPr>
                <w:rFonts w:hint="eastAsia" w:cs="宋体"/>
                <w:color w:val="000000" w:themeColor="text1"/>
                <w:highlight w:val="none"/>
                <w:lang w:val="en-US" w:eastAsia="zh-CN"/>
                <w14:textFill>
                  <w14:solidFill>
                    <w14:schemeClr w14:val="tx1"/>
                  </w14:solidFill>
                </w14:textFill>
              </w:rPr>
              <w:t xml:space="preserve">31-5-3号二楼206办公室 </w:t>
            </w:r>
            <w:r>
              <w:rPr>
                <w:rFonts w:hint="eastAsia" w:cs="宋体"/>
                <w:color w:val="000000" w:themeColor="text1"/>
                <w:highlight w:val="none"/>
                <w:lang w:eastAsia="zh-CN"/>
                <w14:textFill>
                  <w14:solidFill>
                    <w14:schemeClr w14:val="tx1"/>
                  </w14:solidFill>
                </w14:textFill>
              </w:rPr>
              <w:t xml:space="preserve">    邮政编码：8340</w:t>
            </w:r>
            <w:r>
              <w:rPr>
                <w:rFonts w:hint="eastAsia" w:cs="宋体"/>
                <w:color w:val="000000" w:themeColor="text1"/>
                <w:highlight w:val="none"/>
                <w:lang w:val="en-US" w:eastAsia="zh-CN"/>
                <w14:textFill>
                  <w14:solidFill>
                    <w14:schemeClr w14:val="tx1"/>
                  </w14:solidFill>
                </w14:textFill>
              </w:rPr>
              <w:t>14</w:t>
            </w:r>
            <w:r>
              <w:rPr>
                <w:rFonts w:hint="eastAsia" w:cs="宋体"/>
                <w:color w:val="000000" w:themeColor="text1"/>
                <w:highlight w:val="none"/>
                <w:lang w:eastAsia="zh-CN"/>
                <w14:textFill>
                  <w14:solidFill>
                    <w14:schemeClr w14:val="tx1"/>
                  </w14:solidFill>
                </w14:textFill>
              </w:rPr>
              <w:t xml:space="preserve">  </w:t>
            </w:r>
          </w:p>
          <w:p>
            <w:pPr>
              <w:pStyle w:val="51"/>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default"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联系人：</w:t>
            </w:r>
            <w:r>
              <w:rPr>
                <w:rFonts w:hint="eastAsia" w:cs="宋体"/>
                <w:color w:val="000000" w:themeColor="text1"/>
                <w:highlight w:val="none"/>
                <w:lang w:val="en-US" w:eastAsia="zh-CN"/>
                <w14:textFill>
                  <w14:solidFill>
                    <w14:schemeClr w14:val="tx1"/>
                  </w14:solidFill>
                </w14:textFill>
              </w:rPr>
              <w:t>张高远</w:t>
            </w:r>
            <w:r>
              <w:rPr>
                <w:rFonts w:hint="eastAsia" w:cs="宋体"/>
                <w:color w:val="000000" w:themeColor="text1"/>
                <w:highlight w:val="none"/>
                <w:lang w:eastAsia="zh-CN"/>
                <w14:textFill>
                  <w14:solidFill>
                    <w14:schemeClr w14:val="tx1"/>
                  </w14:solidFill>
                </w14:textFill>
              </w:rPr>
              <w:t xml:space="preserve">                   联系电话：</w:t>
            </w:r>
            <w:r>
              <w:rPr>
                <w:rFonts w:hint="eastAsia" w:cs="宋体"/>
                <w:color w:val="000000" w:themeColor="text1"/>
                <w:highlight w:val="none"/>
                <w:lang w:val="en-US" w:eastAsia="zh-CN"/>
                <w14:textFill>
                  <w14:solidFill>
                    <w14:schemeClr w14:val="tx1"/>
                  </w14:solidFill>
                </w14:textFill>
              </w:rPr>
              <w:t>0990-6964573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675" w:type="dxa"/>
            <w:vAlign w:val="center"/>
          </w:tcPr>
          <w:p>
            <w:pPr>
              <w:pStyle w:val="3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w:t>
            </w:r>
          </w:p>
        </w:tc>
        <w:tc>
          <w:tcPr>
            <w:tcW w:w="9700" w:type="dxa"/>
            <w:vAlign w:val="center"/>
          </w:tcPr>
          <w:p>
            <w:pPr>
              <w:pStyle w:val="3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采购代理机构：新疆天麒工程项目管理咨询有限责任公司</w:t>
            </w:r>
          </w:p>
          <w:p>
            <w:pPr>
              <w:pStyle w:val="3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地址：克拉玛依市通讯路44号     邮政编码：834000</w:t>
            </w:r>
          </w:p>
          <w:p>
            <w:pPr>
              <w:pStyle w:val="3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联系人：王敏 </w:t>
            </w:r>
            <w:r>
              <w:rPr>
                <w:rFonts w:hint="eastAsia" w:hAnsi="宋体" w:cs="宋体"/>
                <w:color w:val="000000" w:themeColor="text1"/>
                <w:kern w:val="2"/>
                <w:sz w:val="24"/>
                <w:szCs w:val="24"/>
                <w:highlight w:val="none"/>
                <w:lang w:val="en-US" w:eastAsia="zh-CN"/>
                <w14:textFill>
                  <w14:solidFill>
                    <w14:schemeClr w14:val="tx1"/>
                  </w14:solidFill>
                </w14:textFill>
              </w:rPr>
              <w:t>巴音</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联系电话：0990-6882183</w:t>
            </w:r>
          </w:p>
          <w:p>
            <w:pPr>
              <w:pStyle w:val="3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开户行：中国工商银行股份有限公司克拉玛依石油分行</w:t>
            </w:r>
          </w:p>
          <w:p>
            <w:pPr>
              <w:pStyle w:val="3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行号：102882000037</w:t>
            </w:r>
          </w:p>
          <w:p>
            <w:pPr>
              <w:pStyle w:val="3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银行账号：3003020209024539038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p>
        </w:tc>
        <w:tc>
          <w:tcPr>
            <w:tcW w:w="970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投标有效期：递交投标文件截止日起</w:t>
            </w:r>
            <w:r>
              <w:rPr>
                <w:rFonts w:hint="eastAsia" w:ascii="宋体" w:hAnsi="宋体" w:cs="宋体"/>
                <w:color w:val="000000" w:themeColor="text1"/>
                <w:sz w:val="24"/>
                <w:highlight w:val="none"/>
                <w:lang w:val="en-US" w:eastAsia="zh-CN"/>
                <w14:textFill>
                  <w14:solidFill>
                    <w14:schemeClr w14:val="tx1"/>
                  </w14:solidFill>
                </w14:textFill>
              </w:rPr>
              <w:t>90天</w:t>
            </w:r>
            <w:r>
              <w:rPr>
                <w:rFonts w:hint="eastAsia" w:ascii="宋体" w:hAnsi="宋体" w:cs="宋体"/>
                <w:color w:val="000000" w:themeColor="text1"/>
                <w:sz w:val="24"/>
                <w:highlight w:val="none"/>
                <w14:textFill>
                  <w14:solidFill>
                    <w14:schemeClr w14:val="tx1"/>
                  </w14:solidFill>
                </w14:textFill>
              </w:rPr>
              <w:t>（日历日）</w:t>
            </w:r>
            <w:r>
              <w:rPr>
                <w:rFonts w:hint="eastAsia" w:ascii="宋体" w:hAnsi="宋体" w:cs="宋体"/>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75" w:type="dxa"/>
            <w:vAlign w:val="center"/>
          </w:tcPr>
          <w:p>
            <w:pPr>
              <w:pStyle w:val="32"/>
              <w:keepNext w:val="0"/>
              <w:keepLines w:val="0"/>
              <w:pageBreakBefore w:val="0"/>
              <w:kinsoku/>
              <w:wordWrap/>
              <w:overflowPunct/>
              <w:topLinePunct w:val="0"/>
              <w:autoSpaceDE/>
              <w:autoSpaceDN/>
              <w:bidi w:val="0"/>
              <w:adjustRightInd/>
              <w:snapToGrid/>
              <w:spacing w:line="440" w:lineRule="exact"/>
              <w:jc w:val="center"/>
              <w:textAlignment w:val="auto"/>
              <w:rPr>
                <w:rFonts w:hint="default" w:hAnsi="宋体" w:eastAsia="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highlight w:val="none"/>
                <w:lang w:val="en-US" w:eastAsia="zh-CN"/>
                <w14:textFill>
                  <w14:solidFill>
                    <w14:schemeClr w14:val="tx1"/>
                  </w14:solidFill>
                </w14:textFill>
              </w:rPr>
              <w:t>5</w:t>
            </w:r>
          </w:p>
        </w:tc>
        <w:tc>
          <w:tcPr>
            <w:tcW w:w="9700" w:type="dxa"/>
            <w:vAlign w:val="center"/>
          </w:tcPr>
          <w:p>
            <w:pPr>
              <w:pStyle w:val="32"/>
              <w:keepNext w:val="0"/>
              <w:keepLines w:val="0"/>
              <w:pageBreakBefore w:val="0"/>
              <w:kinsoku/>
              <w:wordWrap/>
              <w:overflowPunct/>
              <w:topLinePunct w:val="0"/>
              <w:autoSpaceDE/>
              <w:autoSpaceDN/>
              <w:bidi w:val="0"/>
              <w:adjustRightInd/>
              <w:snapToGrid/>
              <w:spacing w:line="440" w:lineRule="exact"/>
              <w:jc w:val="left"/>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kern w:val="2"/>
                <w:sz w:val="24"/>
                <w:szCs w:val="24"/>
                <w:highlight w:val="none"/>
                <w14:textFill>
                  <w14:solidFill>
                    <w14:schemeClr w14:val="tx1"/>
                  </w14:solidFill>
                </w14:textFill>
              </w:rPr>
              <w:t>投标文件的份数：</w:t>
            </w:r>
            <w:r>
              <w:rPr>
                <w:rFonts w:hint="eastAsia" w:hAnsi="宋体" w:cs="宋体"/>
                <w:b/>
                <w:color w:val="000000" w:themeColor="text1"/>
                <w:kern w:val="2"/>
                <w:sz w:val="24"/>
                <w:szCs w:val="24"/>
                <w:highlight w:val="none"/>
                <w14:textFill>
                  <w14:solidFill>
                    <w14:schemeClr w14:val="tx1"/>
                  </w14:solidFill>
                </w14:textFill>
              </w:rPr>
              <w:t>一式</w:t>
            </w:r>
            <w:r>
              <w:rPr>
                <w:rFonts w:hint="eastAsia" w:hAnsi="宋体" w:cs="宋体"/>
                <w:b/>
                <w:color w:val="000000" w:themeColor="text1"/>
                <w:kern w:val="2"/>
                <w:sz w:val="24"/>
                <w:szCs w:val="24"/>
                <w:highlight w:val="none"/>
                <w:lang w:eastAsia="zh-CN"/>
                <w14:textFill>
                  <w14:solidFill>
                    <w14:schemeClr w14:val="tx1"/>
                  </w14:solidFill>
                </w14:textFill>
              </w:rPr>
              <w:t>陆</w:t>
            </w:r>
            <w:r>
              <w:rPr>
                <w:rFonts w:hint="eastAsia" w:hAnsi="宋体" w:cs="宋体"/>
                <w:b/>
                <w:color w:val="000000" w:themeColor="text1"/>
                <w:kern w:val="2"/>
                <w:sz w:val="24"/>
                <w:szCs w:val="24"/>
                <w:highlight w:val="none"/>
                <w14:textFill>
                  <w14:solidFill>
                    <w14:schemeClr w14:val="tx1"/>
                  </w14:solidFill>
                </w14:textFill>
              </w:rPr>
              <w:t>份，其中正本壹份，副本</w:t>
            </w:r>
            <w:r>
              <w:rPr>
                <w:rFonts w:hint="eastAsia" w:hAnsi="宋体" w:cs="宋体"/>
                <w:b/>
                <w:color w:val="000000" w:themeColor="text1"/>
                <w:kern w:val="2"/>
                <w:sz w:val="24"/>
                <w:szCs w:val="24"/>
                <w:highlight w:val="none"/>
                <w:lang w:eastAsia="zh-CN"/>
                <w14:textFill>
                  <w14:solidFill>
                    <w14:schemeClr w14:val="tx1"/>
                  </w14:solidFill>
                </w14:textFill>
              </w:rPr>
              <w:t>伍</w:t>
            </w:r>
            <w:r>
              <w:rPr>
                <w:rFonts w:hint="eastAsia" w:hAnsi="宋体" w:cs="宋体"/>
                <w:b/>
                <w:color w:val="000000" w:themeColor="text1"/>
                <w:kern w:val="2"/>
                <w:sz w:val="24"/>
                <w:szCs w:val="24"/>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trPr>
        <w:tc>
          <w:tcPr>
            <w:tcW w:w="675" w:type="dxa"/>
            <w:vAlign w:val="center"/>
          </w:tcPr>
          <w:p>
            <w:pPr>
              <w:pStyle w:val="3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6</w:t>
            </w:r>
          </w:p>
        </w:tc>
        <w:tc>
          <w:tcPr>
            <w:tcW w:w="9700" w:type="dxa"/>
            <w:vAlign w:val="center"/>
          </w:tcPr>
          <w:p>
            <w:pPr>
              <w:pStyle w:val="17"/>
              <w:keepNext w:val="0"/>
              <w:keepLines w:val="0"/>
              <w:pageBreakBefore w:val="0"/>
              <w:kinsoku/>
              <w:wordWrap/>
              <w:overflowPunct/>
              <w:topLinePunct w:val="0"/>
              <w:autoSpaceDE/>
              <w:autoSpaceDN/>
              <w:bidi w:val="0"/>
              <w:adjustRightInd/>
              <w:snapToGrid/>
              <w:spacing w:line="440" w:lineRule="exact"/>
              <w:ind w:firstLine="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采购人不统一组织考察，各</w:t>
            </w:r>
            <w:r>
              <w:rPr>
                <w:rFonts w:hint="eastAsia" w:ascii="宋体" w:hAnsi="宋体" w:cs="宋体"/>
                <w:b/>
                <w:bCs/>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bCs/>
                <w:color w:val="000000" w:themeColor="text1"/>
                <w:sz w:val="24"/>
                <w:szCs w:val="24"/>
                <w:highlight w:val="none"/>
                <w:lang w:eastAsia="zh-CN"/>
                <w14:textFill>
                  <w14:solidFill>
                    <w14:schemeClr w14:val="tx1"/>
                  </w14:solidFill>
                </w14:textFill>
              </w:rPr>
              <w:t>须</w:t>
            </w:r>
            <w:r>
              <w:rPr>
                <w:rFonts w:hint="eastAsia" w:ascii="宋体" w:hAnsi="宋体" w:eastAsia="宋体" w:cs="宋体"/>
                <w:b/>
                <w:bCs/>
                <w:color w:val="000000" w:themeColor="text1"/>
                <w:sz w:val="24"/>
                <w:szCs w:val="24"/>
                <w:highlight w:val="none"/>
                <w14:textFill>
                  <w14:solidFill>
                    <w14:schemeClr w14:val="tx1"/>
                  </w14:solidFill>
                </w14:textFill>
              </w:rPr>
              <w:t>自行对采购项目进行考察。</w:t>
            </w:r>
          </w:p>
          <w:p>
            <w:pPr>
              <w:pStyle w:val="17"/>
              <w:keepNext w:val="0"/>
              <w:keepLines w:val="0"/>
              <w:pageBreakBefore w:val="0"/>
              <w:kinsoku/>
              <w:wordWrap/>
              <w:overflowPunct/>
              <w:topLinePunct w:val="0"/>
              <w:autoSpaceDE/>
              <w:autoSpaceDN/>
              <w:bidi w:val="0"/>
              <w:adjustRightInd/>
              <w:snapToGrid/>
              <w:spacing w:line="44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如有疑问，于20</w:t>
            </w: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日1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：00前将有关疑问以</w:t>
            </w:r>
            <w:r>
              <w:rPr>
                <w:rFonts w:hint="eastAsia" w:ascii="宋体" w:hAnsi="宋体" w:eastAsia="宋体" w:cs="宋体"/>
                <w:color w:val="000000" w:themeColor="text1"/>
                <w:sz w:val="24"/>
                <w:szCs w:val="24"/>
                <w:highlight w:val="none"/>
                <w:lang w:eastAsia="zh-CN"/>
                <w14:textFill>
                  <w14:solidFill>
                    <w14:schemeClr w14:val="tx1"/>
                  </w14:solidFill>
                </w14:textFill>
              </w:rPr>
              <w:t>扫描件</w:t>
            </w:r>
            <w:r>
              <w:rPr>
                <w:rFonts w:hint="eastAsia" w:ascii="宋体" w:hAnsi="宋体" w:eastAsia="宋体" w:cs="宋体"/>
                <w:color w:val="000000" w:themeColor="text1"/>
                <w:sz w:val="24"/>
                <w:szCs w:val="24"/>
                <w:highlight w:val="none"/>
                <w14:textFill>
                  <w14:solidFill>
                    <w14:schemeClr w14:val="tx1"/>
                  </w14:solidFill>
                </w14:textFill>
              </w:rPr>
              <w:t>形式（必须加盖</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b/>
                <w:color w:val="000000" w:themeColor="text1"/>
                <w:sz w:val="24"/>
                <w:szCs w:val="24"/>
                <w:highlight w:val="none"/>
                <w14:textFill>
                  <w14:solidFill>
                    <w14:schemeClr w14:val="tx1"/>
                  </w14:solidFill>
                </w14:textFill>
              </w:rPr>
              <w:t>发至</w:t>
            </w:r>
            <w:r>
              <w:rPr>
                <w:rFonts w:hint="eastAsia" w:ascii="宋体" w:hAnsi="宋体" w:eastAsia="宋体" w:cs="宋体"/>
                <w:b/>
                <w:color w:val="000000" w:themeColor="text1"/>
                <w:sz w:val="24"/>
                <w:szCs w:val="24"/>
                <w:highlight w:val="none"/>
                <w:lang w:eastAsia="zh-CN"/>
                <w14:textFill>
                  <w14:solidFill>
                    <w14:schemeClr w14:val="tx1"/>
                  </w14:solidFill>
                </w14:textFill>
              </w:rPr>
              <w:t>邮箱</w:t>
            </w:r>
            <w:r>
              <w:rPr>
                <w:rFonts w:hint="eastAsia" w:ascii="宋体" w:hAnsi="宋体" w:cs="宋体"/>
                <w:b/>
                <w:color w:val="000000" w:themeColor="text1"/>
                <w:sz w:val="24"/>
                <w:szCs w:val="24"/>
                <w:highlight w:val="none"/>
                <w:lang w:eastAsia="zh-CN"/>
                <w14:textFill>
                  <w14:solidFill>
                    <w14:schemeClr w14:val="tx1"/>
                  </w14:solidFill>
                </w14:textFill>
              </w:rPr>
              <w:t>2547416947@qq.com</w:t>
            </w:r>
            <w:r>
              <w:rPr>
                <w:rFonts w:hint="eastAsia" w:ascii="宋体" w:hAnsi="宋体" w:eastAsia="宋体" w:cs="宋体"/>
                <w:color w:val="000000" w:themeColor="text1"/>
                <w:sz w:val="24"/>
                <w:szCs w:val="24"/>
                <w:highlight w:val="none"/>
                <w14:textFill>
                  <w14:solidFill>
                    <w14:schemeClr w14:val="tx1"/>
                  </w14:solidFill>
                </w14:textFill>
              </w:rPr>
              <w:t>，采购人将对所提疑问以书面形式发至领取</w:t>
            </w:r>
            <w:r>
              <w:rPr>
                <w:rFonts w:hint="eastAsia" w:ascii="宋体" w:hAnsi="宋体" w:cs="宋体"/>
                <w:color w:val="000000" w:themeColor="text1"/>
                <w:sz w:val="24"/>
                <w:szCs w:val="24"/>
                <w:highlight w:val="none"/>
                <w:lang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文件的每位</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，超过此时间所提疑问采购人或采购代理机构均不予答复。</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书面提问传真截止时间：20</w:t>
            </w:r>
            <w:r>
              <w:rPr>
                <w:rFonts w:hint="eastAsia" w:ascii="宋体" w:hAnsi="宋体" w:eastAsia="宋体" w:cs="宋体"/>
                <w:color w:val="000000" w:themeColor="text1"/>
                <w:sz w:val="24"/>
                <w:highlight w:val="none"/>
                <w:lang w:val="en-US" w:eastAsia="zh-CN"/>
                <w14:textFill>
                  <w14:solidFill>
                    <w14:schemeClr w14:val="tx1"/>
                  </w14:solidFill>
                </w14:textFill>
              </w:rPr>
              <w:t>21</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日 </w:t>
            </w: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：00</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联系</w:t>
            </w:r>
            <w:r>
              <w:rPr>
                <w:rFonts w:hint="eastAsia" w:ascii="宋体" w:hAnsi="宋体" w:eastAsia="宋体" w:cs="宋体"/>
                <w:color w:val="000000" w:themeColor="text1"/>
                <w:sz w:val="24"/>
                <w:highlight w:val="none"/>
                <w14:textFill>
                  <w14:solidFill>
                    <w14:schemeClr w14:val="tx1"/>
                  </w14:solidFill>
                </w14:textFill>
              </w:rPr>
              <w:t>电话： 0990－6</w:t>
            </w:r>
            <w:r>
              <w:rPr>
                <w:rFonts w:hint="eastAsia" w:ascii="宋体" w:hAnsi="宋体" w:eastAsia="宋体" w:cs="宋体"/>
                <w:color w:val="000000" w:themeColor="text1"/>
                <w:sz w:val="24"/>
                <w:highlight w:val="none"/>
                <w:lang w:val="en-US" w:eastAsia="zh-CN"/>
                <w14:textFill>
                  <w14:solidFill>
                    <w14:schemeClr w14:val="tx1"/>
                  </w14:solidFill>
                </w14:textFill>
              </w:rPr>
              <w:t>222961</w:t>
            </w:r>
            <w:r>
              <w:rPr>
                <w:rFonts w:hint="eastAsia" w:ascii="宋体" w:hAnsi="宋体" w:eastAsia="宋体" w:cs="宋体"/>
                <w:color w:val="000000" w:themeColor="text1"/>
                <w:sz w:val="24"/>
                <w:highlight w:val="none"/>
                <w14:textFill>
                  <w14:solidFill>
                    <w14:schemeClr w14:val="tx1"/>
                  </w14:solidFill>
                </w14:textFill>
              </w:rPr>
              <w:t xml:space="preserve">   联系人：</w:t>
            </w:r>
            <w:r>
              <w:rPr>
                <w:rFonts w:hint="eastAsia" w:ascii="宋体" w:hAnsi="宋体" w:eastAsia="宋体" w:cs="宋体"/>
                <w:color w:val="000000" w:themeColor="text1"/>
                <w:sz w:val="24"/>
                <w:szCs w:val="24"/>
                <w:highlight w:val="none"/>
                <w:lang w:eastAsia="zh-CN"/>
                <w14:textFill>
                  <w14:solidFill>
                    <w14:schemeClr w14:val="tx1"/>
                  </w14:solidFill>
                </w14:textFill>
              </w:rPr>
              <w:t>王敏</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hAnsi="宋体" w:cs="宋体"/>
                <w:color w:val="000000" w:themeColor="text1"/>
                <w:kern w:val="2"/>
                <w:sz w:val="24"/>
                <w:szCs w:val="24"/>
                <w:highlight w:val="none"/>
                <w:lang w:val="en-US" w:eastAsia="zh-CN"/>
                <w14:textFill>
                  <w14:solidFill>
                    <w14:schemeClr w14:val="tx1"/>
                  </w14:solidFill>
                </w14:textFill>
              </w:rPr>
              <w:t>巴音</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67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p>
        </w:tc>
        <w:tc>
          <w:tcPr>
            <w:tcW w:w="970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递交投标文件截止时间：202</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16</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 xml:space="preserve">0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递交投标文件时间：202</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日1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0～1</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 xml:space="preserve">0  </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点：</w:t>
            </w:r>
            <w:r>
              <w:rPr>
                <w:rFonts w:hint="eastAsia" w:ascii="宋体" w:hAnsi="宋体" w:cs="宋体"/>
                <w:color w:val="000000" w:themeColor="text1"/>
                <w:sz w:val="24"/>
                <w:highlight w:val="none"/>
                <w:lang w:val="en-US" w:eastAsia="zh-CN"/>
                <w14:textFill>
                  <w14:solidFill>
                    <w14:schemeClr w14:val="tx1"/>
                  </w14:solidFill>
                </w14:textFill>
              </w:rPr>
              <w:t>新疆天麒工程项目管理咨询有限责任公司一楼评标室（克拉玛依市通讯路44号）</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67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p>
        </w:tc>
        <w:tc>
          <w:tcPr>
            <w:tcW w:w="970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开标时间：202</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16:00</w:t>
            </w:r>
            <w:r>
              <w:rPr>
                <w:rFonts w:hint="eastAsia" w:ascii="宋体" w:hAnsi="宋体" w:cs="宋体"/>
                <w:color w:val="000000" w:themeColor="text1"/>
                <w:sz w:val="24"/>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点：</w:t>
            </w:r>
            <w:r>
              <w:rPr>
                <w:rFonts w:hint="eastAsia" w:ascii="宋体" w:hAnsi="宋体" w:cs="宋体"/>
                <w:color w:val="000000" w:themeColor="text1"/>
                <w:sz w:val="24"/>
                <w:highlight w:val="none"/>
                <w:lang w:val="en-US" w:eastAsia="zh-CN"/>
                <w14:textFill>
                  <w14:solidFill>
                    <w14:schemeClr w14:val="tx1"/>
                  </w14:solidFill>
                </w14:textFill>
              </w:rPr>
              <w:t>新疆天麒工程项目管理咨询有限责任公司一楼评标室（克拉玛依市通讯路44号）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675" w:type="dxa"/>
            <w:vAlign w:val="center"/>
          </w:tcPr>
          <w:p>
            <w:pPr>
              <w:pStyle w:val="3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highlight w:val="none"/>
                <w:lang w:val="en-US" w:eastAsia="zh-CN"/>
                <w14:textFill>
                  <w14:solidFill>
                    <w14:schemeClr w14:val="tx1"/>
                  </w14:solidFill>
                </w14:textFill>
              </w:rPr>
              <w:t>9</w:t>
            </w:r>
          </w:p>
        </w:tc>
        <w:tc>
          <w:tcPr>
            <w:tcW w:w="9700" w:type="dxa"/>
            <w:vAlign w:val="center"/>
          </w:tcPr>
          <w:p>
            <w:pPr>
              <w:pStyle w:val="3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项目采购预算</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hAnsi="宋体" w:cs="宋体"/>
                <w:b/>
                <w:color w:val="000000" w:themeColor="text1"/>
                <w:sz w:val="24"/>
                <w:szCs w:val="24"/>
                <w:highlight w:val="none"/>
                <w:lang w:val="en-US" w:eastAsia="zh-CN"/>
                <w14:textFill>
                  <w14:solidFill>
                    <w14:schemeClr w14:val="tx1"/>
                  </w14:solidFill>
                </w14:textFill>
              </w:rPr>
              <w:t>250.772809</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万元（大写</w:t>
            </w:r>
            <w:r>
              <w:rPr>
                <w:rFonts w:hint="eastAsia" w:ascii="宋体" w:hAnsi="宋体" w:eastAsia="宋体" w:cs="宋体"/>
                <w:b/>
                <w:color w:val="000000" w:themeColor="text1"/>
                <w:sz w:val="24"/>
                <w:szCs w:val="24"/>
                <w:highlight w:val="none"/>
                <w14:textFill>
                  <w14:solidFill>
                    <w14:schemeClr w14:val="tx1"/>
                  </w14:solidFill>
                </w14:textFill>
              </w:rPr>
              <w:t>：人民币</w:t>
            </w:r>
            <w:r>
              <w:rPr>
                <w:rFonts w:hint="eastAsia" w:hAnsi="宋体" w:cs="宋体"/>
                <w:b/>
                <w:color w:val="000000" w:themeColor="text1"/>
                <w:sz w:val="24"/>
                <w:szCs w:val="24"/>
                <w:highlight w:val="none"/>
                <w:lang w:val="en-US" w:eastAsia="zh-CN"/>
                <w14:textFill>
                  <w14:solidFill>
                    <w14:schemeClr w14:val="tx1"/>
                  </w14:solidFill>
                </w14:textFill>
              </w:rPr>
              <w:t>贰佰伍拾万柒仟柒佰贰拾捌元零玖分</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hAnsi="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各</w:t>
            </w:r>
            <w:r>
              <w:rPr>
                <w:rFonts w:hint="eastAsia" w:ascii="宋体" w:hAnsi="宋体" w:eastAsia="宋体" w:cs="宋体"/>
                <w:b/>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color w:val="000000" w:themeColor="text1"/>
                <w:sz w:val="24"/>
                <w:szCs w:val="24"/>
                <w:highlight w:val="none"/>
                <w14:textFill>
                  <w14:solidFill>
                    <w14:schemeClr w14:val="tx1"/>
                  </w14:solidFill>
                </w14:textFill>
              </w:rPr>
              <w:t>的</w:t>
            </w:r>
            <w:r>
              <w:rPr>
                <w:rFonts w:hint="eastAsia" w:ascii="宋体" w:hAnsi="宋体" w:eastAsia="宋体" w:cs="宋体"/>
                <w:b/>
                <w:color w:val="000000" w:themeColor="text1"/>
                <w:sz w:val="24"/>
                <w:szCs w:val="24"/>
                <w:highlight w:val="none"/>
                <w:lang w:eastAsia="zh-CN"/>
                <w14:textFill>
                  <w14:solidFill>
                    <w14:schemeClr w14:val="tx1"/>
                  </w14:solidFill>
                </w14:textFill>
              </w:rPr>
              <w:t>投标</w:t>
            </w:r>
            <w:r>
              <w:rPr>
                <w:rFonts w:hint="eastAsia" w:hAnsi="宋体" w:cs="宋体"/>
                <w:b/>
                <w:color w:val="000000" w:themeColor="text1"/>
                <w:sz w:val="24"/>
                <w:szCs w:val="24"/>
                <w:highlight w:val="none"/>
                <w:lang w:eastAsia="zh-CN"/>
                <w14:textFill>
                  <w14:solidFill>
                    <w14:schemeClr w14:val="tx1"/>
                  </w14:solidFill>
                </w14:textFill>
              </w:rPr>
              <w:t>总</w:t>
            </w:r>
            <w:r>
              <w:rPr>
                <w:rFonts w:hint="eastAsia" w:ascii="宋体" w:hAnsi="宋体" w:eastAsia="宋体" w:cs="宋体"/>
                <w:b/>
                <w:color w:val="000000" w:themeColor="text1"/>
                <w:sz w:val="24"/>
                <w:szCs w:val="24"/>
                <w:highlight w:val="none"/>
                <w:lang w:eastAsia="zh-CN"/>
                <w14:textFill>
                  <w14:solidFill>
                    <w14:schemeClr w14:val="tx1"/>
                  </w14:solidFill>
                </w14:textFill>
              </w:rPr>
              <w:t>报价</w:t>
            </w:r>
            <w:r>
              <w:rPr>
                <w:rFonts w:hint="eastAsia" w:ascii="宋体" w:hAnsi="宋体" w:eastAsia="宋体" w:cs="宋体"/>
                <w:b/>
                <w:color w:val="000000" w:themeColor="text1"/>
                <w:sz w:val="24"/>
                <w:szCs w:val="24"/>
                <w:highlight w:val="none"/>
                <w14:textFill>
                  <w14:solidFill>
                    <w14:schemeClr w14:val="tx1"/>
                  </w14:solidFill>
                </w14:textFill>
              </w:rPr>
              <w:t>如超过采购预算，则该</w:t>
            </w:r>
            <w:r>
              <w:rPr>
                <w:rFonts w:hint="eastAsia" w:hAnsi="宋体" w:eastAsia="宋体" w:cs="宋体"/>
                <w:b/>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color w:val="000000" w:themeColor="text1"/>
                <w:sz w:val="24"/>
                <w:szCs w:val="24"/>
                <w:highlight w:val="none"/>
                <w14:textFill>
                  <w14:solidFill>
                    <w14:schemeClr w14:val="tx1"/>
                  </w14:solidFill>
                </w14:textFill>
              </w:rPr>
              <w:t>的</w:t>
            </w:r>
            <w:r>
              <w:rPr>
                <w:rFonts w:hint="eastAsia" w:hAnsi="宋体" w:eastAsia="宋体" w:cs="宋体"/>
                <w:b/>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
                <w:color w:val="000000" w:themeColor="text1"/>
                <w:sz w:val="24"/>
                <w:szCs w:val="24"/>
                <w:highlight w:val="none"/>
                <w14:textFill>
                  <w14:solidFill>
                    <w14:schemeClr w14:val="tx1"/>
                  </w14:solidFill>
                </w14:textFill>
              </w:rPr>
              <w:t>作无效响应处理。</w:t>
            </w:r>
          </w:p>
        </w:tc>
      </w:tr>
    </w:tbl>
    <w:p>
      <w:pPr>
        <w:spacing w:line="300" w:lineRule="exact"/>
        <w:jc w:val="center"/>
        <w:rPr>
          <w:rFonts w:hint="eastAsia" w:ascii="宋体" w:hAnsi="宋体" w:cs="宋体"/>
          <w:b/>
          <w:bCs/>
          <w:color w:val="000000" w:themeColor="text1"/>
          <w:sz w:val="24"/>
          <w:highlight w:val="none"/>
          <w14:textFill>
            <w14:solidFill>
              <w14:schemeClr w14:val="tx1"/>
            </w14:solidFill>
          </w14:textFill>
        </w:rPr>
      </w:pPr>
    </w:p>
    <w:p>
      <w:pPr>
        <w:spacing w:line="300" w:lineRule="exact"/>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前  附  表</w:t>
      </w:r>
    </w:p>
    <w:p>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p>
    <w:p>
      <w:pPr>
        <w:spacing w:line="36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A</w:t>
      </w:r>
      <w:bookmarkEnd w:id="1"/>
      <w:bookmarkStart w:id="33" w:name="_Toc154996576"/>
      <w:r>
        <w:rPr>
          <w:rFonts w:hint="eastAsia" w:ascii="宋体" w:hAnsi="宋体" w:cs="宋体"/>
          <w:b/>
          <w:bCs/>
          <w:color w:val="000000" w:themeColor="text1"/>
          <w:sz w:val="28"/>
          <w:szCs w:val="28"/>
          <w:highlight w:val="none"/>
          <w14:textFill>
            <w14:solidFill>
              <w14:schemeClr w14:val="tx1"/>
            </w14:solidFill>
          </w14:textFill>
        </w:rPr>
        <w:t>说明</w:t>
      </w:r>
      <w:bookmarkStart w:id="34" w:name="_Toc243907571"/>
      <w:bookmarkStart w:id="35" w:name="_Toc233274811"/>
      <w:bookmarkStart w:id="36" w:name="_Toc246216180"/>
      <w:bookmarkStart w:id="37" w:name="_Toc243906311"/>
    </w:p>
    <w:p>
      <w:pPr>
        <w:pStyle w:val="32"/>
        <w:tabs>
          <w:tab w:val="right" w:pos="8306"/>
        </w:tabs>
        <w:spacing w:line="360" w:lineRule="auto"/>
        <w:ind w:firstLine="480" w:firstLineChars="200"/>
        <w:outlineLvl w:val="1"/>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1、适用范围</w:t>
      </w:r>
      <w:bookmarkEnd w:id="34"/>
      <w:bookmarkEnd w:id="35"/>
      <w:bookmarkEnd w:id="36"/>
      <w:bookmarkEnd w:id="37"/>
      <w:r>
        <w:rPr>
          <w:rFonts w:hint="eastAsia" w:hAnsi="宋体" w:cs="宋体"/>
          <w:color w:val="000000" w:themeColor="text1"/>
          <w:sz w:val="24"/>
          <w:highlight w:val="none"/>
          <w14:textFill>
            <w14:solidFill>
              <w14:schemeClr w14:val="tx1"/>
            </w14:solidFill>
          </w14:textFill>
        </w:rPr>
        <w:t>及招标依据</w:t>
      </w:r>
      <w:r>
        <w:rPr>
          <w:rFonts w:hint="eastAsia" w:hAnsi="宋体" w:cs="宋体"/>
          <w:color w:val="000000" w:themeColor="text1"/>
          <w:sz w:val="24"/>
          <w:highlight w:val="none"/>
          <w14:textFill>
            <w14:solidFill>
              <w14:schemeClr w14:val="tx1"/>
            </w14:solidFill>
          </w14:textFill>
        </w:rPr>
        <w:tab/>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1.1 适用范围</w:t>
      </w:r>
    </w:p>
    <w:p>
      <w:pPr>
        <w:pStyle w:val="51"/>
        <w:spacing w:before="0" w:beforeAutospacing="0" w:after="0" w:afterAutospacing="0" w:line="360" w:lineRule="auto"/>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本招标文件仅针对于</w:t>
      </w:r>
      <w:r>
        <w:rPr>
          <w:rFonts w:hint="eastAsia" w:cs="宋体"/>
          <w:color w:val="000000" w:themeColor="text1"/>
          <w:highlight w:val="none"/>
          <w:lang w:eastAsia="zh-CN"/>
          <w14:textFill>
            <w14:solidFill>
              <w14:schemeClr w14:val="tx1"/>
            </w14:solidFill>
          </w14:textFill>
        </w:rPr>
        <w:t>乌尔禾“西部乌镇”环卫服务</w:t>
      </w:r>
      <w:r>
        <w:rPr>
          <w:rFonts w:hint="eastAsia" w:cs="宋体"/>
          <w:color w:val="000000" w:themeColor="text1"/>
          <w:highlight w:val="none"/>
          <w14:textFill>
            <w14:solidFill>
              <w14:schemeClr w14:val="tx1"/>
            </w14:solidFill>
          </w14:textFill>
        </w:rPr>
        <w:t>的招标。</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1.2招标依据</w:t>
      </w:r>
    </w:p>
    <w:p>
      <w:pPr>
        <w:widowControl/>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根据《中华人民共和国政府采购法》、《中华人民共和国政府采购法实施条例》、《政府采购货物和服务招标投标管理办法》及有关法律、法规。</w:t>
      </w:r>
    </w:p>
    <w:p>
      <w:pPr>
        <w:pStyle w:val="32"/>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38" w:name="_Toc233274812"/>
      <w:bookmarkStart w:id="39" w:name="_Toc246216181"/>
      <w:bookmarkStart w:id="40" w:name="_Toc243906312"/>
      <w:bookmarkStart w:id="41" w:name="_Toc243907572"/>
      <w:r>
        <w:rPr>
          <w:rFonts w:hint="eastAsia" w:hAnsi="宋体" w:cs="宋体"/>
          <w:color w:val="000000" w:themeColor="text1"/>
          <w:sz w:val="24"/>
          <w:highlight w:val="none"/>
          <w14:textFill>
            <w14:solidFill>
              <w14:schemeClr w14:val="tx1"/>
            </w14:solidFill>
          </w14:textFill>
        </w:rPr>
        <w:t>2、定义</w:t>
      </w:r>
      <w:bookmarkEnd w:id="38"/>
      <w:bookmarkEnd w:id="39"/>
      <w:bookmarkEnd w:id="40"/>
      <w:bookmarkEnd w:id="41"/>
    </w:p>
    <w:p>
      <w:pPr>
        <w:pStyle w:val="32"/>
        <w:spacing w:line="360" w:lineRule="auto"/>
        <w:ind w:firstLine="480" w:firstLineChars="20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2.1 “采购人”系指</w:t>
      </w:r>
      <w:r>
        <w:rPr>
          <w:rFonts w:hint="eastAsia" w:hAnsi="宋体" w:cs="宋体"/>
          <w:color w:val="000000" w:themeColor="text1"/>
          <w:sz w:val="24"/>
          <w:highlight w:val="none"/>
          <w:lang w:eastAsia="zh-CN"/>
          <w14:textFill>
            <w14:solidFill>
              <w14:schemeClr w14:val="tx1"/>
            </w14:solidFill>
          </w14:textFill>
        </w:rPr>
        <w:t>乌尔禾区乌尔禾镇人民政府</w:t>
      </w:r>
      <w:r>
        <w:rPr>
          <w:rFonts w:hint="eastAsia" w:hAnsi="宋体" w:cs="宋体"/>
          <w:color w:val="000000" w:themeColor="text1"/>
          <w:sz w:val="24"/>
          <w:highlight w:val="none"/>
          <w14:textFill>
            <w14:solidFill>
              <w14:schemeClr w14:val="tx1"/>
            </w14:solidFill>
          </w14:textFill>
        </w:rPr>
        <w:t>，在签订和执行合同阶段称“</w:t>
      </w:r>
      <w:r>
        <w:rPr>
          <w:rFonts w:hint="eastAsia" w:hAnsi="宋体" w:cs="宋体"/>
          <w:color w:val="000000" w:themeColor="text1"/>
          <w:sz w:val="24"/>
          <w:highlight w:val="none"/>
          <w:lang w:eastAsia="zh-CN"/>
          <w14:textFill>
            <w14:solidFill>
              <w14:schemeClr w14:val="tx1"/>
            </w14:solidFill>
          </w14:textFill>
        </w:rPr>
        <w:t>甲方</w:t>
      </w:r>
      <w:r>
        <w:rPr>
          <w:rFonts w:hint="eastAsia" w:hAnsi="宋体" w:cs="宋体"/>
          <w:color w:val="000000" w:themeColor="text1"/>
          <w:sz w:val="24"/>
          <w:highlight w:val="none"/>
          <w14:textFill>
            <w14:solidFill>
              <w14:schemeClr w14:val="tx1"/>
            </w14:solidFill>
          </w14:textFill>
        </w:rPr>
        <w:t>”。</w:t>
      </w:r>
    </w:p>
    <w:p>
      <w:pPr>
        <w:pStyle w:val="32"/>
        <w:spacing w:line="360" w:lineRule="auto"/>
        <w:ind w:firstLine="480" w:firstLineChars="20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2.2 </w:t>
      </w:r>
      <w:r>
        <w:rPr>
          <w:rFonts w:hint="eastAsia" w:hAnsi="宋体" w:cs="宋体"/>
          <w:color w:val="000000" w:themeColor="text1"/>
          <w:sz w:val="24"/>
          <w:szCs w:val="24"/>
          <w:highlight w:val="none"/>
          <w14:textFill>
            <w14:solidFill>
              <w14:schemeClr w14:val="tx1"/>
            </w14:solidFill>
          </w14:textFill>
        </w:rPr>
        <w:t>“招标代理机构”</w:t>
      </w:r>
      <w:r>
        <w:rPr>
          <w:rFonts w:hint="eastAsia" w:hAnsi="宋体" w:cs="宋体"/>
          <w:color w:val="000000" w:themeColor="text1"/>
          <w:sz w:val="24"/>
          <w:highlight w:val="none"/>
          <w14:textFill>
            <w14:solidFill>
              <w14:schemeClr w14:val="tx1"/>
            </w14:solidFill>
          </w14:textFill>
        </w:rPr>
        <w:t>系指新疆天麒工程项目管理咨询有限责任公司。</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2.3 “投标人”系指具备资格并按招标文件要求提交投标文件的法人，投标人若</w:t>
      </w:r>
      <w:r>
        <w:rPr>
          <w:rFonts w:hint="eastAsia" w:hAnsi="宋体" w:cs="宋体"/>
          <w:color w:val="000000" w:themeColor="text1"/>
          <w:sz w:val="24"/>
          <w:highlight w:val="none"/>
          <w:lang w:eastAsia="zh-CN"/>
          <w14:textFill>
            <w14:solidFill>
              <w14:schemeClr w14:val="tx1"/>
            </w14:solidFill>
          </w14:textFill>
        </w:rPr>
        <w:t>中标</w:t>
      </w:r>
      <w:r>
        <w:rPr>
          <w:rFonts w:hint="eastAsia" w:hAnsi="宋体" w:cs="宋体"/>
          <w:color w:val="000000" w:themeColor="text1"/>
          <w:sz w:val="24"/>
          <w:highlight w:val="none"/>
          <w14:textFill>
            <w14:solidFill>
              <w14:schemeClr w14:val="tx1"/>
            </w14:solidFill>
          </w14:textFill>
        </w:rPr>
        <w:t>，在签订和执行合同阶段称“</w:t>
      </w:r>
      <w:r>
        <w:rPr>
          <w:rFonts w:hint="eastAsia" w:hAnsi="宋体" w:cs="宋体"/>
          <w:color w:val="000000" w:themeColor="text1"/>
          <w:sz w:val="24"/>
          <w:highlight w:val="none"/>
          <w:lang w:eastAsia="zh-CN"/>
          <w14:textFill>
            <w14:solidFill>
              <w14:schemeClr w14:val="tx1"/>
            </w14:solidFill>
          </w14:textFill>
        </w:rPr>
        <w:t>乙方</w:t>
      </w:r>
      <w:r>
        <w:rPr>
          <w:rFonts w:hint="eastAsia" w:hAnsi="宋体" w:cs="宋体"/>
          <w:color w:val="000000" w:themeColor="text1"/>
          <w:sz w:val="24"/>
          <w:highlight w:val="none"/>
          <w14:textFill>
            <w14:solidFill>
              <w14:schemeClr w14:val="tx1"/>
            </w14:solidFill>
          </w14:textFill>
        </w:rPr>
        <w:t>”。</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2.4 “招标文件”系指由采购人向投标人发出的本招标项目的全部文件（包括项目采购需求、修改文件、补充</w:t>
      </w:r>
      <w:r>
        <w:rPr>
          <w:rFonts w:hint="eastAsia" w:hAnsi="宋体" w:cs="宋体"/>
          <w:color w:val="000000" w:themeColor="text1"/>
          <w:sz w:val="24"/>
          <w:szCs w:val="24"/>
          <w:highlight w:val="none"/>
          <w14:textFill>
            <w14:solidFill>
              <w14:schemeClr w14:val="tx1"/>
            </w14:solidFill>
          </w14:textFill>
        </w:rPr>
        <w:t>文件、答疑纪要、各种通知和附件等）。</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2.5 “投标文件”系指投标人根据招标文件提交的所有文件。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hAnsi="宋体" w:cs="宋体"/>
          <w:b/>
          <w:color w:val="000000" w:themeColor="text1"/>
          <w:sz w:val="24"/>
          <w:szCs w:val="24"/>
          <w:highlight w:val="none"/>
          <w:lang w:eastAsia="zh-CN"/>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2.6 “服务”系指合同条款、技术规范及标准、项目采购需求、本</w:t>
      </w:r>
      <w:r>
        <w:rPr>
          <w:rFonts w:hint="eastAsia" w:hAnsi="宋体" w:cs="宋体"/>
          <w:b/>
          <w:color w:val="000000" w:themeColor="text1"/>
          <w:sz w:val="24"/>
          <w:szCs w:val="24"/>
          <w:highlight w:val="none"/>
          <w:lang w:val="en-US" w:eastAsia="zh-CN"/>
          <w14:textFill>
            <w14:solidFill>
              <w14:schemeClr w14:val="tx1"/>
            </w14:solidFill>
          </w14:textFill>
        </w:rPr>
        <w:t>招标</w:t>
      </w:r>
      <w:r>
        <w:rPr>
          <w:rFonts w:hint="eastAsia" w:hAnsi="宋体" w:cs="宋体"/>
          <w:b/>
          <w:color w:val="000000" w:themeColor="text1"/>
          <w:sz w:val="24"/>
          <w:szCs w:val="24"/>
          <w:highlight w:val="none"/>
          <w14:textFill>
            <w14:solidFill>
              <w14:schemeClr w14:val="tx1"/>
            </w14:solidFill>
          </w14:textFill>
        </w:rPr>
        <w:t>文件规定，</w:t>
      </w:r>
      <w:r>
        <w:rPr>
          <w:rFonts w:hint="eastAsia" w:hAnsi="宋体" w:cs="宋体"/>
          <w:b/>
          <w:color w:val="000000" w:themeColor="text1"/>
          <w:sz w:val="24"/>
          <w:szCs w:val="24"/>
          <w:highlight w:val="none"/>
          <w:lang w:eastAsia="zh-CN"/>
          <w14:textFill>
            <w14:solidFill>
              <w14:schemeClr w14:val="tx1"/>
            </w14:solidFill>
          </w14:textFill>
        </w:rPr>
        <w:t>在服务期限</w:t>
      </w:r>
      <w:r>
        <w:rPr>
          <w:rFonts w:hint="eastAsia" w:ascii="宋体" w:hAnsi="宋体" w:eastAsia="宋体" w:cs="宋体"/>
          <w:b/>
          <w:color w:val="000000" w:themeColor="text1"/>
          <w:sz w:val="24"/>
          <w:szCs w:val="24"/>
          <w:highlight w:val="none"/>
          <w:lang w:eastAsia="zh-CN"/>
          <w14:textFill>
            <w14:solidFill>
              <w14:schemeClr w14:val="tx1"/>
            </w14:solidFill>
          </w14:textFill>
        </w:rPr>
        <w:t>内完成</w:t>
      </w:r>
      <w:r>
        <w:rPr>
          <w:rFonts w:hint="eastAsia" w:ascii="宋体" w:hAnsi="宋体" w:eastAsia="宋体" w:cs="宋体"/>
          <w:b/>
          <w:color w:val="000000" w:themeColor="text1"/>
          <w:sz w:val="24"/>
          <w:szCs w:val="24"/>
          <w:highlight w:val="none"/>
          <w:lang w:val="en-US" w:eastAsia="zh-CN"/>
          <w14:textFill>
            <w14:solidFill>
              <w14:schemeClr w14:val="tx1"/>
            </w14:solidFill>
          </w14:textFill>
        </w:rPr>
        <w:t>西部乌镇面积总计369780.50㎡公共区域（包含道路、广场、停车场及沿街商铺前面的公共区域等）环卫服务工作</w:t>
      </w:r>
      <w:r>
        <w:rPr>
          <w:rFonts w:hint="eastAsia" w:ascii="宋体" w:hAnsi="宋体" w:eastAsia="宋体" w:cs="宋体"/>
          <w:b/>
          <w:color w:val="000000" w:themeColor="text1"/>
          <w:sz w:val="24"/>
          <w:szCs w:val="24"/>
          <w:highlight w:val="none"/>
          <w:lang w:eastAsia="zh-CN"/>
          <w14:textFill>
            <w14:solidFill>
              <w14:schemeClr w14:val="tx1"/>
            </w14:solidFill>
          </w14:textFill>
        </w:rPr>
        <w:t>等</w:t>
      </w:r>
      <w:r>
        <w:rPr>
          <w:rFonts w:hint="eastAsia" w:hAnsi="宋体" w:cs="宋体"/>
          <w:b/>
          <w:color w:val="000000" w:themeColor="text1"/>
          <w:sz w:val="24"/>
          <w:szCs w:val="24"/>
          <w:highlight w:val="none"/>
          <w:lang w:eastAsia="zh-CN"/>
          <w14:textFill>
            <w14:solidFill>
              <w14:schemeClr w14:val="tx1"/>
            </w14:solidFill>
          </w14:textFill>
        </w:rPr>
        <w:t>以及合同条款、技术规范及标准、项目采购需求、本招标文件约定的全部内容并配合采购人完成与此服务相关的全部工作。</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w:t>
      </w:r>
      <w:r>
        <w:rPr>
          <w:rFonts w:hint="eastAsia" w:hAnsi="宋体" w:cs="宋体"/>
          <w:color w:val="000000" w:themeColor="text1"/>
          <w:sz w:val="24"/>
          <w:highlight w:val="none"/>
          <w:lang w:val="en-US" w:eastAsia="zh-CN"/>
          <w14:textFill>
            <w14:solidFill>
              <w14:schemeClr w14:val="tx1"/>
            </w14:solidFill>
          </w14:textFill>
        </w:rPr>
        <w:t>7</w:t>
      </w:r>
      <w:r>
        <w:rPr>
          <w:rFonts w:hint="eastAsia" w:hAnsi="宋体" w:cs="宋体"/>
          <w:color w:val="000000" w:themeColor="text1"/>
          <w:sz w:val="24"/>
          <w:highlight w:val="none"/>
          <w14:textFill>
            <w14:solidFill>
              <w14:schemeClr w14:val="tx1"/>
            </w14:solidFill>
          </w14:textFill>
        </w:rPr>
        <w:t xml:space="preserve">凡提及的“天、日期、星期、月份和年份”系指公历日历的日历天、日期、星期、月份和年份。 </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hAnsi="宋体" w:cs="宋体"/>
          <w:b/>
          <w:color w:val="000000" w:themeColor="text1"/>
          <w:sz w:val="24"/>
          <w:szCs w:val="24"/>
          <w:highlight w:val="none"/>
          <w:lang w:eastAsia="zh-CN"/>
          <w14:textFill>
            <w14:solidFill>
              <w14:schemeClr w14:val="tx1"/>
            </w14:solidFill>
          </w14:textFill>
        </w:rPr>
      </w:pPr>
      <w:bookmarkStart w:id="42" w:name="_Toc243907574"/>
      <w:bookmarkStart w:id="43" w:name="_Toc243906314"/>
      <w:bookmarkStart w:id="44" w:name="_Toc233274814"/>
      <w:bookmarkStart w:id="45" w:name="_Toc246216183"/>
      <w:r>
        <w:rPr>
          <w:rFonts w:hint="eastAsia" w:hAnsi="宋体" w:cs="宋体"/>
          <w:b/>
          <w:color w:val="000000" w:themeColor="text1"/>
          <w:sz w:val="24"/>
          <w:szCs w:val="24"/>
          <w:highlight w:val="none"/>
          <w:lang w:val="en-US" w:eastAsia="zh-CN"/>
          <w14:textFill>
            <w14:solidFill>
              <w14:schemeClr w14:val="tx1"/>
            </w14:solidFill>
          </w14:textFill>
        </w:rPr>
        <w:t>3、</w:t>
      </w:r>
      <w:r>
        <w:rPr>
          <w:rFonts w:hint="eastAsia" w:hAnsi="宋体" w:cs="宋体"/>
          <w:b/>
          <w:color w:val="000000" w:themeColor="text1"/>
          <w:sz w:val="24"/>
          <w:szCs w:val="24"/>
          <w:highlight w:val="none"/>
          <w14:textFill>
            <w14:solidFill>
              <w14:schemeClr w14:val="tx1"/>
            </w14:solidFill>
          </w14:textFill>
        </w:rPr>
        <w:t>招标范围</w:t>
      </w:r>
      <w:r>
        <w:rPr>
          <w:rFonts w:hint="eastAsia" w:hAnsi="宋体" w:cs="宋体"/>
          <w:b/>
          <w:color w:val="000000" w:themeColor="text1"/>
          <w:sz w:val="24"/>
          <w:szCs w:val="24"/>
          <w:highlight w:val="none"/>
          <w:lang w:eastAsia="zh-CN"/>
          <w14:textFill>
            <w14:solidFill>
              <w14:schemeClr w14:val="tx1"/>
            </w14:solidFill>
          </w14:textFill>
        </w:rPr>
        <w:t>及服务期限</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000000" w:themeColor="text1"/>
          <w:sz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3.1招标范围：</w:t>
      </w:r>
      <w:r>
        <w:rPr>
          <w:rFonts w:hint="eastAsia" w:hAnsi="宋体" w:cs="宋体"/>
          <w:b/>
          <w:color w:val="000000" w:themeColor="text1"/>
          <w:sz w:val="24"/>
          <w:szCs w:val="24"/>
          <w:highlight w:val="none"/>
          <w:lang w:eastAsia="zh-CN"/>
          <w14:textFill>
            <w14:solidFill>
              <w14:schemeClr w14:val="tx1"/>
            </w14:solidFill>
          </w14:textFill>
        </w:rPr>
        <w:t>在服务期限</w:t>
      </w:r>
      <w:r>
        <w:rPr>
          <w:rFonts w:hint="eastAsia" w:ascii="宋体" w:hAnsi="宋体" w:eastAsia="宋体" w:cs="宋体"/>
          <w:b/>
          <w:color w:val="000000" w:themeColor="text1"/>
          <w:sz w:val="24"/>
          <w:szCs w:val="24"/>
          <w:highlight w:val="none"/>
          <w:lang w:eastAsia="zh-CN"/>
          <w14:textFill>
            <w14:solidFill>
              <w14:schemeClr w14:val="tx1"/>
            </w14:solidFill>
          </w14:textFill>
        </w:rPr>
        <w:t>内完成</w:t>
      </w:r>
      <w:r>
        <w:rPr>
          <w:rFonts w:hint="eastAsia" w:ascii="宋体" w:hAnsi="宋体" w:eastAsia="宋体" w:cs="宋体"/>
          <w:b/>
          <w:color w:val="000000" w:themeColor="text1"/>
          <w:sz w:val="24"/>
          <w:szCs w:val="24"/>
          <w:highlight w:val="none"/>
          <w:lang w:val="en-US" w:eastAsia="zh-CN"/>
          <w14:textFill>
            <w14:solidFill>
              <w14:schemeClr w14:val="tx1"/>
            </w14:solidFill>
          </w14:textFill>
        </w:rPr>
        <w:t>西部乌镇面积总计369780.50㎡公共区域（包含道路、广场、停车场及沿街商铺前面的公共区域等）环卫服务工作</w:t>
      </w:r>
      <w:r>
        <w:rPr>
          <w:rFonts w:hint="eastAsia" w:ascii="宋体" w:hAnsi="宋体" w:eastAsia="宋体" w:cs="宋体"/>
          <w:b/>
          <w:color w:val="000000" w:themeColor="text1"/>
          <w:sz w:val="24"/>
          <w:szCs w:val="24"/>
          <w:highlight w:val="none"/>
          <w:lang w:eastAsia="zh-CN"/>
          <w14:textFill>
            <w14:solidFill>
              <w14:schemeClr w14:val="tx1"/>
            </w14:solidFill>
          </w14:textFill>
        </w:rPr>
        <w:t>等</w:t>
      </w:r>
      <w:r>
        <w:rPr>
          <w:rFonts w:hint="eastAsia" w:hAnsi="宋体" w:cs="宋体"/>
          <w:b/>
          <w:color w:val="000000" w:themeColor="text1"/>
          <w:sz w:val="24"/>
          <w:szCs w:val="24"/>
          <w:highlight w:val="none"/>
          <w:lang w:eastAsia="zh-CN"/>
          <w14:textFill>
            <w14:solidFill>
              <w14:schemeClr w14:val="tx1"/>
            </w14:solidFill>
          </w14:textFill>
        </w:rPr>
        <w:t>以及合同条款、技术规范及标准、项目采购需求、本招标文件约定的全部内容并配合采购人完成与此服务相关的全部工作</w:t>
      </w:r>
      <w:r>
        <w:rPr>
          <w:rFonts w:hint="eastAsia" w:ascii="宋体" w:hAnsi="宋体" w:eastAsia="宋体" w:cs="宋体"/>
          <w:b/>
          <w:bCs/>
          <w:color w:val="000000" w:themeColor="text1"/>
          <w:sz w:val="24"/>
          <w:highlight w:val="none"/>
          <w14:textFill>
            <w14:solidFill>
              <w14:schemeClr w14:val="tx1"/>
            </w14:solidFill>
          </w14:textFill>
        </w:rPr>
        <w:t>。</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hAnsi="宋体" w:cs="宋体"/>
          <w:b/>
          <w:color w:val="000000" w:themeColor="text1"/>
          <w:sz w:val="24"/>
          <w:szCs w:val="24"/>
          <w:highlight w:val="none"/>
          <w:lang w:val="en-US" w:eastAsia="zh-CN"/>
          <w14:textFill>
            <w14:solidFill>
              <w14:schemeClr w14:val="tx1"/>
            </w14:solidFill>
          </w14:textFill>
        </w:rPr>
        <w:t>3.2服务期限：2021年12月1日至2022年12月31日</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p>
    <w:bookmarkEnd w:id="33"/>
    <w:bookmarkEnd w:id="42"/>
    <w:bookmarkEnd w:id="43"/>
    <w:bookmarkEnd w:id="44"/>
    <w:bookmarkEnd w:id="45"/>
    <w:p>
      <w:pPr>
        <w:spacing w:line="360" w:lineRule="auto"/>
        <w:ind w:firstLine="482"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、合格投标人资格要求</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4.1详见第一章“招标公告”中的投标人资格及相关要求。</w:t>
      </w:r>
    </w:p>
    <w:p>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46" w:name="_Toc245897275"/>
      <w:bookmarkStart w:id="47" w:name="_Toc243906315"/>
      <w:bookmarkStart w:id="48" w:name="_Toc243907575"/>
      <w:bookmarkStart w:id="49" w:name="_Toc233274815"/>
      <w:r>
        <w:rPr>
          <w:rFonts w:hint="eastAsia" w:ascii="宋体" w:hAnsi="宋体" w:cs="宋体"/>
          <w:b/>
          <w:color w:val="000000" w:themeColor="text1"/>
          <w:sz w:val="24"/>
          <w:highlight w:val="none"/>
          <w14:textFill>
            <w14:solidFill>
              <w14:schemeClr w14:val="tx1"/>
            </w14:solidFill>
          </w14:textFill>
        </w:rPr>
        <w:t>4.2单位负责人为同一人或者存在直接控股、管理关系的不同投标人，不得参加同一合同项下的政府采购活动。</w:t>
      </w:r>
    </w:p>
    <w:p>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4.3为采购项目提供整体设计、规范编制或者项目管理、监理、检测等服务的投标人，不得再参加该采购项目的其他采购活动。</w:t>
      </w:r>
    </w:p>
    <w:p>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4.4在单一品目的货物采购招标中，同一品牌同一型号的产品有多家投标人参加采购，只能按照一家投标人计算。</w:t>
      </w:r>
    </w:p>
    <w:p>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4.5同一分包的货物，制造商参与采购的，不得再委托代理商参与采购。</w:t>
      </w:r>
    </w:p>
    <w:p>
      <w:pPr>
        <w:pStyle w:val="520"/>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5、回避。政府采购活动中，采购人员及相关人员与投标人有下列利害关系之一的，应当回避：</w:t>
      </w:r>
    </w:p>
    <w:p>
      <w:pPr>
        <w:pStyle w:val="520"/>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5.1参加采购活动前3年内与投标人存在劳动关系；</w:t>
      </w:r>
    </w:p>
    <w:p>
      <w:pPr>
        <w:pStyle w:val="520"/>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5.2参加采购活动前3年内担任投标人的董事、监事；</w:t>
      </w:r>
    </w:p>
    <w:p>
      <w:pPr>
        <w:pStyle w:val="520"/>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5.3参加采购活动前3年内是投标人的控股股东或者实际控制人；</w:t>
      </w:r>
    </w:p>
    <w:p>
      <w:pPr>
        <w:pStyle w:val="520"/>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5.4与投标人的法定代表人或者负责人有夫妻、直系血亲、三代以内旁系血亲或者近姻亲关系；</w:t>
      </w:r>
    </w:p>
    <w:p>
      <w:pPr>
        <w:pStyle w:val="520"/>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5.5与投标人有其他可能影响政府采购活动公平、公正进行的关系。</w:t>
      </w:r>
    </w:p>
    <w:p>
      <w:pPr>
        <w:pStyle w:val="520"/>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本项目政府采购活动中需要依法回避的采购人员是指采购人内部负责采购项目的具体经办工作人员和直接分管采购项目的负责人，以及招标代理机构负责采购项目的具体经办工作人员和直接分管采购活动的负责人。本项目政府采购活动中需要依法回避的相关人员是指评标小组成员。</w:t>
      </w:r>
    </w:p>
    <w:p>
      <w:pPr>
        <w:pStyle w:val="520"/>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投标人认为采购人员及相关人员与其他投标人有利害关系的，可以向招标代理机构书面提出回避申请，并说明理由。招标代理机构将及时询问被申请回避人员，有利害关系的被申请回避人员应当回避。</w:t>
      </w:r>
    </w:p>
    <w:bookmarkEnd w:id="46"/>
    <w:bookmarkEnd w:id="47"/>
    <w:bookmarkEnd w:id="48"/>
    <w:bookmarkEnd w:id="49"/>
    <w:p>
      <w:pPr>
        <w:pStyle w:val="32"/>
        <w:spacing w:line="360" w:lineRule="auto"/>
        <w:ind w:firstLine="480" w:firstLineChars="200"/>
        <w:outlineLvl w:val="1"/>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6、实地考察和费用</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6.1实地考察</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不统一组织投标人的实地考察。投标人须自行对招标项目的现场及招标项目所涉及的国家、自治区、克拉玛依地区、相关部门等与此相关的政策进行充分的调查、研究，参观并勘察现场及其周围环境（包括当地气候条件及自然环境等）以取得所有与准备公开招标和实施公开招标有关的必要资料及信息。实地考察所发生的任何费用均由投标人自理。</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6.2参与公开招标费用</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6.2.1投标人应承担所有与公开招标准备和公开招标有关的全部费用，不论公开招标结果如何，采购人和招标代理机构无义务和责任承担投标人所发生的一切费用。</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6.2.2投标人在公开招标准备、实地考察和公开招标的全过程中，如果发生人身伤亡、财物或其它任何损失，不论何种原因所造成，均由投标人自行承担全部责任和损失。</w:t>
      </w:r>
    </w:p>
    <w:p>
      <w:pPr>
        <w:pStyle w:val="32"/>
        <w:spacing w:line="360" w:lineRule="auto"/>
        <w:ind w:firstLine="480" w:firstLineChars="200"/>
        <w:outlineLvl w:val="1"/>
        <w:rPr>
          <w:rFonts w:hAnsi="宋体" w:cs="宋体"/>
          <w:color w:val="000000" w:themeColor="text1"/>
          <w:sz w:val="24"/>
          <w:szCs w:val="24"/>
          <w:highlight w:val="none"/>
          <w14:textFill>
            <w14:solidFill>
              <w14:schemeClr w14:val="tx1"/>
            </w14:solidFill>
          </w14:textFill>
        </w:rPr>
      </w:pPr>
      <w:bookmarkStart w:id="50" w:name="_Toc245897276"/>
      <w:bookmarkStart w:id="51" w:name="_Toc233274816"/>
      <w:bookmarkStart w:id="52" w:name="_Toc243906316"/>
      <w:bookmarkStart w:id="53" w:name="_Toc243907576"/>
      <w:r>
        <w:rPr>
          <w:rFonts w:hint="eastAsia" w:hAnsi="宋体" w:cs="宋体"/>
          <w:color w:val="000000" w:themeColor="text1"/>
          <w:sz w:val="24"/>
          <w:szCs w:val="24"/>
          <w:highlight w:val="none"/>
          <w14:textFill>
            <w14:solidFill>
              <w14:schemeClr w14:val="tx1"/>
            </w14:solidFill>
          </w14:textFill>
        </w:rPr>
        <w:t>7、法律适用</w:t>
      </w:r>
      <w:bookmarkEnd w:id="50"/>
      <w:bookmarkEnd w:id="51"/>
      <w:bookmarkEnd w:id="52"/>
      <w:bookmarkEnd w:id="53"/>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7.1本次公开招标活动及由本次公开招标产生的合同受中国法律制约和保护。</w:t>
      </w:r>
    </w:p>
    <w:p>
      <w:pPr>
        <w:pStyle w:val="32"/>
        <w:spacing w:line="360" w:lineRule="auto"/>
        <w:ind w:firstLine="480" w:firstLineChars="200"/>
        <w:outlineLvl w:val="1"/>
        <w:rPr>
          <w:rFonts w:hAnsi="宋体" w:cs="宋体"/>
          <w:color w:val="000000" w:themeColor="text1"/>
          <w:sz w:val="24"/>
          <w:szCs w:val="24"/>
          <w:highlight w:val="none"/>
          <w14:textFill>
            <w14:solidFill>
              <w14:schemeClr w14:val="tx1"/>
            </w14:solidFill>
          </w14:textFill>
        </w:rPr>
      </w:pPr>
      <w:bookmarkStart w:id="54" w:name="_Toc243906317"/>
      <w:bookmarkStart w:id="55" w:name="_Toc243907577"/>
      <w:bookmarkStart w:id="56" w:name="_Toc245897277"/>
      <w:bookmarkStart w:id="57" w:name="_Toc233274817"/>
      <w:r>
        <w:rPr>
          <w:rFonts w:hint="eastAsia" w:hAnsi="宋体" w:cs="宋体"/>
          <w:color w:val="000000" w:themeColor="text1"/>
          <w:sz w:val="24"/>
          <w:szCs w:val="24"/>
          <w:highlight w:val="none"/>
          <w14:textFill>
            <w14:solidFill>
              <w14:schemeClr w14:val="tx1"/>
            </w14:solidFill>
          </w14:textFill>
        </w:rPr>
        <w:t>8、招标文件的约束力</w:t>
      </w:r>
      <w:bookmarkEnd w:id="54"/>
      <w:bookmarkEnd w:id="55"/>
      <w:bookmarkEnd w:id="56"/>
      <w:bookmarkEnd w:id="57"/>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8.1投标人若</w:t>
      </w:r>
      <w:r>
        <w:rPr>
          <w:rFonts w:hint="eastAsia" w:hAnsi="宋体" w:cs="宋体"/>
          <w:color w:val="000000" w:themeColor="text1"/>
          <w:sz w:val="24"/>
          <w:szCs w:val="24"/>
          <w:highlight w:val="none"/>
          <w:lang w:eastAsia="zh-CN"/>
          <w14:textFill>
            <w14:solidFill>
              <w14:schemeClr w14:val="tx1"/>
            </w14:solidFill>
          </w14:textFill>
        </w:rPr>
        <w:t>中标</w:t>
      </w:r>
      <w:r>
        <w:rPr>
          <w:rFonts w:hint="eastAsia" w:hAnsi="宋体" w:cs="宋体"/>
          <w:color w:val="000000" w:themeColor="text1"/>
          <w:sz w:val="24"/>
          <w:szCs w:val="24"/>
          <w:highlight w:val="none"/>
          <w14:textFill>
            <w14:solidFill>
              <w14:schemeClr w14:val="tx1"/>
            </w14:solidFill>
          </w14:textFill>
        </w:rPr>
        <w:t>，即被认为接受了本招标文件中的所有条件和规定。是采购人与</w:t>
      </w:r>
      <w:r>
        <w:rPr>
          <w:rFonts w:hint="eastAsia" w:hAnsi="宋体" w:cs="宋体"/>
          <w:color w:val="000000" w:themeColor="text1"/>
          <w:sz w:val="24"/>
          <w:szCs w:val="24"/>
          <w:highlight w:val="none"/>
          <w:lang w:eastAsia="zh-CN"/>
          <w14:textFill>
            <w14:solidFill>
              <w14:schemeClr w14:val="tx1"/>
            </w14:solidFill>
          </w14:textFill>
        </w:rPr>
        <w:t>中标</w:t>
      </w:r>
      <w:r>
        <w:rPr>
          <w:rFonts w:hint="eastAsia" w:hAnsi="宋体" w:cs="宋体"/>
          <w:color w:val="000000" w:themeColor="text1"/>
          <w:sz w:val="24"/>
          <w:szCs w:val="24"/>
          <w:highlight w:val="none"/>
          <w14:textFill>
            <w14:solidFill>
              <w14:schemeClr w14:val="tx1"/>
            </w14:solidFill>
          </w14:textFill>
        </w:rPr>
        <w:t>单位签订合同的依据且是合同的组成部分。</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9、费用报价内容</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9.1采购范围、本招标文件及合同约定等完成本采购项目的全部费用（包括：运输费、人工费、保管费、税费等所有相关费用）。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9.2投标人认为需包含的其它费用。</w:t>
      </w:r>
    </w:p>
    <w:p>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p>
    <w:p>
      <w:pPr>
        <w:pStyle w:val="32"/>
        <w:spacing w:line="360" w:lineRule="auto"/>
        <w:jc w:val="center"/>
        <w:outlineLvl w:val="1"/>
        <w:rPr>
          <w:rFonts w:ascii="仿宋_GB2312" w:eastAsia="仿宋_GB2312"/>
          <w:b/>
          <w:color w:val="000000" w:themeColor="text1"/>
          <w:sz w:val="28"/>
          <w:szCs w:val="28"/>
          <w:highlight w:val="none"/>
          <w14:textFill>
            <w14:solidFill>
              <w14:schemeClr w14:val="tx1"/>
            </w14:solidFill>
          </w14:textFill>
        </w:rPr>
      </w:pPr>
      <w:r>
        <w:rPr>
          <w:rFonts w:ascii="仿宋_GB2312" w:eastAsia="仿宋_GB2312"/>
          <w:b/>
          <w:bCs/>
          <w:color w:val="000000" w:themeColor="text1"/>
          <w:sz w:val="28"/>
          <w:szCs w:val="28"/>
          <w:highlight w:val="none"/>
          <w14:textFill>
            <w14:solidFill>
              <w14:schemeClr w14:val="tx1"/>
            </w14:solidFill>
          </w14:textFill>
        </w:rPr>
        <w:t xml:space="preserve">B  </w:t>
      </w:r>
      <w:r>
        <w:rPr>
          <w:rFonts w:hint="eastAsia" w:ascii="仿宋_GB2312" w:eastAsia="仿宋_GB2312"/>
          <w:b/>
          <w:bCs/>
          <w:color w:val="000000" w:themeColor="text1"/>
          <w:sz w:val="28"/>
          <w:szCs w:val="28"/>
          <w:highlight w:val="none"/>
          <w14:textFill>
            <w14:solidFill>
              <w14:schemeClr w14:val="tx1"/>
            </w14:solidFill>
          </w14:textFill>
        </w:rPr>
        <w:t>招标文件</w:t>
      </w:r>
    </w:p>
    <w:p>
      <w:pPr>
        <w:pStyle w:val="32"/>
        <w:spacing w:line="360" w:lineRule="auto"/>
        <w:ind w:firstLine="480" w:firstLineChars="200"/>
        <w:outlineLvl w:val="1"/>
        <w:rPr>
          <w:rFonts w:ascii="仿宋_GB2312" w:eastAsia="仿宋_GB2312"/>
          <w:color w:val="000000" w:themeColor="text1"/>
          <w:sz w:val="24"/>
          <w:highlight w:val="none"/>
          <w14:textFill>
            <w14:solidFill>
              <w14:schemeClr w14:val="tx1"/>
            </w14:solidFill>
          </w14:textFill>
        </w:rPr>
      </w:pPr>
      <w:bookmarkStart w:id="58" w:name="_Toc246216188"/>
      <w:bookmarkStart w:id="59" w:name="_Toc233274819"/>
      <w:bookmarkStart w:id="60" w:name="_Toc243906319"/>
      <w:bookmarkStart w:id="61" w:name="_Toc243907579"/>
    </w:p>
    <w:bookmarkEnd w:id="58"/>
    <w:bookmarkEnd w:id="59"/>
    <w:bookmarkEnd w:id="60"/>
    <w:bookmarkEnd w:id="61"/>
    <w:p>
      <w:pPr>
        <w:pStyle w:val="32"/>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62" w:name="_Toc243907582"/>
      <w:bookmarkStart w:id="63" w:name="_Toc246216191"/>
      <w:bookmarkStart w:id="64" w:name="_Toc243906322"/>
      <w:bookmarkStart w:id="65" w:name="_Toc233274822"/>
      <w:bookmarkStart w:id="66" w:name="_Toc154996580"/>
      <w:r>
        <w:rPr>
          <w:rFonts w:hint="eastAsia" w:hAnsi="宋体" w:cs="宋体"/>
          <w:color w:val="000000" w:themeColor="text1"/>
          <w:sz w:val="24"/>
          <w:highlight w:val="none"/>
          <w14:textFill>
            <w14:solidFill>
              <w14:schemeClr w14:val="tx1"/>
            </w14:solidFill>
          </w14:textFill>
        </w:rPr>
        <w:t>10、招标文件的组成</w:t>
      </w:r>
    </w:p>
    <w:p>
      <w:pPr>
        <w:spacing w:line="360" w:lineRule="auto"/>
        <w:ind w:firstLine="48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10.1 本招标文件是对</w:t>
      </w:r>
      <w:r>
        <w:rPr>
          <w:rFonts w:hint="eastAsia" w:ascii="宋体" w:hAnsi="宋体" w:cs="宋体"/>
          <w:color w:val="000000" w:themeColor="text1"/>
          <w:sz w:val="24"/>
          <w:highlight w:val="none"/>
          <w:lang w:eastAsia="zh-CN"/>
          <w14:textFill>
            <w14:solidFill>
              <w14:schemeClr w14:val="tx1"/>
            </w14:solidFill>
          </w14:textFill>
        </w:rPr>
        <w:t>乌尔禾“西部乌镇”环卫服务</w:t>
      </w:r>
      <w:r>
        <w:rPr>
          <w:rFonts w:hint="eastAsia" w:ascii="宋体" w:hAnsi="宋体" w:cs="宋体"/>
          <w:color w:val="000000" w:themeColor="text1"/>
          <w:sz w:val="24"/>
          <w:highlight w:val="none"/>
          <w14:textFill>
            <w14:solidFill>
              <w14:schemeClr w14:val="tx1"/>
            </w14:solidFill>
          </w14:textFill>
        </w:rPr>
        <w:t>公开招标程序、合同条款进行说明。招标文件包括下列内容：</w:t>
      </w:r>
    </w:p>
    <w:p>
      <w:pPr>
        <w:spacing w:line="360" w:lineRule="auto"/>
        <w:ind w:firstLine="48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第一章  招标公告</w:t>
      </w:r>
    </w:p>
    <w:p>
      <w:pPr>
        <w:spacing w:line="360" w:lineRule="auto"/>
        <w:ind w:firstLine="48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第二章  投标人须知</w:t>
      </w:r>
    </w:p>
    <w:p>
      <w:pPr>
        <w:spacing w:line="360" w:lineRule="auto"/>
        <w:ind w:firstLine="48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第三章  项目采购需求</w:t>
      </w:r>
    </w:p>
    <w:p>
      <w:pPr>
        <w:spacing w:line="360" w:lineRule="auto"/>
        <w:ind w:firstLine="48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第四章  合同条款</w:t>
      </w:r>
    </w:p>
    <w:p>
      <w:pPr>
        <w:spacing w:line="360" w:lineRule="auto"/>
        <w:ind w:firstLine="48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第五章  投标文件格式</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p>
    <w:p>
      <w:pPr>
        <w:spacing w:line="360" w:lineRule="auto"/>
        <w:ind w:firstLine="48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第六章  评标办法（综合评分法）</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10.2 招标文件以中文编印，以中文文本为准。</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10.3 除非有特殊要求，招标文件不单独提供招标项目使用地的自然环境、气候条件、劳动力及公用设施等情况，投标人被视为熟悉上述条件或若</w:t>
      </w:r>
      <w:r>
        <w:rPr>
          <w:rFonts w:hint="eastAsia" w:hAnsi="宋体" w:cs="宋体"/>
          <w:color w:val="000000" w:themeColor="text1"/>
          <w:sz w:val="24"/>
          <w:highlight w:val="none"/>
          <w:lang w:eastAsia="zh-CN"/>
          <w14:textFill>
            <w14:solidFill>
              <w14:schemeClr w14:val="tx1"/>
            </w14:solidFill>
          </w14:textFill>
        </w:rPr>
        <w:t>中标</w:t>
      </w:r>
      <w:r>
        <w:rPr>
          <w:rFonts w:hint="eastAsia" w:hAnsi="宋体" w:cs="宋体"/>
          <w:color w:val="000000" w:themeColor="text1"/>
          <w:sz w:val="24"/>
          <w:highlight w:val="none"/>
          <w14:textFill>
            <w14:solidFill>
              <w14:schemeClr w14:val="tx1"/>
            </w14:solidFill>
          </w14:textFill>
        </w:rPr>
        <w:t>履行合同有关的一切情况。</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10.4采购人向投标人提供的有关数据和资料，是采购人现有的能被投标人利用的资料，投标人对此做出的推论、理解和结论自行负责。</w:t>
      </w:r>
    </w:p>
    <w:p>
      <w:pPr>
        <w:pStyle w:val="32"/>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67" w:name="_Toc243906320"/>
      <w:bookmarkStart w:id="68" w:name="_Toc233274820"/>
      <w:bookmarkStart w:id="69" w:name="_Toc243907580"/>
      <w:bookmarkStart w:id="70" w:name="_Toc245897280"/>
      <w:r>
        <w:rPr>
          <w:rFonts w:hint="eastAsia" w:hAnsi="宋体" w:cs="宋体"/>
          <w:color w:val="000000" w:themeColor="text1"/>
          <w:sz w:val="24"/>
          <w:highlight w:val="none"/>
          <w14:textFill>
            <w14:solidFill>
              <w14:schemeClr w14:val="tx1"/>
            </w14:solidFill>
          </w14:textFill>
        </w:rPr>
        <w:t>11、招标文件的澄清</w:t>
      </w:r>
      <w:bookmarkEnd w:id="67"/>
      <w:bookmarkEnd w:id="68"/>
      <w:bookmarkEnd w:id="69"/>
      <w:bookmarkEnd w:id="70"/>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11.1 投标人对招标文件如有疑问，可要求澄清，应按</w:t>
      </w:r>
      <w:r>
        <w:rPr>
          <w:rFonts w:hint="eastAsia" w:hAnsi="宋体" w:cs="宋体"/>
          <w:b/>
          <w:bCs/>
          <w:color w:val="000000" w:themeColor="text1"/>
          <w:sz w:val="24"/>
          <w:highlight w:val="none"/>
          <w14:textFill>
            <w14:solidFill>
              <w14:schemeClr w14:val="tx1"/>
            </w14:solidFill>
          </w14:textFill>
        </w:rPr>
        <w:t>招标文件“投标人须知前附表第</w:t>
      </w:r>
      <w:r>
        <w:rPr>
          <w:rFonts w:hint="eastAsia" w:hAnsi="宋体" w:cs="宋体"/>
          <w:b/>
          <w:bCs/>
          <w:color w:val="000000" w:themeColor="text1"/>
          <w:sz w:val="24"/>
          <w:highlight w:val="none"/>
          <w:lang w:val="en-US" w:eastAsia="zh-CN"/>
          <w14:textFill>
            <w14:solidFill>
              <w14:schemeClr w14:val="tx1"/>
            </w14:solidFill>
          </w14:textFill>
        </w:rPr>
        <w:t>6</w:t>
      </w:r>
      <w:r>
        <w:rPr>
          <w:rFonts w:hint="eastAsia" w:hAnsi="宋体" w:cs="宋体"/>
          <w:b/>
          <w:bCs/>
          <w:color w:val="000000" w:themeColor="text1"/>
          <w:sz w:val="24"/>
          <w:highlight w:val="none"/>
          <w14:textFill>
            <w14:solidFill>
              <w14:schemeClr w14:val="tx1"/>
            </w14:solidFill>
          </w14:textFill>
        </w:rPr>
        <w:t>条”以</w:t>
      </w:r>
      <w:r>
        <w:rPr>
          <w:rFonts w:hint="eastAsia" w:hAnsi="宋体" w:cs="宋体"/>
          <w:b/>
          <w:bCs/>
          <w:color w:val="000000" w:themeColor="text1"/>
          <w:sz w:val="24"/>
          <w:highlight w:val="none"/>
          <w:lang w:eastAsia="zh-CN"/>
          <w14:textFill>
            <w14:solidFill>
              <w14:schemeClr w14:val="tx1"/>
            </w14:solidFill>
          </w14:textFill>
        </w:rPr>
        <w:t>扫描件</w:t>
      </w:r>
      <w:r>
        <w:rPr>
          <w:rFonts w:hint="eastAsia" w:hAnsi="宋体" w:cs="宋体"/>
          <w:b/>
          <w:bCs/>
          <w:color w:val="000000" w:themeColor="text1"/>
          <w:sz w:val="24"/>
          <w:highlight w:val="none"/>
          <w14:textFill>
            <w14:solidFill>
              <w14:schemeClr w14:val="tx1"/>
            </w14:solidFill>
          </w14:textFill>
        </w:rPr>
        <w:t>形式（必须加盖</w:t>
      </w:r>
      <w:r>
        <w:rPr>
          <w:rFonts w:hint="eastAsia" w:hAnsi="宋体" w:cs="宋体"/>
          <w:b/>
          <w:bCs/>
          <w:color w:val="000000" w:themeColor="text1"/>
          <w:sz w:val="24"/>
          <w:highlight w:val="none"/>
          <w:lang w:eastAsia="zh-CN"/>
          <w14:textFill>
            <w14:solidFill>
              <w14:schemeClr w14:val="tx1"/>
            </w14:solidFill>
          </w14:textFill>
        </w:rPr>
        <w:t>投标人</w:t>
      </w:r>
      <w:r>
        <w:rPr>
          <w:rFonts w:hint="eastAsia" w:hAnsi="宋体" w:cs="宋体"/>
          <w:b/>
          <w:bCs/>
          <w:color w:val="000000" w:themeColor="text1"/>
          <w:sz w:val="24"/>
          <w:highlight w:val="none"/>
          <w14:textFill>
            <w14:solidFill>
              <w14:schemeClr w14:val="tx1"/>
            </w14:solidFill>
          </w14:textFill>
        </w:rPr>
        <w:t>公章）发至</w:t>
      </w:r>
      <w:r>
        <w:rPr>
          <w:rFonts w:hint="eastAsia" w:hAnsi="宋体" w:cs="宋体"/>
          <w:b/>
          <w:bCs/>
          <w:color w:val="000000" w:themeColor="text1"/>
          <w:sz w:val="24"/>
          <w:highlight w:val="none"/>
          <w:lang w:eastAsia="zh-CN"/>
          <w14:textFill>
            <w14:solidFill>
              <w14:schemeClr w14:val="tx1"/>
            </w14:solidFill>
          </w14:textFill>
        </w:rPr>
        <w:t>邮箱2547416947@qq.com</w:t>
      </w:r>
      <w:r>
        <w:rPr>
          <w:rFonts w:hint="eastAsia" w:hAnsi="宋体" w:cs="宋体"/>
          <w:b/>
          <w:bCs/>
          <w:color w:val="000000" w:themeColor="text1"/>
          <w:sz w:val="24"/>
          <w:highlight w:val="none"/>
          <w14:textFill>
            <w14:solidFill>
              <w14:schemeClr w14:val="tx1"/>
            </w14:solidFill>
          </w14:textFill>
        </w:rPr>
        <w:t>。</w:t>
      </w:r>
      <w:r>
        <w:rPr>
          <w:rFonts w:hint="eastAsia" w:hAnsi="宋体" w:cs="宋体"/>
          <w:color w:val="000000" w:themeColor="text1"/>
          <w:sz w:val="24"/>
          <w:highlight w:val="none"/>
          <w14:textFill>
            <w14:solidFill>
              <w14:schemeClr w14:val="tx1"/>
            </w14:solidFill>
          </w14:textFill>
        </w:rPr>
        <w:t>采购人和招标代理机构将视情况以书面形式予以答复，并发至领取招标文件的每位投标人。答复中包括所提问题，但不包括问题的来源。</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11.2 如果上述答复涉及对招标文件的修改或补充，则它将被视为招标文件的组成部分。凡原先所发招标文件中的内容与答复中的内容不一致之处，以最后书面答复为准。任何电话或口头咨询和答复的意思解释均不具有法律约束力。</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bookmarkStart w:id="71" w:name="_Toc233274821"/>
      <w:bookmarkStart w:id="72" w:name="_Toc243906321"/>
      <w:bookmarkStart w:id="73" w:name="_Toc243907581"/>
      <w:bookmarkStart w:id="74" w:name="_Toc245897281"/>
      <w:r>
        <w:rPr>
          <w:rFonts w:hint="eastAsia" w:hAnsi="宋体" w:cs="宋体"/>
          <w:color w:val="000000" w:themeColor="text1"/>
          <w:sz w:val="24"/>
          <w:highlight w:val="none"/>
          <w14:textFill>
            <w14:solidFill>
              <w14:schemeClr w14:val="tx1"/>
            </w14:solidFill>
          </w14:textFill>
        </w:rPr>
        <w:t>12、招标文件的修改和补充</w:t>
      </w:r>
      <w:bookmarkEnd w:id="71"/>
      <w:bookmarkEnd w:id="72"/>
      <w:bookmarkEnd w:id="73"/>
      <w:bookmarkEnd w:id="74"/>
      <w:r>
        <w:rPr>
          <w:rFonts w:hint="eastAsia" w:hAnsi="宋体" w:cs="宋体"/>
          <w:color w:val="000000" w:themeColor="text1"/>
          <w:sz w:val="24"/>
          <w:highlight w:val="none"/>
          <w14:textFill>
            <w14:solidFill>
              <w14:schemeClr w14:val="tx1"/>
            </w14:solidFill>
          </w14:textFill>
        </w:rPr>
        <w:tab/>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12.1澄清或者修改的内容可能影响投标文件编制的，采购人或者招标代理机构应当在投标截止时间至少15日前，以书面形式通知所有获取招标文件的潜在投标人；不足15日的，采购人或者招标代理机构应当顺延提交投标文件的截止时间。修改或补充文件将作为招标文件的组成部分，对所有投标人具有约束力。</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12.2投标人在每次收到招标代理机构发至的书面文件后，应在收到后24小时内以书面形式并加盖投标人公章予以确认。</w:t>
      </w:r>
    </w:p>
    <w:p>
      <w:pPr>
        <w:pStyle w:val="32"/>
        <w:spacing w:line="360" w:lineRule="auto"/>
        <w:jc w:val="center"/>
        <w:outlineLvl w:val="1"/>
        <w:rPr>
          <w:rFonts w:ascii="仿宋_GB2312" w:eastAsia="仿宋_GB2312"/>
          <w:b/>
          <w:bCs/>
          <w:color w:val="000000" w:themeColor="text1"/>
          <w:sz w:val="28"/>
          <w:szCs w:val="28"/>
          <w:highlight w:val="none"/>
          <w14:textFill>
            <w14:solidFill>
              <w14:schemeClr w14:val="tx1"/>
            </w14:solidFill>
          </w14:textFill>
        </w:rPr>
      </w:pPr>
    </w:p>
    <w:p>
      <w:pPr>
        <w:pStyle w:val="32"/>
        <w:spacing w:line="360" w:lineRule="auto"/>
        <w:ind w:firstLine="562" w:firstLineChars="200"/>
        <w:jc w:val="center"/>
        <w:outlineLvl w:val="1"/>
        <w:rPr>
          <w:rFonts w:ascii="仿宋_GB2312" w:eastAsia="仿宋_GB2312"/>
          <w:b/>
          <w:bCs/>
          <w:color w:val="000000" w:themeColor="text1"/>
          <w:sz w:val="28"/>
          <w:szCs w:val="28"/>
          <w:highlight w:val="none"/>
          <w14:textFill>
            <w14:solidFill>
              <w14:schemeClr w14:val="tx1"/>
            </w14:solidFill>
          </w14:textFill>
        </w:rPr>
      </w:pPr>
      <w:r>
        <w:rPr>
          <w:rFonts w:ascii="仿宋_GB2312" w:eastAsia="仿宋_GB2312"/>
          <w:b/>
          <w:bCs/>
          <w:color w:val="000000" w:themeColor="text1"/>
          <w:sz w:val="28"/>
          <w:szCs w:val="28"/>
          <w:highlight w:val="none"/>
          <w14:textFill>
            <w14:solidFill>
              <w14:schemeClr w14:val="tx1"/>
            </w14:solidFill>
          </w14:textFill>
        </w:rPr>
        <w:t xml:space="preserve">   C </w:t>
      </w:r>
      <w:r>
        <w:rPr>
          <w:rFonts w:hint="eastAsia" w:ascii="仿宋_GB2312" w:eastAsia="仿宋_GB2312"/>
          <w:b/>
          <w:bCs/>
          <w:color w:val="000000" w:themeColor="text1"/>
          <w:sz w:val="28"/>
          <w:szCs w:val="28"/>
          <w:highlight w:val="none"/>
          <w14:textFill>
            <w14:solidFill>
              <w14:schemeClr w14:val="tx1"/>
            </w14:solidFill>
          </w14:textFill>
        </w:rPr>
        <w:t>投标文件的编写</w:t>
      </w:r>
      <w:bookmarkEnd w:id="62"/>
      <w:bookmarkEnd w:id="63"/>
      <w:bookmarkEnd w:id="64"/>
      <w:bookmarkEnd w:id="65"/>
    </w:p>
    <w:p>
      <w:pPr>
        <w:pStyle w:val="32"/>
        <w:spacing w:line="360" w:lineRule="auto"/>
        <w:ind w:firstLine="480" w:firstLineChars="200"/>
        <w:rPr>
          <w:rFonts w:ascii="仿宋_GB2312" w:eastAsia="仿宋_GB2312"/>
          <w:color w:val="000000" w:themeColor="text1"/>
          <w:sz w:val="24"/>
          <w:highlight w:val="none"/>
          <w14:textFill>
            <w14:solidFill>
              <w14:schemeClr w14:val="tx1"/>
            </w14:solidFill>
          </w14:textFill>
        </w:rPr>
      </w:pPr>
    </w:p>
    <w:p>
      <w:pPr>
        <w:pStyle w:val="32"/>
        <w:spacing w:line="360" w:lineRule="auto"/>
        <w:ind w:firstLine="480" w:firstLineChars="200"/>
        <w:outlineLvl w:val="1"/>
        <w:rPr>
          <w:rFonts w:hAnsi="宋体" w:cs="宋体"/>
          <w:color w:val="000000" w:themeColor="text1"/>
          <w:sz w:val="24"/>
          <w:highlight w:val="none"/>
          <w14:textFill>
            <w14:solidFill>
              <w14:schemeClr w14:val="tx1"/>
            </w14:solidFill>
          </w14:textFill>
        </w:rPr>
      </w:pPr>
      <w:bookmarkStart w:id="75" w:name="_Toc243907583"/>
      <w:bookmarkStart w:id="76" w:name="_Toc243906323"/>
      <w:bookmarkStart w:id="77" w:name="_Toc245897283"/>
      <w:bookmarkStart w:id="78" w:name="_Toc233274823"/>
      <w:r>
        <w:rPr>
          <w:rFonts w:hint="eastAsia" w:hAnsi="宋体" w:cs="宋体"/>
          <w:color w:val="000000" w:themeColor="text1"/>
          <w:sz w:val="24"/>
          <w:highlight w:val="none"/>
          <w14:textFill>
            <w14:solidFill>
              <w14:schemeClr w14:val="tx1"/>
            </w14:solidFill>
          </w14:textFill>
        </w:rPr>
        <w:t>13、投标文件的编写</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投标人必须详细阅读招标文件的章、节、条款、格式等所有内容，按招标文件的要求提交投标文件，并保证所提供的全部文件及相关资料的真实性，以使其对招标文件做出实质性投标。投标人应仔细阅读并充分理解招标文件、技术规范及标准、项目采购需求、合同条款后</w:t>
      </w:r>
      <w:r>
        <w:rPr>
          <w:rFonts w:hint="eastAsia" w:ascii="宋体" w:hAnsi="宋体" w:cs="宋体"/>
          <w:b/>
          <w:color w:val="000000" w:themeColor="text1"/>
          <w:sz w:val="24"/>
          <w:highlight w:val="none"/>
          <w14:textFill>
            <w14:solidFill>
              <w14:schemeClr w14:val="tx1"/>
            </w14:solidFill>
          </w14:textFill>
        </w:rPr>
        <w:t>编制投标文件</w:t>
      </w:r>
      <w:r>
        <w:rPr>
          <w:rFonts w:hint="eastAsia" w:ascii="宋体" w:hAnsi="宋体" w:cs="宋体"/>
          <w:color w:val="000000" w:themeColor="text1"/>
          <w:sz w:val="24"/>
          <w:highlight w:val="none"/>
          <w14:textFill>
            <w14:solidFill>
              <w14:schemeClr w14:val="tx1"/>
            </w14:solidFill>
          </w14:textFill>
        </w:rPr>
        <w:t>。</w:t>
      </w:r>
    </w:p>
    <w:p>
      <w:pPr>
        <w:pStyle w:val="32"/>
        <w:spacing w:line="360" w:lineRule="auto"/>
        <w:ind w:firstLine="480" w:firstLineChars="200"/>
        <w:outlineLvl w:val="1"/>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14、投标文件的语言及计量单位</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14.1 投标文件及投标人和采购人及招标代理机构就有关公开的所有文件和来往函件，应以中文书写。投标人可以提交用其他语言（原文）打印的资料，但必须翻译成中文，当原文和译文（中文）之间存有差异和/或矛盾时，以中文为准。</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14.2 除在招标文件的项目采购需求中另有规定外，计量单位应使用中华人民共和国法定计量单位（国际单位制和国家选定的其它计量单位）。如投标人采用其它计量单位，需事先得到采购人的同意。</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15、知识产权</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15.1投标人应保证在本项目使用的任何产品和服务时，不会产生因第三方提出侵犯其专利权、商标权或其它知识产权而引起的法律和经济纠纷，如因专利权、商标权或其它知识产权而引起法律和经济纠纷，由投标人承担所有相关责任。</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14.2 采购人享有本项目实施过程中产生的知识成果及知识产权。</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15.3投标人如欲在项目实施过程中采用自有知识成果，需在投标文件中声明，并提供相关知识产权证明文件。使用该知识成果后，投标人需承诺提供无限期技术支持，采购人享有永久使用权。</w:t>
      </w:r>
    </w:p>
    <w:p>
      <w:pPr>
        <w:spacing w:line="360" w:lineRule="auto"/>
        <w:ind w:firstLine="460" w:firstLineChars="19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15.4 投标人如采用其所不拥有的知识产权，则在其商务报价中必须包括合法获取该知识产权的相关费用。 </w:t>
      </w:r>
    </w:p>
    <w:p>
      <w:pPr>
        <w:pStyle w:val="32"/>
        <w:spacing w:line="360" w:lineRule="auto"/>
        <w:ind w:firstLine="482" w:firstLineChars="200"/>
        <w:outlineLvl w:val="1"/>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16、投标文件的组成：</w:t>
      </w:r>
      <w:r>
        <w:rPr>
          <w:rFonts w:hint="eastAsia" w:hAnsi="宋体" w:cs="宋体"/>
          <w:b/>
          <w:color w:val="000000" w:themeColor="text1"/>
          <w:sz w:val="24"/>
          <w:szCs w:val="24"/>
          <w:highlight w:val="none"/>
          <w14:textFill>
            <w14:solidFill>
              <w14:schemeClr w14:val="tx1"/>
            </w14:solidFill>
          </w14:textFill>
        </w:rPr>
        <w:t>由</w:t>
      </w:r>
      <w:r>
        <w:rPr>
          <w:rFonts w:hint="eastAsia" w:hAnsi="宋体" w:cs="宋体"/>
          <w:b/>
          <w:color w:val="000000" w:themeColor="text1"/>
          <w:sz w:val="24"/>
          <w:highlight w:val="none"/>
          <w14:textFill>
            <w14:solidFill>
              <w14:schemeClr w14:val="tx1"/>
            </w14:solidFill>
          </w14:textFill>
        </w:rPr>
        <w:t>资格证明文件、</w:t>
      </w:r>
      <w:r>
        <w:rPr>
          <w:rFonts w:hint="eastAsia" w:hAnsi="宋体" w:cs="宋体"/>
          <w:b/>
          <w:color w:val="000000" w:themeColor="text1"/>
          <w:sz w:val="24"/>
          <w:szCs w:val="24"/>
          <w:highlight w:val="none"/>
          <w14:textFill>
            <w14:solidFill>
              <w14:schemeClr w14:val="tx1"/>
            </w14:solidFill>
          </w14:textFill>
        </w:rPr>
        <w:t>商务文件、技术文件组成，分别打印、装订、密封，均须编制目录及页码。</w:t>
      </w:r>
    </w:p>
    <w:p>
      <w:p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各投标人应对照第三章“项目采购需求”及第六章“评标办法（综合评分法）”提供必要的证明资料，投标文件应包括但不限于以下内容：</w:t>
      </w:r>
    </w:p>
    <w:p>
      <w:pPr>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16.1资格证明文件</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投标人资格证明文件应简要客观反映企业面貌，使招标人对其有感性了解，必须如实提供，如发现失实之处将影响其</w:t>
      </w:r>
      <w:r>
        <w:rPr>
          <w:rFonts w:hint="eastAsia" w:ascii="宋体" w:hAnsi="宋体" w:cs="宋体"/>
          <w:b/>
          <w:bCs/>
          <w:color w:val="000000" w:themeColor="text1"/>
          <w:sz w:val="24"/>
          <w:highlight w:val="none"/>
          <w:lang w:eastAsia="zh-CN"/>
          <w14:textFill>
            <w14:solidFill>
              <w14:schemeClr w14:val="tx1"/>
            </w14:solidFill>
          </w14:textFill>
        </w:rPr>
        <w:t>中标</w:t>
      </w:r>
      <w:r>
        <w:rPr>
          <w:rFonts w:hint="eastAsia" w:ascii="宋体" w:hAnsi="宋体" w:cs="宋体"/>
          <w:b/>
          <w:bCs/>
          <w:color w:val="000000" w:themeColor="text1"/>
          <w:sz w:val="24"/>
          <w:highlight w:val="none"/>
          <w14:textFill>
            <w14:solidFill>
              <w14:schemeClr w14:val="tx1"/>
            </w14:solidFill>
          </w14:textFill>
        </w:rPr>
        <w:t>。资格证明文件包括但不仅限于以下内容，投标人对照第六章“1</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1资格性审查”提供必要的证明材料：</w:t>
      </w:r>
    </w:p>
    <w:p>
      <w:pPr>
        <w:tabs>
          <w:tab w:val="left" w:pos="360"/>
          <w:tab w:val="left" w:pos="1800"/>
        </w:tabs>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（1）法定代表人资格证明书</w:t>
      </w:r>
      <w:r>
        <w:rPr>
          <w:rFonts w:hint="eastAsia" w:ascii="宋体" w:hAnsi="宋体" w:cs="宋体"/>
          <w:color w:val="000000" w:themeColor="text1"/>
          <w:sz w:val="24"/>
          <w:highlight w:val="none"/>
          <w14:textFill>
            <w14:solidFill>
              <w14:schemeClr w14:val="tx1"/>
            </w14:solidFill>
          </w14:textFill>
        </w:rPr>
        <w:t>（详见格式1）；</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（2）法定代表人授权书</w:t>
      </w:r>
      <w:r>
        <w:rPr>
          <w:rFonts w:hint="eastAsia" w:ascii="宋体" w:hAnsi="宋体" w:cs="宋体"/>
          <w:color w:val="000000" w:themeColor="text1"/>
          <w:sz w:val="24"/>
          <w:highlight w:val="none"/>
          <w14:textFill>
            <w14:solidFill>
              <w14:schemeClr w14:val="tx1"/>
            </w14:solidFill>
          </w14:textFill>
        </w:rPr>
        <w:t>（详见格式2）；</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（3）投标人资格声明（详见格式3）；</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）中小企业声明函（详见格式</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lang w:val="zh-CN"/>
          <w14:textFill>
            <w14:solidFill>
              <w14:schemeClr w14:val="tx1"/>
            </w14:solidFill>
          </w14:textFill>
        </w:rPr>
        <w:t>）有效的三证合一营业执照（复印件）；</w:t>
      </w:r>
    </w:p>
    <w:p>
      <w:pPr>
        <w:spacing w:line="360" w:lineRule="auto"/>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项目管理及服务人员表（详见格式</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lang w:eastAsia="zh-CN"/>
          <w14:textFill>
            <w14:solidFill>
              <w14:schemeClr w14:val="tx1"/>
            </w14:solidFill>
          </w14:textFill>
        </w:rPr>
        <w:t>）投标人应提供具有完成本服务项目所需的施工机械、车辆和设备，提供《拟投入本服务项目的主要机械、车辆及设备表》（详见格式</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投标人根据《中华人民共和国政府采购法》第二十二条相关规定（共5条）提供相应的证明材料；</w:t>
      </w:r>
    </w:p>
    <w:p>
      <w:pPr>
        <w:spacing w:line="360" w:lineRule="auto"/>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lang w:eastAsia="zh-CN"/>
          <w14:textFill>
            <w14:solidFill>
              <w14:schemeClr w14:val="tx1"/>
            </w14:solidFill>
          </w14:textFill>
        </w:rPr>
        <w:t>）近三年（201</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lang w:eastAsia="zh-CN"/>
          <w14:textFill>
            <w14:solidFill>
              <w14:schemeClr w14:val="tx1"/>
            </w14:solidFill>
          </w14:textFill>
        </w:rPr>
        <w:t>年1月1日至今）同类项目业绩表，并附业绩证明资料（复印件）（详见格式</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lang w:eastAsia="zh-CN"/>
          <w14:textFill>
            <w14:solidFill>
              <w14:schemeClr w14:val="tx1"/>
            </w14:solidFill>
          </w14:textFill>
        </w:rPr>
        <w:t xml:space="preserve">）；  </w:t>
      </w:r>
    </w:p>
    <w:p>
      <w:p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10</w:t>
      </w:r>
      <w:r>
        <w:rPr>
          <w:rFonts w:hint="eastAsia" w:ascii="宋体" w:hAnsi="宋体" w:cs="宋体"/>
          <w:b/>
          <w:color w:val="000000" w:themeColor="text1"/>
          <w:sz w:val="24"/>
          <w:highlight w:val="none"/>
          <w14:textFill>
            <w14:solidFill>
              <w14:schemeClr w14:val="tx1"/>
            </w14:solidFill>
          </w14:textFill>
        </w:rPr>
        <w:t>）提供其完整并在有效期内的信合联服信用报告,并且综合信用等级为C级以上（含C级）（复印件）；</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11</w:t>
      </w:r>
      <w:r>
        <w:rPr>
          <w:rFonts w:hint="eastAsia" w:ascii="宋体" w:hAnsi="宋体" w:cs="宋体"/>
          <w:bCs/>
          <w:color w:val="000000" w:themeColor="text1"/>
          <w:sz w:val="24"/>
          <w:highlight w:val="none"/>
          <w14:textFill>
            <w14:solidFill>
              <w14:schemeClr w14:val="tx1"/>
            </w14:solidFill>
          </w14:textFill>
        </w:rPr>
        <w:t>）资格性/符合性自查表</w:t>
      </w:r>
      <w:r>
        <w:rPr>
          <w:rFonts w:hint="eastAsia" w:ascii="宋体" w:hAnsi="宋体" w:cs="宋体"/>
          <w:color w:val="000000" w:themeColor="text1"/>
          <w:sz w:val="24"/>
          <w:highlight w:val="none"/>
          <w14:textFill>
            <w14:solidFill>
              <w14:schemeClr w14:val="tx1"/>
            </w14:solidFill>
          </w14:textFill>
        </w:rPr>
        <w:t>（详见文件格式</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w:t>
      </w:r>
    </w:p>
    <w:p>
      <w:pPr>
        <w:pStyle w:val="17"/>
        <w:tabs>
          <w:tab w:val="left" w:pos="0"/>
        </w:tabs>
        <w:overflowPunct w:val="0"/>
        <w:spacing w:line="360" w:lineRule="auto"/>
        <w:ind w:firstLine="482" w:firstLineChars="200"/>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提供</w:t>
      </w:r>
      <w:r>
        <w:rPr>
          <w:rFonts w:hint="eastAsia" w:ascii="宋体" w:hAnsi="宋体" w:cs="宋体"/>
          <w:color w:val="000000" w:themeColor="text1"/>
          <w:sz w:val="24"/>
          <w:szCs w:val="24"/>
          <w:highlight w:val="none"/>
          <w:lang w:eastAsia="zh-CN"/>
          <w14:textFill>
            <w14:solidFill>
              <w14:schemeClr w14:val="tx1"/>
            </w14:solidFill>
          </w14:textFill>
        </w:rPr>
        <w:t>上一年度</w:t>
      </w:r>
      <w:r>
        <w:rPr>
          <w:rFonts w:hint="eastAsia" w:ascii="宋体" w:hAnsi="宋体" w:cs="宋体"/>
          <w:color w:val="000000" w:themeColor="text1"/>
          <w:sz w:val="24"/>
          <w:szCs w:val="24"/>
          <w:highlight w:val="none"/>
          <w14:textFill>
            <w14:solidFill>
              <w14:schemeClr w14:val="tx1"/>
            </w14:solidFill>
          </w14:textFill>
        </w:rPr>
        <w:t>的财务报表/财务报告复印件（包括资产负债表、损益表、利润表、现金流量表及财务状况说明书，新成立的公司提供情况说明）；</w:t>
      </w:r>
    </w:p>
    <w:p>
      <w:pPr>
        <w:pStyle w:val="17"/>
        <w:tabs>
          <w:tab w:val="left" w:pos="0"/>
        </w:tabs>
        <w:overflowPunct w:val="0"/>
        <w:spacing w:line="360" w:lineRule="auto"/>
        <w:ind w:firstLine="480" w:firstLineChars="200"/>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）提供近三个月依法缴纳税收和社会保障资金的良好记录的证明材料（附复印件）；</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）企业近三年（201</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年1月1日至今）的获奖、荣誉证书等能够体现企业信誉及其它与本项目有关的能证明企业实力的各项证明资料；</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）体现企业生产能力、管理水平、技术力量、设备配备的相关证明资料；</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16</w:t>
      </w:r>
      <w:r>
        <w:rPr>
          <w:rFonts w:hint="eastAsia" w:ascii="宋体" w:hAnsi="宋体" w:cs="宋体"/>
          <w:color w:val="000000" w:themeColor="text1"/>
          <w:sz w:val="24"/>
          <w:highlight w:val="none"/>
          <w14:textFill>
            <w14:solidFill>
              <w14:schemeClr w14:val="tx1"/>
            </w14:solidFill>
          </w14:textFill>
        </w:rPr>
        <w:t>）在本行业相关的技术领域的技术创新和技术突破情况。</w:t>
      </w:r>
    </w:p>
    <w:p>
      <w:p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16.2商务文件</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（1）投标函（详见格式</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（2）开标一览表（详见格式</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）商务条款偏离表（详见格式</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4</w:t>
      </w:r>
      <w:r>
        <w:rPr>
          <w:rFonts w:hint="eastAsia" w:ascii="宋体" w:hAnsi="宋体" w:cs="宋体"/>
          <w:b/>
          <w:bCs/>
          <w:color w:val="000000" w:themeColor="text1"/>
          <w:sz w:val="24"/>
          <w:highlight w:val="none"/>
          <w14:textFill>
            <w14:solidFill>
              <w14:schemeClr w14:val="tx1"/>
            </w14:solidFill>
          </w14:textFill>
        </w:rPr>
        <w:t>）项目采购需求及评审、评分所需提供的其它资料。</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16.3技术文件</w:t>
      </w:r>
    </w:p>
    <w:p>
      <w:pPr>
        <w:widowControl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）服务方案【包括但不限于：工作管理措施（考核制度；岗位责任制；信息反馈处理机制）、卫生环境保洁方案、安全教育及安全作业方案、应急保障、</w:t>
      </w:r>
      <w:r>
        <w:rPr>
          <w:rFonts w:hint="eastAsia" w:ascii="宋体" w:hAnsi="宋体" w:cs="宋体"/>
          <w:color w:val="000000" w:themeColor="text1"/>
          <w:sz w:val="24"/>
          <w:szCs w:val="24"/>
          <w:highlight w:val="none"/>
          <w:lang w:eastAsia="zh-CN"/>
          <w14:textFill>
            <w14:solidFill>
              <w14:schemeClr w14:val="tx1"/>
            </w14:solidFill>
          </w14:textFill>
        </w:rPr>
        <w:t>环卫</w:t>
      </w:r>
      <w:r>
        <w:rPr>
          <w:rFonts w:hint="eastAsia" w:ascii="宋体" w:hAnsi="宋体" w:eastAsia="宋体" w:cs="宋体"/>
          <w:color w:val="000000" w:themeColor="text1"/>
          <w:sz w:val="24"/>
          <w:szCs w:val="24"/>
          <w:highlight w:val="none"/>
          <w:lang w:eastAsia="zh-CN"/>
          <w14:textFill>
            <w14:solidFill>
              <w14:schemeClr w14:val="tx1"/>
            </w14:solidFill>
          </w14:textFill>
        </w:rPr>
        <w:t>服务档案资料管理】</w:t>
      </w:r>
    </w:p>
    <w:p>
      <w:pPr>
        <w:widowControl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）质量安全文明施工保证措施：有具体可行的保证措施，有具体的违约责任；管理机构及管理制度健全；质量检测能力与手段完善；安全责任落实及体系健全；</w:t>
      </w:r>
    </w:p>
    <w:p>
      <w:pPr>
        <w:widowControl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）人员安排；</w:t>
      </w:r>
    </w:p>
    <w:p>
      <w:pPr>
        <w:widowControl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）技术规格响应偏离表（详见格式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p>
    <w:p>
      <w:pPr>
        <w:widowControl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）招标文件要求提供的其它材料以及投标人认为需要提交的材料。</w:t>
      </w:r>
    </w:p>
    <w:p>
      <w:pPr>
        <w:pStyle w:val="32"/>
        <w:spacing w:line="360" w:lineRule="auto"/>
        <w:ind w:firstLine="482" w:firstLineChars="200"/>
        <w:rPr>
          <w:rFonts w:hAnsi="宋体" w:cs="宋体"/>
          <w:b/>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特别说明：①上述各种证件、证书复印件须加盖投标人公章。如未按要求加盖投标人公章者，可能导致其投标文件无效。</w:t>
      </w:r>
    </w:p>
    <w:p>
      <w:pPr>
        <w:pStyle w:val="32"/>
        <w:spacing w:line="360" w:lineRule="auto"/>
        <w:ind w:firstLine="482" w:firstLineChars="200"/>
        <w:rPr>
          <w:rFonts w:hAnsi="宋体" w:cs="宋体"/>
          <w:b/>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② 投标人应如实提供投标资料，并保证真实可靠，不得弄虚作假。如投标人隐瞒事实真相、弄虚作假，一经查实，取消该投标人的投标资格，若</w:t>
      </w:r>
      <w:r>
        <w:rPr>
          <w:rFonts w:hint="eastAsia" w:hAnsi="宋体" w:cs="宋体"/>
          <w:b/>
          <w:color w:val="000000" w:themeColor="text1"/>
          <w:sz w:val="24"/>
          <w:highlight w:val="none"/>
          <w:lang w:eastAsia="zh-CN"/>
          <w14:textFill>
            <w14:solidFill>
              <w14:schemeClr w14:val="tx1"/>
            </w14:solidFill>
          </w14:textFill>
        </w:rPr>
        <w:t>中标</w:t>
      </w:r>
      <w:r>
        <w:rPr>
          <w:rFonts w:hint="eastAsia" w:hAnsi="宋体" w:cs="宋体"/>
          <w:b/>
          <w:color w:val="000000" w:themeColor="text1"/>
          <w:sz w:val="24"/>
          <w:highlight w:val="none"/>
          <w14:textFill>
            <w14:solidFill>
              <w14:schemeClr w14:val="tx1"/>
            </w14:solidFill>
          </w14:textFill>
        </w:rPr>
        <w:t>的，取消其</w:t>
      </w:r>
      <w:r>
        <w:rPr>
          <w:rFonts w:hint="eastAsia" w:hAnsi="宋体" w:cs="宋体"/>
          <w:b/>
          <w:color w:val="000000" w:themeColor="text1"/>
          <w:sz w:val="24"/>
          <w:highlight w:val="none"/>
          <w:lang w:eastAsia="zh-CN"/>
          <w14:textFill>
            <w14:solidFill>
              <w14:schemeClr w14:val="tx1"/>
            </w14:solidFill>
          </w14:textFill>
        </w:rPr>
        <w:t>中标</w:t>
      </w:r>
      <w:r>
        <w:rPr>
          <w:rFonts w:hint="eastAsia" w:hAnsi="宋体" w:cs="宋体"/>
          <w:b/>
          <w:color w:val="000000" w:themeColor="text1"/>
          <w:sz w:val="24"/>
          <w:highlight w:val="none"/>
          <w14:textFill>
            <w14:solidFill>
              <w14:schemeClr w14:val="tx1"/>
            </w14:solidFill>
          </w14:textFill>
        </w:rPr>
        <w:t>资格。</w:t>
      </w:r>
    </w:p>
    <w:p>
      <w:pPr>
        <w:pStyle w:val="32"/>
        <w:spacing w:line="360" w:lineRule="auto"/>
        <w:ind w:firstLine="480"/>
        <w:outlineLvl w:val="1"/>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17、投标文件格式</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17.1投标人应按招标文件提供的格式及商务报价说明完整地填写所提供的合同服务以及单价等内容。</w:t>
      </w:r>
    </w:p>
    <w:p>
      <w:pPr>
        <w:pStyle w:val="32"/>
        <w:spacing w:line="360" w:lineRule="auto"/>
        <w:ind w:firstLine="480" w:firstLineChars="200"/>
        <w:outlineLvl w:val="1"/>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18、商务报价</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18.1投标人的商务报价应是为采购人提供全部合同服务，并保证合同条款、技术规范及标准、项目采购需求、本招标文件约定的所有费用的总和。</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任何因投标人忽视或误解采购范围、技术规范及标准、项目采购需求、合同条款和项目现场情况，若</w:t>
      </w:r>
      <w:r>
        <w:rPr>
          <w:rFonts w:hint="eastAsia" w:ascii="宋体" w:hAnsi="宋体" w:cs="宋体"/>
          <w:color w:val="000000" w:themeColor="text1"/>
          <w:sz w:val="24"/>
          <w:highlight w:val="none"/>
          <w:lang w:eastAsia="zh-CN"/>
          <w14:textFill>
            <w14:solidFill>
              <w14:schemeClr w14:val="tx1"/>
            </w14:solidFill>
          </w14:textFill>
        </w:rPr>
        <w:t>中标</w:t>
      </w:r>
      <w:r>
        <w:rPr>
          <w:rFonts w:hint="eastAsia" w:ascii="宋体" w:hAnsi="宋体" w:cs="宋体"/>
          <w:color w:val="000000" w:themeColor="text1"/>
          <w:sz w:val="24"/>
          <w:highlight w:val="none"/>
          <w14:textFill>
            <w14:solidFill>
              <w14:schemeClr w14:val="tx1"/>
            </w14:solidFill>
          </w14:textFill>
        </w:rPr>
        <w:t>，采购人将不予批准由此而产生的索赔或</w:t>
      </w:r>
      <w:r>
        <w:rPr>
          <w:rFonts w:hint="eastAsia" w:ascii="宋体" w:hAnsi="宋体" w:cs="宋体"/>
          <w:color w:val="000000" w:themeColor="text1"/>
          <w:sz w:val="24"/>
          <w:highlight w:val="none"/>
          <w:lang w:eastAsia="zh-CN"/>
          <w14:textFill>
            <w14:solidFill>
              <w14:schemeClr w14:val="tx1"/>
            </w14:solidFill>
          </w14:textFill>
        </w:rPr>
        <w:t>服务期限</w:t>
      </w:r>
      <w:r>
        <w:rPr>
          <w:rFonts w:hint="eastAsia" w:ascii="宋体" w:hAnsi="宋体" w:cs="宋体"/>
          <w:color w:val="000000" w:themeColor="text1"/>
          <w:sz w:val="24"/>
          <w:highlight w:val="none"/>
          <w14:textFill>
            <w14:solidFill>
              <w14:schemeClr w14:val="tx1"/>
            </w14:solidFill>
          </w14:textFill>
        </w:rPr>
        <w:t>延长申请。</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商务报价中不得包含合同条款、技术规范及标准、项目采购需求、本招标文件要求以外的其他内容。</w:t>
      </w:r>
    </w:p>
    <w:p>
      <w:pPr>
        <w:keepNext w:val="0"/>
        <w:keepLines w:val="0"/>
        <w:pageBreakBefore w:val="0"/>
        <w:widowControl w:val="0"/>
        <w:kinsoku/>
        <w:wordWrap/>
        <w:overflowPunct/>
        <w:topLinePunct w:val="0"/>
        <w:autoSpaceDE/>
        <w:autoSpaceDN/>
        <w:bidi w:val="0"/>
        <w:adjustRightInd/>
        <w:snapToGrid/>
        <w:spacing w:line="360" w:lineRule="auto"/>
        <w:ind w:right="-105" w:rightChars="-50"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18.2商务报价总价应包括的内容和计价因素</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hAnsi="宋体" w:cs="宋体"/>
          <w:b/>
          <w:color w:val="000000" w:themeColor="text1"/>
          <w:sz w:val="24"/>
          <w:szCs w:val="24"/>
          <w:highlight w:val="none"/>
          <w:lang w:eastAsia="zh-CN"/>
          <w14:textFill>
            <w14:solidFill>
              <w14:schemeClr w14:val="tx1"/>
            </w14:solidFill>
          </w14:textFill>
        </w:rPr>
        <w:t>在服务期限</w:t>
      </w:r>
      <w:r>
        <w:rPr>
          <w:rFonts w:hint="eastAsia" w:ascii="宋体" w:hAnsi="宋体" w:eastAsia="宋体" w:cs="宋体"/>
          <w:b/>
          <w:color w:val="000000" w:themeColor="text1"/>
          <w:sz w:val="24"/>
          <w:szCs w:val="24"/>
          <w:highlight w:val="none"/>
          <w:lang w:eastAsia="zh-CN"/>
          <w14:textFill>
            <w14:solidFill>
              <w14:schemeClr w14:val="tx1"/>
            </w14:solidFill>
          </w14:textFill>
        </w:rPr>
        <w:t>内完成</w:t>
      </w:r>
      <w:r>
        <w:rPr>
          <w:rFonts w:hint="eastAsia" w:ascii="宋体" w:hAnsi="宋体" w:eastAsia="宋体" w:cs="宋体"/>
          <w:b/>
          <w:color w:val="000000" w:themeColor="text1"/>
          <w:sz w:val="24"/>
          <w:szCs w:val="24"/>
          <w:highlight w:val="none"/>
          <w:lang w:val="en-US" w:eastAsia="zh-CN"/>
          <w14:textFill>
            <w14:solidFill>
              <w14:schemeClr w14:val="tx1"/>
            </w14:solidFill>
          </w14:textFill>
        </w:rPr>
        <w:t>西部乌镇面积总计369780.50㎡公共区域（包含道路、广场、停车场及沿街商铺前面的公共区域等）环卫服务工作</w:t>
      </w:r>
      <w:r>
        <w:rPr>
          <w:rFonts w:hint="eastAsia" w:ascii="宋体" w:hAnsi="宋体" w:eastAsia="宋体" w:cs="宋体"/>
          <w:b/>
          <w:color w:val="000000" w:themeColor="text1"/>
          <w:sz w:val="24"/>
          <w:szCs w:val="24"/>
          <w:highlight w:val="none"/>
          <w:lang w:eastAsia="zh-CN"/>
          <w14:textFill>
            <w14:solidFill>
              <w14:schemeClr w14:val="tx1"/>
            </w14:solidFill>
          </w14:textFill>
        </w:rPr>
        <w:t>等</w:t>
      </w:r>
      <w:r>
        <w:rPr>
          <w:rFonts w:hint="eastAsia" w:hAnsi="宋体" w:cs="宋体"/>
          <w:b/>
          <w:color w:val="000000" w:themeColor="text1"/>
          <w:sz w:val="24"/>
          <w:szCs w:val="24"/>
          <w:highlight w:val="none"/>
          <w:lang w:eastAsia="zh-CN"/>
          <w14:textFill>
            <w14:solidFill>
              <w14:schemeClr w14:val="tx1"/>
            </w14:solidFill>
          </w14:textFill>
        </w:rPr>
        <w:t>以及合同条款、技术规范及标准、项目采购需求、本招标文件约定的全部内容并配合采购人完成与此服务相关的全部工作</w:t>
      </w:r>
      <w:r>
        <w:rPr>
          <w:rFonts w:hint="eastAsia" w:ascii="宋体" w:hAnsi="宋体" w:cs="宋体"/>
          <w:b/>
          <w:bCs/>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105" w:rightChars="-50"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投标人根据对本招标文件、技术规范和标准、项目采购需求、合同条款的理解，应达到的技术指标、检验及验收标准等要求，结合市场情况进行商务报价。投标人应充分考虑合同执行期内各类市场风险和国家政策性调整风险等因素对商务报价的影响。</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投标人应按照招标文件所附的格式完整地填写商务报价一览表。</w:t>
      </w:r>
      <w:r>
        <w:rPr>
          <w:rFonts w:hint="eastAsia" w:ascii="宋体" w:hAnsi="宋体" w:cs="宋体"/>
          <w:b/>
          <w:color w:val="000000" w:themeColor="text1"/>
          <w:sz w:val="24"/>
          <w:highlight w:val="none"/>
          <w14:textFill>
            <w14:solidFill>
              <w14:schemeClr w14:val="tx1"/>
            </w14:solidFill>
          </w14:textFill>
        </w:rPr>
        <w:t>投标人应对采购范围内的全部内容进行报价。</w:t>
      </w:r>
    </w:p>
    <w:bookmarkEnd w:id="66"/>
    <w:bookmarkEnd w:id="75"/>
    <w:bookmarkEnd w:id="76"/>
    <w:bookmarkEnd w:id="77"/>
    <w:bookmarkEnd w:id="78"/>
    <w:p>
      <w:pPr>
        <w:pStyle w:val="32"/>
        <w:spacing w:line="360" w:lineRule="auto"/>
        <w:ind w:firstLine="480" w:firstLineChars="200"/>
        <w:outlineLvl w:val="1"/>
        <w:rPr>
          <w:rFonts w:hAnsi="宋体" w:cs="宋体"/>
          <w:color w:val="000000" w:themeColor="text1"/>
          <w:sz w:val="24"/>
          <w:szCs w:val="24"/>
          <w:highlight w:val="none"/>
          <w14:textFill>
            <w14:solidFill>
              <w14:schemeClr w14:val="tx1"/>
            </w14:solidFill>
          </w14:textFill>
        </w:rPr>
      </w:pPr>
      <w:bookmarkStart w:id="79" w:name="_Toc245897288"/>
      <w:r>
        <w:rPr>
          <w:rFonts w:hint="eastAsia" w:hAnsi="宋体" w:cs="宋体"/>
          <w:color w:val="000000" w:themeColor="text1"/>
          <w:sz w:val="24"/>
          <w:szCs w:val="24"/>
          <w:highlight w:val="none"/>
          <w14:textFill>
            <w14:solidFill>
              <w14:schemeClr w14:val="tx1"/>
            </w14:solidFill>
          </w14:textFill>
        </w:rPr>
        <w:t>19、商务报价货币</w:t>
      </w:r>
      <w:bookmarkEnd w:id="79"/>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19.1商务报价一览表和投标文件中的所有报价一律使用人民币（RMB）填报。</w:t>
      </w:r>
    </w:p>
    <w:p>
      <w:pPr>
        <w:pStyle w:val="32"/>
        <w:spacing w:line="360" w:lineRule="auto"/>
        <w:ind w:firstLine="480" w:firstLineChars="200"/>
        <w:outlineLvl w:val="1"/>
        <w:rPr>
          <w:rFonts w:hAnsi="宋体" w:cs="宋体"/>
          <w:color w:val="000000" w:themeColor="text1"/>
          <w:sz w:val="24"/>
          <w:szCs w:val="24"/>
          <w:highlight w:val="none"/>
          <w14:textFill>
            <w14:solidFill>
              <w14:schemeClr w14:val="tx1"/>
            </w14:solidFill>
          </w14:textFill>
        </w:rPr>
      </w:pPr>
      <w:bookmarkStart w:id="80" w:name="_Toc233274829"/>
      <w:bookmarkStart w:id="81" w:name="_Toc243906328"/>
      <w:bookmarkStart w:id="82" w:name="_Toc245897289"/>
      <w:bookmarkStart w:id="83" w:name="_Toc243907589"/>
      <w:r>
        <w:rPr>
          <w:rFonts w:hint="eastAsia" w:hAnsi="宋体" w:cs="宋体"/>
          <w:color w:val="000000" w:themeColor="text1"/>
          <w:sz w:val="24"/>
          <w:szCs w:val="24"/>
          <w:highlight w:val="none"/>
          <w14:textFill>
            <w14:solidFill>
              <w14:schemeClr w14:val="tx1"/>
            </w14:solidFill>
          </w14:textFill>
        </w:rPr>
        <w:t>20、投标人资格证明文件</w:t>
      </w:r>
      <w:bookmarkEnd w:id="80"/>
      <w:bookmarkEnd w:id="81"/>
      <w:bookmarkEnd w:id="82"/>
      <w:bookmarkEnd w:id="83"/>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20.1 投标人必须提交证明其有资格参加招标和</w:t>
      </w:r>
      <w:r>
        <w:rPr>
          <w:rFonts w:hint="eastAsia" w:hAnsi="宋体" w:cs="宋体"/>
          <w:color w:val="000000" w:themeColor="text1"/>
          <w:sz w:val="24"/>
          <w:szCs w:val="24"/>
          <w:highlight w:val="none"/>
          <w:lang w:eastAsia="zh-CN"/>
          <w14:textFill>
            <w14:solidFill>
              <w14:schemeClr w14:val="tx1"/>
            </w14:solidFill>
          </w14:textFill>
        </w:rPr>
        <w:t>中标</w:t>
      </w:r>
      <w:r>
        <w:rPr>
          <w:rFonts w:hint="eastAsia" w:hAnsi="宋体" w:cs="宋体"/>
          <w:color w:val="000000" w:themeColor="text1"/>
          <w:sz w:val="24"/>
          <w:szCs w:val="24"/>
          <w:highlight w:val="none"/>
          <w14:textFill>
            <w14:solidFill>
              <w14:schemeClr w14:val="tx1"/>
            </w14:solidFill>
          </w14:textFill>
        </w:rPr>
        <w:t>后有能力履行合同的文件。</w:t>
      </w:r>
    </w:p>
    <w:p>
      <w:pPr>
        <w:pStyle w:val="32"/>
        <w:spacing w:line="360" w:lineRule="auto"/>
        <w:ind w:firstLine="480" w:firstLineChars="200"/>
        <w:outlineLvl w:val="1"/>
        <w:rPr>
          <w:rFonts w:hAnsi="宋体" w:cs="宋体"/>
          <w:color w:val="000000" w:themeColor="text1"/>
          <w:sz w:val="24"/>
          <w:szCs w:val="24"/>
          <w:highlight w:val="none"/>
          <w14:textFill>
            <w14:solidFill>
              <w14:schemeClr w14:val="tx1"/>
            </w14:solidFill>
          </w14:textFill>
        </w:rPr>
      </w:pPr>
      <w:bookmarkStart w:id="84" w:name="_Toc243906329"/>
      <w:bookmarkStart w:id="85" w:name="_Toc243907590"/>
      <w:bookmarkStart w:id="86" w:name="_Toc233274830"/>
      <w:bookmarkStart w:id="87" w:name="_Toc245897290"/>
      <w:r>
        <w:rPr>
          <w:rFonts w:hint="eastAsia" w:hAnsi="宋体" w:cs="宋体"/>
          <w:color w:val="000000" w:themeColor="text1"/>
          <w:sz w:val="24"/>
          <w:szCs w:val="24"/>
          <w:highlight w:val="none"/>
          <w14:textFill>
            <w14:solidFill>
              <w14:schemeClr w14:val="tx1"/>
            </w14:solidFill>
          </w14:textFill>
        </w:rPr>
        <w:t>21、提供的服务符合招标文件规定的技术</w:t>
      </w:r>
      <w:bookmarkEnd w:id="84"/>
      <w:bookmarkEnd w:id="85"/>
      <w:bookmarkEnd w:id="86"/>
      <w:bookmarkEnd w:id="87"/>
      <w:r>
        <w:rPr>
          <w:rFonts w:hint="eastAsia" w:hAnsi="宋体" w:cs="宋体"/>
          <w:color w:val="000000" w:themeColor="text1"/>
          <w:sz w:val="24"/>
          <w:szCs w:val="24"/>
          <w:highlight w:val="none"/>
          <w14:textFill>
            <w14:solidFill>
              <w14:schemeClr w14:val="tx1"/>
            </w14:solidFill>
          </w14:textFill>
        </w:rPr>
        <w:t>投标文件</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21.1 投标人须提交证明其拟供服务符合招标文件、技术规范及标准、项目采购需求规定的技术投标文件，作为投标文件的一部分；</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21.2上述文件可以是文字资料、图纸和数据，并对所提供服务进行详细说明；</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21.3投标人应逐条对招标文件、项目采购需求、合同条款等进行仔细阅读，提出自己提供的服务是否对其做出了实质性的响应。</w:t>
      </w:r>
    </w:p>
    <w:p>
      <w:pPr>
        <w:pStyle w:val="32"/>
        <w:spacing w:line="360" w:lineRule="auto"/>
        <w:ind w:firstLine="480" w:firstLineChars="200"/>
        <w:outlineLvl w:val="1"/>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22、投标文件有效期</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22.1</w:t>
      </w:r>
      <w:r>
        <w:rPr>
          <w:rFonts w:hint="eastAsia" w:hAnsi="宋体" w:cs="宋体"/>
          <w:b/>
          <w:color w:val="000000" w:themeColor="text1"/>
          <w:sz w:val="24"/>
          <w:szCs w:val="24"/>
          <w:highlight w:val="none"/>
          <w14:textFill>
            <w14:solidFill>
              <w14:schemeClr w14:val="tx1"/>
            </w14:solidFill>
          </w14:textFill>
        </w:rPr>
        <w:t>投标文件</w:t>
      </w:r>
      <w:r>
        <w:rPr>
          <w:rFonts w:hint="eastAsia" w:hAnsi="宋体" w:cs="宋体"/>
          <w:color w:val="000000" w:themeColor="text1"/>
          <w:sz w:val="24"/>
          <w:szCs w:val="24"/>
          <w:highlight w:val="none"/>
          <w14:textFill>
            <w14:solidFill>
              <w14:schemeClr w14:val="tx1"/>
            </w14:solidFill>
          </w14:textFill>
        </w:rPr>
        <w:t>有效期为递交投标文件截止之日起90天（日历日）。投标人的投标文件有效期比规定的有效期短的，将被视为非响应而予以拒绝。</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22.2 特殊情况下，在原有效期届满之前，采购人可征得投标人的同意延长其有效期，这种要求与答复均应以书面形式。投标人拒绝延长的，其投标文件失效。同意延长有效期的投标人，既不要求也不允许其修改投标文件。</w:t>
      </w:r>
    </w:p>
    <w:p>
      <w:pPr>
        <w:pStyle w:val="32"/>
        <w:spacing w:line="360" w:lineRule="auto"/>
        <w:ind w:firstLine="480" w:firstLineChars="200"/>
        <w:outlineLvl w:val="1"/>
        <w:rPr>
          <w:rFonts w:hAnsi="宋体" w:cs="宋体"/>
          <w:color w:val="000000" w:themeColor="text1"/>
          <w:sz w:val="24"/>
          <w:szCs w:val="24"/>
          <w:highlight w:val="none"/>
          <w14:textFill>
            <w14:solidFill>
              <w14:schemeClr w14:val="tx1"/>
            </w14:solidFill>
          </w14:textFill>
        </w:rPr>
      </w:pPr>
      <w:bookmarkStart w:id="88" w:name="_Toc243906331"/>
      <w:bookmarkStart w:id="89" w:name="_Toc233274832"/>
      <w:bookmarkStart w:id="90" w:name="_Toc245897292"/>
      <w:bookmarkStart w:id="91" w:name="_Toc243907592"/>
      <w:r>
        <w:rPr>
          <w:rFonts w:hint="eastAsia" w:hAnsi="宋体" w:cs="宋体"/>
          <w:color w:val="000000" w:themeColor="text1"/>
          <w:sz w:val="24"/>
          <w:szCs w:val="24"/>
          <w:highlight w:val="none"/>
          <w14:textFill>
            <w14:solidFill>
              <w14:schemeClr w14:val="tx1"/>
            </w14:solidFill>
          </w14:textFill>
        </w:rPr>
        <w:t>23、投标文件的签署及规定</w:t>
      </w:r>
      <w:bookmarkEnd w:id="88"/>
      <w:bookmarkEnd w:id="89"/>
      <w:bookmarkEnd w:id="90"/>
      <w:bookmarkEnd w:id="91"/>
    </w:p>
    <w:p>
      <w:pPr>
        <w:spacing w:line="360" w:lineRule="auto"/>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23.1投标人应提交本须知第16条规定的</w:t>
      </w:r>
      <w:r>
        <w:rPr>
          <w:rFonts w:hint="eastAsia" w:ascii="宋体" w:hAnsi="宋体" w:cs="宋体"/>
          <w:b/>
          <w:color w:val="000000" w:themeColor="text1"/>
          <w:sz w:val="24"/>
          <w:highlight w:val="none"/>
          <w14:textFill>
            <w14:solidFill>
              <w14:schemeClr w14:val="tx1"/>
            </w14:solidFill>
          </w14:textFill>
        </w:rPr>
        <w:t>书面投标文件一式</w:t>
      </w:r>
      <w:r>
        <w:rPr>
          <w:rFonts w:hint="eastAsia" w:ascii="宋体" w:hAnsi="宋体" w:cs="宋体"/>
          <w:b/>
          <w:color w:val="000000" w:themeColor="text1"/>
          <w:sz w:val="24"/>
          <w:highlight w:val="none"/>
          <w:u w:val="single"/>
          <w:lang w:eastAsia="zh-CN"/>
          <w14:textFill>
            <w14:solidFill>
              <w14:schemeClr w14:val="tx1"/>
            </w14:solidFill>
          </w14:textFill>
        </w:rPr>
        <w:t>陆</w:t>
      </w:r>
      <w:r>
        <w:rPr>
          <w:rFonts w:hint="eastAsia" w:ascii="宋体" w:hAnsi="宋体" w:cs="宋体"/>
          <w:b/>
          <w:color w:val="000000" w:themeColor="text1"/>
          <w:sz w:val="24"/>
          <w:highlight w:val="none"/>
          <w14:textFill>
            <w14:solidFill>
              <w14:schemeClr w14:val="tx1"/>
            </w14:solidFill>
          </w14:textFill>
        </w:rPr>
        <w:t>份</w:t>
      </w:r>
      <w:r>
        <w:rPr>
          <w:rFonts w:hint="eastAsia" w:ascii="宋体" w:hAnsi="宋体" w:cs="宋体"/>
          <w:color w:val="000000" w:themeColor="text1"/>
          <w:sz w:val="24"/>
          <w:highlight w:val="none"/>
          <w14:textFill>
            <w14:solidFill>
              <w14:schemeClr w14:val="tx1"/>
            </w14:solidFill>
          </w14:textFill>
        </w:rPr>
        <w:t>，其中：</w:t>
      </w:r>
      <w:r>
        <w:rPr>
          <w:rFonts w:hint="eastAsia" w:ascii="宋体" w:hAnsi="宋体" w:cs="宋体"/>
          <w:b/>
          <w:color w:val="000000" w:themeColor="text1"/>
          <w:sz w:val="24"/>
          <w:highlight w:val="none"/>
          <w:u w:val="single"/>
          <w14:textFill>
            <w14:solidFill>
              <w14:schemeClr w14:val="tx1"/>
            </w14:solidFill>
          </w14:textFill>
        </w:rPr>
        <w:t>壹份正本</w:t>
      </w:r>
      <w:r>
        <w:rPr>
          <w:rFonts w:hint="eastAsia" w:ascii="宋体" w:hAnsi="宋体" w:cs="宋体"/>
          <w:b/>
          <w:color w:val="000000" w:themeColor="text1"/>
          <w:sz w:val="24"/>
          <w:highlight w:val="none"/>
          <w14:textFill>
            <w14:solidFill>
              <w14:schemeClr w14:val="tx1"/>
            </w14:solidFill>
          </w14:textFill>
        </w:rPr>
        <w:t>和</w:t>
      </w:r>
      <w:r>
        <w:rPr>
          <w:rFonts w:hint="eastAsia" w:ascii="宋体" w:hAnsi="宋体" w:cs="宋体"/>
          <w:b/>
          <w:color w:val="000000" w:themeColor="text1"/>
          <w:sz w:val="24"/>
          <w:highlight w:val="none"/>
          <w:u w:val="single"/>
          <w:lang w:eastAsia="zh-CN"/>
          <w14:textFill>
            <w14:solidFill>
              <w14:schemeClr w14:val="tx1"/>
            </w14:solidFill>
          </w14:textFill>
        </w:rPr>
        <w:t>伍</w:t>
      </w:r>
      <w:r>
        <w:rPr>
          <w:rFonts w:hint="eastAsia" w:ascii="宋体" w:hAnsi="宋体" w:cs="宋体"/>
          <w:b/>
          <w:color w:val="000000" w:themeColor="text1"/>
          <w:sz w:val="24"/>
          <w:highlight w:val="none"/>
          <w:u w:val="single"/>
          <w14:textFill>
            <w14:solidFill>
              <w14:schemeClr w14:val="tx1"/>
            </w14:solidFill>
          </w14:textFill>
        </w:rPr>
        <w:t>份副本</w:t>
      </w:r>
      <w:r>
        <w:rPr>
          <w:rFonts w:hint="eastAsia" w:ascii="宋体" w:hAnsi="宋体" w:cs="宋体"/>
          <w:color w:val="000000" w:themeColor="text1"/>
          <w:sz w:val="24"/>
          <w:highlight w:val="none"/>
          <w14:textFill>
            <w14:solidFill>
              <w14:schemeClr w14:val="tx1"/>
            </w14:solidFill>
          </w14:textFill>
        </w:rPr>
        <w:t>，在每一份投标文件上应明确注明“正本”或“副本”字样，如正、副本之间有差异，以正本为准。</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23.2投标文件正本和副本须打印并由法定代表人或委托代理人签字或盖章。投标文件应加盖投标人的公章。</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23.3 除投标人对错误做必要修改外，投标文件中不许有增删、涂改或改写。若确有修改必须由签署投标文件的委托代理人签字或盖章。</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23.4投标文件副本的上述签名及盖章之处既可由投标人的投标人代表人或其委托代理人签字或盖章，也可通过复印正本将上述签名及盖章复制到副本上。</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23.5 采购人概不接受电报、电传、电话、邮寄以及电子邮件等方式的公开投标。</w:t>
      </w:r>
    </w:p>
    <w:p>
      <w:pPr>
        <w:pStyle w:val="32"/>
        <w:spacing w:line="360" w:lineRule="auto"/>
        <w:ind w:firstLine="482" w:firstLineChars="200"/>
        <w:jc w:val="center"/>
        <w:outlineLvl w:val="1"/>
        <w:rPr>
          <w:rFonts w:hAnsi="宋体" w:cs="宋体"/>
          <w:b/>
          <w:bCs/>
          <w:color w:val="000000" w:themeColor="text1"/>
          <w:sz w:val="24"/>
          <w:szCs w:val="24"/>
          <w:highlight w:val="none"/>
          <w14:textFill>
            <w14:solidFill>
              <w14:schemeClr w14:val="tx1"/>
            </w14:solidFill>
          </w14:textFill>
        </w:rPr>
      </w:pPr>
    </w:p>
    <w:p>
      <w:pPr>
        <w:pStyle w:val="32"/>
        <w:spacing w:line="360" w:lineRule="auto"/>
        <w:ind w:firstLine="482" w:firstLineChars="200"/>
        <w:jc w:val="center"/>
        <w:outlineLvl w:val="1"/>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D  投标文件的递交、修改和撤回</w:t>
      </w:r>
    </w:p>
    <w:p>
      <w:pPr>
        <w:pStyle w:val="32"/>
        <w:spacing w:line="360" w:lineRule="auto"/>
        <w:ind w:firstLine="482" w:firstLineChars="200"/>
        <w:jc w:val="center"/>
        <w:rPr>
          <w:rFonts w:hAnsi="宋体" w:cs="宋体"/>
          <w:b/>
          <w:bCs/>
          <w:color w:val="000000" w:themeColor="text1"/>
          <w:sz w:val="24"/>
          <w:szCs w:val="24"/>
          <w:highlight w:val="none"/>
          <w14:textFill>
            <w14:solidFill>
              <w14:schemeClr w14:val="tx1"/>
            </w14:solidFill>
          </w14:textFill>
        </w:rPr>
      </w:pPr>
    </w:p>
    <w:p>
      <w:pPr>
        <w:spacing w:line="360" w:lineRule="auto"/>
        <w:ind w:firstLine="480" w:firstLineChars="200"/>
        <w:outlineLvl w:val="1"/>
        <w:rPr>
          <w:rFonts w:ascii="宋体" w:hAnsi="宋体" w:cs="宋体"/>
          <w:color w:val="000000" w:themeColor="text1"/>
          <w:sz w:val="24"/>
          <w:highlight w:val="none"/>
          <w14:textFill>
            <w14:solidFill>
              <w14:schemeClr w14:val="tx1"/>
            </w14:solidFill>
          </w14:textFill>
        </w:rPr>
      </w:pPr>
      <w:bookmarkStart w:id="92" w:name="_Toc243907595"/>
      <w:bookmarkStart w:id="93" w:name="_Toc243906334"/>
      <w:bookmarkStart w:id="94" w:name="_Toc233274835"/>
      <w:bookmarkStart w:id="95" w:name="_Toc245897295"/>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、投标文件的密封和标记</w:t>
      </w:r>
      <w:bookmarkEnd w:id="92"/>
      <w:bookmarkEnd w:id="93"/>
      <w:bookmarkEnd w:id="94"/>
      <w:bookmarkEnd w:id="95"/>
    </w:p>
    <w:p>
      <w:pPr>
        <w:spacing w:line="360" w:lineRule="auto"/>
        <w:ind w:firstLine="480"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投标文件均按A4复印纸页面编制、装订。所有投标文件均为明标。</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.2投标人应将投标文件“资格证明文件”“商务文件”“技术文件”分别装订、密封，并在密封处加盖投标人公章。</w:t>
      </w:r>
    </w:p>
    <w:p>
      <w:pPr>
        <w:spacing w:line="360" w:lineRule="auto"/>
        <w:ind w:firstLine="482"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.3投标文件密封袋上均应写明“资格证明文件”“商务文件”“技术文件”，并同时写明“采购人”、“ 项目名称”、“ 招标文件编号”、“ 投标人名称”和“地址”等事项并注明“开启前不准启封”等字样。</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.4未按本要求密封、标记的投标文件，采购人（或招标代理机构）不对后果负责。</w:t>
      </w:r>
    </w:p>
    <w:p>
      <w:pPr>
        <w:pStyle w:val="32"/>
        <w:spacing w:line="360" w:lineRule="auto"/>
        <w:ind w:firstLine="480" w:firstLineChars="200"/>
        <w:outlineLvl w:val="1"/>
        <w:rPr>
          <w:rFonts w:hAnsi="宋体" w:cs="宋体"/>
          <w:color w:val="000000" w:themeColor="text1"/>
          <w:sz w:val="24"/>
          <w:szCs w:val="24"/>
          <w:highlight w:val="none"/>
          <w14:textFill>
            <w14:solidFill>
              <w14:schemeClr w14:val="tx1"/>
            </w14:solidFill>
          </w14:textFill>
        </w:rPr>
      </w:pPr>
      <w:bookmarkStart w:id="96" w:name="_Toc243906335"/>
      <w:bookmarkStart w:id="97" w:name="_Toc243907596"/>
      <w:bookmarkStart w:id="98" w:name="_Toc245897296"/>
      <w:bookmarkStart w:id="99" w:name="_Toc233274836"/>
      <w:r>
        <w:rPr>
          <w:rFonts w:hint="eastAsia" w:hAnsi="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14:textFill>
            <w14:solidFill>
              <w14:schemeClr w14:val="tx1"/>
            </w14:solidFill>
          </w14:textFill>
        </w:rPr>
        <w:t>、递交投标文件截止时间</w:t>
      </w:r>
      <w:bookmarkEnd w:id="96"/>
      <w:bookmarkEnd w:id="97"/>
      <w:bookmarkEnd w:id="98"/>
      <w:bookmarkEnd w:id="99"/>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14:textFill>
            <w14:solidFill>
              <w14:schemeClr w14:val="tx1"/>
            </w14:solidFill>
          </w14:textFill>
        </w:rPr>
        <w:t>.1 所有投标文件都必须按采购人在投标人须知前附表中规定的截止时间之前送达。</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14:textFill>
            <w14:solidFill>
              <w14:schemeClr w14:val="tx1"/>
            </w14:solidFill>
          </w14:textFill>
        </w:rPr>
        <w:t>.2出现因招标文件的修改推迟截止日期时，则按招标代理机构修改通知规定的时间递交投标文件。在此情况下，采购人和招标代理机构与投标人之间受截止期制约的所有权利和义务应延长至新的截止期。</w:t>
      </w:r>
    </w:p>
    <w:p>
      <w:pPr>
        <w:pStyle w:val="32"/>
        <w:spacing w:line="360" w:lineRule="auto"/>
        <w:ind w:firstLine="480" w:firstLineChars="200"/>
        <w:outlineLvl w:val="1"/>
        <w:rPr>
          <w:rFonts w:hAnsi="宋体" w:cs="宋体"/>
          <w:color w:val="000000" w:themeColor="text1"/>
          <w:sz w:val="24"/>
          <w:szCs w:val="24"/>
          <w:highlight w:val="none"/>
          <w14:textFill>
            <w14:solidFill>
              <w14:schemeClr w14:val="tx1"/>
            </w14:solidFill>
          </w14:textFill>
        </w:rPr>
      </w:pPr>
      <w:bookmarkStart w:id="100" w:name="_Toc245897297"/>
      <w:bookmarkStart w:id="101" w:name="_Toc233274837"/>
      <w:bookmarkStart w:id="102" w:name="_Toc243906336"/>
      <w:bookmarkStart w:id="103" w:name="_Toc243907597"/>
      <w:r>
        <w:rPr>
          <w:rFonts w:hint="eastAsia" w:hAnsi="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hAnsi="宋体" w:cs="宋体"/>
          <w:color w:val="000000" w:themeColor="text1"/>
          <w:sz w:val="24"/>
          <w:szCs w:val="24"/>
          <w:highlight w:val="none"/>
          <w14:textFill>
            <w14:solidFill>
              <w14:schemeClr w14:val="tx1"/>
            </w14:solidFill>
          </w14:textFill>
        </w:rPr>
        <w:t>、迟交的投标文件</w:t>
      </w:r>
      <w:bookmarkEnd w:id="100"/>
      <w:bookmarkEnd w:id="101"/>
      <w:bookmarkEnd w:id="102"/>
      <w:bookmarkEnd w:id="103"/>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hAnsi="宋体" w:cs="宋体"/>
          <w:color w:val="000000" w:themeColor="text1"/>
          <w:sz w:val="24"/>
          <w:szCs w:val="24"/>
          <w:highlight w:val="none"/>
          <w14:textFill>
            <w14:solidFill>
              <w14:schemeClr w14:val="tx1"/>
            </w14:solidFill>
          </w14:textFill>
        </w:rPr>
        <w:t>.1 采购人将拒绝并原封退回在其规定的截止时间后送达的投标文件。</w:t>
      </w:r>
    </w:p>
    <w:p>
      <w:pPr>
        <w:pStyle w:val="32"/>
        <w:spacing w:line="360" w:lineRule="auto"/>
        <w:ind w:firstLine="480" w:firstLineChars="200"/>
        <w:outlineLvl w:val="1"/>
        <w:rPr>
          <w:rFonts w:hAnsi="宋体" w:cs="宋体"/>
          <w:color w:val="000000" w:themeColor="text1"/>
          <w:sz w:val="24"/>
          <w:szCs w:val="24"/>
          <w:highlight w:val="none"/>
          <w14:textFill>
            <w14:solidFill>
              <w14:schemeClr w14:val="tx1"/>
            </w14:solidFill>
          </w14:textFill>
        </w:rPr>
      </w:pPr>
      <w:bookmarkStart w:id="104" w:name="_Toc245897298"/>
      <w:bookmarkStart w:id="105" w:name="_Toc243907598"/>
      <w:bookmarkStart w:id="106" w:name="_Toc243906337"/>
      <w:bookmarkStart w:id="107" w:name="_Toc233274838"/>
      <w:r>
        <w:rPr>
          <w:rFonts w:hint="eastAsia" w:hAnsi="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7</w:t>
      </w:r>
      <w:r>
        <w:rPr>
          <w:rFonts w:hint="eastAsia" w:hAnsi="宋体" w:cs="宋体"/>
          <w:color w:val="000000" w:themeColor="text1"/>
          <w:sz w:val="24"/>
          <w:szCs w:val="24"/>
          <w:highlight w:val="none"/>
          <w14:textFill>
            <w14:solidFill>
              <w14:schemeClr w14:val="tx1"/>
            </w14:solidFill>
          </w14:textFill>
        </w:rPr>
        <w:t>、投标文件的修改和撤回</w:t>
      </w:r>
      <w:bookmarkEnd w:id="104"/>
      <w:bookmarkEnd w:id="105"/>
      <w:bookmarkEnd w:id="106"/>
      <w:bookmarkEnd w:id="107"/>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7</w:t>
      </w:r>
      <w:r>
        <w:rPr>
          <w:rFonts w:hint="eastAsia" w:hAnsi="宋体" w:cs="宋体"/>
          <w:color w:val="000000" w:themeColor="text1"/>
          <w:sz w:val="24"/>
          <w:szCs w:val="24"/>
          <w:highlight w:val="none"/>
          <w14:textFill>
            <w14:solidFill>
              <w14:schemeClr w14:val="tx1"/>
            </w14:solidFill>
          </w14:textFill>
        </w:rPr>
        <w:t>.1 投标人在提交投标文件后可在截止时间前对其投标文件进行修改或撤回，但采购人须在截止时间之前收到该修改或撤回的书面通知，该通知须有投标人代表人或经有效授权的委托代理人签字或盖章。</w:t>
      </w:r>
    </w:p>
    <w:p>
      <w:pPr>
        <w:pStyle w:val="32"/>
        <w:spacing w:line="36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7</w:t>
      </w:r>
      <w:r>
        <w:rPr>
          <w:rFonts w:hint="eastAsia" w:hAnsi="宋体" w:cs="宋体"/>
          <w:color w:val="000000" w:themeColor="text1"/>
          <w:sz w:val="24"/>
          <w:szCs w:val="24"/>
          <w:highlight w:val="none"/>
          <w14:textFill>
            <w14:solidFill>
              <w14:schemeClr w14:val="tx1"/>
            </w14:solidFill>
          </w14:textFill>
        </w:rPr>
        <w:t>.2 投标人对投标文件修改的书面材料或撤回的通知应按第2</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hAnsi="宋体" w:cs="宋体"/>
          <w:color w:val="000000" w:themeColor="text1"/>
          <w:sz w:val="24"/>
          <w:szCs w:val="24"/>
          <w:highlight w:val="none"/>
          <w14:textFill>
            <w14:solidFill>
              <w14:schemeClr w14:val="tx1"/>
            </w14:solidFill>
          </w14:textFill>
        </w:rPr>
        <w:t>条和第2</w:t>
      </w:r>
      <w:r>
        <w:rPr>
          <w:rFonts w:hint="eastAsia" w:hAnsi="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14:textFill>
            <w14:solidFill>
              <w14:schemeClr w14:val="tx1"/>
            </w14:solidFill>
          </w14:textFill>
        </w:rPr>
        <w:t>条规定进行编写、密封、标记和递交，并注明“修改投标文件”或“撤回投标文件”字样。</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7</w:t>
      </w:r>
      <w:r>
        <w:rPr>
          <w:rFonts w:hint="eastAsia" w:hAnsi="宋体" w:cs="宋体"/>
          <w:color w:val="000000" w:themeColor="text1"/>
          <w:sz w:val="24"/>
          <w:szCs w:val="24"/>
          <w:highlight w:val="none"/>
          <w14:textFill>
            <w14:solidFill>
              <w14:schemeClr w14:val="tx1"/>
            </w14:solidFill>
          </w14:textFill>
        </w:rPr>
        <w:t>.3截止时间之后，投标人不得对投标文件做任何修改。</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7</w:t>
      </w:r>
      <w:r>
        <w:rPr>
          <w:rFonts w:hint="eastAsia" w:hAnsi="宋体" w:cs="宋体"/>
          <w:color w:val="000000" w:themeColor="text1"/>
          <w:sz w:val="24"/>
          <w:szCs w:val="24"/>
          <w:highlight w:val="none"/>
          <w14:textFill>
            <w14:solidFill>
              <w14:schemeClr w14:val="tx1"/>
            </w14:solidFill>
          </w14:textFill>
        </w:rPr>
        <w:t>.4 投标人不得在截止时间起至投标文件有效期期满前撤回投标文件。</w:t>
      </w:r>
    </w:p>
    <w:p>
      <w:pPr>
        <w:spacing w:line="360" w:lineRule="auto"/>
        <w:ind w:firstLine="480" w:firstLineChars="200"/>
        <w:outlineLvl w:val="1"/>
        <w:rPr>
          <w:rFonts w:ascii="宋体" w:hAnsi="宋体" w:cs="宋体"/>
          <w:color w:val="000000" w:themeColor="text1"/>
          <w:sz w:val="24"/>
          <w:highlight w:val="none"/>
          <w14:textFill>
            <w14:solidFill>
              <w14:schemeClr w14:val="tx1"/>
            </w14:solidFill>
          </w14:textFill>
        </w:rPr>
      </w:pPr>
      <w:bookmarkStart w:id="108" w:name="_Toc245897299"/>
      <w:bookmarkStart w:id="109" w:name="_Toc233274839"/>
      <w:bookmarkStart w:id="110" w:name="_Toc243906338"/>
      <w:bookmarkStart w:id="111" w:name="_Toc243907599"/>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、递交投标文件</w:t>
      </w:r>
      <w:bookmarkEnd w:id="108"/>
      <w:bookmarkEnd w:id="109"/>
      <w:bookmarkEnd w:id="110"/>
      <w:bookmarkEnd w:id="111"/>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.1投标人应按本投标人须知前附表第8项规定的时间及地点递交投标文件。</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lang w:val="en-US" w:eastAsia="zh-CN"/>
          <w14:textFill>
            <w14:solidFill>
              <w14:schemeClr w14:val="tx1"/>
            </w14:solidFill>
          </w14:textFill>
        </w:rPr>
        <w:t>8</w:t>
      </w:r>
      <w:r>
        <w:rPr>
          <w:rFonts w:hint="eastAsia" w:ascii="宋体" w:hAnsi="宋体" w:cs="宋体"/>
          <w:b/>
          <w:color w:val="000000" w:themeColor="text1"/>
          <w:sz w:val="24"/>
          <w:highlight w:val="none"/>
          <w14:textFill>
            <w14:solidFill>
              <w14:schemeClr w14:val="tx1"/>
            </w14:solidFill>
          </w14:textFill>
        </w:rPr>
        <w:t>.2有下列情形之一的，采购人不予接收其投标文件：</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.2.1投标人在递交投标文件截止时间后送达或未送达到指定地点的投标文件；</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.2.2 投标文件未按招标文件要求密封的。</w:t>
      </w:r>
    </w:p>
    <w:p>
      <w:pPr>
        <w:spacing w:line="360" w:lineRule="auto"/>
        <w:ind w:firstLine="482" w:firstLineChars="200"/>
        <w:jc w:val="center"/>
        <w:outlineLvl w:val="1"/>
        <w:rPr>
          <w:rFonts w:ascii="宋体" w:hAnsi="宋体" w:cs="宋体"/>
          <w:b/>
          <w:bCs/>
          <w:color w:val="000000" w:themeColor="text1"/>
          <w:sz w:val="24"/>
          <w:highlight w:val="none"/>
          <w14:textFill>
            <w14:solidFill>
              <w14:schemeClr w14:val="tx1"/>
            </w14:solidFill>
          </w14:textFill>
        </w:rPr>
      </w:pPr>
      <w:bookmarkStart w:id="112" w:name="_Toc243906339"/>
      <w:bookmarkStart w:id="113" w:name="_Toc233274840"/>
      <w:bookmarkStart w:id="114" w:name="_Toc246216209"/>
      <w:bookmarkStart w:id="115" w:name="_Toc243907600"/>
    </w:p>
    <w:p>
      <w:pPr>
        <w:spacing w:line="360" w:lineRule="auto"/>
        <w:ind w:firstLine="482" w:firstLineChars="200"/>
        <w:jc w:val="center"/>
        <w:outlineLvl w:val="1"/>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E  开标、评标、</w:t>
      </w:r>
      <w:bookmarkEnd w:id="112"/>
      <w:bookmarkEnd w:id="113"/>
      <w:bookmarkEnd w:id="114"/>
      <w:bookmarkEnd w:id="115"/>
      <w:r>
        <w:rPr>
          <w:rFonts w:hint="eastAsia" w:ascii="宋体" w:hAnsi="宋体" w:cs="宋体"/>
          <w:b/>
          <w:bCs/>
          <w:color w:val="000000" w:themeColor="text1"/>
          <w:sz w:val="24"/>
          <w:highlight w:val="none"/>
          <w14:textFill>
            <w14:solidFill>
              <w14:schemeClr w14:val="tx1"/>
            </w14:solidFill>
          </w14:textFill>
        </w:rPr>
        <w:t>确定</w:t>
      </w:r>
      <w:r>
        <w:rPr>
          <w:rFonts w:hint="eastAsia" w:ascii="宋体" w:hAnsi="宋体" w:cs="宋体"/>
          <w:b/>
          <w:bCs/>
          <w:color w:val="000000" w:themeColor="text1"/>
          <w:sz w:val="24"/>
          <w:highlight w:val="none"/>
          <w:lang w:eastAsia="zh-CN"/>
          <w14:textFill>
            <w14:solidFill>
              <w14:schemeClr w14:val="tx1"/>
            </w14:solidFill>
          </w14:textFill>
        </w:rPr>
        <w:t>中标</w:t>
      </w:r>
      <w:r>
        <w:rPr>
          <w:rFonts w:hint="eastAsia" w:ascii="宋体" w:hAnsi="宋体" w:cs="宋体"/>
          <w:b/>
          <w:bCs/>
          <w:color w:val="000000" w:themeColor="text1"/>
          <w:sz w:val="24"/>
          <w:highlight w:val="none"/>
          <w14:textFill>
            <w14:solidFill>
              <w14:schemeClr w14:val="tx1"/>
            </w14:solidFill>
          </w14:textFill>
        </w:rPr>
        <w:t>单位</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outlineLvl w:val="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39</w:t>
      </w:r>
      <w:r>
        <w:rPr>
          <w:rFonts w:hint="eastAsia" w:ascii="宋体" w:hAnsi="宋体" w:cs="宋体"/>
          <w:color w:val="000000" w:themeColor="text1"/>
          <w:sz w:val="24"/>
          <w:highlight w:val="none"/>
          <w14:textFill>
            <w14:solidFill>
              <w14:schemeClr w14:val="tx1"/>
            </w14:solidFill>
          </w14:textFill>
        </w:rPr>
        <w:t>开标会议</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29</w:t>
      </w:r>
      <w:r>
        <w:rPr>
          <w:rFonts w:hint="eastAsia" w:ascii="宋体" w:hAnsi="宋体" w:cs="宋体"/>
          <w:color w:val="000000" w:themeColor="text1"/>
          <w:sz w:val="24"/>
          <w:highlight w:val="none"/>
          <w14:textFill>
            <w14:solidFill>
              <w14:schemeClr w14:val="tx1"/>
            </w14:solidFill>
          </w14:textFill>
        </w:rPr>
        <w:t>.1采购人在本投标人须知前附表第9项规定的时间和地点组织开标会议。</w:t>
      </w:r>
    </w:p>
    <w:p>
      <w:pPr>
        <w:spacing w:line="360" w:lineRule="auto"/>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29</w:t>
      </w:r>
      <w:r>
        <w:rPr>
          <w:rFonts w:hint="eastAsia" w:ascii="宋体" w:hAnsi="宋体" w:cs="宋体"/>
          <w:color w:val="000000" w:themeColor="text1"/>
          <w:sz w:val="24"/>
          <w:highlight w:val="none"/>
          <w14:textFill>
            <w14:solidFill>
              <w14:schemeClr w14:val="tx1"/>
            </w14:solidFill>
          </w14:textFill>
        </w:rPr>
        <w:t>.2各投标人法定代表人或其授权代表应准时参加，开标时</w:t>
      </w:r>
      <w:r>
        <w:rPr>
          <w:rFonts w:hint="eastAsia" w:ascii="宋体" w:hAnsi="宋体" w:cs="宋体"/>
          <w:b/>
          <w:color w:val="000000" w:themeColor="text1"/>
          <w:sz w:val="24"/>
          <w:highlight w:val="none"/>
          <w14:textFill>
            <w14:solidFill>
              <w14:schemeClr w14:val="tx1"/>
            </w14:solidFill>
          </w14:textFill>
        </w:rPr>
        <w:t>参加会议的代表应持有投标人法定代表人授权委托书及委托代理人身份证原件</w:t>
      </w:r>
      <w:r>
        <w:rPr>
          <w:rFonts w:hint="eastAsia" w:ascii="宋体" w:hAnsi="宋体" w:cs="宋体"/>
          <w:color w:val="000000" w:themeColor="text1"/>
          <w:sz w:val="24"/>
          <w:highlight w:val="none"/>
          <w14:textFill>
            <w14:solidFill>
              <w14:schemeClr w14:val="tx1"/>
            </w14:solidFill>
          </w14:textFill>
        </w:rPr>
        <w:t>。投标文件中按要求提供法定代表人授权书。招标代理机构将核验出席开标活动现场的各投标人法定代表人或其授权代表及相关单位人员身份，并组织其分别登记、签到，无关人员不得进入现场。投标人如不派代表参加开标会议的，事后不得对采购相关人员、开标过程和开标结果提出异议</w:t>
      </w:r>
      <w:r>
        <w:rPr>
          <w:rFonts w:hint="eastAsia" w:ascii="宋体" w:hAnsi="宋体" w:cs="宋体"/>
          <w:b/>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29</w:t>
      </w:r>
      <w:r>
        <w:rPr>
          <w:rFonts w:hint="eastAsia" w:ascii="宋体" w:hAnsi="宋体" w:cs="宋体"/>
          <w:bCs/>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招标代理机构接收投标文件并予以登记，各投标人法定代表人或其授权代表对投标文件的递交情况进行签字确认。</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29</w:t>
      </w:r>
      <w:r>
        <w:rPr>
          <w:rFonts w:hint="eastAsia" w:ascii="宋体" w:hAnsi="宋体" w:cs="宋体"/>
          <w:color w:val="000000" w:themeColor="text1"/>
          <w:sz w:val="24"/>
          <w:highlight w:val="none"/>
          <w14:textFill>
            <w14:solidFill>
              <w14:schemeClr w14:val="tx1"/>
            </w14:solidFill>
          </w14:textFill>
        </w:rPr>
        <w:t>.4开标会议由招标代理机构组织并主持。开标时，应当由投标人或者其推选的代表检查投标文件的密封情况，也可以由招标人委托的公证机构检查并公证；经确认无误后，由招标代理机构工作人员当众拆封，按投标人提交投标文件的登记顺序当众拆封、清点投标文件（包括正本、副本）数量，各投标人法定代表人或其授权代表等候招标代理机构拆封商务文件，由招标代理机构工作人员宣读投标人名称、投标价格和招标文件规定的需要宣布的其他内容。</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29</w:t>
      </w:r>
      <w:r>
        <w:rPr>
          <w:rFonts w:hint="eastAsia" w:ascii="宋体" w:hAnsi="宋体" w:cs="宋体"/>
          <w:b/>
          <w:color w:val="000000" w:themeColor="text1"/>
          <w:sz w:val="24"/>
          <w:highlight w:val="none"/>
          <w14:textFill>
            <w14:solidFill>
              <w14:schemeClr w14:val="tx1"/>
            </w14:solidFill>
          </w14:textFill>
        </w:rPr>
        <w:t>.5开标结束后，采购人、招标代理机构应当依法对投标人的资格进行审查。投标人未按照招标文件要求提供其相应的有效资格证明材料的，视为投标人不具备招标文件中规定的资格要求，其投标无效，不得进入评标程序。</w:t>
      </w:r>
    </w:p>
    <w:p>
      <w:pPr>
        <w:spacing w:line="360" w:lineRule="auto"/>
        <w:ind w:firstLine="480" w:firstLineChars="200"/>
        <w:outlineLvl w:val="1"/>
        <w:rPr>
          <w:rFonts w:ascii="宋体" w:hAnsi="宋体" w:cs="宋体"/>
          <w:color w:val="000000" w:themeColor="text1"/>
          <w:sz w:val="24"/>
          <w:highlight w:val="none"/>
          <w14:textFill>
            <w14:solidFill>
              <w14:schemeClr w14:val="tx1"/>
            </w14:solidFill>
          </w14:textFill>
        </w:rPr>
      </w:pPr>
      <w:bookmarkStart w:id="116" w:name="_Toc243906341"/>
      <w:bookmarkStart w:id="117" w:name="_Toc245897302"/>
      <w:bookmarkStart w:id="118" w:name="_Toc233274842"/>
      <w:bookmarkStart w:id="119" w:name="_Toc243907602"/>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、评标委员会</w:t>
      </w:r>
      <w:bookmarkEnd w:id="116"/>
      <w:bookmarkEnd w:id="117"/>
      <w:bookmarkEnd w:id="118"/>
      <w:bookmarkEnd w:id="119"/>
    </w:p>
    <w:p>
      <w:pPr>
        <w:widowControl/>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1评标委员会成员组成：按照《中华人民共和国政府采购法》、《中华人民共和国政府采购法实施条例》、《政府采购货物和服务招标投标管理办法》及相关法律、法规规定组建，由采购人代表和评审专家组成。评标委员会将负责对投标人提交的投标文件进行公开、评审，确保公开、评审过程公正、合法、保密，并向采购人推荐</w:t>
      </w:r>
      <w:r>
        <w:rPr>
          <w:rFonts w:hint="eastAsia" w:ascii="宋体" w:hAnsi="宋体" w:cs="宋体"/>
          <w:color w:val="000000" w:themeColor="text1"/>
          <w:sz w:val="24"/>
          <w:highlight w:val="none"/>
          <w:lang w:eastAsia="zh-CN"/>
          <w14:textFill>
            <w14:solidFill>
              <w14:schemeClr w14:val="tx1"/>
            </w14:solidFill>
          </w14:textFill>
        </w:rPr>
        <w:t>中标</w:t>
      </w:r>
      <w:r>
        <w:rPr>
          <w:rFonts w:hint="eastAsia" w:ascii="宋体" w:hAnsi="宋体" w:cs="宋体"/>
          <w:color w:val="000000" w:themeColor="text1"/>
          <w:sz w:val="24"/>
          <w:highlight w:val="none"/>
          <w14:textFill>
            <w14:solidFill>
              <w14:schemeClr w14:val="tx1"/>
            </w14:solidFill>
          </w14:textFill>
        </w:rPr>
        <w:t>单位。</w:t>
      </w:r>
    </w:p>
    <w:p>
      <w:pPr>
        <w:spacing w:line="360" w:lineRule="auto"/>
        <w:ind w:firstLine="482" w:firstLineChars="200"/>
        <w:outlineLvl w:val="1"/>
        <w:rPr>
          <w:rFonts w:ascii="宋体" w:hAnsi="宋体" w:cs="宋体"/>
          <w:color w:val="000000" w:themeColor="text1"/>
          <w:sz w:val="24"/>
          <w:highlight w:val="none"/>
          <w14:textFill>
            <w14:solidFill>
              <w14:schemeClr w14:val="tx1"/>
            </w14:solidFill>
          </w14:textFill>
        </w:rPr>
      </w:pPr>
      <w:bookmarkStart w:id="120" w:name="_Toc245897306"/>
      <w:bookmarkStart w:id="121" w:name="_Toc233274845"/>
      <w:bookmarkStart w:id="122" w:name="_Toc243906346"/>
      <w:bookmarkStart w:id="123" w:name="_Toc243907607"/>
      <w:bookmarkStart w:id="124" w:name="_Toc243907605"/>
      <w:bookmarkStart w:id="125" w:name="_Toc245897304"/>
      <w:bookmarkStart w:id="126" w:name="_Toc243906344"/>
      <w:bookmarkStart w:id="127" w:name="_Toc233274843"/>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、重大偏离</w:t>
      </w:r>
      <w:bookmarkEnd w:id="120"/>
      <w:bookmarkEnd w:id="121"/>
      <w:bookmarkEnd w:id="122"/>
      <w:bookmarkEnd w:id="123"/>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28" w:name="_Toc233274846"/>
      <w:bookmarkStart w:id="129" w:name="_Toc243907608"/>
      <w:bookmarkStart w:id="130" w:name="_Toc243906347"/>
      <w:bookmarkStart w:id="131" w:name="_Toc245897307"/>
      <w:r>
        <w:rPr>
          <w:rFonts w:hint="eastAsia" w:ascii="宋体" w:hAnsi="宋体" w:cs="宋体"/>
          <w:b/>
          <w:color w:val="000000" w:themeColor="text1"/>
          <w:sz w:val="24"/>
          <w:highlight w:val="none"/>
          <w14:textFill>
            <w14:solidFill>
              <w14:schemeClr w14:val="tx1"/>
            </w14:solidFill>
          </w14:textFill>
        </w:rPr>
        <w:t>重大偏离是指实质上影响合同的招标范围、质量和性能、</w:t>
      </w:r>
      <w:r>
        <w:rPr>
          <w:rFonts w:hint="eastAsia" w:ascii="宋体" w:hAnsi="宋体" w:cs="宋体"/>
          <w:b/>
          <w:color w:val="000000" w:themeColor="text1"/>
          <w:sz w:val="24"/>
          <w:highlight w:val="none"/>
          <w:lang w:eastAsia="zh-CN"/>
          <w14:textFill>
            <w14:solidFill>
              <w14:schemeClr w14:val="tx1"/>
            </w14:solidFill>
          </w14:textFill>
        </w:rPr>
        <w:t>服务期限</w:t>
      </w:r>
      <w:r>
        <w:rPr>
          <w:rFonts w:hint="eastAsia" w:ascii="宋体" w:hAnsi="宋体" w:cs="宋体"/>
          <w:b/>
          <w:color w:val="000000" w:themeColor="text1"/>
          <w:sz w:val="24"/>
          <w:highlight w:val="none"/>
          <w14:textFill>
            <w14:solidFill>
              <w14:schemeClr w14:val="tx1"/>
            </w14:solidFill>
          </w14:textFill>
        </w:rPr>
        <w:t>等，或者实质上不满足招标文件的要求，而且限制了采购人的权力或减轻了投标人的义务。纠正或承认这些偏离将会对其他实质上投标要求的投标人合理的竞争地位产生不公正的影响。</w:t>
      </w:r>
    </w:p>
    <w:p>
      <w:pPr>
        <w:spacing w:line="360" w:lineRule="auto"/>
        <w:ind w:firstLine="482"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w:t>
      </w:r>
      <w:bookmarkEnd w:id="128"/>
      <w:bookmarkEnd w:id="129"/>
      <w:bookmarkEnd w:id="130"/>
      <w:bookmarkEnd w:id="131"/>
      <w:r>
        <w:rPr>
          <w:rFonts w:hint="eastAsia" w:ascii="宋体" w:hAnsi="宋体" w:cs="宋体"/>
          <w:b/>
          <w:color w:val="000000" w:themeColor="text1"/>
          <w:sz w:val="24"/>
          <w:highlight w:val="none"/>
          <w14:textFill>
            <w14:solidFill>
              <w14:schemeClr w14:val="tx1"/>
            </w14:solidFill>
          </w14:textFill>
        </w:rPr>
        <w:t>废标</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在招标采购中，出现下列情形之一的，应予废标：</w:t>
      </w:r>
    </w:p>
    <w:p>
      <w:pPr>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32.1</w:t>
      </w:r>
      <w:r>
        <w:rPr>
          <w:rFonts w:hint="eastAsia" w:ascii="宋体" w:hAnsi="宋体" w:cs="宋体"/>
          <w:b/>
          <w:color w:val="000000" w:themeColor="text1"/>
          <w:sz w:val="24"/>
          <w:highlight w:val="none"/>
          <w:lang w:eastAsia="zh-CN"/>
          <w14:textFill>
            <w14:solidFill>
              <w14:schemeClr w14:val="tx1"/>
            </w14:solidFill>
          </w14:textFill>
        </w:rPr>
        <w:t>投标人</w:t>
      </w:r>
      <w:r>
        <w:rPr>
          <w:rFonts w:hint="eastAsia" w:ascii="宋体" w:hAnsi="宋体" w:cs="宋体"/>
          <w:b/>
          <w:color w:val="000000" w:themeColor="text1"/>
          <w:sz w:val="24"/>
          <w:highlight w:val="none"/>
          <w14:textFill>
            <w14:solidFill>
              <w14:schemeClr w14:val="tx1"/>
            </w14:solidFill>
          </w14:textFill>
        </w:rPr>
        <w:t>的</w:t>
      </w:r>
      <w:r>
        <w:rPr>
          <w:rFonts w:hint="eastAsia" w:ascii="宋体" w:hAnsi="宋体" w:cs="宋体"/>
          <w:b/>
          <w:color w:val="000000" w:themeColor="text1"/>
          <w:sz w:val="24"/>
          <w:highlight w:val="none"/>
          <w:lang w:eastAsia="zh-CN"/>
          <w14:textFill>
            <w14:solidFill>
              <w14:schemeClr w14:val="tx1"/>
            </w14:solidFill>
          </w14:textFill>
        </w:rPr>
        <w:t>投标总报价</w:t>
      </w:r>
      <w:r>
        <w:rPr>
          <w:rFonts w:hint="eastAsia" w:ascii="宋体" w:hAnsi="宋体" w:cs="宋体"/>
          <w:b/>
          <w:color w:val="000000" w:themeColor="text1"/>
          <w:sz w:val="24"/>
          <w:highlight w:val="none"/>
          <w14:textFill>
            <w14:solidFill>
              <w14:schemeClr w14:val="tx1"/>
            </w14:solidFill>
          </w14:textFill>
        </w:rPr>
        <w:t>高于公布的项目采购预算；</w:t>
      </w:r>
    </w:p>
    <w:p>
      <w:pPr>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符合专业条件的投标人或者对招标文件作实质响应的投标人不足三家的；</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出现影响采购公正的违法、违规行为的；</w:t>
      </w:r>
    </w:p>
    <w:p>
      <w:pPr>
        <w:pageBreakBefore w:val="0"/>
        <w:kinsoku/>
        <w:topLinePunct w:val="0"/>
        <w:bidi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投标人的报价均超过了采购预算，采购人不能支付的</w:t>
      </w:r>
      <w:r>
        <w:rPr>
          <w:rFonts w:hint="eastAsia" w:ascii="宋体" w:hAnsi="宋体" w:cs="宋体"/>
          <w:b/>
          <w:color w:val="000000" w:themeColor="text1"/>
          <w:sz w:val="24"/>
          <w:highlight w:val="none"/>
          <w14:textFill>
            <w14:solidFill>
              <w14:schemeClr w14:val="tx1"/>
            </w14:solidFill>
          </w14:textFill>
        </w:rPr>
        <w:t>；</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因重大变故，采购任务取消的；</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6</w:t>
      </w:r>
      <w:r>
        <w:rPr>
          <w:rFonts w:hint="eastAsia" w:ascii="宋体" w:hAnsi="宋体" w:cs="宋体"/>
          <w:b/>
          <w:color w:val="000000" w:themeColor="text1"/>
          <w:sz w:val="24"/>
          <w:highlight w:val="none"/>
          <w14:textFill>
            <w14:solidFill>
              <w14:schemeClr w14:val="tx1"/>
            </w14:solidFill>
          </w14:textFill>
        </w:rPr>
        <w:t>《中华人民共和国政府采购法》及相关法律法规及招标文件明确规定废标的其他情形。</w:t>
      </w:r>
      <w:bookmarkStart w:id="132" w:name="_Toc233274847"/>
      <w:bookmarkStart w:id="133" w:name="_Toc245897308"/>
      <w:bookmarkStart w:id="134" w:name="_Toc243906348"/>
      <w:bookmarkStart w:id="135" w:name="_Toc243907609"/>
    </w:p>
    <w:p>
      <w:pPr>
        <w:spacing w:line="360" w:lineRule="auto"/>
        <w:ind w:firstLine="482"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、投标人串通投标</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有下列情形之一的，视为投标人串通投标，其投标无效：</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.1不同投标人的投标文件由同一单位或者个人编制；</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.2不同投标人委托同一单位或者个人办理投标事宜；</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.3不同投标人的投标文件载明的项目管理成员或者联系人员为同一人；</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.4不同投标人的投标文件异常一致或者投标报价呈规律性差异；</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.5不同投标人的投标文件相互混装。</w:t>
      </w:r>
    </w:p>
    <w:p>
      <w:pPr>
        <w:spacing w:line="360" w:lineRule="auto"/>
        <w:ind w:firstLine="482"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、投标无效：投标人存在下列情况之一的，其投标无效:</w:t>
      </w:r>
    </w:p>
    <w:p>
      <w:pPr>
        <w:spacing w:line="360" w:lineRule="auto"/>
        <w:ind w:firstLine="482"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投标文件未按招标文件要求签署、盖章的；</w:t>
      </w:r>
    </w:p>
    <w:p>
      <w:pPr>
        <w:spacing w:line="360" w:lineRule="auto"/>
        <w:ind w:firstLine="482"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不具备招标文件中规定的资格要求的；</w:t>
      </w:r>
    </w:p>
    <w:p>
      <w:pPr>
        <w:spacing w:line="360" w:lineRule="auto"/>
        <w:ind w:firstLine="482"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报价超过招标文件中规定的预算金额或者最高限价的；</w:t>
      </w:r>
    </w:p>
    <w:p>
      <w:pPr>
        <w:spacing w:line="360" w:lineRule="auto"/>
        <w:ind w:firstLine="482" w:firstLineChars="200"/>
        <w:outlineLvl w:val="1"/>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投标文件含有采购人不能接受的附加条件的</w:t>
      </w:r>
      <w:r>
        <w:rPr>
          <w:rFonts w:hint="eastAsia" w:ascii="宋体" w:hAnsi="宋体" w:cs="宋体"/>
          <w:b/>
          <w:color w:val="000000" w:themeColor="text1"/>
          <w:sz w:val="24"/>
          <w:highlight w:val="none"/>
          <w:lang w:eastAsia="zh-CN"/>
          <w14:textFill>
            <w14:solidFill>
              <w14:schemeClr w14:val="tx1"/>
            </w14:solidFill>
          </w14:textFill>
        </w:rPr>
        <w:t>；</w:t>
      </w:r>
    </w:p>
    <w:p>
      <w:pPr>
        <w:spacing w:line="360" w:lineRule="auto"/>
        <w:ind w:firstLine="482"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《中华人民共和国政府采购法》、《中华人民共和国政府采购法实施条例》、《政府采购货物和服务招标投标管理办法》及相关法律法规及招标文件明确规定可以作无效投标文件的其他情形。</w:t>
      </w:r>
    </w:p>
    <w:p>
      <w:pPr>
        <w:spacing w:line="360" w:lineRule="auto"/>
        <w:ind w:firstLine="482"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w:t>
      </w:r>
      <w:bookmarkEnd w:id="132"/>
      <w:bookmarkEnd w:id="133"/>
      <w:bookmarkEnd w:id="134"/>
      <w:bookmarkEnd w:id="135"/>
      <w:r>
        <w:rPr>
          <w:rFonts w:hint="eastAsia" w:ascii="宋体" w:hAnsi="宋体" w:cs="宋体"/>
          <w:b/>
          <w:color w:val="000000" w:themeColor="text1"/>
          <w:sz w:val="24"/>
          <w:highlight w:val="none"/>
          <w14:textFill>
            <w14:solidFill>
              <w14:schemeClr w14:val="tx1"/>
            </w14:solidFill>
          </w14:textFill>
        </w:rPr>
        <w:t>评标方法</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投标人，拒绝参与政府采购活动，同时对信用信息查询记录和证据进行打印存档。</w:t>
      </w:r>
    </w:p>
    <w:bookmarkEnd w:id="124"/>
    <w:bookmarkEnd w:id="125"/>
    <w:bookmarkEnd w:id="126"/>
    <w:bookmarkEnd w:id="127"/>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.2本项目评审采用综合评分法，并严格按照招标文件的要求和条件进行。</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2.1投标文件符合性审查：由评标委员会评委对符合资格的各投标人投标文件进行符合性审查。符合性审查是从投标文件的有效性、完整性和对招标文件的响应程度进行审查。未通过符合性审查的投标人其投标文件将按照无效投标处理。</w:t>
      </w:r>
    </w:p>
    <w:p>
      <w:pPr>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.2.1.1澄清有关问题。对投标文件中含义不明确、同类问题表述不一致或者有明显文</w:t>
      </w:r>
      <w:r>
        <w:rPr>
          <w:rFonts w:hint="eastAsia" w:ascii="宋体" w:hAnsi="宋体" w:eastAsia="宋体" w:cs="宋体"/>
          <w:b/>
          <w:color w:val="000000" w:themeColor="text1"/>
          <w:sz w:val="24"/>
          <w:highlight w:val="none"/>
          <w14:textFill>
            <w14:solidFill>
              <w14:schemeClr w14:val="tx1"/>
            </w14:solidFill>
          </w14:textFill>
        </w:rPr>
        <w:t>字和计算错误的内容，评标委员会可以书面形式要求投标人作出必要的澄清、说明或者纠正。</w:t>
      </w:r>
    </w:p>
    <w:p>
      <w:pPr>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eastAsia="宋体" w:cs="宋体"/>
          <w:b/>
          <w:color w:val="000000" w:themeColor="text1"/>
          <w:sz w:val="24"/>
          <w:highlight w:val="none"/>
          <w14:textFill>
            <w14:solidFill>
              <w14:schemeClr w14:val="tx1"/>
            </w14:solidFill>
          </w14:textFill>
        </w:rPr>
        <w:t>.2.1.2比较与评价。评标委员会应当按照招标文件中规定的评标方法和标准，对符合性审查合格的投标文件进行商务和技术评估，综合比较与评价。</w:t>
      </w:r>
    </w:p>
    <w:p>
      <w:pPr>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eastAsia="宋体" w:cs="宋体"/>
          <w:b/>
          <w:color w:val="000000" w:themeColor="text1"/>
          <w:sz w:val="24"/>
          <w:highlight w:val="none"/>
          <w14:textFill>
            <w14:solidFill>
              <w14:schemeClr w14:val="tx1"/>
            </w14:solidFill>
          </w14:textFill>
        </w:rPr>
        <w:t>.3综合评分法是指投标文件满足招标文件全部实质性要求，且按照评审因素的量化指标评审得分最高的投标人为中标候选人的评标方法。</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.4评标分值：总分值为100分，其中商务报价价格分值为</w:t>
      </w:r>
      <w:r>
        <w:rPr>
          <w:rFonts w:hint="eastAsia" w:ascii="宋体" w:hAnsi="宋体" w:cs="宋体"/>
          <w:b/>
          <w:color w:val="000000" w:themeColor="text1"/>
          <w:sz w:val="24"/>
          <w:highlight w:val="none"/>
          <w:lang w:val="en-US" w:eastAsia="zh-CN"/>
          <w14:textFill>
            <w14:solidFill>
              <w14:schemeClr w14:val="tx1"/>
            </w14:solidFill>
          </w14:textFill>
        </w:rPr>
        <w:t>10</w:t>
      </w:r>
      <w:r>
        <w:rPr>
          <w:rFonts w:hint="eastAsia" w:ascii="宋体" w:hAnsi="宋体" w:cs="宋体"/>
          <w:b/>
          <w:color w:val="000000" w:themeColor="text1"/>
          <w:sz w:val="24"/>
          <w:highlight w:val="none"/>
          <w14:textFill>
            <w14:solidFill>
              <w14:schemeClr w14:val="tx1"/>
            </w14:solidFill>
          </w14:textFill>
        </w:rPr>
        <w:t>分，其余部分分值为</w:t>
      </w:r>
      <w:r>
        <w:rPr>
          <w:rFonts w:hint="eastAsia" w:ascii="宋体" w:hAnsi="宋体" w:cs="宋体"/>
          <w:b/>
          <w:color w:val="000000" w:themeColor="text1"/>
          <w:sz w:val="24"/>
          <w:highlight w:val="none"/>
          <w:lang w:val="en-US" w:eastAsia="zh-CN"/>
          <w14:textFill>
            <w14:solidFill>
              <w14:schemeClr w14:val="tx1"/>
            </w14:solidFill>
          </w14:textFill>
        </w:rPr>
        <w:t>90</w:t>
      </w:r>
      <w:r>
        <w:rPr>
          <w:rFonts w:hint="eastAsia" w:ascii="宋体" w:hAnsi="宋体" w:cs="宋体"/>
          <w:b/>
          <w:color w:val="000000" w:themeColor="text1"/>
          <w:sz w:val="24"/>
          <w:highlight w:val="none"/>
          <w14:textFill>
            <w14:solidFill>
              <w14:schemeClr w14:val="tx1"/>
            </w14:solidFill>
          </w14:textFill>
        </w:rPr>
        <w:t>分，具体评标方法详本招标文件第六章“评标方法（综合评分法）”。</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.5商务报价错误的修正</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.5.1如果发现商务报价存在计算或表达上错误，则按下列原则进行修正：</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（1）开标时，投标文件中开标一览表(报价表)内容与投标文件中相应内容不一致的，以开标一览表(报价表)为准。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36" w:name="_Toc224624628"/>
      <w:bookmarkStart w:id="137" w:name="_Toc224623451"/>
      <w:bookmarkStart w:id="138" w:name="_Toc224624767"/>
      <w:bookmarkStart w:id="139" w:name="_Toc224620071"/>
      <w:bookmarkStart w:id="140" w:name="_Toc224620150"/>
      <w:bookmarkStart w:id="141" w:name="_Toc243906345"/>
      <w:bookmarkStart w:id="142" w:name="_Toc224623557"/>
      <w:bookmarkStart w:id="143" w:name="_Toc224622928"/>
      <w:bookmarkStart w:id="144" w:name="_Toc245897305"/>
      <w:bookmarkStart w:id="145" w:name="_Toc224623663"/>
      <w:bookmarkStart w:id="146" w:name="_Toc224624488"/>
      <w:bookmarkStart w:id="147" w:name="_Toc243907606"/>
      <w:r>
        <w:rPr>
          <w:rFonts w:hint="eastAsia" w:ascii="宋体" w:hAnsi="宋体" w:cs="宋体"/>
          <w:color w:val="000000" w:themeColor="text1"/>
          <w:sz w:val="24"/>
          <w:highlight w:val="none"/>
          <w14:textFill>
            <w14:solidFill>
              <w14:schemeClr w14:val="tx1"/>
            </w14:solidFill>
          </w14:textFill>
        </w:rPr>
        <w:t>（2）投标文件的大写金额和小写金额不一致的，以大写金额为准；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总价金额与按单价汇总金额不一致的，以单价金额计算结果为准；单价金额小数点或者百分比有明显错位的，以开标一览表的总价为准，并修改单价；对不同文字文本投标文件的解释发生异议的，以中文文本为准。</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w:t>
      </w:r>
      <w:r>
        <w:rPr>
          <w:rFonts w:hint="eastAsia" w:ascii="宋体" w:hAnsi="宋体" w:cs="宋体"/>
          <w:b/>
          <w:bCs/>
          <w:color w:val="000000" w:themeColor="text1"/>
          <w:sz w:val="24"/>
          <w:highlight w:val="none"/>
          <w:lang w:val="en-US" w:eastAsia="zh-CN"/>
          <w14:textFill>
            <w14:solidFill>
              <w14:schemeClr w14:val="tx1"/>
            </w14:solidFill>
          </w14:textFill>
        </w:rPr>
        <w:t>5</w:t>
      </w:r>
      <w:r>
        <w:rPr>
          <w:rFonts w:hint="eastAsia" w:ascii="宋体" w:hAnsi="宋体" w:cs="宋体"/>
          <w:b/>
          <w:bCs/>
          <w:color w:val="000000" w:themeColor="text1"/>
          <w:sz w:val="24"/>
          <w:highlight w:val="none"/>
          <w14:textFill>
            <w14:solidFill>
              <w14:schemeClr w14:val="tx1"/>
            </w14:solidFill>
          </w14:textFill>
        </w:rPr>
        <w:t>.5.2同时出现两种以上不一致的，按照前款规定的顺序修正。修正后的报价按照财政部公布第87号令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bookmarkEnd w:id="136"/>
    <w:bookmarkEnd w:id="137"/>
    <w:bookmarkEnd w:id="138"/>
    <w:bookmarkEnd w:id="139"/>
    <w:bookmarkEnd w:id="140"/>
    <w:bookmarkEnd w:id="141"/>
    <w:bookmarkEnd w:id="142"/>
    <w:bookmarkEnd w:id="143"/>
    <w:bookmarkEnd w:id="144"/>
    <w:bookmarkEnd w:id="145"/>
    <w:bookmarkEnd w:id="146"/>
    <w:bookmarkEnd w:id="147"/>
    <w:p>
      <w:pPr>
        <w:spacing w:line="360" w:lineRule="auto"/>
        <w:ind w:firstLine="482"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rPr>
          <w:rFonts w:hint="eastAsia" w:ascii="黑体" w:hAnsi="Times New Roman" w:eastAsia="黑体" w:cs="Times New Roman"/>
          <w:b/>
          <w:color w:val="000000" w:themeColor="text1"/>
          <w:sz w:val="24"/>
          <w:highlight w:val="none"/>
          <w14:textFill>
            <w14:solidFill>
              <w14:schemeClr w14:val="tx1"/>
            </w14:solidFill>
          </w14:textFill>
        </w:rPr>
      </w:pPr>
      <w:bookmarkStart w:id="148" w:name="_Toc243907610"/>
      <w:bookmarkStart w:id="149" w:name="_Toc243906349"/>
      <w:bookmarkStart w:id="150" w:name="_Toc233274848"/>
      <w:bookmarkStart w:id="151" w:name="_Toc245897309"/>
      <w:r>
        <w:rPr>
          <w:rFonts w:hint="eastAsia" w:ascii="黑体" w:hAnsi="Times New Roman" w:eastAsia="黑体" w:cs="Times New Roman"/>
          <w:b/>
          <w:color w:val="000000" w:themeColor="text1"/>
          <w:sz w:val="24"/>
          <w:highlight w:val="none"/>
          <w14:textFill>
            <w14:solidFill>
              <w14:schemeClr w14:val="tx1"/>
            </w14:solidFill>
          </w14:textFill>
        </w:rPr>
        <w:t>3</w:t>
      </w:r>
      <w:r>
        <w:rPr>
          <w:rFonts w:hint="eastAsia" w:ascii="黑体" w:eastAsia="黑体" w:cs="Times New Roman"/>
          <w:b/>
          <w:color w:val="000000" w:themeColor="text1"/>
          <w:sz w:val="24"/>
          <w:highlight w:val="none"/>
          <w:lang w:val="en-US" w:eastAsia="zh-CN"/>
          <w14:textFill>
            <w14:solidFill>
              <w14:schemeClr w14:val="tx1"/>
            </w14:solidFill>
          </w14:textFill>
        </w:rPr>
        <w:t>6</w:t>
      </w:r>
      <w:r>
        <w:rPr>
          <w:rFonts w:hint="eastAsia" w:ascii="黑体" w:hAnsi="Times New Roman" w:eastAsia="黑体" w:cs="Times New Roman"/>
          <w:b/>
          <w:color w:val="000000" w:themeColor="text1"/>
          <w:sz w:val="24"/>
          <w:highlight w:val="none"/>
          <w14:textFill>
            <w14:solidFill>
              <w14:schemeClr w14:val="tx1"/>
            </w14:solidFill>
          </w14:textFill>
        </w:rPr>
        <w:t>、推荐中标候选人</w:t>
      </w:r>
    </w:p>
    <w:p>
      <w:pPr>
        <w:spacing w:line="360" w:lineRule="auto"/>
        <w:ind w:firstLine="482" w:firstLineChars="200"/>
        <w:outlineLvl w:val="1"/>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3</w:t>
      </w:r>
      <w:r>
        <w:rPr>
          <w:rFonts w:hint="eastAsia" w:ascii="黑体" w:eastAsia="黑体"/>
          <w:b/>
          <w:color w:val="000000" w:themeColor="text1"/>
          <w:sz w:val="24"/>
          <w:highlight w:val="none"/>
          <w:lang w:val="en-US" w:eastAsia="zh-CN"/>
          <w14:textFill>
            <w14:solidFill>
              <w14:schemeClr w14:val="tx1"/>
            </w14:solidFill>
          </w14:textFill>
        </w:rPr>
        <w:t>6</w:t>
      </w:r>
      <w:r>
        <w:rPr>
          <w:rFonts w:hint="eastAsia" w:ascii="黑体" w:eastAsia="黑体"/>
          <w:b/>
          <w:color w:val="000000" w:themeColor="text1"/>
          <w:sz w:val="24"/>
          <w:highlight w:val="none"/>
          <w14:textFill>
            <w14:solidFill>
              <w14:schemeClr w14:val="tx1"/>
            </w14:solidFill>
          </w14:textFill>
        </w:rPr>
        <w:t>.1投标人的综合得分由高至低排序，综合得分排列前3名的投标人被推荐为中标候选人</w:t>
      </w:r>
      <w:r>
        <w:rPr>
          <w:rFonts w:ascii="仿宋_GB2312" w:hAnsi="Courier New" w:eastAsia="仿宋_GB2312"/>
          <w:b/>
          <w:color w:val="000000" w:themeColor="text1"/>
          <w:sz w:val="24"/>
          <w:szCs w:val="20"/>
          <w:highlight w:val="none"/>
          <w14:textFill>
            <w14:solidFill>
              <w14:schemeClr w14:val="tx1"/>
            </w14:solidFill>
          </w14:textFill>
        </w:rPr>
        <w:t>。</w:t>
      </w:r>
      <w:r>
        <w:rPr>
          <w:rFonts w:ascii="黑体" w:eastAsia="黑体"/>
          <w:b/>
          <w:color w:val="000000" w:themeColor="text1"/>
          <w:sz w:val="24"/>
          <w:highlight w:val="none"/>
          <w14:textFill>
            <w14:solidFill>
              <w14:schemeClr w14:val="tx1"/>
            </w14:solidFill>
          </w14:textFill>
        </w:rPr>
        <w:t>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注：评分计算保留两位小数，第三位小数四舍五入。</w:t>
      </w:r>
    </w:p>
    <w:p>
      <w:pPr>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w:t>
      </w:r>
      <w:r>
        <w:rPr>
          <w:rFonts w:hint="eastAsia" w:ascii="宋体" w:hAnsi="宋体" w:eastAsia="宋体" w:cs="宋体"/>
          <w:b/>
          <w:color w:val="000000" w:themeColor="text1"/>
          <w:sz w:val="24"/>
          <w:highlight w:val="none"/>
          <w:lang w:val="en-US" w:eastAsia="zh-CN"/>
          <w14:textFill>
            <w14:solidFill>
              <w14:schemeClr w14:val="tx1"/>
            </w14:solidFill>
          </w14:textFill>
        </w:rPr>
        <w:t>6</w:t>
      </w:r>
      <w:r>
        <w:rPr>
          <w:rFonts w:hint="eastAsia" w:ascii="宋体" w:hAnsi="宋体" w:eastAsia="宋体" w:cs="宋体"/>
          <w:b/>
          <w:color w:val="000000" w:themeColor="text1"/>
          <w:sz w:val="24"/>
          <w:highlight w:val="none"/>
          <w14:textFill>
            <w14:solidFill>
              <w14:schemeClr w14:val="tx1"/>
            </w14:solidFill>
          </w14:textFill>
        </w:rPr>
        <w:t>.2评标委员会评审专家复核。评标小组评分汇总结束后，评标小组应当进行评审复核，对拟推荐为中标候选人的、报价最低的、投标人资格审查未通过的、投标人投标文件作无效处理的重点复核。</w:t>
      </w:r>
    </w:p>
    <w:p>
      <w:pPr>
        <w:spacing w:line="360" w:lineRule="auto"/>
        <w:ind w:firstLine="482" w:firstLineChars="200"/>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t>3</w:t>
      </w:r>
      <w:r>
        <w:rPr>
          <w:rFonts w:hint="eastAsia" w:ascii="宋体" w:hAnsi="宋体" w:eastAsia="宋体" w:cs="宋体"/>
          <w:b/>
          <w:color w:val="000000" w:themeColor="text1"/>
          <w:sz w:val="24"/>
          <w:szCs w:val="20"/>
          <w:highlight w:val="none"/>
          <w:lang w:val="en-US" w:eastAsia="zh-CN"/>
          <w14:textFill>
            <w14:solidFill>
              <w14:schemeClr w14:val="tx1"/>
            </w14:solidFill>
          </w14:textFill>
        </w:rPr>
        <w:t>6</w:t>
      </w:r>
      <w:r>
        <w:rPr>
          <w:rFonts w:hint="eastAsia" w:ascii="宋体" w:hAnsi="宋体" w:eastAsia="宋体" w:cs="宋体"/>
          <w:b/>
          <w:color w:val="000000" w:themeColor="text1"/>
          <w:sz w:val="24"/>
          <w:szCs w:val="20"/>
          <w:highlight w:val="none"/>
          <w14:textFill>
            <w14:solidFill>
              <w14:schemeClr w14:val="tx1"/>
            </w14:solidFill>
          </w14:textFill>
        </w:rPr>
        <w:t>.3确定中标人</w:t>
      </w:r>
    </w:p>
    <w:p>
      <w:pPr>
        <w:spacing w:line="360" w:lineRule="auto"/>
        <w:ind w:firstLine="482" w:firstLineChars="200"/>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t>3</w:t>
      </w:r>
      <w:r>
        <w:rPr>
          <w:rFonts w:hint="eastAsia" w:ascii="宋体" w:hAnsi="宋体" w:eastAsia="宋体" w:cs="宋体"/>
          <w:b/>
          <w:color w:val="000000" w:themeColor="text1"/>
          <w:sz w:val="24"/>
          <w:szCs w:val="20"/>
          <w:highlight w:val="none"/>
          <w:lang w:val="en-US" w:eastAsia="zh-CN"/>
          <w14:textFill>
            <w14:solidFill>
              <w14:schemeClr w14:val="tx1"/>
            </w14:solidFill>
          </w14:textFill>
        </w:rPr>
        <w:t>6</w:t>
      </w:r>
      <w:r>
        <w:rPr>
          <w:rFonts w:hint="eastAsia" w:ascii="宋体" w:hAnsi="宋体" w:eastAsia="宋体" w:cs="宋体"/>
          <w:b/>
          <w:color w:val="000000" w:themeColor="text1"/>
          <w:sz w:val="24"/>
          <w:szCs w:val="20"/>
          <w:highlight w:val="none"/>
          <w14:textFill>
            <w14:solidFill>
              <w14:schemeClr w14:val="tx1"/>
            </w14:solidFill>
          </w14:textFill>
        </w:rPr>
        <w:t>.3.1招标代理机构应当在评标结束后2个工作日内将评标报告送采购人确认。</w:t>
      </w:r>
    </w:p>
    <w:p>
      <w:pPr>
        <w:spacing w:line="360" w:lineRule="auto"/>
        <w:ind w:firstLine="482" w:firstLineChars="200"/>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t>3</w:t>
      </w:r>
      <w:r>
        <w:rPr>
          <w:rFonts w:hint="eastAsia" w:ascii="宋体" w:hAnsi="宋体" w:eastAsia="宋体" w:cs="宋体"/>
          <w:b/>
          <w:color w:val="000000" w:themeColor="text1"/>
          <w:sz w:val="24"/>
          <w:szCs w:val="20"/>
          <w:highlight w:val="none"/>
          <w:lang w:val="en-US" w:eastAsia="zh-CN"/>
          <w14:textFill>
            <w14:solidFill>
              <w14:schemeClr w14:val="tx1"/>
            </w14:solidFill>
          </w14:textFill>
        </w:rPr>
        <w:t>6</w:t>
      </w:r>
      <w:r>
        <w:rPr>
          <w:rFonts w:hint="eastAsia" w:ascii="宋体" w:hAnsi="宋体" w:eastAsia="宋体" w:cs="宋体"/>
          <w:b/>
          <w:color w:val="000000" w:themeColor="text1"/>
          <w:sz w:val="24"/>
          <w:szCs w:val="20"/>
          <w:highlight w:val="none"/>
          <w14:textFill>
            <w14:solidFill>
              <w14:schemeClr w14:val="tx1"/>
            </w14:solidFill>
          </w14:textFill>
        </w:rPr>
        <w:t>.3.2采购人应当在收到评标报告后5个工作日内，按照评标报告中推荐的中标候选人顺序确定中标人；也可以事先授权评标委员会直接确定中标人。中标候选人并列的，由采购人或者采购人委托评标委员会按照招标文件规定的方式确定中标人；招标文件未规定的，采取随机抽取的方式确定。</w:t>
      </w:r>
    </w:p>
    <w:p>
      <w:pPr>
        <w:spacing w:line="360" w:lineRule="auto"/>
        <w:ind w:firstLine="482" w:firstLineChars="200"/>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t>3</w:t>
      </w:r>
      <w:r>
        <w:rPr>
          <w:rFonts w:hint="eastAsia" w:ascii="宋体" w:hAnsi="宋体" w:eastAsia="宋体" w:cs="宋体"/>
          <w:b/>
          <w:color w:val="000000" w:themeColor="text1"/>
          <w:sz w:val="24"/>
          <w:szCs w:val="20"/>
          <w:highlight w:val="none"/>
          <w:lang w:val="en-US" w:eastAsia="zh-CN"/>
          <w14:textFill>
            <w14:solidFill>
              <w14:schemeClr w14:val="tx1"/>
            </w14:solidFill>
          </w14:textFill>
        </w:rPr>
        <w:t>6.</w:t>
      </w:r>
      <w:r>
        <w:rPr>
          <w:rFonts w:hint="eastAsia" w:ascii="宋体" w:hAnsi="宋体" w:eastAsia="宋体" w:cs="宋体"/>
          <w:b/>
          <w:color w:val="000000" w:themeColor="text1"/>
          <w:sz w:val="24"/>
          <w:szCs w:val="20"/>
          <w:highlight w:val="none"/>
          <w14:textFill>
            <w14:solidFill>
              <w14:schemeClr w14:val="tx1"/>
            </w14:solidFill>
          </w14:textFill>
        </w:rPr>
        <w:t>3.3中标人因不可抗力或者自身原因不能履行政府采购合同的，采购人可以与排位在中标人之后第一位的中标候选人签订政府采购合同，以此类推。</w:t>
      </w:r>
    </w:p>
    <w:p>
      <w:pPr>
        <w:spacing w:line="360" w:lineRule="auto"/>
        <w:ind w:firstLine="482" w:firstLineChars="200"/>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t>3</w:t>
      </w:r>
      <w:r>
        <w:rPr>
          <w:rFonts w:hint="eastAsia" w:ascii="宋体" w:hAnsi="宋体" w:eastAsia="宋体" w:cs="宋体"/>
          <w:b/>
          <w:color w:val="000000" w:themeColor="text1"/>
          <w:sz w:val="24"/>
          <w:szCs w:val="20"/>
          <w:highlight w:val="none"/>
          <w:lang w:val="en-US" w:eastAsia="zh-CN"/>
          <w14:textFill>
            <w14:solidFill>
              <w14:schemeClr w14:val="tx1"/>
            </w14:solidFill>
          </w14:textFill>
        </w:rPr>
        <w:t>6</w:t>
      </w:r>
      <w:r>
        <w:rPr>
          <w:rFonts w:hint="eastAsia" w:ascii="宋体" w:hAnsi="宋体" w:eastAsia="宋体" w:cs="宋体"/>
          <w:b/>
          <w:color w:val="000000" w:themeColor="text1"/>
          <w:sz w:val="24"/>
          <w:szCs w:val="20"/>
          <w:highlight w:val="none"/>
          <w14:textFill>
            <w14:solidFill>
              <w14:schemeClr w14:val="tx1"/>
            </w14:solidFill>
          </w14:textFill>
        </w:rPr>
        <w:t>.</w:t>
      </w:r>
      <w:r>
        <w:rPr>
          <w:rFonts w:hint="eastAsia" w:ascii="宋体" w:hAnsi="宋体" w:eastAsia="宋体" w:cs="宋体"/>
          <w:b/>
          <w:color w:val="000000" w:themeColor="text1"/>
          <w:sz w:val="24"/>
          <w:szCs w:val="20"/>
          <w:highlight w:val="none"/>
          <w:lang w:val="en-US" w:eastAsia="zh-CN"/>
          <w14:textFill>
            <w14:solidFill>
              <w14:schemeClr w14:val="tx1"/>
            </w14:solidFill>
          </w14:textFill>
        </w:rPr>
        <w:t>3</w:t>
      </w:r>
      <w:r>
        <w:rPr>
          <w:rFonts w:hint="eastAsia" w:ascii="宋体" w:hAnsi="宋体" w:eastAsia="宋体" w:cs="宋体"/>
          <w:b/>
          <w:color w:val="000000" w:themeColor="text1"/>
          <w:sz w:val="24"/>
          <w:szCs w:val="20"/>
          <w:highlight w:val="none"/>
          <w14:textFill>
            <w14:solidFill>
              <w14:schemeClr w14:val="tx1"/>
            </w14:solidFill>
          </w14:textFill>
        </w:rPr>
        <w:t>.4在确定中标人前，招标采购单位不得与投标投标人就投标价格、投标方案等实质性内容进行谈判。</w:t>
      </w:r>
    </w:p>
    <w:p>
      <w:pPr>
        <w:spacing w:line="360" w:lineRule="auto"/>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3</w:t>
      </w:r>
      <w:r>
        <w:rPr>
          <w:rFonts w:hint="eastAsia" w:ascii="宋体" w:hAnsi="宋体" w:eastAsia="宋体" w:cs="宋体"/>
          <w:color w:val="000000" w:themeColor="text1"/>
          <w:sz w:val="24"/>
          <w:szCs w:val="20"/>
          <w:highlight w:val="none"/>
          <w:lang w:val="en-US" w:eastAsia="zh-CN"/>
          <w14:textFill>
            <w14:solidFill>
              <w14:schemeClr w14:val="tx1"/>
            </w14:solidFill>
          </w14:textFill>
        </w:rPr>
        <w:t>7</w:t>
      </w:r>
      <w:r>
        <w:rPr>
          <w:rFonts w:hint="eastAsia" w:ascii="宋体" w:hAnsi="宋体" w:eastAsia="宋体" w:cs="宋体"/>
          <w:color w:val="000000" w:themeColor="text1"/>
          <w:sz w:val="24"/>
          <w:szCs w:val="20"/>
          <w:highlight w:val="none"/>
          <w14:textFill>
            <w14:solidFill>
              <w14:schemeClr w14:val="tx1"/>
            </w14:solidFill>
          </w14:textFill>
        </w:rPr>
        <w:t>、采购人依法接受和拒绝任一或所有投标人的权力</w:t>
      </w:r>
    </w:p>
    <w:p>
      <w:pPr>
        <w:spacing w:line="360" w:lineRule="auto"/>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采购人保留确定中标人之前的任何时候依法接受或拒绝任一或所有投标人的权力，对受影响的投标人不承担任何责任，也无义务向受影响的投标人解释采取这一行动的理由。</w:t>
      </w:r>
    </w:p>
    <w:p>
      <w:pPr>
        <w:spacing w:line="360" w:lineRule="auto"/>
        <w:ind w:firstLine="480" w:firstLineChars="200"/>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w:t>
      </w:r>
      <w:bookmarkEnd w:id="148"/>
      <w:bookmarkEnd w:id="149"/>
      <w:bookmarkEnd w:id="150"/>
      <w:bookmarkEnd w:id="151"/>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通知书</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.1采购人确定</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单位后，及时通知招标代理机构，招标代理机构将按程序公告</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结果，同时向</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单位发出</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通知书，</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通知书一经发出即发生法律效力。</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通知书》将是合同的组成部分。</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.3采购人将通知其他未</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的投标人。</w:t>
      </w:r>
    </w:p>
    <w:p>
      <w:pPr>
        <w:spacing w:line="360" w:lineRule="auto"/>
        <w:ind w:firstLine="480" w:firstLineChars="200"/>
        <w:outlineLvl w:val="1"/>
        <w:rPr>
          <w:rFonts w:hint="eastAsia" w:ascii="宋体" w:hAnsi="宋体" w:eastAsia="宋体" w:cs="宋体"/>
          <w:color w:val="000000" w:themeColor="text1"/>
          <w:sz w:val="24"/>
          <w:highlight w:val="none"/>
          <w14:textFill>
            <w14:solidFill>
              <w14:schemeClr w14:val="tx1"/>
            </w14:solidFill>
          </w14:textFill>
        </w:rPr>
      </w:pPr>
      <w:bookmarkStart w:id="152" w:name="_Toc243906350"/>
      <w:bookmarkStart w:id="153" w:name="_Toc245897310"/>
      <w:bookmarkStart w:id="154" w:name="_Toc243907611"/>
      <w:bookmarkStart w:id="155" w:name="_Toc233274849"/>
      <w:r>
        <w:rPr>
          <w:rFonts w:hint="eastAsia" w:ascii="宋体" w:hAnsi="宋体" w:eastAsia="宋体" w:cs="宋体"/>
          <w:color w:val="000000" w:themeColor="text1"/>
          <w:sz w:val="24"/>
          <w:highlight w:val="none"/>
          <w:lang w:val="en-US" w:eastAsia="zh-CN"/>
          <w14:textFill>
            <w14:solidFill>
              <w14:schemeClr w14:val="tx1"/>
            </w14:solidFill>
          </w14:textFill>
        </w:rPr>
        <w:t>39</w:t>
      </w:r>
      <w:r>
        <w:rPr>
          <w:rFonts w:hint="eastAsia" w:ascii="宋体" w:hAnsi="宋体" w:eastAsia="宋体" w:cs="宋体"/>
          <w:color w:val="000000" w:themeColor="text1"/>
          <w:sz w:val="24"/>
          <w:highlight w:val="none"/>
          <w14:textFill>
            <w14:solidFill>
              <w14:schemeClr w14:val="tx1"/>
            </w14:solidFill>
          </w14:textFill>
        </w:rPr>
        <w:t>、纪律与保密事项</w:t>
      </w:r>
      <w:bookmarkEnd w:id="152"/>
      <w:bookmarkEnd w:id="153"/>
      <w:bookmarkEnd w:id="154"/>
      <w:bookmarkEnd w:id="155"/>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39</w:t>
      </w:r>
      <w:r>
        <w:rPr>
          <w:rFonts w:hint="eastAsia" w:ascii="宋体" w:hAnsi="宋体" w:eastAsia="宋体" w:cs="宋体"/>
          <w:color w:val="000000" w:themeColor="text1"/>
          <w:sz w:val="24"/>
          <w:highlight w:val="none"/>
          <w14:textFill>
            <w14:solidFill>
              <w14:schemeClr w14:val="tx1"/>
            </w14:solidFill>
          </w14:textFill>
        </w:rPr>
        <w:t>.1凡参与公开招标的有关人员均应自觉接受有关主管部门的监督，不得向他人透露可能影响公平竞争的有关公开的其他情况。</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39</w:t>
      </w:r>
      <w:r>
        <w:rPr>
          <w:rFonts w:hint="eastAsia" w:ascii="宋体" w:hAnsi="宋体" w:eastAsia="宋体" w:cs="宋体"/>
          <w:color w:val="000000" w:themeColor="text1"/>
          <w:sz w:val="24"/>
          <w:highlight w:val="none"/>
          <w14:textFill>
            <w14:solidFill>
              <w14:schemeClr w14:val="tx1"/>
            </w14:solidFill>
          </w14:textFill>
        </w:rPr>
        <w:t>.2领取本招标文件及其它相关资料者，应对文件进行保密，不得用作本次公开以外的任何用途。由采购人向投标人提供的技术资料和所有其它资料，均视为保密资料，除非得到采购人的同意，不得向第三方透露。</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39</w:t>
      </w:r>
      <w:r>
        <w:rPr>
          <w:rFonts w:hint="eastAsia" w:ascii="宋体" w:hAnsi="宋体" w:eastAsia="宋体" w:cs="宋体"/>
          <w:color w:val="000000" w:themeColor="text1"/>
          <w:sz w:val="24"/>
          <w:highlight w:val="none"/>
          <w14:textFill>
            <w14:solidFill>
              <w14:schemeClr w14:val="tx1"/>
            </w14:solidFill>
          </w14:textFill>
        </w:rPr>
        <w:t>.3投标人不得与采购人串通公开，不得向采购人或者评标委员会成员行贿谋取</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不得以他人名义参与公开或者以其它任何方式弄虚作假骗取参与公开；投标人不得以任何方式干扰、影响评标工作。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39</w:t>
      </w:r>
      <w:r>
        <w:rPr>
          <w:rFonts w:hint="eastAsia" w:ascii="宋体" w:hAnsi="宋体" w:eastAsia="宋体" w:cs="宋体"/>
          <w:color w:val="000000" w:themeColor="text1"/>
          <w:sz w:val="24"/>
          <w:highlight w:val="none"/>
          <w14:textFill>
            <w14:solidFill>
              <w14:schemeClr w14:val="tx1"/>
            </w14:solidFill>
          </w14:textFill>
        </w:rPr>
        <w:t>.4投标人不得在公开采购过程中互相串通、结盟、损害公开的公正性和竞争性，或以任何方式影响其他投标人参与正当公开。扰乱公开市场，破坏公平竞争原则。如投标人在公开招标过程中互相串通，一经查实，将取消公开招标资格。</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39</w:t>
      </w:r>
      <w:r>
        <w:rPr>
          <w:rFonts w:hint="eastAsia" w:ascii="宋体" w:hAnsi="宋体" w:eastAsia="宋体" w:cs="宋体"/>
          <w:color w:val="000000" w:themeColor="text1"/>
          <w:sz w:val="24"/>
          <w:highlight w:val="none"/>
          <w14:textFill>
            <w14:solidFill>
              <w14:schemeClr w14:val="tx1"/>
            </w14:solidFill>
          </w14:textFill>
        </w:rPr>
        <w:t>.5 公开之日起直至授予</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单位合同为止，凡属于对投标文件的审查、澄清、评价、比较有关的资料和</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单位的推荐情况及与评审有关的其他任何情况均严格保密。</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39</w:t>
      </w:r>
      <w:r>
        <w:rPr>
          <w:rFonts w:hint="eastAsia" w:ascii="宋体" w:hAnsi="宋体" w:eastAsia="宋体" w:cs="宋体"/>
          <w:color w:val="000000" w:themeColor="text1"/>
          <w:sz w:val="24"/>
          <w:highlight w:val="none"/>
          <w14:textFill>
            <w14:solidFill>
              <w14:schemeClr w14:val="tx1"/>
            </w14:solidFill>
          </w14:textFill>
        </w:rPr>
        <w:t>.6从公开之日起至授予合同期间，投标人试图向评标委员会、招标代理机构施加任何影响或对采购人的比较及授予合同的决定进行影响，都可能导致其投标文件被拒绝。</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39</w:t>
      </w:r>
      <w:r>
        <w:rPr>
          <w:rFonts w:hint="eastAsia" w:ascii="宋体" w:hAnsi="宋体" w:eastAsia="宋体" w:cs="宋体"/>
          <w:color w:val="000000" w:themeColor="text1"/>
          <w:sz w:val="24"/>
          <w:highlight w:val="none"/>
          <w14:textFill>
            <w14:solidFill>
              <w14:schemeClr w14:val="tx1"/>
            </w14:solidFill>
          </w14:textFill>
        </w:rPr>
        <w:t>.7除投标人被要求对投标文件进行澄清外，从公开之时起至授予合同期间，投标人不得就与其投标文件有关的事项主动与评标委员会、招标代理机构以及采购人联系。</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39</w:t>
      </w:r>
      <w:r>
        <w:rPr>
          <w:rFonts w:hint="eastAsia"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单位确定后，采购人不对未</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单位就评审过程以及未能</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原因作出任何解释，未</w:t>
      </w:r>
      <w:r>
        <w:rPr>
          <w:rFonts w:hint="eastAsia" w:ascii="宋体" w:hAnsi="宋体" w:eastAsia="宋体" w:cs="宋体"/>
          <w:color w:val="000000" w:themeColor="text1"/>
          <w:sz w:val="24"/>
          <w:highlight w:val="none"/>
          <w:lang w:eastAsia="zh-CN"/>
          <w14:textFill>
            <w14:solidFill>
              <w14:schemeClr w14:val="tx1"/>
            </w14:solidFill>
          </w14:textFill>
        </w:rPr>
        <w:t>中标</w:t>
      </w:r>
      <w:r>
        <w:rPr>
          <w:rFonts w:hint="eastAsia" w:ascii="宋体" w:hAnsi="宋体" w:eastAsia="宋体" w:cs="宋体"/>
          <w:color w:val="000000" w:themeColor="text1"/>
          <w:sz w:val="24"/>
          <w:highlight w:val="none"/>
          <w14:textFill>
            <w14:solidFill>
              <w14:schemeClr w14:val="tx1"/>
            </w14:solidFill>
          </w14:textFill>
        </w:rPr>
        <w:t>单位不得向评标委员会或其他有关人员询问评审过程的情况和索取评审过程的资料。</w:t>
      </w:r>
    </w:p>
    <w:p>
      <w:pPr>
        <w:pStyle w:val="32"/>
        <w:spacing w:line="360" w:lineRule="auto"/>
        <w:ind w:firstLine="482" w:firstLineChars="200"/>
        <w:jc w:val="center"/>
        <w:outlineLvl w:val="1"/>
        <w:rPr>
          <w:rFonts w:hint="eastAsia" w:ascii="宋体" w:hAnsi="宋体" w:eastAsia="宋体" w:cs="宋体"/>
          <w:b/>
          <w:bCs/>
          <w:color w:val="000000" w:themeColor="text1"/>
          <w:sz w:val="24"/>
          <w:szCs w:val="24"/>
          <w:highlight w:val="none"/>
          <w14:textFill>
            <w14:solidFill>
              <w14:schemeClr w14:val="tx1"/>
            </w14:solidFill>
          </w14:textFill>
        </w:rPr>
      </w:pPr>
    </w:p>
    <w:p>
      <w:pPr>
        <w:pStyle w:val="32"/>
        <w:spacing w:line="360" w:lineRule="auto"/>
        <w:ind w:firstLine="482" w:firstLineChars="200"/>
        <w:jc w:val="center"/>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F   授予合同</w:t>
      </w:r>
      <w:bookmarkStart w:id="156" w:name="_Toc233274853"/>
      <w:bookmarkStart w:id="157" w:name="_Toc243907618"/>
      <w:bookmarkStart w:id="158" w:name="_Toc245897315"/>
      <w:bookmarkStart w:id="159" w:name="_Toc243906355"/>
    </w:p>
    <w:bookmarkEnd w:id="156"/>
    <w:bookmarkEnd w:id="157"/>
    <w:bookmarkEnd w:id="158"/>
    <w:bookmarkEnd w:id="159"/>
    <w:p>
      <w:pPr>
        <w:pStyle w:val="32"/>
        <w:spacing w:line="360" w:lineRule="auto"/>
        <w:ind w:firstLine="480" w:firstLineChars="200"/>
        <w:outlineLvl w:val="1"/>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Cs/>
          <w:color w:val="000000" w:themeColor="text1"/>
          <w:sz w:val="24"/>
          <w:szCs w:val="24"/>
          <w:highlight w:val="none"/>
          <w14:textFill>
            <w14:solidFill>
              <w14:schemeClr w14:val="tx1"/>
            </w14:solidFill>
          </w14:textFill>
        </w:rPr>
        <w:t>、授予合同标准</w:t>
      </w:r>
    </w:p>
    <w:p>
      <w:pPr>
        <w:pStyle w:val="32"/>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Cs/>
          <w:color w:val="000000" w:themeColor="text1"/>
          <w:sz w:val="24"/>
          <w:szCs w:val="24"/>
          <w:highlight w:val="none"/>
          <w14:textFill>
            <w14:solidFill>
              <w14:schemeClr w14:val="tx1"/>
            </w14:solidFill>
          </w14:textFill>
        </w:rPr>
        <w:t>.1本招标项目的采购合同将授予按本须知第</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36.3</w:t>
      </w:r>
      <w:r>
        <w:rPr>
          <w:rFonts w:hint="eastAsia" w:ascii="宋体" w:hAnsi="宋体" w:eastAsia="宋体" w:cs="宋体"/>
          <w:bCs/>
          <w:color w:val="000000" w:themeColor="text1"/>
          <w:sz w:val="24"/>
          <w:szCs w:val="24"/>
          <w:highlight w:val="none"/>
          <w14:textFill>
            <w14:solidFill>
              <w14:schemeClr w14:val="tx1"/>
            </w14:solidFill>
          </w14:textFill>
        </w:rPr>
        <w:t>条所确定</w:t>
      </w:r>
      <w:r>
        <w:rPr>
          <w:rFonts w:hint="eastAsia" w:ascii="宋体" w:hAnsi="宋体" w:eastAsia="宋体" w:cs="宋体"/>
          <w:bCs/>
          <w:color w:val="000000" w:themeColor="text1"/>
          <w:sz w:val="24"/>
          <w:szCs w:val="24"/>
          <w:highlight w:val="none"/>
          <w:lang w:eastAsia="zh-CN"/>
          <w14:textFill>
            <w14:solidFill>
              <w14:schemeClr w14:val="tx1"/>
            </w14:solidFill>
          </w14:textFill>
        </w:rPr>
        <w:t>中标</w:t>
      </w:r>
      <w:r>
        <w:rPr>
          <w:rFonts w:hint="eastAsia" w:ascii="宋体" w:hAnsi="宋体" w:eastAsia="宋体" w:cs="宋体"/>
          <w:bCs/>
          <w:color w:val="000000" w:themeColor="text1"/>
          <w:sz w:val="24"/>
          <w:szCs w:val="24"/>
          <w:highlight w:val="none"/>
          <w14:textFill>
            <w14:solidFill>
              <w14:schemeClr w14:val="tx1"/>
            </w14:solidFill>
          </w14:textFill>
        </w:rPr>
        <w:t>单位。</w:t>
      </w:r>
    </w:p>
    <w:p>
      <w:pPr>
        <w:pStyle w:val="32"/>
        <w:spacing w:line="360" w:lineRule="auto"/>
        <w:ind w:firstLine="480" w:firstLineChars="200"/>
        <w:outlineLvl w:val="1"/>
        <w:rPr>
          <w:rFonts w:hint="eastAsia" w:ascii="宋体" w:hAnsi="宋体" w:eastAsia="宋体" w:cs="宋体"/>
          <w:color w:val="000000" w:themeColor="text1"/>
          <w:sz w:val="24"/>
          <w:szCs w:val="24"/>
          <w:highlight w:val="none"/>
          <w14:textFill>
            <w14:solidFill>
              <w14:schemeClr w14:val="tx1"/>
            </w14:solidFill>
          </w14:textFill>
        </w:rPr>
      </w:pPr>
      <w:bookmarkStart w:id="160" w:name="_Toc245897317"/>
      <w:bookmarkStart w:id="161" w:name="_Toc233274855"/>
      <w:bookmarkStart w:id="162" w:name="_Toc243906357"/>
      <w:bookmarkStart w:id="163" w:name="_Toc243907620"/>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、签订合同</w:t>
      </w:r>
      <w:bookmarkEnd w:id="160"/>
      <w:bookmarkEnd w:id="161"/>
      <w:bookmarkEnd w:id="162"/>
      <w:bookmarkEnd w:id="163"/>
    </w:p>
    <w:p>
      <w:pPr>
        <w:pStyle w:val="32"/>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单位应当自</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通知书发出之日起三十日内，按照招标文件和</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单位的投标文件订立书面合同。</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单位不得要求订立背离本投标文件合同条款等投标文件实质性内容的其他协议。</w:t>
      </w:r>
    </w:p>
    <w:p>
      <w:pPr>
        <w:pStyle w:val="32"/>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通知书、</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单位的投标文件及其技术规范及标准、项目采购需求、本招标文件（含修改文件或补充文件）及答疑纪要等，均为签订合同的依据。</w:t>
      </w:r>
    </w:p>
    <w:p>
      <w:pPr>
        <w:pStyle w:val="32"/>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.3采购人如不按本须知4</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.1条规定与</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单位签订合同，或者采购人、</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单位签订背离合同实质性内容的协议，由监督管理部门责令其改正。</w:t>
      </w:r>
    </w:p>
    <w:p>
      <w:pPr>
        <w:pStyle w:val="32"/>
        <w:tabs>
          <w:tab w:val="left" w:pos="7770"/>
        </w:tabs>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单位如不按本须知4</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.1条规定与采</w:t>
      </w:r>
      <w:r>
        <w:rPr>
          <w:rFonts w:hint="eastAsia" w:hAnsi="宋体" w:cs="宋体"/>
          <w:color w:val="000000" w:themeColor="text1"/>
          <w:sz w:val="24"/>
          <w:szCs w:val="24"/>
          <w:highlight w:val="none"/>
          <w14:textFill>
            <w14:solidFill>
              <w14:schemeClr w14:val="tx1"/>
            </w14:solidFill>
          </w14:textFill>
        </w:rPr>
        <w:t>购人签订合同，则按违约处理，采购人将有权取消</w:t>
      </w:r>
      <w:r>
        <w:rPr>
          <w:rFonts w:hint="eastAsia" w:hAnsi="宋体" w:cs="宋体"/>
          <w:color w:val="000000" w:themeColor="text1"/>
          <w:sz w:val="24"/>
          <w:szCs w:val="24"/>
          <w:highlight w:val="none"/>
          <w:lang w:eastAsia="zh-CN"/>
          <w14:textFill>
            <w14:solidFill>
              <w14:schemeClr w14:val="tx1"/>
            </w14:solidFill>
          </w14:textFill>
        </w:rPr>
        <w:t>中标</w:t>
      </w:r>
      <w:r>
        <w:rPr>
          <w:rFonts w:hint="eastAsia" w:hAnsi="宋体" w:cs="宋体"/>
          <w:color w:val="000000" w:themeColor="text1"/>
          <w:sz w:val="24"/>
          <w:szCs w:val="24"/>
          <w:highlight w:val="none"/>
          <w14:textFill>
            <w14:solidFill>
              <w14:schemeClr w14:val="tx1"/>
            </w14:solidFill>
          </w14:textFill>
        </w:rPr>
        <w:t>单位资格，还应当予以赔偿，同时依法承担相应的法律责任。</w:t>
      </w:r>
    </w:p>
    <w:p>
      <w:pPr>
        <w:spacing w:line="360" w:lineRule="auto"/>
        <w:ind w:firstLine="480" w:firstLineChars="200"/>
        <w:outlineLvl w:val="1"/>
        <w:rPr>
          <w:rFonts w:ascii="宋体" w:hAnsi="宋体" w:cs="宋体"/>
          <w:color w:val="000000" w:themeColor="text1"/>
          <w:sz w:val="24"/>
          <w:highlight w:val="none"/>
          <w14:textFill>
            <w14:solidFill>
              <w14:schemeClr w14:val="tx1"/>
            </w14:solidFill>
          </w14:textFill>
        </w:rPr>
      </w:pPr>
      <w:bookmarkStart w:id="164" w:name="_Toc245897318"/>
      <w:bookmarkStart w:id="165" w:name="_Toc243907621"/>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、合同的签订准则</w:t>
      </w:r>
      <w:bookmarkEnd w:id="164"/>
      <w:bookmarkEnd w:id="165"/>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.1合同签订必须由采购人、</w:t>
      </w:r>
      <w:r>
        <w:rPr>
          <w:rFonts w:hint="eastAsia" w:ascii="宋体" w:hAnsi="宋体" w:cs="宋体"/>
          <w:color w:val="000000" w:themeColor="text1"/>
          <w:sz w:val="24"/>
          <w:highlight w:val="none"/>
          <w:lang w:eastAsia="zh-CN"/>
          <w14:textFill>
            <w14:solidFill>
              <w14:schemeClr w14:val="tx1"/>
            </w14:solidFill>
          </w14:textFill>
        </w:rPr>
        <w:t>中标</w:t>
      </w:r>
      <w:r>
        <w:rPr>
          <w:rFonts w:hint="eastAsia" w:ascii="宋体" w:hAnsi="宋体" w:cs="宋体"/>
          <w:color w:val="000000" w:themeColor="text1"/>
          <w:sz w:val="24"/>
          <w:highlight w:val="none"/>
          <w14:textFill>
            <w14:solidFill>
              <w14:schemeClr w14:val="tx1"/>
            </w14:solidFill>
          </w14:textFill>
        </w:rPr>
        <w:t>单位双方法定代表人或其委托代理人签署并加盖法人公章后方能生效。</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b/>
          <w:bCs/>
          <w:color w:val="000000" w:themeColor="text1"/>
          <w:sz w:val="24"/>
          <w:highlight w:val="none"/>
          <w:lang w:val="en-US" w:eastAsia="zh-CN"/>
          <w14:textFill>
            <w14:solidFill>
              <w14:schemeClr w14:val="tx1"/>
            </w14:solidFill>
          </w14:textFill>
        </w:rPr>
        <w:t>2</w:t>
      </w:r>
      <w:r>
        <w:rPr>
          <w:rFonts w:hint="eastAsia" w:ascii="宋体" w:hAnsi="宋体" w:cs="宋体"/>
          <w:b/>
          <w:bCs/>
          <w:color w:val="000000" w:themeColor="text1"/>
          <w:sz w:val="24"/>
          <w:highlight w:val="none"/>
          <w14:textFill>
            <w14:solidFill>
              <w14:schemeClr w14:val="tx1"/>
            </w14:solidFill>
          </w14:textFill>
        </w:rPr>
        <w:t>.2合同转包（实质性要求）</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本采购项目严禁</w:t>
      </w:r>
      <w:r>
        <w:rPr>
          <w:rFonts w:hint="eastAsia" w:ascii="宋体" w:hAnsi="宋体" w:cs="宋体"/>
          <w:b/>
          <w:bCs/>
          <w:color w:val="000000" w:themeColor="text1"/>
          <w:sz w:val="24"/>
          <w:highlight w:val="none"/>
          <w:lang w:eastAsia="zh-CN"/>
          <w14:textFill>
            <w14:solidFill>
              <w14:schemeClr w14:val="tx1"/>
            </w14:solidFill>
          </w14:textFill>
        </w:rPr>
        <w:t>中标</w:t>
      </w:r>
      <w:r>
        <w:rPr>
          <w:rFonts w:hint="eastAsia" w:ascii="宋体" w:hAnsi="宋体" w:cs="宋体"/>
          <w:b/>
          <w:bCs/>
          <w:color w:val="000000" w:themeColor="text1"/>
          <w:sz w:val="24"/>
          <w:highlight w:val="none"/>
          <w14:textFill>
            <w14:solidFill>
              <w14:schemeClr w14:val="tx1"/>
            </w14:solidFill>
          </w14:textFill>
        </w:rPr>
        <w:t>单位将任何政府采购合同义务转包。本项目所称转包，是指</w:t>
      </w:r>
      <w:r>
        <w:rPr>
          <w:rFonts w:hint="eastAsia" w:ascii="宋体" w:hAnsi="宋体" w:cs="宋体"/>
          <w:b/>
          <w:bCs/>
          <w:color w:val="000000" w:themeColor="text1"/>
          <w:sz w:val="24"/>
          <w:highlight w:val="none"/>
          <w:lang w:eastAsia="zh-CN"/>
          <w14:textFill>
            <w14:solidFill>
              <w14:schemeClr w14:val="tx1"/>
            </w14:solidFill>
          </w14:textFill>
        </w:rPr>
        <w:t>中标</w:t>
      </w:r>
      <w:r>
        <w:rPr>
          <w:rFonts w:hint="eastAsia" w:ascii="宋体" w:hAnsi="宋体" w:cs="宋体"/>
          <w:b/>
          <w:bCs/>
          <w:color w:val="000000" w:themeColor="text1"/>
          <w:sz w:val="24"/>
          <w:highlight w:val="none"/>
          <w14:textFill>
            <w14:solidFill>
              <w14:schemeClr w14:val="tx1"/>
            </w14:solidFill>
          </w14:textFill>
        </w:rPr>
        <w:t>单位将政府采购合同义务转让给第三人，并退出现有政府采购合同当事人双方的权利义务关系，受让人（即第三人）成为政府采购合同的另一方当事人的行为。</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中标</w:t>
      </w:r>
      <w:r>
        <w:rPr>
          <w:rFonts w:hint="eastAsia" w:ascii="宋体" w:hAnsi="宋体" w:cs="宋体"/>
          <w:b/>
          <w:bCs/>
          <w:color w:val="000000" w:themeColor="text1"/>
          <w:sz w:val="24"/>
          <w:highlight w:val="none"/>
          <w14:textFill>
            <w14:solidFill>
              <w14:schemeClr w14:val="tx1"/>
            </w14:solidFill>
          </w14:textFill>
        </w:rPr>
        <w:t>单位转包的，视同拒绝履行政府采购合同义务，将依法追究法律责任。</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b/>
          <w:bCs/>
          <w:color w:val="000000" w:themeColor="text1"/>
          <w:sz w:val="24"/>
          <w:highlight w:val="none"/>
          <w:lang w:val="en-US" w:eastAsia="zh-CN"/>
          <w14:textFill>
            <w14:solidFill>
              <w14:schemeClr w14:val="tx1"/>
            </w14:solidFill>
          </w14:textFill>
        </w:rPr>
        <w:t>3</w:t>
      </w:r>
      <w:r>
        <w:rPr>
          <w:rFonts w:hint="eastAsia" w:ascii="宋体" w:hAnsi="宋体" w:cs="宋体"/>
          <w:b/>
          <w:bCs/>
          <w:color w:val="000000" w:themeColor="text1"/>
          <w:sz w:val="24"/>
          <w:highlight w:val="none"/>
          <w14:textFill>
            <w14:solidFill>
              <w14:schemeClr w14:val="tx1"/>
            </w14:solidFill>
          </w14:textFill>
        </w:rPr>
        <w:t>、验收</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b/>
          <w:bCs/>
          <w:color w:val="000000" w:themeColor="text1"/>
          <w:sz w:val="24"/>
          <w:highlight w:val="none"/>
          <w:lang w:val="en-US" w:eastAsia="zh-CN"/>
          <w14:textFill>
            <w14:solidFill>
              <w14:schemeClr w14:val="tx1"/>
            </w14:solidFill>
          </w14:textFill>
        </w:rPr>
        <w:t>3</w:t>
      </w:r>
      <w:r>
        <w:rPr>
          <w:rFonts w:hint="eastAsia" w:ascii="宋体" w:hAnsi="宋体" w:cs="宋体"/>
          <w:b/>
          <w:bCs/>
          <w:color w:val="000000" w:themeColor="text1"/>
          <w:sz w:val="24"/>
          <w:highlight w:val="none"/>
          <w14:textFill>
            <w14:solidFill>
              <w14:schemeClr w14:val="tx1"/>
            </w14:solidFill>
          </w14:textFill>
        </w:rPr>
        <w:t>.1本项目采购人将严格按照政府采购相关法律法规以及《克拉玛依市政府采购项目需求论证和履约验收管理办法》（克财发〔2016〕9号）的要求进行验收。</w:t>
      </w:r>
    </w:p>
    <w:p>
      <w:pPr>
        <w:snapToGrid w:val="0"/>
        <w:spacing w:line="360" w:lineRule="auto"/>
        <w:ind w:firstLine="482" w:firstLineChars="200"/>
        <w:jc w:val="center"/>
        <w:rPr>
          <w:rFonts w:hint="eastAsia" w:ascii="宋体" w:hAnsi="宋体" w:cs="宋体"/>
          <w:b/>
          <w:bCs/>
          <w:color w:val="000000" w:themeColor="text1"/>
          <w:kern w:val="0"/>
          <w:sz w:val="24"/>
          <w:highlight w:val="none"/>
          <w14:textFill>
            <w14:solidFill>
              <w14:schemeClr w14:val="tx1"/>
            </w14:solidFill>
          </w14:textFill>
        </w:rPr>
      </w:pPr>
    </w:p>
    <w:p>
      <w:pPr>
        <w:snapToGrid w:val="0"/>
        <w:spacing w:line="360" w:lineRule="auto"/>
        <w:ind w:firstLine="482" w:firstLineChars="200"/>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G  询问、质疑、投诉</w:t>
      </w:r>
    </w:p>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p>
      <w:pPr>
        <w:snapToGrid w:val="0"/>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b/>
          <w:bCs/>
          <w:color w:val="000000" w:themeColor="text1"/>
          <w:sz w:val="24"/>
          <w:highlight w:val="none"/>
          <w:lang w:val="en-US" w:eastAsia="zh-CN"/>
          <w14:textFill>
            <w14:solidFill>
              <w14:schemeClr w14:val="tx1"/>
            </w14:solidFill>
          </w14:textFill>
        </w:rPr>
        <w:t>4</w:t>
      </w:r>
      <w:r>
        <w:rPr>
          <w:rFonts w:hint="eastAsia" w:ascii="宋体" w:hAnsi="宋体" w:cs="宋体"/>
          <w:b/>
          <w:bCs/>
          <w:color w:val="000000" w:themeColor="text1"/>
          <w:sz w:val="24"/>
          <w:highlight w:val="none"/>
          <w14:textFill>
            <w14:solidFill>
              <w14:schemeClr w14:val="tx1"/>
            </w14:solidFill>
          </w14:textFill>
        </w:rPr>
        <w:t>、询问</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.1投标人对采购活动事项有疑问的，可以向采购人或招标代理机构提出询问，采购人或招标代理机构应当在三个工作日内对投标人依法提出的询问作出答复，但答复的内容不得涉及商业秘密。</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、质疑</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.1 投标人认为招标文件、采购过程和</w:t>
      </w:r>
      <w:r>
        <w:rPr>
          <w:rFonts w:hint="eastAsia" w:ascii="宋体" w:hAnsi="宋体" w:cs="宋体"/>
          <w:color w:val="000000" w:themeColor="text1"/>
          <w:sz w:val="24"/>
          <w:highlight w:val="none"/>
          <w:lang w:eastAsia="zh-CN"/>
          <w14:textFill>
            <w14:solidFill>
              <w14:schemeClr w14:val="tx1"/>
            </w14:solidFill>
          </w14:textFill>
        </w:rPr>
        <w:t>中标</w:t>
      </w:r>
      <w:r>
        <w:rPr>
          <w:rFonts w:hint="eastAsia" w:ascii="宋体" w:hAnsi="宋体" w:cs="宋体"/>
          <w:color w:val="000000" w:themeColor="text1"/>
          <w:sz w:val="24"/>
          <w:highlight w:val="none"/>
          <w14:textFill>
            <w14:solidFill>
              <w14:schemeClr w14:val="tx1"/>
            </w14:solidFill>
          </w14:textFill>
        </w:rPr>
        <w:t>结果使自己的合法权益受到损害的，可以在知道或者应知其权益受到损害之日起七个工作日内，将质疑文件原件和必要的证明材料送达招标代理机构。</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b/>
          <w:bCs/>
          <w:color w:val="000000" w:themeColor="text1"/>
          <w:sz w:val="24"/>
          <w:highlight w:val="none"/>
          <w:lang w:val="en-US" w:eastAsia="zh-CN"/>
          <w14:textFill>
            <w14:solidFill>
              <w14:schemeClr w14:val="tx1"/>
            </w14:solidFill>
          </w14:textFill>
        </w:rPr>
        <w:t>5</w:t>
      </w:r>
      <w:r>
        <w:rPr>
          <w:rFonts w:hint="eastAsia" w:ascii="宋体" w:hAnsi="宋体" w:cs="宋体"/>
          <w:b/>
          <w:bCs/>
          <w:color w:val="000000" w:themeColor="text1"/>
          <w:sz w:val="24"/>
          <w:highlight w:val="none"/>
          <w14:textFill>
            <w14:solidFill>
              <w14:schemeClr w14:val="tx1"/>
            </w14:solidFill>
          </w14:textFill>
        </w:rPr>
        <w:t>.2投标人如对招标文件技术指标、参数、评分标准有质疑，向采购人提出，由采购人按相关规定作出答复或委托招标代理代理机构代为答复。投标人如对采购过程和采购结果有质疑，向招标代理代理机构提出，由招标代理机构按相关规定作出答复。</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 xml:space="preserve">.3上述应知其权益受到损害之日是指：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（1）对招标文件提出质疑的，为招标文件公告期限届满之日起计算；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（2）对采购过程提出质疑的，自采购程序环节结束之日起计算；</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（3）对</w:t>
      </w:r>
      <w:r>
        <w:rPr>
          <w:rFonts w:hint="eastAsia" w:ascii="宋体" w:hAnsi="宋体" w:cs="宋体"/>
          <w:color w:val="000000" w:themeColor="text1"/>
          <w:sz w:val="24"/>
          <w:highlight w:val="none"/>
          <w:lang w:eastAsia="zh-CN"/>
          <w14:textFill>
            <w14:solidFill>
              <w14:schemeClr w14:val="tx1"/>
            </w14:solidFill>
          </w14:textFill>
        </w:rPr>
        <w:t>中标</w:t>
      </w:r>
      <w:r>
        <w:rPr>
          <w:rFonts w:hint="eastAsia" w:ascii="宋体" w:hAnsi="宋体" w:cs="宋体"/>
          <w:color w:val="000000" w:themeColor="text1"/>
          <w:sz w:val="24"/>
          <w:highlight w:val="none"/>
          <w14:textFill>
            <w14:solidFill>
              <w14:schemeClr w14:val="tx1"/>
            </w14:solidFill>
          </w14:textFill>
        </w:rPr>
        <w:t>结果提出质疑的，自</w:t>
      </w:r>
      <w:r>
        <w:rPr>
          <w:rFonts w:hint="eastAsia" w:ascii="宋体" w:hAnsi="宋体" w:cs="宋体"/>
          <w:color w:val="000000" w:themeColor="text1"/>
          <w:sz w:val="24"/>
          <w:highlight w:val="none"/>
          <w:lang w:eastAsia="zh-CN"/>
          <w14:textFill>
            <w14:solidFill>
              <w14:schemeClr w14:val="tx1"/>
            </w14:solidFill>
          </w14:textFill>
        </w:rPr>
        <w:t>中标</w:t>
      </w:r>
      <w:r>
        <w:rPr>
          <w:rFonts w:hint="eastAsia" w:ascii="宋体" w:hAnsi="宋体" w:cs="宋体"/>
          <w:color w:val="000000" w:themeColor="text1"/>
          <w:sz w:val="24"/>
          <w:highlight w:val="none"/>
          <w14:textFill>
            <w14:solidFill>
              <w14:schemeClr w14:val="tx1"/>
            </w14:solidFill>
          </w14:textFill>
        </w:rPr>
        <w:t>或者</w:t>
      </w:r>
      <w:r>
        <w:rPr>
          <w:rFonts w:hint="eastAsia" w:ascii="宋体" w:hAnsi="宋体" w:cs="宋体"/>
          <w:color w:val="000000" w:themeColor="text1"/>
          <w:sz w:val="24"/>
          <w:highlight w:val="none"/>
          <w:lang w:eastAsia="zh-CN"/>
          <w14:textFill>
            <w14:solidFill>
              <w14:schemeClr w14:val="tx1"/>
            </w14:solidFill>
          </w14:textFill>
        </w:rPr>
        <w:t>中标</w:t>
      </w:r>
      <w:r>
        <w:rPr>
          <w:rFonts w:hint="eastAsia" w:ascii="宋体" w:hAnsi="宋体" w:cs="宋体"/>
          <w:color w:val="000000" w:themeColor="text1"/>
          <w:sz w:val="24"/>
          <w:highlight w:val="none"/>
          <w14:textFill>
            <w14:solidFill>
              <w14:schemeClr w14:val="tx1"/>
            </w14:solidFill>
          </w14:textFill>
        </w:rPr>
        <w:t>结果公告期限届满之日起计算。</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.4质疑投标人在法定质疑期内应当一次性提出针对同一采购环节提出质疑。</w:t>
      </w:r>
    </w:p>
    <w:p>
      <w:pPr>
        <w:pStyle w:val="521"/>
        <w:spacing w:line="360" w:lineRule="auto"/>
        <w:ind w:left="1" w:firstLine="482"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w:t>
      </w:r>
      <w:r>
        <w:rPr>
          <w:rFonts w:hint="eastAsia" w:hAnsi="宋体" w:cs="宋体"/>
          <w:b/>
          <w:color w:val="000000" w:themeColor="text1"/>
          <w:sz w:val="24"/>
          <w:szCs w:val="24"/>
          <w:highlight w:val="none"/>
          <w:lang w:val="en-US" w:eastAsia="zh-CN"/>
          <w14:textFill>
            <w14:solidFill>
              <w14:schemeClr w14:val="tx1"/>
            </w14:solidFill>
          </w14:textFill>
        </w:rPr>
        <w:t>5</w:t>
      </w:r>
      <w:r>
        <w:rPr>
          <w:rFonts w:hint="eastAsia" w:hAnsi="宋体" w:cs="宋体"/>
          <w:b/>
          <w:color w:val="000000" w:themeColor="text1"/>
          <w:sz w:val="24"/>
          <w:szCs w:val="24"/>
          <w:highlight w:val="none"/>
          <w14:textFill>
            <w14:solidFill>
              <w14:schemeClr w14:val="tx1"/>
            </w14:solidFill>
          </w14:textFill>
        </w:rPr>
        <w:t>.5质疑文件应包括以下主要内容，并按照“谁主张、谁举证”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（1）投标人的姓名或者名称、地址、邮编、联系人及联系电话（包括座机、手机、传真号码等）；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（2）质疑项目的名称、项目编号、包号、采购公告发布时间、递交投标文件或投标文件截止时间；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（3）具体、明确的质疑事项和与质疑事项相关的请求；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（5）必要的法律依据；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（6）提起质疑的日期；</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（8）投标人委托代理质疑的，应当提交授权委托书，并载明代理人的姓名或者名称、代理事项、 具体权限、期限和相关事项。</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.6质疑投标人是指直接参加本项目采购活动的投标人，未参加政府采购活动的投标人或在采购活动中自身权益未受到损害的投标人所提出的质疑不予受理。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.7采购人、招标代理机构在收到投标人的书面质疑后将及时组织调查核实，在七个工作日内作出答复，并以书面形式通知质疑投标人和其他有关投标人，答复的内容不涉及商业秘密。</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6</w:t>
      </w:r>
      <w:r>
        <w:rPr>
          <w:rFonts w:hint="eastAsia" w:ascii="宋体" w:hAnsi="宋体" w:cs="宋体"/>
          <w:b/>
          <w:color w:val="000000" w:themeColor="text1"/>
          <w:sz w:val="24"/>
          <w:highlight w:val="none"/>
          <w14:textFill>
            <w14:solidFill>
              <w14:schemeClr w14:val="tx1"/>
            </w14:solidFill>
          </w14:textFill>
        </w:rPr>
        <w:t>、投诉</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.1 质疑投标人对采购人、招标代理机构的答复不满意，或采购人、招标代理机构未在规定的时间内作出答复的，可以在答复期满后十五个工作日内向采购项目同级财政部门提起投诉。</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.2投标人投诉的事项不得超出已质疑事项的范围，但基于质疑答复内容提出的投诉事项除外。</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7</w:t>
      </w:r>
      <w:r>
        <w:rPr>
          <w:rFonts w:hint="eastAsia" w:ascii="宋体" w:hAnsi="宋体" w:cs="宋体"/>
          <w:b/>
          <w:color w:val="000000" w:themeColor="text1"/>
          <w:sz w:val="24"/>
          <w:highlight w:val="none"/>
          <w14:textFill>
            <w14:solidFill>
              <w14:schemeClr w14:val="tx1"/>
            </w14:solidFill>
          </w14:textFill>
        </w:rPr>
        <w:t>、诚实信用</w:t>
      </w:r>
    </w:p>
    <w:p>
      <w:pPr>
        <w:pageBreakBefore w:val="0"/>
        <w:kinsoku/>
        <w:topLinePunct w:val="0"/>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4</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color w:val="000000" w:themeColor="text1"/>
          <w:sz w:val="24"/>
          <w:szCs w:val="24"/>
          <w:highlight w:val="none"/>
          <w14:textFill>
            <w14:solidFill>
              <w14:schemeClr w14:val="tx1"/>
            </w14:solidFill>
          </w14:textFill>
        </w:rPr>
        <w:t xml:space="preserve">.1 </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color w:val="000000" w:themeColor="text1"/>
          <w:sz w:val="24"/>
          <w:szCs w:val="24"/>
          <w:highlight w:val="none"/>
          <w14:textFill>
            <w14:solidFill>
              <w14:schemeClr w14:val="tx1"/>
            </w14:solidFill>
          </w14:textFill>
        </w:rPr>
        <w:t>不得虚假承诺，否则，按照提供虚假材料谋取中标或成交处理。</w:t>
      </w:r>
    </w:p>
    <w:p>
      <w:pPr>
        <w:pageBreakBefore w:val="0"/>
        <w:kinsoku/>
        <w:topLinePunct w:val="0"/>
        <w:bidi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4</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color w:val="000000" w:themeColor="text1"/>
          <w:sz w:val="24"/>
          <w:szCs w:val="24"/>
          <w:highlight w:val="none"/>
          <w14:textFill>
            <w14:solidFill>
              <w14:schemeClr w14:val="tx1"/>
            </w14:solidFill>
          </w14:textFill>
        </w:rPr>
        <w:t>.2</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color w:val="000000" w:themeColor="text1"/>
          <w:sz w:val="24"/>
          <w:szCs w:val="24"/>
          <w:highlight w:val="none"/>
          <w14:textFill>
            <w14:solidFill>
              <w14:schemeClr w14:val="tx1"/>
            </w14:solidFill>
          </w14:textFill>
        </w:rPr>
        <w:t>提供中小企业声明函内容不实的，属于提供虚假材料谋取中标、成交，依照《中华人民共和国政府采购法》等国家有关规定追究相应责任。</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napToGrid w:val="0"/>
        <w:spacing w:line="360" w:lineRule="auto"/>
        <w:ind w:firstLine="482" w:firstLineChars="200"/>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H   义务、工作纪律</w:t>
      </w:r>
    </w:p>
    <w:p>
      <w:pPr>
        <w:tabs>
          <w:tab w:val="left" w:pos="766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8</w:t>
      </w:r>
      <w:r>
        <w:rPr>
          <w:rFonts w:hint="eastAsia" w:ascii="宋体" w:hAnsi="宋体" w:cs="宋体"/>
          <w:b/>
          <w:color w:val="000000" w:themeColor="text1"/>
          <w:sz w:val="24"/>
          <w:highlight w:val="none"/>
          <w14:textFill>
            <w14:solidFill>
              <w14:schemeClr w14:val="tx1"/>
            </w14:solidFill>
          </w14:textFill>
        </w:rPr>
        <w:t>、采购人或者招标代理机构负责组织评标工作，并履行下列职责：</w:t>
      </w:r>
    </w:p>
    <w:p>
      <w:pPr>
        <w:tabs>
          <w:tab w:val="left" w:pos="766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8</w:t>
      </w:r>
      <w:r>
        <w:rPr>
          <w:rFonts w:hint="eastAsia" w:ascii="宋体" w:hAnsi="宋体" w:cs="宋体"/>
          <w:b/>
          <w:color w:val="000000" w:themeColor="text1"/>
          <w:sz w:val="24"/>
          <w:highlight w:val="none"/>
          <w14:textFill>
            <w14:solidFill>
              <w14:schemeClr w14:val="tx1"/>
            </w14:solidFill>
          </w14:textFill>
        </w:rPr>
        <w:t>.1核对评审专家身份和采购人代表授权函，对评审专家在政府采购活动中的职责履行情况予以记录，并及时将有关违法违规行为向财政部门报告；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w:t>
      </w:r>
      <w:r>
        <w:rPr>
          <w:rFonts w:hint="eastAsia" w:ascii="宋体" w:hAnsi="宋体" w:eastAsia="宋体" w:cs="宋体"/>
          <w:b/>
          <w:color w:val="000000" w:themeColor="text1"/>
          <w:sz w:val="24"/>
          <w:highlight w:val="none"/>
          <w:lang w:val="en-US" w:eastAsia="zh-CN"/>
          <w14:textFill>
            <w14:solidFill>
              <w14:schemeClr w14:val="tx1"/>
            </w14:solidFill>
          </w14:textFill>
        </w:rPr>
        <w:t>8</w:t>
      </w:r>
      <w:r>
        <w:rPr>
          <w:rFonts w:hint="eastAsia" w:ascii="宋体" w:hAnsi="宋体" w:eastAsia="宋体" w:cs="宋体"/>
          <w:b/>
          <w:color w:val="000000" w:themeColor="text1"/>
          <w:sz w:val="24"/>
          <w:highlight w:val="none"/>
          <w14:textFill>
            <w14:solidFill>
              <w14:schemeClr w14:val="tx1"/>
            </w14:solidFill>
          </w14:textFill>
        </w:rPr>
        <w:t>.2宣布评标纪律；</w:t>
      </w:r>
    </w:p>
    <w:p>
      <w:pPr>
        <w:tabs>
          <w:tab w:val="left" w:pos="7665"/>
        </w:tabs>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w:t>
      </w:r>
      <w:r>
        <w:rPr>
          <w:rFonts w:hint="eastAsia" w:ascii="宋体" w:hAnsi="宋体" w:eastAsia="宋体" w:cs="宋体"/>
          <w:b/>
          <w:color w:val="000000" w:themeColor="text1"/>
          <w:sz w:val="24"/>
          <w:highlight w:val="none"/>
          <w:lang w:val="en-US" w:eastAsia="zh-CN"/>
          <w14:textFill>
            <w14:solidFill>
              <w14:schemeClr w14:val="tx1"/>
            </w14:solidFill>
          </w14:textFill>
        </w:rPr>
        <w:t>8</w:t>
      </w:r>
      <w:r>
        <w:rPr>
          <w:rFonts w:hint="eastAsia" w:ascii="宋体" w:hAnsi="宋体" w:eastAsia="宋体" w:cs="宋体"/>
          <w:b/>
          <w:color w:val="000000" w:themeColor="text1"/>
          <w:sz w:val="24"/>
          <w:highlight w:val="none"/>
          <w14:textFill>
            <w14:solidFill>
              <w14:schemeClr w14:val="tx1"/>
            </w14:solidFill>
          </w14:textFill>
        </w:rPr>
        <w:t>.3公布投标人名单，告知评审专家应当回避的情形；</w:t>
      </w:r>
    </w:p>
    <w:p>
      <w:pPr>
        <w:tabs>
          <w:tab w:val="left" w:pos="7665"/>
        </w:tabs>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w:t>
      </w:r>
      <w:r>
        <w:rPr>
          <w:rFonts w:hint="eastAsia" w:ascii="宋体" w:hAnsi="宋体" w:eastAsia="宋体" w:cs="宋体"/>
          <w:b/>
          <w:color w:val="000000" w:themeColor="text1"/>
          <w:sz w:val="24"/>
          <w:highlight w:val="none"/>
          <w:lang w:val="en-US" w:eastAsia="zh-CN"/>
          <w14:textFill>
            <w14:solidFill>
              <w14:schemeClr w14:val="tx1"/>
            </w14:solidFill>
          </w14:textFill>
        </w:rPr>
        <w:t>8</w:t>
      </w:r>
      <w:r>
        <w:rPr>
          <w:rFonts w:hint="eastAsia" w:ascii="宋体" w:hAnsi="宋体" w:eastAsia="宋体" w:cs="宋体"/>
          <w:b/>
          <w:color w:val="000000" w:themeColor="text1"/>
          <w:sz w:val="24"/>
          <w:highlight w:val="none"/>
          <w14:textFill>
            <w14:solidFill>
              <w14:schemeClr w14:val="tx1"/>
            </w14:solidFill>
          </w14:textFill>
        </w:rPr>
        <w:t>.4组织评标委员会推选评标组长，采购人代表不得担任组长；</w:t>
      </w:r>
    </w:p>
    <w:p>
      <w:pPr>
        <w:tabs>
          <w:tab w:val="left" w:pos="7665"/>
        </w:tabs>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w:t>
      </w:r>
      <w:r>
        <w:rPr>
          <w:rFonts w:hint="eastAsia" w:ascii="宋体" w:hAnsi="宋体" w:eastAsia="宋体" w:cs="宋体"/>
          <w:b/>
          <w:color w:val="000000" w:themeColor="text1"/>
          <w:sz w:val="24"/>
          <w:highlight w:val="none"/>
          <w:lang w:val="en-US" w:eastAsia="zh-CN"/>
          <w14:textFill>
            <w14:solidFill>
              <w14:schemeClr w14:val="tx1"/>
            </w14:solidFill>
          </w14:textFill>
        </w:rPr>
        <w:t>8</w:t>
      </w:r>
      <w:r>
        <w:rPr>
          <w:rFonts w:hint="eastAsia" w:ascii="宋体" w:hAnsi="宋体" w:eastAsia="宋体" w:cs="宋体"/>
          <w:b/>
          <w:color w:val="000000" w:themeColor="text1"/>
          <w:sz w:val="24"/>
          <w:highlight w:val="none"/>
          <w14:textFill>
            <w14:solidFill>
              <w14:schemeClr w14:val="tx1"/>
            </w14:solidFill>
          </w14:textFill>
        </w:rPr>
        <w:t>.5在评标期间采取必要的通讯管理措施，保证评标活动不受外界干扰；</w:t>
      </w:r>
    </w:p>
    <w:p>
      <w:pPr>
        <w:tabs>
          <w:tab w:val="left" w:pos="7665"/>
        </w:tabs>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w:t>
      </w:r>
      <w:r>
        <w:rPr>
          <w:rFonts w:hint="eastAsia" w:ascii="宋体" w:hAnsi="宋体" w:eastAsia="宋体" w:cs="宋体"/>
          <w:b/>
          <w:color w:val="000000" w:themeColor="text1"/>
          <w:sz w:val="24"/>
          <w:highlight w:val="none"/>
          <w:lang w:val="en-US" w:eastAsia="zh-CN"/>
          <w14:textFill>
            <w14:solidFill>
              <w14:schemeClr w14:val="tx1"/>
            </w14:solidFill>
          </w14:textFill>
        </w:rPr>
        <w:t>8</w:t>
      </w:r>
      <w:r>
        <w:rPr>
          <w:rFonts w:hint="eastAsia" w:ascii="宋体" w:hAnsi="宋体" w:eastAsia="宋体" w:cs="宋体"/>
          <w:b/>
          <w:color w:val="000000" w:themeColor="text1"/>
          <w:sz w:val="24"/>
          <w:highlight w:val="none"/>
          <w14:textFill>
            <w14:solidFill>
              <w14:schemeClr w14:val="tx1"/>
            </w14:solidFill>
          </w14:textFill>
        </w:rPr>
        <w:t>.6根据评标委员会的要求介绍政府采购相关政策法规、招标文件；</w:t>
      </w:r>
    </w:p>
    <w:p>
      <w:pPr>
        <w:tabs>
          <w:tab w:val="left" w:pos="766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8</w:t>
      </w:r>
      <w:r>
        <w:rPr>
          <w:rFonts w:hint="eastAsia" w:ascii="宋体" w:hAnsi="宋体" w:cs="宋体"/>
          <w:b/>
          <w:color w:val="000000" w:themeColor="text1"/>
          <w:sz w:val="24"/>
          <w:highlight w:val="none"/>
          <w14:textFill>
            <w14:solidFill>
              <w14:schemeClr w14:val="tx1"/>
            </w14:solidFill>
          </w14:textFill>
        </w:rPr>
        <w:t>.7维护评标秩序，监督评标委员会依照招标文件规定的评标程序、方法和标准进行独立评审，及时制止和纠正采购人代表、评审专家的倾向性言论或者违法违规行为；</w:t>
      </w:r>
    </w:p>
    <w:p>
      <w:pPr>
        <w:tabs>
          <w:tab w:val="left" w:pos="766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8</w:t>
      </w:r>
      <w:r>
        <w:rPr>
          <w:rFonts w:hint="eastAsia" w:ascii="宋体" w:hAnsi="宋体" w:cs="宋体"/>
          <w:b/>
          <w:color w:val="000000" w:themeColor="text1"/>
          <w:sz w:val="24"/>
          <w:highlight w:val="none"/>
          <w14:textFill>
            <w14:solidFill>
              <w14:schemeClr w14:val="tx1"/>
            </w14:solidFill>
          </w14:textFill>
        </w:rPr>
        <w:t>.8核对评标结果，有本办法第六十四条规定情形的，要求评标委员会复核或者书面说明理由，评标委员会拒绝的，应予记录并向本级财政部门报告；</w:t>
      </w:r>
    </w:p>
    <w:p>
      <w:pPr>
        <w:tabs>
          <w:tab w:val="left" w:pos="766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8</w:t>
      </w:r>
      <w:r>
        <w:rPr>
          <w:rFonts w:hint="eastAsia" w:ascii="宋体" w:hAnsi="宋体" w:cs="宋体"/>
          <w:b/>
          <w:color w:val="000000" w:themeColor="text1"/>
          <w:sz w:val="24"/>
          <w:highlight w:val="none"/>
          <w14:textFill>
            <w14:solidFill>
              <w14:schemeClr w14:val="tx1"/>
            </w14:solidFill>
          </w14:textFill>
        </w:rPr>
        <w:t>.9评审工作完成后，按照规定向评审专家支付劳务报酬和异地评审差旅费，不得向评审专家以外的其他人员支付评审劳务报酬；</w:t>
      </w:r>
    </w:p>
    <w:p>
      <w:pPr>
        <w:tabs>
          <w:tab w:val="left" w:pos="766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8</w:t>
      </w:r>
      <w:r>
        <w:rPr>
          <w:rFonts w:hint="eastAsia" w:ascii="宋体" w:hAnsi="宋体" w:cs="宋体"/>
          <w:b/>
          <w:color w:val="000000" w:themeColor="text1"/>
          <w:sz w:val="24"/>
          <w:highlight w:val="none"/>
          <w14:textFill>
            <w14:solidFill>
              <w14:schemeClr w14:val="tx1"/>
            </w14:solidFill>
          </w14:textFill>
        </w:rPr>
        <w:t>.10处理与评标有关的其他事项。</w:t>
      </w:r>
    </w:p>
    <w:p>
      <w:pPr>
        <w:tabs>
          <w:tab w:val="left" w:pos="766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采购人可以在评标前说明项目背景和采购需求，说明内容不得含有歧视性、倾向性意见，不得超出招标文件所述范围。说明应当提交书面材料，并随招标文件一并存档。</w:t>
      </w:r>
    </w:p>
    <w:p>
      <w:pPr>
        <w:tabs>
          <w:tab w:val="left" w:pos="7665"/>
        </w:tabs>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49</w:t>
      </w:r>
      <w:r>
        <w:rPr>
          <w:rFonts w:hint="eastAsia" w:ascii="宋体" w:hAnsi="宋体" w:cs="宋体"/>
          <w:b/>
          <w:color w:val="000000" w:themeColor="text1"/>
          <w:sz w:val="24"/>
          <w:highlight w:val="none"/>
          <w14:textFill>
            <w14:solidFill>
              <w14:schemeClr w14:val="tx1"/>
            </w14:solidFill>
          </w14:textFill>
        </w:rPr>
        <w:t>、评标委员会在政府采购活动中应当遵守以下工作纪律</w:t>
      </w:r>
      <w:r>
        <w:rPr>
          <w:rFonts w:hint="eastAsia" w:ascii="宋体" w:hAnsi="宋体" w:cs="宋体"/>
          <w:color w:val="000000" w:themeColor="text1"/>
          <w:sz w:val="24"/>
          <w:highlight w:val="none"/>
          <w14:textFill>
            <w14:solidFill>
              <w14:schemeClr w14:val="tx1"/>
            </w14:solidFill>
          </w14:textFill>
        </w:rPr>
        <w:t>：</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49</w:t>
      </w:r>
      <w:r>
        <w:rPr>
          <w:rFonts w:hint="eastAsia" w:ascii="宋体" w:hAnsi="宋体" w:cs="宋体"/>
          <w:color w:val="000000" w:themeColor="text1"/>
          <w:sz w:val="24"/>
          <w:highlight w:val="none"/>
          <w14:textFill>
            <w14:solidFill>
              <w14:schemeClr w14:val="tx1"/>
            </w14:solidFill>
          </w14:textFill>
        </w:rPr>
        <w:t>.1不得参加与自己有《中华人民共和国政府采购法实施条例》第九条规定的利害关系的政府采购项目的评标活动。发现参加了与自己有利害关系的评审活动，须主动提出回避，退出评审；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49</w:t>
      </w:r>
      <w:r>
        <w:rPr>
          <w:rFonts w:hint="eastAsia" w:ascii="宋体" w:hAnsi="宋体" w:cs="宋体"/>
          <w:color w:val="000000" w:themeColor="text1"/>
          <w:sz w:val="24"/>
          <w:highlight w:val="none"/>
          <w14:textFill>
            <w14:solidFill>
              <w14:schemeClr w14:val="tx1"/>
            </w14:solidFill>
          </w14:textFill>
        </w:rPr>
        <w:t>.2评审前，应当将通讯工具或者相关电子设备交由招标代理机构统一保管；</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49</w:t>
      </w:r>
      <w:r>
        <w:rPr>
          <w:rFonts w:hint="eastAsia" w:ascii="宋体" w:hAnsi="宋体" w:cs="宋体"/>
          <w:color w:val="000000" w:themeColor="text1"/>
          <w:sz w:val="24"/>
          <w:highlight w:val="none"/>
          <w14:textFill>
            <w14:solidFill>
              <w14:schemeClr w14:val="tx1"/>
            </w14:solidFill>
          </w14:textFill>
        </w:rPr>
        <w:t>.3评审过程中，不得与外界联系，因发生不可预见情况，确实需要与外界联系的，应当在监督人员监督之下办理；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49</w:t>
      </w:r>
      <w:r>
        <w:rPr>
          <w:rFonts w:hint="eastAsia" w:ascii="宋体" w:hAnsi="宋体" w:cs="宋体"/>
          <w:color w:val="000000" w:themeColor="text1"/>
          <w:sz w:val="24"/>
          <w:highlight w:val="none"/>
          <w14:textFill>
            <w14:solidFill>
              <w14:schemeClr w14:val="tx1"/>
            </w14:solidFill>
          </w14:textFill>
        </w:rPr>
        <w:t>.4评审过程中，不得发表影响评审公正的倾向性、歧视性言论，不得征询或者接受采购人的倾向性意见，不得明示或暗示投标人在澄清时表达与其投标文件原义不同的意见，不得以招标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49</w:t>
      </w:r>
      <w:r>
        <w:rPr>
          <w:rFonts w:hint="eastAsia" w:ascii="宋体" w:hAnsi="宋体" w:cs="宋体"/>
          <w:color w:val="000000" w:themeColor="text1"/>
          <w:sz w:val="24"/>
          <w:highlight w:val="none"/>
          <w14:textFill>
            <w14:solidFill>
              <w14:schemeClr w14:val="tx1"/>
            </w14:solidFill>
          </w14:textFill>
        </w:rPr>
        <w:t>.5在评审过程中和评审结束后，不得记录、复制或带走任何评审资料，不得向外界透露评审内容；</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49</w:t>
      </w:r>
      <w:r>
        <w:rPr>
          <w:rFonts w:hint="eastAsia" w:ascii="宋体" w:hAnsi="宋体" w:cs="宋体"/>
          <w:color w:val="000000" w:themeColor="text1"/>
          <w:sz w:val="24"/>
          <w:highlight w:val="none"/>
          <w14:textFill>
            <w14:solidFill>
              <w14:schemeClr w14:val="tx1"/>
            </w14:solidFill>
          </w14:textFill>
        </w:rPr>
        <w:t>.6评审现场服从招标代理机构工作人员的管理，接受现场监督人员的合法监督；</w:t>
      </w:r>
    </w:p>
    <w:p>
      <w:pPr>
        <w:tabs>
          <w:tab w:val="left" w:pos="7665"/>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49</w:t>
      </w:r>
      <w:r>
        <w:rPr>
          <w:rFonts w:hint="eastAsia" w:ascii="宋体" w:hAnsi="宋体" w:cs="宋体"/>
          <w:color w:val="000000" w:themeColor="text1"/>
          <w:sz w:val="24"/>
          <w:highlight w:val="none"/>
          <w14:textFill>
            <w14:solidFill>
              <w14:schemeClr w14:val="tx1"/>
            </w14:solidFill>
          </w14:textFill>
        </w:rPr>
        <w:t>.7遵守有关廉洁自律规定，不得私下接触投标人，不得收受投标人及有关业务单位和个人的财物或好处，不得接受招标代理机构的请托。</w:t>
      </w:r>
    </w:p>
    <w:p>
      <w:pPr>
        <w:tabs>
          <w:tab w:val="left" w:pos="766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lang w:val="en-US" w:eastAsia="zh-CN"/>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、评标委员会负责具体评标事务，并独立履行下列职责：</w:t>
      </w:r>
    </w:p>
    <w:p>
      <w:pPr>
        <w:tabs>
          <w:tab w:val="left" w:pos="766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lang w:val="en-US" w:eastAsia="zh-CN"/>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.1审查、评价投标文件是否符合招标文件的商务、技术等实质性要求；</w:t>
      </w:r>
    </w:p>
    <w:p>
      <w:pPr>
        <w:tabs>
          <w:tab w:val="left" w:pos="766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lang w:val="en-US" w:eastAsia="zh-CN"/>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.2要求投标人对投标文件有关事项作出澄清或者说明；</w:t>
      </w:r>
    </w:p>
    <w:p>
      <w:pPr>
        <w:tabs>
          <w:tab w:val="left" w:pos="766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lang w:val="en-US" w:eastAsia="zh-CN"/>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.3对投标文件进行比较和评价；</w:t>
      </w:r>
    </w:p>
    <w:p>
      <w:pPr>
        <w:tabs>
          <w:tab w:val="left" w:pos="7665"/>
        </w:tabs>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lang w:val="en-US" w:eastAsia="zh-CN"/>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.4确定</w:t>
      </w:r>
      <w:r>
        <w:rPr>
          <w:rFonts w:hint="eastAsia" w:ascii="宋体" w:hAnsi="宋体" w:cs="宋体"/>
          <w:b/>
          <w:color w:val="000000" w:themeColor="text1"/>
          <w:sz w:val="24"/>
          <w:highlight w:val="none"/>
          <w:lang w:eastAsia="zh-CN"/>
          <w14:textFill>
            <w14:solidFill>
              <w14:schemeClr w14:val="tx1"/>
            </w14:solidFill>
          </w14:textFill>
        </w:rPr>
        <w:t>中标</w:t>
      </w:r>
      <w:r>
        <w:rPr>
          <w:rFonts w:hint="eastAsia" w:ascii="宋体" w:hAnsi="宋体" w:cs="宋体"/>
          <w:b/>
          <w:color w:val="000000" w:themeColor="text1"/>
          <w:sz w:val="24"/>
          <w:highlight w:val="none"/>
          <w14:textFill>
            <w14:solidFill>
              <w14:schemeClr w14:val="tx1"/>
            </w14:solidFill>
          </w14:textFill>
        </w:rPr>
        <w:t>单位名单，以及根据采购人委托直接确定</w:t>
      </w:r>
      <w:r>
        <w:rPr>
          <w:rFonts w:hint="eastAsia" w:ascii="宋体" w:hAnsi="宋体" w:cs="宋体"/>
          <w:b/>
          <w:color w:val="000000" w:themeColor="text1"/>
          <w:sz w:val="24"/>
          <w:highlight w:val="none"/>
          <w:lang w:eastAsia="zh-CN"/>
          <w14:textFill>
            <w14:solidFill>
              <w14:schemeClr w14:val="tx1"/>
            </w14:solidFill>
          </w14:textFill>
        </w:rPr>
        <w:t>中标</w:t>
      </w:r>
      <w:r>
        <w:rPr>
          <w:rFonts w:hint="eastAsia" w:ascii="宋体" w:hAnsi="宋体" w:cs="宋体"/>
          <w:b/>
          <w:color w:val="000000" w:themeColor="text1"/>
          <w:sz w:val="24"/>
          <w:highlight w:val="none"/>
          <w14:textFill>
            <w14:solidFill>
              <w14:schemeClr w14:val="tx1"/>
            </w14:solidFill>
          </w14:textFill>
        </w:rPr>
        <w:t>单位；</w:t>
      </w:r>
    </w:p>
    <w:p>
      <w:pPr>
        <w:tabs>
          <w:tab w:val="left" w:pos="7665"/>
        </w:tabs>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lang w:val="en-US" w:eastAsia="zh-CN"/>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.5向采购人、招标代理机构或者有关部门报告评标中发现的违法行为。</w:t>
      </w:r>
    </w:p>
    <w:p>
      <w:pPr>
        <w:tabs>
          <w:tab w:val="left" w:pos="7665"/>
        </w:tabs>
        <w:spacing w:line="360" w:lineRule="auto"/>
        <w:ind w:firstLine="482" w:firstLineChars="200"/>
        <w:rPr>
          <w:rFonts w:hint="eastAsia" w:ascii="宋体" w:hAnsi="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51、代理服务费：与采购人协商，本项目采购代理服务费由成交供应商在领取成交通知书同时向采购代理机构支付，采购代理服务费为：¥2万元整（大写：人民币贰万元整）。</w:t>
      </w:r>
    </w:p>
    <w:p>
      <w:pPr>
        <w:snapToGrid w:val="0"/>
        <w:spacing w:line="360" w:lineRule="auto"/>
        <w:ind w:firstLine="361" w:firstLineChars="150"/>
        <w:jc w:val="left"/>
        <w:rPr>
          <w:rFonts w:ascii="宋体" w:hAnsi="宋体" w:cs="宋体"/>
          <w:b/>
          <w:bCs/>
          <w:color w:val="000000" w:themeColor="text1"/>
          <w:sz w:val="24"/>
          <w:highlight w:val="none"/>
          <w14:textFill>
            <w14:solidFill>
              <w14:schemeClr w14:val="tx1"/>
            </w14:solidFill>
          </w14:textFill>
        </w:rPr>
      </w:pPr>
    </w:p>
    <w:p>
      <w:pPr>
        <w:snapToGrid w:val="0"/>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p>
    <w:p>
      <w:pPr>
        <w:snapToGrid w:val="0"/>
        <w:spacing w:line="360" w:lineRule="auto"/>
        <w:ind w:firstLine="562" w:firstLineChars="200"/>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第三章 项目采购需求</w:t>
      </w:r>
    </w:p>
    <w:p>
      <w:pPr>
        <w:pStyle w:val="525"/>
        <w:ind w:firstLine="640"/>
        <w:rPr>
          <w:rFonts w:hint="eastAsia" w:ascii="宋体" w:hAnsi="宋体" w:eastAsia="宋体" w:cs="宋体"/>
          <w:b w:val="0"/>
          <w:color w:val="000000" w:themeColor="text1"/>
          <w:sz w:val="24"/>
          <w:szCs w:val="24"/>
          <w:highlight w:val="none"/>
          <w14:textFill>
            <w14:solidFill>
              <w14:schemeClr w14:val="tx1"/>
            </w14:solidFill>
          </w14:textFill>
        </w:rPr>
      </w:pPr>
      <w:bookmarkStart w:id="166" w:name="_Toc491251391"/>
      <w:r>
        <w:rPr>
          <w:rFonts w:hint="eastAsia" w:ascii="宋体" w:hAnsi="宋体" w:eastAsia="宋体" w:cs="宋体"/>
          <w:b w:val="0"/>
          <w:color w:val="000000" w:themeColor="text1"/>
          <w:sz w:val="24"/>
          <w:szCs w:val="24"/>
          <w:highlight w:val="none"/>
          <w14:textFill>
            <w14:solidFill>
              <w14:schemeClr w14:val="tx1"/>
            </w14:solidFill>
          </w14:textFill>
        </w:rPr>
        <w:t>一、项目基本情况</w:t>
      </w:r>
      <w:bookmarkEnd w:id="166"/>
    </w:p>
    <w:p>
      <w:pPr>
        <w:pStyle w:val="519"/>
        <w:ind w:firstLine="64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乌尔禾区乌尔禾镇人民政府现对乌尔禾“西部乌镇”环卫服务进行公开采购。</w:t>
      </w:r>
    </w:p>
    <w:tbl>
      <w:tblPr>
        <w:tblStyle w:val="57"/>
        <w:tblpPr w:leftFromText="180" w:rightFromText="180" w:vertAnchor="text" w:horzAnchor="page" w:tblpX="1084" w:tblpY="142"/>
        <w:tblOverlap w:val="never"/>
        <w:tblW w:w="10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3"/>
        <w:gridCol w:w="1630"/>
        <w:gridCol w:w="962"/>
        <w:gridCol w:w="1700"/>
        <w:gridCol w:w="1300"/>
        <w:gridCol w:w="2558"/>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3" w:hRule="atLeast"/>
        </w:trPr>
        <w:tc>
          <w:tcPr>
            <w:tcW w:w="863"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标项序号</w:t>
            </w:r>
          </w:p>
        </w:tc>
        <w:tc>
          <w:tcPr>
            <w:tcW w:w="1630"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标项名称</w:t>
            </w:r>
          </w:p>
        </w:tc>
        <w:tc>
          <w:tcPr>
            <w:tcW w:w="962"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数量</w:t>
            </w:r>
          </w:p>
        </w:tc>
        <w:tc>
          <w:tcPr>
            <w:tcW w:w="1700"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预算金额</w:t>
            </w:r>
          </w:p>
          <w:p>
            <w:pPr>
              <w:widowControl/>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万</w:t>
            </w:r>
            <w:r>
              <w:rPr>
                <w:rFonts w:hint="eastAsia" w:ascii="宋体" w:hAnsi="宋体" w:eastAsia="宋体" w:cs="宋体"/>
                <w:color w:val="000000" w:themeColor="text1"/>
                <w:kern w:val="0"/>
                <w:sz w:val="24"/>
                <w:szCs w:val="24"/>
                <w:highlight w:val="none"/>
                <w:lang w:bidi="ar"/>
                <w14:textFill>
                  <w14:solidFill>
                    <w14:schemeClr w14:val="tx1"/>
                  </w14:solidFill>
                </w14:textFill>
              </w:rPr>
              <w:t>元)</w:t>
            </w:r>
          </w:p>
        </w:tc>
        <w:tc>
          <w:tcPr>
            <w:tcW w:w="1300"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单位</w:t>
            </w:r>
          </w:p>
        </w:tc>
        <w:tc>
          <w:tcPr>
            <w:tcW w:w="2558"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简要规格描述</w:t>
            </w:r>
          </w:p>
        </w:tc>
        <w:tc>
          <w:tcPr>
            <w:tcW w:w="1632"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bidi="ar"/>
                <w14:textFill>
                  <w14:solidFill>
                    <w14:schemeClr w14:val="tx1"/>
                  </w14:solidFill>
                </w14:textFill>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8" w:hRule="atLeast"/>
        </w:trPr>
        <w:tc>
          <w:tcPr>
            <w:tcW w:w="863"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630"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eastAsia="zh-CN" w:bidi="ar"/>
                <w14:textFill>
                  <w14:solidFill>
                    <w14:schemeClr w14:val="tx1"/>
                  </w14:solidFill>
                </w14:textFill>
              </w:rPr>
              <w:t>乌尔禾“西部乌镇”环卫服务</w:t>
            </w:r>
          </w:p>
        </w:tc>
        <w:tc>
          <w:tcPr>
            <w:tcW w:w="962"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700"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250.772809</w:t>
            </w:r>
          </w:p>
        </w:tc>
        <w:tc>
          <w:tcPr>
            <w:tcW w:w="1300"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w:t>
            </w:r>
          </w:p>
        </w:tc>
        <w:tc>
          <w:tcPr>
            <w:tcW w:w="2558"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西部乌镇公共区域环卫服务工作面积总计369780.50㎡，包含道路、广场、停车场及沿街商铺前面的公共区域等。</w:t>
            </w:r>
          </w:p>
        </w:tc>
        <w:tc>
          <w:tcPr>
            <w:tcW w:w="1632"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2021年12月1日至2022年12月31日</w:t>
            </w:r>
          </w:p>
        </w:tc>
      </w:tr>
    </w:tbl>
    <w:p>
      <w:pPr>
        <w:pStyle w:val="525"/>
        <w:keepNext w:val="0"/>
        <w:keepLines w:val="0"/>
        <w:pageBreakBefore w:val="0"/>
        <w:widowControl w:val="0"/>
        <w:numPr>
          <w:ilvl w:val="0"/>
          <w:numId w:val="0"/>
        </w:numPr>
        <w:kinsoku/>
        <w:wordWrap/>
        <w:overflowPunct/>
        <w:topLinePunct w:val="0"/>
        <w:autoSpaceDE/>
        <w:autoSpaceDN/>
        <w:bidi w:val="0"/>
        <w:snapToGrid w:val="0"/>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服务内容及要求</w:t>
      </w:r>
    </w:p>
    <w:p>
      <w:pPr>
        <w:pStyle w:val="525"/>
        <w:keepNext w:val="0"/>
        <w:keepLines w:val="0"/>
        <w:pageBreakBefore w:val="0"/>
        <w:widowControl w:val="0"/>
        <w:numPr>
          <w:ilvl w:val="0"/>
          <w:numId w:val="0"/>
        </w:numPr>
        <w:kinsoku/>
        <w:wordWrap/>
        <w:overflowPunct/>
        <w:topLinePunct w:val="0"/>
        <w:autoSpaceDE/>
        <w:autoSpaceDN/>
        <w:bidi w:val="0"/>
        <w:snapToGrid w:val="0"/>
        <w:spacing w:line="360" w:lineRule="auto"/>
        <w:ind w:firstLine="482"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（一）服务内容</w:t>
      </w:r>
    </w:p>
    <w:p>
      <w:pPr>
        <w:pStyle w:val="525"/>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1、服务范围：</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克拉玛依市乌尔禾区乌尔禾镇“西部乌镇”。</w:t>
      </w:r>
    </w:p>
    <w:p>
      <w:pPr>
        <w:pStyle w:val="525"/>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2、服务内容：</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西部乌镇公共区域环卫服务工作面积总计369780.50㎡，包含道路、广场、停车场及沿街商铺前面的公共区域等</w:t>
      </w:r>
      <w:r>
        <w:rPr>
          <w:rFonts w:hint="eastAsia" w:ascii="宋体" w:hAnsi="宋体" w:eastAsia="宋体" w:cs="宋体"/>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top"/>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服务要求</w:t>
      </w:r>
    </w:p>
    <w:p>
      <w:pPr>
        <w:pStyle w:val="52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1、要求公共区域环卫服务面积不得低于369780.50㎡；</w:t>
      </w:r>
    </w:p>
    <w:p>
      <w:pPr>
        <w:pStyle w:val="525"/>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2、确保道路、广场、停车场及沿街商铺前面的公共区域等干净、整洁，垃圾及时清理；</w:t>
      </w:r>
    </w:p>
    <w:p>
      <w:pPr>
        <w:pStyle w:val="525"/>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3、全力配合采购人提出的工作要求；</w:t>
      </w:r>
    </w:p>
    <w:p>
      <w:pPr>
        <w:pStyle w:val="525"/>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4、采购人组织专人定期开展环卫服务考核工作，提升环卫工作效果。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top"/>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（三）服务地点：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克拉玛依市乌尔禾区乌尔禾镇“西部乌镇”。</w:t>
      </w:r>
    </w:p>
    <w:p>
      <w:pPr>
        <w:jc w:val="center"/>
        <w:rPr>
          <w:color w:val="000000" w:themeColor="text1"/>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36"/>
          <w:highlight w:val="none"/>
          <w14:textFill>
            <w14:solidFill>
              <w14:schemeClr w14:val="tx1"/>
            </w14:solidFill>
          </w14:textFill>
        </w:rPr>
        <w:t>西部乌镇环卫清扫面积统计表</w:t>
      </w:r>
    </w:p>
    <w:tbl>
      <w:tblPr>
        <w:tblStyle w:val="57"/>
        <w:tblW w:w="97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3896"/>
        <w:gridCol w:w="4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全域名称</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上海街</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19460.00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广东街</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12654.00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江苏街</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17388.00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北京街</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16560.00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深圳街</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20504.00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绍兴路</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4387.50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杭州路</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5436.00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苏州路</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5625.00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扬州路</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5670.00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郑州路</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2826.00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西安路</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1458.00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兰州路</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乌鲁木齐路</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延安路</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4184.00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井冈山路</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东游客集散中心</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18175.00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长生帐广场（含扬州会馆公共区域）</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观光塔广场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美食街</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35066.00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镇政府门口广场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党校</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镇大门南侧停车场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镇大门北侧停车场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八匹马市场南侧停车场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37000.00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风城小院北侧停车场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二工区中间停车场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6155.00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西游客集散中心停车场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道路两边绿化带</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39903.00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商铺前面环卫面积</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53204.00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总计</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369780.50 </w:t>
            </w:r>
          </w:p>
        </w:tc>
      </w:tr>
    </w:tbl>
    <w:p>
      <w:pPr>
        <w:rPr>
          <w:color w:val="000000" w:themeColor="text1"/>
          <w:highlight w:val="none"/>
          <w14:textFill>
            <w14:solidFill>
              <w14:schemeClr w14:val="tx1"/>
            </w14:solidFill>
          </w14:textFill>
        </w:rPr>
      </w:pPr>
    </w:p>
    <w:p>
      <w:pPr>
        <w:pStyle w:val="3"/>
        <w:spacing w:line="360" w:lineRule="auto"/>
        <w:ind w:left="210" w:leftChars="100" w:firstLine="480" w:firstLineChars="200"/>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p>
    <w:p>
      <w:pPr>
        <w:pStyle w:val="3"/>
        <w:keepNext/>
        <w:keepLines/>
        <w:pageBreakBefore w:val="0"/>
        <w:widowControl/>
        <w:kinsoku/>
        <w:wordWrap/>
        <w:overflowPunct/>
        <w:topLinePunct w:val="0"/>
        <w:autoSpaceDE/>
        <w:autoSpaceDN/>
        <w:bidi w:val="0"/>
        <w:adjustRightInd/>
        <w:snapToGrid/>
        <w:spacing w:line="360" w:lineRule="auto"/>
        <w:ind w:left="210" w:leftChars="100" w:firstLine="562" w:firstLineChars="200"/>
        <w:jc w:val="center"/>
        <w:textAlignment w:val="auto"/>
        <w:rPr>
          <w:rFonts w:hint="eastAsia" w:ascii="宋体" w:hAnsi="宋体" w:eastAsia="宋体" w:cs="宋体"/>
          <w:bCs w:val="0"/>
          <w:color w:val="000000" w:themeColor="text1"/>
          <w:sz w:val="28"/>
          <w:szCs w:val="28"/>
          <w:highlight w:val="none"/>
          <w:lang w:val="en-US" w:eastAsia="zh-CN"/>
          <w14:textFill>
            <w14:solidFill>
              <w14:schemeClr w14:val="tx1"/>
            </w14:solidFill>
          </w14:textFill>
        </w:rPr>
      </w:pPr>
    </w:p>
    <w:p>
      <w:pPr>
        <w:pStyle w:val="3"/>
        <w:keepNext/>
        <w:keepLines/>
        <w:pageBreakBefore w:val="0"/>
        <w:widowControl/>
        <w:kinsoku/>
        <w:wordWrap/>
        <w:overflowPunct/>
        <w:topLinePunct w:val="0"/>
        <w:autoSpaceDE/>
        <w:autoSpaceDN/>
        <w:bidi w:val="0"/>
        <w:adjustRightInd/>
        <w:snapToGrid/>
        <w:spacing w:line="360" w:lineRule="auto"/>
        <w:ind w:left="210" w:leftChars="100" w:firstLine="562" w:firstLineChars="200"/>
        <w:jc w:val="center"/>
        <w:textAlignment w:val="auto"/>
        <w:rPr>
          <w:rFonts w:hint="eastAsia" w:ascii="宋体" w:hAnsi="宋体" w:eastAsia="宋体" w:cs="宋体"/>
          <w:bCs w:val="0"/>
          <w:color w:val="000000" w:themeColor="text1"/>
          <w:sz w:val="28"/>
          <w:szCs w:val="28"/>
          <w:highlight w:val="none"/>
          <w:lang w:eastAsia="zh-CN"/>
          <w14:textFill>
            <w14:solidFill>
              <w14:schemeClr w14:val="tx1"/>
            </w14:solidFill>
          </w14:textFill>
        </w:rPr>
      </w:pPr>
    </w:p>
    <w:p>
      <w:pPr>
        <w:spacing w:line="360" w:lineRule="auto"/>
        <w:ind w:firstLine="472" w:firstLineChars="196"/>
        <w:outlineLvl w:val="2"/>
        <w:rPr>
          <w:rFonts w:hint="eastAsia" w:ascii="宋体" w:hAnsi="宋体" w:eastAsia="宋体" w:cs="宋体"/>
          <w:b/>
          <w:color w:val="000000" w:themeColor="text1"/>
          <w:sz w:val="24"/>
          <w:highlight w:val="none"/>
          <w14:textFill>
            <w14:solidFill>
              <w14:schemeClr w14:val="tx1"/>
            </w14:solidFill>
          </w14:textFill>
        </w:rPr>
      </w:pPr>
    </w:p>
    <w:p>
      <w:pPr>
        <w:numPr>
          <w:ilvl w:val="0"/>
          <w:numId w:val="0"/>
        </w:numPr>
        <w:spacing w:line="360" w:lineRule="auto"/>
        <w:jc w:val="center"/>
        <w:outlineLvl w:val="2"/>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第四章   合同</w:t>
      </w:r>
      <w:r>
        <w:rPr>
          <w:rFonts w:hint="eastAsia" w:ascii="宋体" w:hAnsi="宋体" w:eastAsia="宋体" w:cs="宋体"/>
          <w:b/>
          <w:bCs/>
          <w:color w:val="000000" w:themeColor="text1"/>
          <w:sz w:val="28"/>
          <w:szCs w:val="28"/>
          <w:highlight w:val="none"/>
          <w:lang w:eastAsia="zh-CN"/>
          <w14:textFill>
            <w14:solidFill>
              <w14:schemeClr w14:val="tx1"/>
            </w14:solidFill>
          </w14:textFill>
        </w:rPr>
        <w:t>条款（仅为参考）</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1、定义</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1.1“合同”系指</w:t>
      </w:r>
      <w:r>
        <w:rPr>
          <w:rFonts w:hint="eastAsia" w:ascii="宋体" w:hAnsi="宋体" w:eastAsia="宋体" w:cs="宋体"/>
          <w:color w:val="000000" w:themeColor="text1"/>
          <w:sz w:val="24"/>
          <w:highlight w:val="none"/>
          <w:lang w:eastAsia="zh-CN"/>
          <w14:textFill>
            <w14:solidFill>
              <w14:schemeClr w14:val="tx1"/>
            </w14:solidFill>
          </w14:textFill>
        </w:rPr>
        <w:t>甲乙</w:t>
      </w:r>
      <w:r>
        <w:rPr>
          <w:rFonts w:hint="eastAsia" w:ascii="宋体" w:hAnsi="宋体" w:eastAsia="宋体" w:cs="宋体"/>
          <w:color w:val="000000" w:themeColor="text1"/>
          <w:sz w:val="24"/>
          <w:highlight w:val="none"/>
          <w14:textFill>
            <w14:solidFill>
              <w14:schemeClr w14:val="tx1"/>
            </w14:solidFill>
          </w14:textFill>
        </w:rPr>
        <w:t>双方共同签署的、合同中载明的</w:t>
      </w:r>
      <w:r>
        <w:rPr>
          <w:rFonts w:hint="eastAsia" w:ascii="宋体" w:hAnsi="宋体" w:eastAsia="宋体" w:cs="宋体"/>
          <w:color w:val="000000" w:themeColor="text1"/>
          <w:sz w:val="24"/>
          <w:highlight w:val="none"/>
          <w:lang w:eastAsia="zh-CN"/>
          <w14:textFill>
            <w14:solidFill>
              <w14:schemeClr w14:val="tx1"/>
            </w14:solidFill>
          </w14:textFill>
        </w:rPr>
        <w:t>甲乙</w:t>
      </w:r>
      <w:r>
        <w:rPr>
          <w:rFonts w:hint="eastAsia" w:ascii="宋体" w:hAnsi="宋体" w:eastAsia="宋体" w:cs="宋体"/>
          <w:color w:val="000000" w:themeColor="text1"/>
          <w:sz w:val="24"/>
          <w:highlight w:val="none"/>
          <w14:textFill>
            <w14:solidFill>
              <w14:schemeClr w14:val="tx1"/>
            </w14:solidFill>
          </w14:textFill>
        </w:rPr>
        <w:t>双方所达成的协议，包括：中标通知书；合同条款；投标文件及承诺；项目招标需求；招标文件（含补充文件、修改文件）及答疑纪要；双方约定的其他所有文件等构成合同的所有文件的总称。</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”系指</w:t>
      </w:r>
      <w:r>
        <w:rPr>
          <w:rFonts w:hint="eastAsia" w:ascii="宋体" w:hAnsi="宋体" w:cs="宋体"/>
          <w:color w:val="000000" w:themeColor="text1"/>
          <w:sz w:val="24"/>
          <w:highlight w:val="none"/>
          <w:lang w:eastAsia="zh-CN"/>
          <w14:textFill>
            <w14:solidFill>
              <w14:schemeClr w14:val="tx1"/>
            </w14:solidFill>
          </w14:textFill>
        </w:rPr>
        <w:t>乌尔禾区乌尔禾镇人民政府</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”系指取得中标资格，提供所需服务的中标人。</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1.4“合同价款”系指根据合同条款、技术规范及标准、项目</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需求、本招标文件的规定，</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在正确、完整地履行合同义务后，</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应支付给</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提供服务的金额。</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1.5“服务”系指合同条款、技术规范及标准、项目</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需求、本招标文件规定，</w:t>
      </w:r>
      <w:r>
        <w:rPr>
          <w:rFonts w:hint="eastAsia" w:ascii="宋体" w:hAnsi="宋体" w:eastAsia="宋体" w:cs="宋体"/>
          <w:color w:val="000000" w:themeColor="text1"/>
          <w:sz w:val="24"/>
          <w:highlight w:val="none"/>
          <w:lang w:eastAsia="zh-CN"/>
          <w14:textFill>
            <w14:solidFill>
              <w14:schemeClr w14:val="tx1"/>
            </w14:solidFill>
          </w14:textFill>
        </w:rPr>
        <w:t>在服务期限内完成西部乌镇面积总计369780.50㎡公共区域（包含道路、广场、停车场及沿街商铺前面的公共区域等）环卫服务工作等以及合同条款、技术规范及标准、项目采购需求、本招标文件约定的全部内容并配合采购人完成与此服务相关的全部工作</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1.6“技术规范及标准”系指适用于本项目的规范及标准。当新的规范及标准颁布后以新颁布的规范及标准</w:t>
      </w:r>
      <w:r>
        <w:rPr>
          <w:rFonts w:hint="eastAsia" w:ascii="宋体" w:hAnsi="宋体" w:eastAsia="宋体" w:cs="宋体"/>
          <w:color w:val="000000" w:themeColor="text1"/>
          <w:sz w:val="24"/>
          <w:szCs w:val="24"/>
          <w:highlight w:val="none"/>
          <w14:textFill>
            <w14:solidFill>
              <w14:schemeClr w14:val="tx1"/>
            </w14:solidFill>
          </w14:textFill>
        </w:rPr>
        <w:t>执行。</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1.7凡提及的“天、日期、星期、月份和年份”系指公历日历的日历天、日期、星期、月份和年份。</w:t>
      </w:r>
    </w:p>
    <w:p>
      <w:pPr>
        <w:keepNext w:val="0"/>
        <w:keepLines w:val="0"/>
        <w:pageBreakBefore w:val="0"/>
        <w:wordWrap/>
        <w:overflowPunct/>
        <w:topLinePunct w:val="0"/>
        <w:bidi w:val="0"/>
        <w:snapToGrid/>
        <w:spacing w:line="360" w:lineRule="auto"/>
        <w:ind w:firstLine="482" w:firstLineChars="200"/>
        <w:textAlignment w:val="auto"/>
        <w:outlineLvl w:val="2"/>
        <w:rPr>
          <w:rFonts w:hint="eastAsia" w:ascii="宋体" w:hAnsi="宋体" w:eastAsia="宋体" w:cs="宋体"/>
          <w:b/>
          <w:color w:val="000000" w:themeColor="text1"/>
          <w:sz w:val="24"/>
          <w:highlight w:val="none"/>
          <w14:textFill>
            <w14:solidFill>
              <w14:schemeClr w14:val="tx1"/>
            </w14:solidFill>
          </w14:textFill>
        </w:rPr>
      </w:pPr>
      <w:bookmarkStart w:id="167" w:name="_Toc246216233"/>
      <w:r>
        <w:rPr>
          <w:rFonts w:hint="eastAsia" w:ascii="宋体" w:hAnsi="宋体" w:eastAsia="宋体" w:cs="宋体"/>
          <w:b/>
          <w:color w:val="000000" w:themeColor="text1"/>
          <w:sz w:val="24"/>
          <w:highlight w:val="none"/>
          <w14:textFill>
            <w14:solidFill>
              <w14:schemeClr w14:val="tx1"/>
            </w14:solidFill>
          </w14:textFill>
        </w:rPr>
        <w:t>2、适用范围</w:t>
      </w:r>
      <w:bookmarkEnd w:id="167"/>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 本合同条款适用于本次</w:t>
      </w:r>
      <w:r>
        <w:rPr>
          <w:rFonts w:hint="eastAsia" w:ascii="宋体" w:hAnsi="宋体" w:cs="宋体"/>
          <w:color w:val="000000" w:themeColor="text1"/>
          <w:sz w:val="24"/>
          <w:highlight w:val="none"/>
          <w:lang w:eastAsia="zh-CN"/>
          <w14:textFill>
            <w14:solidFill>
              <w14:schemeClr w14:val="tx1"/>
            </w14:solidFill>
          </w14:textFill>
        </w:rPr>
        <w:t>乌尔禾“西部乌镇”环卫服务</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168" w:name="_Toc246216234"/>
      <w:r>
        <w:rPr>
          <w:rFonts w:hint="eastAsia" w:ascii="宋体" w:hAnsi="宋体" w:eastAsia="宋体" w:cs="宋体"/>
          <w:color w:val="000000" w:themeColor="text1"/>
          <w:sz w:val="24"/>
          <w:highlight w:val="none"/>
          <w14:textFill>
            <w14:solidFill>
              <w14:schemeClr w14:val="tx1"/>
            </w14:solidFill>
          </w14:textFill>
        </w:rPr>
        <w:t>3、合同价格</w:t>
      </w:r>
      <w:bookmarkEnd w:id="168"/>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kern w:val="0"/>
          <w:sz w:val="24"/>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0"/>
          <w:highlight w:val="none"/>
          <w:lang w:val="en-US" w:eastAsia="zh-CN" w:bidi="ar-SA"/>
          <w14:textFill>
            <w14:solidFill>
              <w14:schemeClr w14:val="tx1"/>
            </w14:solidFill>
          </w14:textFill>
        </w:rPr>
        <w:t>3.1合同价款为：人民币元(大写：人民币    )。</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000000" w:themeColor="text1"/>
          <w:kern w:val="0"/>
          <w:sz w:val="24"/>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0"/>
          <w:highlight w:val="none"/>
          <w:lang w:val="en-US" w:eastAsia="zh-CN" w:bidi="ar-SA"/>
          <w14:textFill>
            <w14:solidFill>
              <w14:schemeClr w14:val="tx1"/>
            </w14:solidFill>
          </w14:textFill>
        </w:rPr>
        <w:t>3.2合同价款：</w:t>
      </w:r>
      <w:r>
        <w:rPr>
          <w:rFonts w:hint="eastAsia" w:hAnsi="宋体" w:cs="宋体"/>
          <w:color w:val="000000" w:themeColor="text1"/>
          <w:kern w:val="0"/>
          <w:sz w:val="24"/>
          <w:szCs w:val="20"/>
          <w:highlight w:val="none"/>
          <w:lang w:val="en-US" w:eastAsia="zh-CN" w:bidi="ar-SA"/>
          <w14:textFill>
            <w14:solidFill>
              <w14:schemeClr w14:val="tx1"/>
            </w14:solidFill>
          </w14:textFill>
        </w:rPr>
        <w:t>在服务期限内完成西部乌镇面积总计369780.50㎡公共区域（包含道路、广场、停车场及沿街商铺前面的公共区域等）环卫服务工作等以及合同条款、技术规范及标准、项目采购需求、本招标文件约定的全部内容并配合采购人完成与此服务相关的全部工作</w:t>
      </w:r>
      <w:r>
        <w:rPr>
          <w:rFonts w:hint="eastAsia" w:ascii="宋体" w:hAnsi="宋体" w:eastAsia="宋体" w:cs="宋体"/>
          <w:color w:val="000000" w:themeColor="text1"/>
          <w:kern w:val="0"/>
          <w:sz w:val="24"/>
          <w:szCs w:val="20"/>
          <w:highlight w:val="none"/>
          <w:lang w:val="en-US" w:eastAsia="zh-CN" w:bidi="ar-SA"/>
          <w14:textFill>
            <w14:solidFill>
              <w14:schemeClr w14:val="tx1"/>
            </w14:solidFill>
          </w14:textFill>
        </w:rPr>
        <w:t>。</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3.3合同价款调整</w:t>
      </w:r>
    </w:p>
    <w:p>
      <w:pPr>
        <w:keepNext w:val="0"/>
        <w:keepLines w:val="0"/>
        <w:pageBreakBefore w:val="0"/>
        <w:wordWrap/>
        <w:overflowPunct/>
        <w:topLinePunct w:val="0"/>
        <w:bidi w:val="0"/>
        <w:snapToGrid/>
        <w:spacing w:line="360" w:lineRule="auto"/>
        <w:ind w:firstLine="482" w:firstLineChars="200"/>
        <w:textAlignment w:val="auto"/>
        <w:outlineLvl w:val="2"/>
        <w:rPr>
          <w:rFonts w:hint="eastAsia" w:ascii="宋体" w:hAnsi="宋体" w:eastAsia="宋体" w:cs="宋体"/>
          <w:b/>
          <w:color w:val="000000" w:themeColor="text1"/>
          <w:sz w:val="24"/>
          <w:highlight w:val="none"/>
          <w:lang w:eastAsia="zh-CN"/>
          <w14:textFill>
            <w14:solidFill>
              <w14:schemeClr w14:val="tx1"/>
            </w14:solidFill>
          </w14:textFill>
        </w:rPr>
      </w:pPr>
      <w:bookmarkStart w:id="169" w:name="_Toc246216235"/>
      <w:r>
        <w:rPr>
          <w:rFonts w:hint="eastAsia" w:ascii="宋体" w:hAnsi="宋体" w:eastAsia="宋体" w:cs="宋体"/>
          <w:b/>
          <w:color w:val="000000" w:themeColor="text1"/>
          <w:sz w:val="24"/>
          <w:highlight w:val="none"/>
          <w14:textFill>
            <w14:solidFill>
              <w14:schemeClr w14:val="tx1"/>
            </w14:solidFill>
          </w14:textFill>
        </w:rPr>
        <w:t>3.3.1本项目不因任何原因调整中标单价</w:t>
      </w:r>
      <w:r>
        <w:rPr>
          <w:rFonts w:hint="eastAsia" w:ascii="宋体" w:hAnsi="宋体" w:eastAsia="宋体" w:cs="宋体"/>
          <w:b/>
          <w:color w:val="000000" w:themeColor="text1"/>
          <w:sz w:val="24"/>
          <w:highlight w:val="none"/>
          <w:lang w:eastAsia="zh-CN"/>
          <w14:textFill>
            <w14:solidFill>
              <w14:schemeClr w14:val="tx1"/>
            </w14:solidFill>
          </w14:textFill>
        </w:rPr>
        <w:t>。</w:t>
      </w:r>
    </w:p>
    <w:bookmarkEnd w:id="169"/>
    <w:p>
      <w:pPr>
        <w:keepNext w:val="0"/>
        <w:keepLines w:val="0"/>
        <w:pageBreakBefore w:val="0"/>
        <w:wordWrap/>
        <w:overflowPunct/>
        <w:topLinePunct w:val="0"/>
        <w:bidi w:val="0"/>
        <w:snapToGrid/>
        <w:spacing w:line="360" w:lineRule="auto"/>
        <w:ind w:firstLine="482" w:firstLineChars="200"/>
        <w:textAlignment w:val="auto"/>
        <w:outlineLvl w:val="2"/>
        <w:rPr>
          <w:rFonts w:hint="eastAsia" w:ascii="宋体" w:hAnsi="宋体" w:eastAsia="宋体" w:cs="宋体"/>
          <w:b/>
          <w:color w:val="000000" w:themeColor="text1"/>
          <w:sz w:val="24"/>
          <w:highlight w:val="none"/>
          <w14:textFill>
            <w14:solidFill>
              <w14:schemeClr w14:val="tx1"/>
            </w14:solidFill>
          </w14:textFill>
        </w:rPr>
      </w:pPr>
      <w:bookmarkStart w:id="170" w:name="_Toc260246971"/>
      <w:bookmarkStart w:id="171" w:name="_Toc260247209"/>
      <w:bookmarkStart w:id="172" w:name="_Toc246216237"/>
      <w:bookmarkStart w:id="173" w:name="_Toc260246972"/>
      <w:bookmarkStart w:id="174" w:name="_Toc260247210"/>
      <w:bookmarkStart w:id="175" w:name="_Toc231451677"/>
      <w:r>
        <w:rPr>
          <w:rFonts w:hint="eastAsia" w:ascii="宋体" w:hAnsi="宋体" w:eastAsia="宋体" w:cs="宋体"/>
          <w:b/>
          <w:color w:val="000000" w:themeColor="text1"/>
          <w:sz w:val="24"/>
          <w:highlight w:val="none"/>
          <w14:textFill>
            <w14:solidFill>
              <w14:schemeClr w14:val="tx1"/>
            </w14:solidFill>
          </w14:textFill>
        </w:rPr>
        <w:t>4、支付条款</w:t>
      </w:r>
      <w:bookmarkEnd w:id="170"/>
      <w:bookmarkEnd w:id="171"/>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 本合同的支付币种为人民币。</w:t>
      </w:r>
    </w:p>
    <w:p>
      <w:pPr>
        <w:keepNext w:val="0"/>
        <w:keepLines w:val="0"/>
        <w:pageBreakBefore w:val="0"/>
        <w:wordWrap/>
        <w:overflowPunct/>
        <w:topLinePunct w:val="0"/>
        <w:autoSpaceDE w:val="0"/>
        <w:autoSpaceDN w:val="0"/>
        <w:bidi w:val="0"/>
        <w:adjustRightInd w:val="0"/>
        <w:snapToGrid/>
        <w:spacing w:line="360" w:lineRule="auto"/>
        <w:ind w:right="210" w:firstLine="482"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4.2合同价款的支付：</w:t>
      </w:r>
      <w:r>
        <w:rPr>
          <w:rFonts w:hint="eastAsia" w:ascii="黑体" w:eastAsia="黑体"/>
          <w:b/>
          <w:color w:val="000000" w:themeColor="text1"/>
          <w:sz w:val="24"/>
          <w:highlight w:val="none"/>
          <w:lang w:eastAsia="zh-CN"/>
          <w14:textFill>
            <w14:solidFill>
              <w14:schemeClr w14:val="tx1"/>
            </w14:solidFill>
          </w14:textFill>
        </w:rPr>
        <w:t>按月支付</w:t>
      </w:r>
      <w:r>
        <w:rPr>
          <w:rFonts w:hint="eastAsia" w:ascii="宋体" w:hAnsi="宋体" w:eastAsia="宋体" w:cs="宋体"/>
          <w:b/>
          <w:color w:val="000000" w:themeColor="text1"/>
          <w:sz w:val="24"/>
          <w:highlight w:val="none"/>
          <w14:textFill>
            <w14:solidFill>
              <w14:schemeClr w14:val="tx1"/>
            </w14:solidFill>
          </w14:textFill>
        </w:rPr>
        <w:t>。</w:t>
      </w:r>
    </w:p>
    <w:p>
      <w:pPr>
        <w:keepNext w:val="0"/>
        <w:keepLines w:val="0"/>
        <w:pageBreakBefore w:val="0"/>
        <w:wordWrap/>
        <w:overflowPunct/>
        <w:topLinePunct w:val="0"/>
        <w:bidi w:val="0"/>
        <w:snapToGrid/>
        <w:spacing w:line="360" w:lineRule="auto"/>
        <w:ind w:firstLine="482" w:firstLineChars="200"/>
        <w:textAlignment w:val="auto"/>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eastAsia="宋体" w:cs="宋体"/>
          <w:b/>
          <w:color w:val="000000" w:themeColor="text1"/>
          <w:sz w:val="24"/>
          <w:highlight w:val="none"/>
          <w14:textFill>
            <w14:solidFill>
              <w14:schemeClr w14:val="tx1"/>
            </w14:solidFill>
          </w14:textFill>
        </w:rPr>
        <w:t>合同价款支付方式及时间</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eastAsia="zh-CN"/>
          <w14:textFill>
            <w14:solidFill>
              <w14:schemeClr w14:val="tx1"/>
            </w14:solidFill>
          </w14:textFill>
        </w:rPr>
        <w:t>甲乙</w:t>
      </w:r>
      <w:r>
        <w:rPr>
          <w:rFonts w:hint="eastAsia" w:ascii="宋体" w:hAnsi="宋体" w:eastAsia="宋体" w:cs="宋体"/>
          <w:b/>
          <w:color w:val="000000" w:themeColor="text1"/>
          <w:sz w:val="24"/>
          <w:highlight w:val="none"/>
          <w:lang w:eastAsia="zh-CN"/>
          <w14:textFill>
            <w14:solidFill>
              <w14:schemeClr w14:val="tx1"/>
            </w14:solidFill>
          </w14:textFill>
        </w:rPr>
        <w:t>双方在合同中另行约定。</w:t>
      </w:r>
    </w:p>
    <w:bookmarkEnd w:id="172"/>
    <w:bookmarkEnd w:id="173"/>
    <w:bookmarkEnd w:id="174"/>
    <w:bookmarkEnd w:id="175"/>
    <w:p>
      <w:pPr>
        <w:keepNext w:val="0"/>
        <w:keepLines w:val="0"/>
        <w:pageBreakBefore w:val="0"/>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bookmarkStart w:id="176" w:name="_Toc258681753"/>
      <w:r>
        <w:rPr>
          <w:rFonts w:hint="eastAsia" w:ascii="宋体" w:hAnsi="宋体" w:eastAsia="宋体" w:cs="宋体"/>
          <w:b/>
          <w:bCs/>
          <w:color w:val="000000" w:themeColor="text1"/>
          <w:sz w:val="24"/>
          <w:highlight w:val="none"/>
          <w14:textFill>
            <w14:solidFill>
              <w14:schemeClr w14:val="tx1"/>
            </w14:solidFill>
          </w14:textFill>
        </w:rPr>
        <w:t>6、考核办法</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6.1考核由日常考核、日常工作执行力考核二部分组成。</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依据</w:t>
      </w:r>
      <w:r>
        <w:rPr>
          <w:rFonts w:hint="eastAsia" w:ascii="宋体" w:hAnsi="宋体" w:eastAsia="宋体" w:cs="宋体"/>
          <w:color w:val="000000" w:themeColor="text1"/>
          <w:sz w:val="24"/>
          <w:highlight w:val="none"/>
          <w:lang w:eastAsia="zh-CN"/>
          <w14:textFill>
            <w14:solidFill>
              <w14:schemeClr w14:val="tx1"/>
            </w14:solidFill>
          </w14:textFill>
        </w:rPr>
        <w:t>相关工作标准</w:t>
      </w:r>
      <w:r>
        <w:rPr>
          <w:rFonts w:hint="eastAsia" w:ascii="宋体" w:hAnsi="宋体" w:eastAsia="宋体" w:cs="宋体"/>
          <w:color w:val="000000" w:themeColor="text1"/>
          <w:sz w:val="24"/>
          <w:highlight w:val="none"/>
          <w14:textFill>
            <w14:solidFill>
              <w14:schemeClr w14:val="tx1"/>
            </w14:solidFill>
          </w14:textFill>
        </w:rPr>
        <w:t>及合同约定内容对</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 xml:space="preserve">的工作进行全面考核。 </w:t>
      </w:r>
    </w:p>
    <w:p>
      <w:pPr>
        <w:keepNext w:val="0"/>
        <w:keepLines w:val="0"/>
        <w:pageBreakBefore w:val="0"/>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7、</w:t>
      </w:r>
      <w:r>
        <w:rPr>
          <w:rFonts w:hint="eastAsia" w:ascii="宋体" w:hAnsi="宋体" w:cs="宋体"/>
          <w:b/>
          <w:bCs/>
          <w:color w:val="000000" w:themeColor="text1"/>
          <w:sz w:val="24"/>
          <w:highlight w:val="none"/>
          <w:lang w:eastAsia="zh-CN"/>
          <w14:textFill>
            <w14:solidFill>
              <w14:schemeClr w14:val="tx1"/>
            </w14:solidFill>
          </w14:textFill>
        </w:rPr>
        <w:t>甲方</w:t>
      </w:r>
      <w:r>
        <w:rPr>
          <w:rFonts w:hint="eastAsia" w:ascii="宋体" w:hAnsi="宋体" w:eastAsia="宋体" w:cs="宋体"/>
          <w:b/>
          <w:bCs/>
          <w:color w:val="000000" w:themeColor="text1"/>
          <w:sz w:val="24"/>
          <w:highlight w:val="none"/>
          <w14:textFill>
            <w14:solidFill>
              <w14:schemeClr w14:val="tx1"/>
            </w14:solidFill>
          </w14:textFill>
        </w:rPr>
        <w:t>代表的职权：</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按照</w:t>
      </w:r>
      <w:r>
        <w:rPr>
          <w:rFonts w:hint="eastAsia" w:ascii="宋体" w:hAnsi="宋体" w:eastAsia="宋体" w:cs="宋体"/>
          <w:color w:val="000000" w:themeColor="text1"/>
          <w:sz w:val="24"/>
          <w:highlight w:val="none"/>
          <w:lang w:eastAsia="zh-CN"/>
          <w14:textFill>
            <w14:solidFill>
              <w14:schemeClr w14:val="tx1"/>
            </w14:solidFill>
          </w14:textFill>
        </w:rPr>
        <w:t>相关工作标准</w:t>
      </w:r>
      <w:r>
        <w:rPr>
          <w:rFonts w:hint="eastAsia" w:ascii="宋体" w:hAnsi="宋体" w:eastAsia="宋体" w:cs="宋体"/>
          <w:color w:val="000000" w:themeColor="text1"/>
          <w:sz w:val="24"/>
          <w:highlight w:val="none"/>
          <w14:textFill>
            <w14:solidFill>
              <w14:schemeClr w14:val="tx1"/>
            </w14:solidFill>
          </w14:textFill>
        </w:rPr>
        <w:t>全面履行管理职责进行</w:t>
      </w:r>
      <w:r>
        <w:rPr>
          <w:rFonts w:hint="eastAsia" w:ascii="宋体" w:hAnsi="宋体" w:cs="宋体"/>
          <w:color w:val="000000" w:themeColor="text1"/>
          <w:sz w:val="24"/>
          <w:highlight w:val="none"/>
          <w:lang w:eastAsia="zh-CN"/>
          <w14:textFill>
            <w14:solidFill>
              <w14:schemeClr w14:val="tx1"/>
            </w14:solidFill>
          </w14:textFill>
        </w:rPr>
        <w:t>环卫</w:t>
      </w:r>
      <w:r>
        <w:rPr>
          <w:rFonts w:hint="eastAsia" w:ascii="宋体" w:hAnsi="宋体" w:eastAsia="宋体" w:cs="宋体"/>
          <w:color w:val="000000" w:themeColor="text1"/>
          <w:sz w:val="24"/>
          <w:highlight w:val="none"/>
          <w14:textFill>
            <w14:solidFill>
              <w14:schemeClr w14:val="tx1"/>
            </w14:solidFill>
          </w14:textFill>
        </w:rPr>
        <w:t>管理监督、质量认定、组织考核、检查、落实等与该项目有关的工作。</w:t>
      </w:r>
    </w:p>
    <w:bookmarkEnd w:id="176"/>
    <w:p>
      <w:pPr>
        <w:keepNext w:val="0"/>
        <w:keepLines w:val="0"/>
        <w:pageBreakBefore w:val="0"/>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8、双方的权利、义务</w:t>
      </w:r>
    </w:p>
    <w:p>
      <w:pPr>
        <w:keepNext w:val="0"/>
        <w:keepLines w:val="0"/>
        <w:pageBreakBefore w:val="0"/>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8.1</w:t>
      </w:r>
      <w:r>
        <w:rPr>
          <w:rFonts w:hint="eastAsia" w:ascii="宋体" w:hAnsi="宋体" w:cs="宋体"/>
          <w:b/>
          <w:bCs/>
          <w:color w:val="000000" w:themeColor="text1"/>
          <w:sz w:val="24"/>
          <w:highlight w:val="none"/>
          <w:lang w:eastAsia="zh-CN"/>
          <w14:textFill>
            <w14:solidFill>
              <w14:schemeClr w14:val="tx1"/>
            </w14:solidFill>
          </w14:textFill>
        </w:rPr>
        <w:t>甲方</w:t>
      </w:r>
      <w:r>
        <w:rPr>
          <w:rFonts w:hint="eastAsia" w:ascii="宋体" w:hAnsi="宋体" w:eastAsia="宋体" w:cs="宋体"/>
          <w:b/>
          <w:bCs/>
          <w:color w:val="000000" w:themeColor="text1"/>
          <w:sz w:val="24"/>
          <w:highlight w:val="none"/>
          <w14:textFill>
            <w14:solidFill>
              <w14:schemeClr w14:val="tx1"/>
            </w14:solidFill>
          </w14:textFill>
        </w:rPr>
        <w:t>的权利和义务</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8.1.1负责签</w:t>
      </w:r>
      <w:r>
        <w:rPr>
          <w:rFonts w:hint="eastAsia" w:ascii="宋体" w:hAnsi="宋体" w:eastAsia="宋体" w:cs="宋体"/>
          <w:color w:val="000000" w:themeColor="text1"/>
          <w:sz w:val="24"/>
          <w:highlight w:val="none"/>
          <w:lang w:eastAsia="zh-CN"/>
          <w14:textFill>
            <w14:solidFill>
              <w14:schemeClr w14:val="tx1"/>
            </w14:solidFill>
          </w14:textFill>
        </w:rPr>
        <w:t>订本项目</w:t>
      </w:r>
      <w:r>
        <w:rPr>
          <w:rFonts w:hint="eastAsia" w:ascii="宋体" w:hAnsi="宋体" w:eastAsia="宋体" w:cs="宋体"/>
          <w:color w:val="000000" w:themeColor="text1"/>
          <w:sz w:val="24"/>
          <w:highlight w:val="none"/>
          <w14:textFill>
            <w14:solidFill>
              <w14:schemeClr w14:val="tx1"/>
            </w14:solidFill>
          </w14:textFill>
        </w:rPr>
        <w:t>服务合同，并监督相关人员遵守公约。</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8.1.2</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有权对</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服务进行考核和处罚，根据考核分数核定</w:t>
      </w:r>
      <w:r>
        <w:rPr>
          <w:rFonts w:hint="eastAsia" w:ascii="宋体" w:hAnsi="宋体" w:cs="宋体"/>
          <w:color w:val="000000" w:themeColor="text1"/>
          <w:sz w:val="24"/>
          <w:highlight w:val="none"/>
          <w:lang w:eastAsia="zh-CN"/>
          <w14:textFill>
            <w14:solidFill>
              <w14:schemeClr w14:val="tx1"/>
            </w14:solidFill>
          </w14:textFill>
        </w:rPr>
        <w:t>环卫</w:t>
      </w:r>
      <w:r>
        <w:rPr>
          <w:rFonts w:hint="eastAsia" w:ascii="宋体" w:hAnsi="宋体" w:eastAsia="宋体" w:cs="宋体"/>
          <w:color w:val="000000" w:themeColor="text1"/>
          <w:sz w:val="24"/>
          <w:highlight w:val="none"/>
          <w14:textFill>
            <w14:solidFill>
              <w14:schemeClr w14:val="tx1"/>
            </w14:solidFill>
          </w14:textFill>
        </w:rPr>
        <w:t>服务费用并及时支付。如因服务范围内有新建、扩建、改造、维修以及政府政策变化等原因的，</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应按</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服务的实际面积及时增加或核减</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服务费用。</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8.1.3</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应安排固定的管理人员，负责日常工作联系，全面监督、检查</w:t>
      </w:r>
      <w:r>
        <w:rPr>
          <w:rFonts w:hint="eastAsia" w:ascii="宋体" w:hAnsi="宋体" w:cs="宋体"/>
          <w:color w:val="000000" w:themeColor="text1"/>
          <w:sz w:val="24"/>
          <w:highlight w:val="none"/>
          <w:lang w:eastAsia="zh-CN"/>
          <w14:textFill>
            <w14:solidFill>
              <w14:schemeClr w14:val="tx1"/>
            </w14:solidFill>
          </w14:textFill>
        </w:rPr>
        <w:t>乙方环卫</w:t>
      </w:r>
      <w:r>
        <w:rPr>
          <w:rFonts w:hint="eastAsia" w:ascii="宋体" w:hAnsi="宋体" w:eastAsia="宋体" w:cs="宋体"/>
          <w:color w:val="000000" w:themeColor="text1"/>
          <w:sz w:val="24"/>
          <w:highlight w:val="none"/>
          <w14:textFill>
            <w14:solidFill>
              <w14:schemeClr w14:val="tx1"/>
            </w14:solidFill>
          </w14:textFill>
        </w:rPr>
        <w:t>工作质量。负责监督</w:t>
      </w:r>
      <w:r>
        <w:rPr>
          <w:rFonts w:hint="eastAsia" w:ascii="宋体" w:hAnsi="宋体" w:cs="宋体"/>
          <w:color w:val="000000" w:themeColor="text1"/>
          <w:sz w:val="24"/>
          <w:highlight w:val="none"/>
          <w:lang w:eastAsia="zh-CN"/>
          <w14:textFill>
            <w14:solidFill>
              <w14:schemeClr w14:val="tx1"/>
            </w14:solidFill>
          </w14:textFill>
        </w:rPr>
        <w:t>乙方环卫</w:t>
      </w:r>
      <w:r>
        <w:rPr>
          <w:rFonts w:hint="eastAsia" w:ascii="宋体" w:hAnsi="宋体" w:eastAsia="宋体" w:cs="宋体"/>
          <w:color w:val="000000" w:themeColor="text1"/>
          <w:sz w:val="24"/>
          <w:highlight w:val="none"/>
          <w14:textFill>
            <w14:solidFill>
              <w14:schemeClr w14:val="tx1"/>
            </w14:solidFill>
          </w14:textFill>
        </w:rPr>
        <w:t>服务工作的执行情况，检查</w:t>
      </w:r>
      <w:r>
        <w:rPr>
          <w:rFonts w:hint="eastAsia" w:ascii="宋体" w:hAnsi="宋体" w:cs="宋体"/>
          <w:color w:val="000000" w:themeColor="text1"/>
          <w:sz w:val="24"/>
          <w:highlight w:val="none"/>
          <w:lang w:eastAsia="zh-CN"/>
          <w14:textFill>
            <w14:solidFill>
              <w14:schemeClr w14:val="tx1"/>
            </w14:solidFill>
          </w14:textFill>
        </w:rPr>
        <w:t>乙方环卫</w:t>
      </w:r>
      <w:r>
        <w:rPr>
          <w:rFonts w:hint="eastAsia" w:ascii="宋体" w:hAnsi="宋体" w:eastAsia="宋体" w:cs="宋体"/>
          <w:color w:val="000000" w:themeColor="text1"/>
          <w:sz w:val="24"/>
          <w:highlight w:val="none"/>
          <w14:textFill>
            <w14:solidFill>
              <w14:schemeClr w14:val="tx1"/>
            </w14:solidFill>
          </w14:textFill>
        </w:rPr>
        <w:t>服务工作的质量情况</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责监督</w:t>
      </w:r>
      <w:r>
        <w:rPr>
          <w:rFonts w:hint="eastAsia" w:ascii="宋体" w:hAnsi="宋体" w:cs="宋体"/>
          <w:color w:val="000000" w:themeColor="text1"/>
          <w:sz w:val="24"/>
          <w:highlight w:val="none"/>
          <w:lang w:eastAsia="zh-CN"/>
          <w14:textFill>
            <w14:solidFill>
              <w14:schemeClr w14:val="tx1"/>
            </w14:solidFill>
          </w14:textFill>
        </w:rPr>
        <w:t>乙方环卫</w:t>
      </w:r>
      <w:r>
        <w:rPr>
          <w:rFonts w:hint="eastAsia" w:ascii="宋体" w:hAnsi="宋体" w:eastAsia="宋体" w:cs="宋体"/>
          <w:color w:val="000000" w:themeColor="text1"/>
          <w:sz w:val="24"/>
          <w:highlight w:val="none"/>
          <w14:textFill>
            <w14:solidFill>
              <w14:schemeClr w14:val="tx1"/>
            </w14:solidFill>
          </w14:textFill>
        </w:rPr>
        <w:t>服务工作的执行情况，检查</w:t>
      </w:r>
      <w:r>
        <w:rPr>
          <w:rFonts w:hint="eastAsia" w:ascii="宋体" w:hAnsi="宋体" w:cs="宋体"/>
          <w:color w:val="000000" w:themeColor="text1"/>
          <w:sz w:val="24"/>
          <w:highlight w:val="none"/>
          <w:lang w:eastAsia="zh-CN"/>
          <w14:textFill>
            <w14:solidFill>
              <w14:schemeClr w14:val="tx1"/>
            </w14:solidFill>
          </w14:textFill>
        </w:rPr>
        <w:t>乙方环卫</w:t>
      </w:r>
      <w:r>
        <w:rPr>
          <w:rFonts w:hint="eastAsia" w:ascii="宋体" w:hAnsi="宋体" w:eastAsia="宋体" w:cs="宋体"/>
          <w:color w:val="000000" w:themeColor="text1"/>
          <w:sz w:val="24"/>
          <w:highlight w:val="none"/>
          <w14:textFill>
            <w14:solidFill>
              <w14:schemeClr w14:val="tx1"/>
            </w14:solidFill>
          </w14:textFill>
        </w:rPr>
        <w:t>服务工作的质量情况。</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负责协助</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将服务范围内的地面设施、设备数量规格情况逐一清点、登记造册并签字确认。</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遇上级检查、较大社会活动、迎检活动等情况，</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应提前通知</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，负责做好业务指导并有权要求</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无条件配合做好相关工作。</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因工作需要，</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有权安排</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工作人员从事其他工作时，</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不承担违约责任。</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因非自然因素或管理不到位造成的损失，</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有权要求其进行无偿返工，返工不及时或未按标准整改，</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有权安排第三方进行作业，所发生的各项费用，从当月</w:t>
      </w:r>
      <w:r>
        <w:rPr>
          <w:rFonts w:hint="eastAsia" w:ascii="宋体" w:hAnsi="宋体" w:cs="宋体"/>
          <w:color w:val="000000" w:themeColor="text1"/>
          <w:sz w:val="24"/>
          <w:highlight w:val="none"/>
          <w:lang w:eastAsia="zh-CN"/>
          <w14:textFill>
            <w14:solidFill>
              <w14:schemeClr w14:val="tx1"/>
            </w14:solidFill>
          </w14:textFill>
        </w:rPr>
        <w:t>环卫</w:t>
      </w:r>
      <w:r>
        <w:rPr>
          <w:rFonts w:hint="eastAsia" w:ascii="宋体" w:hAnsi="宋体" w:eastAsia="宋体" w:cs="宋体"/>
          <w:color w:val="000000" w:themeColor="text1"/>
          <w:sz w:val="24"/>
          <w:highlight w:val="none"/>
          <w14:textFill>
            <w14:solidFill>
              <w14:schemeClr w14:val="tx1"/>
            </w14:solidFill>
          </w14:textFill>
        </w:rPr>
        <w:t>费中扣除。情节严重且二次验收不合格的，</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有权单方面终止合同。</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协调处理</w:t>
      </w:r>
      <w:r>
        <w:rPr>
          <w:rFonts w:hint="eastAsia" w:ascii="宋体" w:hAnsi="宋体" w:cs="宋体"/>
          <w:color w:val="000000" w:themeColor="text1"/>
          <w:sz w:val="24"/>
          <w:highlight w:val="none"/>
          <w:lang w:eastAsia="zh-CN"/>
          <w14:textFill>
            <w14:solidFill>
              <w14:schemeClr w14:val="tx1"/>
            </w14:solidFill>
          </w14:textFill>
        </w:rPr>
        <w:t>环卫</w:t>
      </w:r>
      <w:r>
        <w:rPr>
          <w:rFonts w:hint="eastAsia" w:ascii="宋体" w:hAnsi="宋体" w:eastAsia="宋体" w:cs="宋体"/>
          <w:color w:val="000000" w:themeColor="text1"/>
          <w:sz w:val="24"/>
          <w:highlight w:val="none"/>
          <w14:textFill>
            <w14:solidFill>
              <w14:schemeClr w14:val="tx1"/>
            </w14:solidFill>
          </w14:textFill>
        </w:rPr>
        <w:t>现场周边及地下设施的维护工作。</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核定经费，并及时支付</w:t>
      </w:r>
      <w:r>
        <w:rPr>
          <w:rFonts w:hint="eastAsia" w:ascii="宋体" w:hAnsi="宋体" w:cs="宋体"/>
          <w:color w:val="000000" w:themeColor="text1"/>
          <w:sz w:val="24"/>
          <w:highlight w:val="none"/>
          <w:lang w:eastAsia="zh-CN"/>
          <w14:textFill>
            <w14:solidFill>
              <w14:schemeClr w14:val="tx1"/>
            </w14:solidFill>
          </w14:textFill>
        </w:rPr>
        <w:t>环卫工作</w:t>
      </w:r>
      <w:r>
        <w:rPr>
          <w:rFonts w:hint="eastAsia" w:ascii="宋体" w:hAnsi="宋体" w:eastAsia="宋体" w:cs="宋体"/>
          <w:color w:val="000000" w:themeColor="text1"/>
          <w:sz w:val="24"/>
          <w:highlight w:val="none"/>
          <w14:textFill>
            <w14:solidFill>
              <w14:schemeClr w14:val="tx1"/>
            </w14:solidFill>
          </w14:textFill>
        </w:rPr>
        <w:t>费用。</w:t>
      </w:r>
    </w:p>
    <w:p>
      <w:pPr>
        <w:keepNext w:val="0"/>
        <w:keepLines w:val="0"/>
        <w:pageBreakBefore w:val="0"/>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8.2</w:t>
      </w:r>
      <w:r>
        <w:rPr>
          <w:rFonts w:hint="eastAsia" w:ascii="宋体" w:hAnsi="宋体" w:cs="宋体"/>
          <w:b/>
          <w:bCs/>
          <w:color w:val="000000" w:themeColor="text1"/>
          <w:sz w:val="24"/>
          <w:highlight w:val="none"/>
          <w:lang w:eastAsia="zh-CN"/>
          <w14:textFill>
            <w14:solidFill>
              <w14:schemeClr w14:val="tx1"/>
            </w14:solidFill>
          </w14:textFill>
        </w:rPr>
        <w:t>乙方</w:t>
      </w:r>
      <w:r>
        <w:rPr>
          <w:rFonts w:hint="eastAsia" w:ascii="宋体" w:hAnsi="宋体" w:eastAsia="宋体" w:cs="宋体"/>
          <w:b/>
          <w:bCs/>
          <w:color w:val="000000" w:themeColor="text1"/>
          <w:sz w:val="24"/>
          <w:highlight w:val="none"/>
          <w14:textFill>
            <w14:solidFill>
              <w14:schemeClr w14:val="tx1"/>
            </w14:solidFill>
          </w14:textFill>
        </w:rPr>
        <w:t>权利、义务</w:t>
      </w:r>
    </w:p>
    <w:p>
      <w:pPr>
        <w:pStyle w:val="34"/>
        <w:keepNext w:val="0"/>
        <w:keepLines w:val="0"/>
        <w:pageBreakBefore w:val="0"/>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8.2.1</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有义务严格执行</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制定的</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相关工作标准、考核办法和合同约定内容,遵守</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甲方</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的各项规章制度, 自觉接受</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甲方</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的监督、检查和管理。</w:t>
      </w:r>
      <w:r>
        <w:rPr>
          <w:rFonts w:hint="eastAsia" w:ascii="宋体" w:hAnsi="宋体" w:eastAsia="宋体" w:cs="宋体"/>
          <w:b w:val="0"/>
          <w:bCs w:val="0"/>
          <w:color w:val="000000" w:themeColor="text1"/>
          <w:sz w:val="24"/>
          <w:highlight w:val="none"/>
          <w14:textFill>
            <w14:solidFill>
              <w14:schemeClr w14:val="tx1"/>
            </w14:solidFill>
          </w14:textFill>
        </w:rPr>
        <w:t>对</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检查时发现的不合格之处,</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应及时进行整改；</w:t>
      </w:r>
    </w:p>
    <w:p>
      <w:pPr>
        <w:keepNext w:val="0"/>
        <w:keepLines w:val="0"/>
        <w:pageBreakBefore w:val="0"/>
        <w:wordWrap/>
        <w:overflowPunct/>
        <w:topLinePunct w:val="0"/>
        <w:bidi w:val="0"/>
        <w:snapToGrid/>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8.2.2负责根据有关法律法规及合同的约定，制订</w:t>
      </w:r>
      <w:r>
        <w:rPr>
          <w:rFonts w:hint="eastAsia" w:ascii="宋体" w:hAnsi="宋体" w:cs="宋体"/>
          <w:color w:val="000000" w:themeColor="text1"/>
          <w:sz w:val="24"/>
          <w:highlight w:val="none"/>
          <w:lang w:eastAsia="zh-CN"/>
          <w14:textFill>
            <w14:solidFill>
              <w14:schemeClr w14:val="tx1"/>
            </w14:solidFill>
          </w14:textFill>
        </w:rPr>
        <w:t>环卫</w:t>
      </w:r>
      <w:r>
        <w:rPr>
          <w:rFonts w:hint="eastAsia" w:ascii="宋体" w:hAnsi="宋体" w:eastAsia="宋体" w:cs="宋体"/>
          <w:color w:val="000000" w:themeColor="text1"/>
          <w:sz w:val="24"/>
          <w:highlight w:val="none"/>
          <w14:textFill>
            <w14:solidFill>
              <w14:schemeClr w14:val="tx1"/>
            </w14:solidFill>
          </w14:textFill>
        </w:rPr>
        <w:t>和保洁服务方案，按照服务范围、服务要求、服务标准进行服务和提供服务，并对工作质量负责。</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8.2.3</w:t>
      </w:r>
      <w:r>
        <w:rPr>
          <w:rFonts w:hint="eastAsia" w:ascii="宋体" w:hAnsi="宋体" w:cs="宋体"/>
          <w:color w:val="000000" w:themeColor="text1"/>
          <w:sz w:val="24"/>
          <w:highlight w:val="none"/>
          <w:lang w:eastAsia="zh-CN"/>
          <w14:textFill>
            <w14:solidFill>
              <w14:schemeClr w14:val="tx1"/>
            </w14:solidFill>
          </w14:textFill>
        </w:rPr>
        <w:t>环卫</w:t>
      </w:r>
      <w:r>
        <w:rPr>
          <w:rFonts w:hint="eastAsia" w:ascii="宋体" w:hAnsi="宋体" w:eastAsia="宋体" w:cs="宋体"/>
          <w:color w:val="000000" w:themeColor="text1"/>
          <w:sz w:val="24"/>
          <w:highlight w:val="none"/>
          <w14:textFill>
            <w14:solidFill>
              <w14:schemeClr w14:val="tx1"/>
            </w14:solidFill>
          </w14:textFill>
        </w:rPr>
        <w:t>过程中遇特殊情况无法进行时，应以书面形式及时通知</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，双方共同协商处理。</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8.2.4保证</w:t>
      </w:r>
      <w:r>
        <w:rPr>
          <w:rFonts w:hint="eastAsia" w:ascii="宋体" w:hAnsi="宋体" w:cs="宋体"/>
          <w:color w:val="000000" w:themeColor="text1"/>
          <w:sz w:val="24"/>
          <w:highlight w:val="none"/>
          <w:lang w:eastAsia="zh-CN"/>
          <w14:textFill>
            <w14:solidFill>
              <w14:schemeClr w14:val="tx1"/>
            </w14:solidFill>
          </w14:textFill>
        </w:rPr>
        <w:t>环卫</w:t>
      </w:r>
      <w:r>
        <w:rPr>
          <w:rFonts w:hint="eastAsia" w:ascii="宋体" w:hAnsi="宋体" w:eastAsia="宋体" w:cs="宋体"/>
          <w:color w:val="000000" w:themeColor="text1"/>
          <w:sz w:val="24"/>
          <w:highlight w:val="none"/>
          <w14:textFill>
            <w14:solidFill>
              <w14:schemeClr w14:val="tx1"/>
            </w14:solidFill>
          </w14:textFill>
        </w:rPr>
        <w:t>区域的整洁，做到工停、料净、场地清。</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8.2.5</w:t>
      </w:r>
      <w:r>
        <w:rPr>
          <w:rFonts w:hint="eastAsia" w:ascii="宋体" w:hAnsi="宋体" w:cs="宋体"/>
          <w:color w:val="000000" w:themeColor="text1"/>
          <w:sz w:val="24"/>
          <w:highlight w:val="none"/>
          <w:lang w:eastAsia="zh-CN"/>
          <w14:textFill>
            <w14:solidFill>
              <w14:schemeClr w14:val="tx1"/>
            </w14:solidFill>
          </w14:textFill>
        </w:rPr>
        <w:t>服务期限</w:t>
      </w:r>
      <w:r>
        <w:rPr>
          <w:rFonts w:hint="eastAsia" w:ascii="宋体" w:hAnsi="宋体" w:eastAsia="宋体" w:cs="宋体"/>
          <w:color w:val="000000" w:themeColor="text1"/>
          <w:sz w:val="24"/>
          <w:highlight w:val="none"/>
          <w14:textFill>
            <w14:solidFill>
              <w14:schemeClr w14:val="tx1"/>
            </w14:solidFill>
          </w14:textFill>
        </w:rPr>
        <w:t>内，</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应对其员工进行安全教育，抓好安全工作，全员持证上岗，因</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原因造成的安全问题，由</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自行承担责任和赔偿相应损失，同时给</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及第三方人员造成的损失、伤害等均由</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承担全部责任。</w:t>
      </w:r>
    </w:p>
    <w:p>
      <w:pPr>
        <w:keepNext w:val="0"/>
        <w:keepLines w:val="0"/>
        <w:pageBreakBefore w:val="0"/>
        <w:wordWrap/>
        <w:overflowPunct/>
        <w:topLinePunct w:val="0"/>
        <w:bidi w:val="0"/>
        <w:snapToGrid/>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8.2.6</w:t>
      </w:r>
      <w:r>
        <w:rPr>
          <w:rFonts w:hint="eastAsia" w:ascii="宋体" w:hAnsi="宋体" w:cs="宋体"/>
          <w:color w:val="000000" w:themeColor="text1"/>
          <w:sz w:val="24"/>
          <w:highlight w:val="none"/>
          <w:lang w:eastAsia="zh-CN"/>
          <w14:textFill>
            <w14:solidFill>
              <w14:schemeClr w14:val="tx1"/>
            </w14:solidFill>
          </w14:textFill>
        </w:rPr>
        <w:t>服务期</w:t>
      </w:r>
      <w:r>
        <w:rPr>
          <w:rFonts w:hint="eastAsia" w:ascii="宋体" w:hAnsi="宋体" w:eastAsia="宋体" w:cs="宋体"/>
          <w:color w:val="000000" w:themeColor="text1"/>
          <w:sz w:val="24"/>
          <w:highlight w:val="none"/>
          <w14:textFill>
            <w14:solidFill>
              <w14:schemeClr w14:val="tx1"/>
            </w14:solidFill>
          </w14:textFill>
        </w:rPr>
        <w:t>限内，</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派出的服务人员及管理人员等须是</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正式员工，并按要求缴纳各项保险等费用，如因</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没有按时发放员工工资或缴纳各项保险费用，造成</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为</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服务的员工罢工或上访，每发生一次，</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收取¥</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万元违约金，因此给</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造成的损失由</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承担。</w:t>
      </w:r>
    </w:p>
    <w:p>
      <w:pPr>
        <w:pStyle w:val="524"/>
        <w:keepNext w:val="0"/>
        <w:keepLines w:val="0"/>
        <w:pageBreakBefore w:val="0"/>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8.2.7</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在</w:t>
      </w:r>
      <w:r>
        <w:rPr>
          <w:rFonts w:hint="eastAsia" w:ascii="宋体" w:hAnsi="宋体" w:cs="宋体"/>
          <w:color w:val="000000" w:themeColor="text1"/>
          <w:sz w:val="24"/>
          <w:highlight w:val="none"/>
          <w:lang w:eastAsia="zh-CN"/>
          <w14:textFill>
            <w14:solidFill>
              <w14:schemeClr w14:val="tx1"/>
            </w14:solidFill>
          </w14:textFill>
        </w:rPr>
        <w:t>环卫</w:t>
      </w:r>
      <w:r>
        <w:rPr>
          <w:rFonts w:hint="eastAsia" w:ascii="宋体" w:hAnsi="宋体" w:eastAsia="宋体" w:cs="宋体"/>
          <w:color w:val="000000" w:themeColor="text1"/>
          <w:sz w:val="24"/>
          <w:highlight w:val="none"/>
          <w14:textFill>
            <w14:solidFill>
              <w14:schemeClr w14:val="tx1"/>
            </w14:solidFill>
          </w14:textFill>
        </w:rPr>
        <w:t>过程中发生的所有相关资料按期上报</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存档。</w:t>
      </w:r>
    </w:p>
    <w:p>
      <w:pPr>
        <w:pStyle w:val="2"/>
        <w:keepNext w:val="0"/>
        <w:keepLines w:val="0"/>
        <w:pageBreakBefore w:val="0"/>
        <w:wordWrap/>
        <w:overflowPunct/>
        <w:topLinePunct w:val="0"/>
        <w:bidi w:val="0"/>
        <w:snapToGrid/>
        <w:spacing w:line="360" w:lineRule="auto"/>
        <w:ind w:firstLine="480" w:firstLineChars="200"/>
        <w:jc w:val="left"/>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8.2.8负责与</w:t>
      </w:r>
      <w:r>
        <w:rPr>
          <w:rFonts w:hint="eastAsia" w:ascii="宋体" w:hAnsi="宋体" w:cs="宋体"/>
          <w:color w:val="000000" w:themeColor="text1"/>
          <w:szCs w:val="24"/>
          <w:highlight w:val="none"/>
          <w:lang w:eastAsia="zh-CN"/>
          <w14:textFill>
            <w14:solidFill>
              <w14:schemeClr w14:val="tx1"/>
            </w14:solidFill>
          </w14:textFill>
        </w:rPr>
        <w:t>甲方</w:t>
      </w:r>
      <w:r>
        <w:rPr>
          <w:rFonts w:hint="eastAsia" w:ascii="宋体" w:hAnsi="宋体" w:eastAsia="宋体" w:cs="宋体"/>
          <w:color w:val="000000" w:themeColor="text1"/>
          <w:szCs w:val="24"/>
          <w:highlight w:val="none"/>
          <w14:textFill>
            <w14:solidFill>
              <w14:schemeClr w14:val="tx1"/>
            </w14:solidFill>
          </w14:textFill>
        </w:rPr>
        <w:t xml:space="preserve">一起将服务范围内的地面设施、设备数量规格情况逐一清点、登记造册并签字确认。 </w:t>
      </w:r>
    </w:p>
    <w:p>
      <w:pPr>
        <w:keepNext w:val="0"/>
        <w:keepLines w:val="0"/>
        <w:pageBreakBefore w:val="0"/>
        <w:tabs>
          <w:tab w:val="left" w:pos="-750"/>
        </w:tabs>
        <w:wordWrap/>
        <w:overflowPunct/>
        <w:topLinePunct w:val="0"/>
        <w:bidi w:val="0"/>
        <w:snapToGrid/>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8.2.9严格按国家安全规范开展工作，遵守</w:t>
      </w:r>
      <w:r>
        <w:rPr>
          <w:rFonts w:hint="eastAsia" w:ascii="宋体" w:hAnsi="宋体" w:eastAsia="宋体" w:cs="宋体"/>
          <w:color w:val="000000" w:themeColor="text1"/>
          <w:sz w:val="24"/>
          <w:highlight w:val="none"/>
          <w:lang w:eastAsia="zh-CN"/>
          <w14:textFill>
            <w14:solidFill>
              <w14:schemeClr w14:val="tx1"/>
            </w14:solidFill>
          </w14:textFill>
        </w:rPr>
        <w:t>项目</w:t>
      </w:r>
      <w:r>
        <w:rPr>
          <w:rFonts w:hint="eastAsia" w:ascii="宋体" w:hAnsi="宋体" w:eastAsia="宋体" w:cs="宋体"/>
          <w:color w:val="000000" w:themeColor="text1"/>
          <w:sz w:val="24"/>
          <w:highlight w:val="none"/>
          <w14:textFill>
            <w14:solidFill>
              <w14:schemeClr w14:val="tx1"/>
            </w14:solidFill>
          </w14:textFill>
        </w:rPr>
        <w:t>安全生产有关管理规定，严格按安全标准组织施工，采取必要的安全防护措施，因安全措施不到位，责任心不强等引起安全事故，由</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承担全部责任。</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8.2.10</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应自觉接受</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的监督和指导，服从</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和上级部门的检查考核。在重大活动和上级检查期间无条件服从</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安排的加班加点和突击任务。</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8.2.11未经</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批准，</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不得对本</w:t>
      </w:r>
      <w:r>
        <w:rPr>
          <w:rFonts w:hint="eastAsia" w:ascii="宋体" w:hAnsi="宋体" w:eastAsia="宋体" w:cs="宋体"/>
          <w:color w:val="000000" w:themeColor="text1"/>
          <w:sz w:val="24"/>
          <w:highlight w:val="none"/>
          <w:lang w:eastAsia="zh-CN"/>
          <w14:textFill>
            <w14:solidFill>
              <w14:schemeClr w14:val="tx1"/>
            </w14:solidFill>
          </w14:textFill>
        </w:rPr>
        <w:t>项目</w:t>
      </w:r>
      <w:r>
        <w:rPr>
          <w:rFonts w:hint="eastAsia" w:ascii="宋体" w:hAnsi="宋体" w:eastAsia="宋体" w:cs="宋体"/>
          <w:color w:val="000000" w:themeColor="text1"/>
          <w:sz w:val="24"/>
          <w:highlight w:val="none"/>
          <w14:textFill>
            <w14:solidFill>
              <w14:schemeClr w14:val="tx1"/>
            </w14:solidFill>
          </w14:textFill>
        </w:rPr>
        <w:t>的公用设施擅自占用和改变使用功能；不得利用</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场所进行本合同之外的任何经营或收费行为。</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8.2.1</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必须有固定的办公场所、值班电话和工具停放场所，须落实专职管理员。</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8.2.1</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合同终止时，</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必须按照通知要求完成交接工作，并保持物业完好。如因</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原因造成的设施、工具缺损和财产丢失，</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应承担全部维修、更换及赔偿责任。</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环卫</w:t>
      </w:r>
      <w:r>
        <w:rPr>
          <w:rFonts w:hint="eastAsia" w:ascii="宋体" w:hAnsi="宋体" w:eastAsia="宋体" w:cs="宋体"/>
          <w:color w:val="000000" w:themeColor="text1"/>
          <w:sz w:val="24"/>
          <w:highlight w:val="none"/>
          <w14:textFill>
            <w14:solidFill>
              <w14:schemeClr w14:val="tx1"/>
            </w14:solidFill>
          </w14:textFill>
        </w:rPr>
        <w:t>过程中遇特殊情况无法进行时，应以书面形式及时通知</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，双方共同协商处理。</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9、违约责任</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9.1.1</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由于上级部门审批引起的费用支付延误，</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不承担违约责任。</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9.1.2</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在履行合同过程中，</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工作人员造成</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财产损失，名誉损失的，</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应承担相应赔偿责任，该费用从</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服务费用中扣减。如</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违反本合同约定，因工作失误出现重大安全等重大工作失误，造成严重恶劣后果的，或不能完成约定的委托目标任务，或对</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提出的整改拒绝整改及经三次整改未达标的，针对以上情况</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有权单方面终止合同，由此造成的各项损失由</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承担。</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9.1.3因</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工作需要安排</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工作人员从事其他工作时，</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应当无条件全力配合，</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不承担违约责任。</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9.1.4</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在承担</w:t>
      </w:r>
      <w:r>
        <w:rPr>
          <w:rFonts w:hint="eastAsia" w:ascii="宋体" w:hAnsi="宋体" w:cs="宋体"/>
          <w:color w:val="000000" w:themeColor="text1"/>
          <w:sz w:val="24"/>
          <w:highlight w:val="none"/>
          <w:lang w:eastAsia="zh-CN"/>
          <w14:textFill>
            <w14:solidFill>
              <w14:schemeClr w14:val="tx1"/>
            </w14:solidFill>
          </w14:textFill>
        </w:rPr>
        <w:t>环卫</w:t>
      </w:r>
      <w:r>
        <w:rPr>
          <w:rFonts w:hint="eastAsia" w:ascii="宋体" w:hAnsi="宋体" w:eastAsia="宋体" w:cs="宋体"/>
          <w:color w:val="000000" w:themeColor="text1"/>
          <w:sz w:val="24"/>
          <w:highlight w:val="none"/>
          <w14:textFill>
            <w14:solidFill>
              <w14:schemeClr w14:val="tx1"/>
            </w14:solidFill>
          </w14:textFill>
        </w:rPr>
        <w:t>服务工作期间，如不能按时完成工作或完成的工作质量没有达到标准要求，按相关考核实施细则进行考核，并承担相关违约责任。</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9.1.5如遇政府规划、政策变化、不可抗力等原因导致该合同不能继续履行时，本合同自行终止，由此造成各方经济损失，双方互不承担违约责任。</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9.1.6因自然灾害等不可抗力原因造成损失的，</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应尽量避免或减少损失，将因不可抗力造成的损失降低到最小程度，双方不能履行合同义务时，双方共同协商。</w:t>
      </w:r>
    </w:p>
    <w:p>
      <w:pPr>
        <w:keepNext w:val="0"/>
        <w:keepLines w:val="0"/>
        <w:pageBreakBefore w:val="0"/>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10、不可抗力：</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10.1下列事件可认为是不可抗力事件：大风、冰雹、雪灾等不能预见、不能避免、不能克服的客观情况。</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10.2由于不可抗力原因，</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尽量避免或减少损失，将因不可抗力造成的损失降低到最小程度，双方不能履行合同义务时，双方共同协商。</w:t>
      </w:r>
    </w:p>
    <w:p>
      <w:pPr>
        <w:keepNext w:val="0"/>
        <w:keepLines w:val="0"/>
        <w:pageBreakBefore w:val="0"/>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11、合同的生效、变更、解除和终止</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11.1本合同经双方法定代表（负责）人或委托代理人签字并加盖单位合同专用印章后生效。</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11.2本合同经双方协商一致，可以变更，合同变更协议应采用书面形式。</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11.3本合同解除条件:</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11.3.1因不可抗力致使不能实现合同目的的；</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11.3.2在履行期限届满之前，一方明确表示或者以自己实际行为表明其不履行合同义务的；</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11.3.3双方协商一致同意解除的；</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11.3.4</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给</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造成损失拒不赔偿的，</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有权解除合同。</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11.3.5 因非自然因素或管理不到位造成的损失，</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有权要求其进行无偿返工，返工不及时或未按标准整改，</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有权安排第三方进行作业，所发生的各项费用，从</w:t>
      </w:r>
      <w:r>
        <w:rPr>
          <w:rFonts w:hint="eastAsia" w:ascii="宋体" w:hAnsi="宋体" w:cs="宋体"/>
          <w:color w:val="000000" w:themeColor="text1"/>
          <w:sz w:val="24"/>
          <w:highlight w:val="none"/>
          <w:lang w:eastAsia="zh-CN"/>
          <w14:textFill>
            <w14:solidFill>
              <w14:schemeClr w14:val="tx1"/>
            </w14:solidFill>
          </w14:textFill>
        </w:rPr>
        <w:t>环卫</w:t>
      </w:r>
      <w:r>
        <w:rPr>
          <w:rFonts w:hint="eastAsia" w:ascii="宋体" w:hAnsi="宋体" w:eastAsia="宋体" w:cs="宋体"/>
          <w:color w:val="000000" w:themeColor="text1"/>
          <w:sz w:val="24"/>
          <w:highlight w:val="none"/>
          <w14:textFill>
            <w14:solidFill>
              <w14:schemeClr w14:val="tx1"/>
            </w14:solidFill>
          </w14:textFill>
        </w:rPr>
        <w:t>费中扣除。情节严重且二次验收不合格的，</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有权终止其合同。</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11.3.6</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在</w:t>
      </w:r>
      <w:r>
        <w:rPr>
          <w:rFonts w:hint="eastAsia" w:ascii="宋体" w:hAnsi="宋体" w:cs="宋体"/>
          <w:color w:val="000000" w:themeColor="text1"/>
          <w:sz w:val="24"/>
          <w:highlight w:val="none"/>
          <w:lang w:eastAsia="zh-CN"/>
          <w14:textFill>
            <w14:solidFill>
              <w14:schemeClr w14:val="tx1"/>
            </w14:solidFill>
          </w14:textFill>
        </w:rPr>
        <w:t>环卫</w:t>
      </w:r>
      <w:r>
        <w:rPr>
          <w:rFonts w:hint="eastAsia" w:ascii="宋体" w:hAnsi="宋体" w:eastAsia="宋体" w:cs="宋体"/>
          <w:color w:val="000000" w:themeColor="text1"/>
          <w:sz w:val="24"/>
          <w:highlight w:val="none"/>
          <w14:textFill>
            <w14:solidFill>
              <w14:schemeClr w14:val="tx1"/>
            </w14:solidFill>
          </w14:textFill>
        </w:rPr>
        <w:t>期间，如未按照合同或未经</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批准，进行项目分包、转包的，</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有权终止合同，所有损失由</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自行承担。</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11.4有下列情形之一的，本合同的权利义务终止：</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11.4.1合同已经按照约定时间履行完结；</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11.4.2双方协商解除合同；</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11.4.3法律规定的其它情形。</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11.4.4 合同变更、解除或终止，不能免除违约方应承担的违约责任，给对方造成损失的，还应承担赔偿责任。</w:t>
      </w:r>
    </w:p>
    <w:p>
      <w:pPr>
        <w:keepNext w:val="0"/>
        <w:keepLines w:val="0"/>
        <w:pageBreakBefore w:val="0"/>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12、争议的解决：</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12.1本合同在履行过程中发生争议的，双方共同协商解决；协商不成时向克拉玛依仲裁委员会提请仲裁。</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13、合同份数：</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13.1双方可对本合同的条款进行补充，以书面形式签订补充协议，补充协议与本合同具有同等效力。</w:t>
      </w:r>
    </w:p>
    <w:p>
      <w:pPr>
        <w:keepNext w:val="0"/>
        <w:keepLines w:val="0"/>
        <w:pageBreakBefore w:val="0"/>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13.2本合同一式捌份，</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执贰份，</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执陆份，每份具有同等法律效力。</w:t>
      </w:r>
    </w:p>
    <w:p>
      <w:pPr>
        <w:pStyle w:val="32"/>
        <w:keepNext w:val="0"/>
        <w:keepLines w:val="0"/>
        <w:pageBreakBefore w:val="0"/>
        <w:kinsoku w:val="0"/>
        <w:wordWrap/>
        <w:overflowPunct/>
        <w:topLinePunct w:val="0"/>
        <w:bidi w:val="0"/>
        <w:snapToGrid/>
        <w:spacing w:line="360" w:lineRule="auto"/>
        <w:ind w:firstLine="480" w:firstLineChars="200"/>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p>
    <w:p>
      <w:pPr>
        <w:pStyle w:val="17"/>
        <w:spacing w:line="360" w:lineRule="auto"/>
        <w:ind w:firstLine="0"/>
        <w:jc w:val="center"/>
        <w:rPr>
          <w:rFonts w:hint="eastAsia" w:ascii="宋体" w:hAnsi="宋体" w:cs="宋体"/>
          <w:b/>
          <w:bCs/>
          <w:color w:val="000000" w:themeColor="text1"/>
          <w:sz w:val="28"/>
          <w:szCs w:val="28"/>
          <w:highlight w:val="none"/>
          <w14:textFill>
            <w14:solidFill>
              <w14:schemeClr w14:val="tx1"/>
            </w14:solidFill>
          </w14:textFill>
        </w:rPr>
      </w:pPr>
    </w:p>
    <w:p>
      <w:pPr>
        <w:pStyle w:val="17"/>
        <w:spacing w:line="360" w:lineRule="auto"/>
        <w:ind w:firstLine="0"/>
        <w:jc w:val="center"/>
        <w:rPr>
          <w:rFonts w:hint="eastAsia" w:ascii="宋体" w:hAnsi="宋体" w:cs="宋体"/>
          <w:b/>
          <w:bCs/>
          <w:color w:val="000000" w:themeColor="text1"/>
          <w:sz w:val="28"/>
          <w:szCs w:val="28"/>
          <w:highlight w:val="none"/>
          <w14:textFill>
            <w14:solidFill>
              <w14:schemeClr w14:val="tx1"/>
            </w14:solidFill>
          </w14:textFill>
        </w:rPr>
      </w:pPr>
    </w:p>
    <w:p>
      <w:pPr>
        <w:pStyle w:val="17"/>
        <w:spacing w:line="360" w:lineRule="auto"/>
        <w:ind w:firstLine="0"/>
        <w:jc w:val="center"/>
        <w:rPr>
          <w:rFonts w:hint="eastAsia" w:ascii="宋体" w:hAnsi="宋体" w:cs="宋体"/>
          <w:b/>
          <w:bCs/>
          <w:color w:val="000000" w:themeColor="text1"/>
          <w:sz w:val="28"/>
          <w:szCs w:val="28"/>
          <w:highlight w:val="none"/>
          <w14:textFill>
            <w14:solidFill>
              <w14:schemeClr w14:val="tx1"/>
            </w14:solidFill>
          </w14:textFill>
        </w:rPr>
      </w:pPr>
    </w:p>
    <w:p>
      <w:pPr>
        <w:pStyle w:val="17"/>
        <w:spacing w:line="360" w:lineRule="auto"/>
        <w:ind w:firstLine="0"/>
        <w:jc w:val="center"/>
        <w:rPr>
          <w:rFonts w:hint="eastAsia" w:ascii="宋体" w:hAnsi="宋体" w:cs="宋体"/>
          <w:b/>
          <w:bCs/>
          <w:color w:val="000000" w:themeColor="text1"/>
          <w:sz w:val="28"/>
          <w:szCs w:val="28"/>
          <w:highlight w:val="none"/>
          <w14:textFill>
            <w14:solidFill>
              <w14:schemeClr w14:val="tx1"/>
            </w14:solidFill>
          </w14:textFill>
        </w:rPr>
      </w:pPr>
    </w:p>
    <w:p>
      <w:pPr>
        <w:pStyle w:val="17"/>
        <w:spacing w:line="360" w:lineRule="auto"/>
        <w:ind w:firstLine="0"/>
        <w:jc w:val="center"/>
        <w:rPr>
          <w:rFonts w:hint="eastAsia" w:ascii="宋体" w:hAnsi="宋体" w:cs="宋体"/>
          <w:b/>
          <w:bCs/>
          <w:color w:val="000000" w:themeColor="text1"/>
          <w:sz w:val="28"/>
          <w:szCs w:val="28"/>
          <w:highlight w:val="none"/>
          <w14:textFill>
            <w14:solidFill>
              <w14:schemeClr w14:val="tx1"/>
            </w14:solidFill>
          </w14:textFill>
        </w:rPr>
      </w:pPr>
    </w:p>
    <w:p>
      <w:pPr>
        <w:pStyle w:val="17"/>
        <w:spacing w:line="360" w:lineRule="auto"/>
        <w:ind w:firstLine="0"/>
        <w:jc w:val="center"/>
        <w:rPr>
          <w:rFonts w:hint="eastAsia" w:ascii="宋体" w:hAnsi="宋体" w:cs="宋体"/>
          <w:b/>
          <w:bCs/>
          <w:color w:val="000000" w:themeColor="text1"/>
          <w:sz w:val="28"/>
          <w:szCs w:val="28"/>
          <w:highlight w:val="none"/>
          <w14:textFill>
            <w14:solidFill>
              <w14:schemeClr w14:val="tx1"/>
            </w14:solidFill>
          </w14:textFill>
        </w:rPr>
      </w:pPr>
    </w:p>
    <w:p>
      <w:pPr>
        <w:pStyle w:val="17"/>
        <w:spacing w:line="360" w:lineRule="auto"/>
        <w:ind w:firstLine="0"/>
        <w:jc w:val="center"/>
        <w:rPr>
          <w:rFonts w:hint="eastAsia" w:ascii="宋体" w:hAnsi="宋体" w:cs="宋体"/>
          <w:b/>
          <w:bCs/>
          <w:color w:val="000000" w:themeColor="text1"/>
          <w:sz w:val="28"/>
          <w:szCs w:val="28"/>
          <w:highlight w:val="none"/>
          <w14:textFill>
            <w14:solidFill>
              <w14:schemeClr w14:val="tx1"/>
            </w14:solidFill>
          </w14:textFill>
        </w:rPr>
      </w:pPr>
    </w:p>
    <w:p>
      <w:pPr>
        <w:pStyle w:val="17"/>
        <w:spacing w:line="360" w:lineRule="auto"/>
        <w:ind w:firstLine="0"/>
        <w:jc w:val="center"/>
        <w:rPr>
          <w:rFonts w:hint="eastAsia" w:ascii="宋体" w:hAnsi="宋体" w:cs="宋体"/>
          <w:b/>
          <w:bCs/>
          <w:color w:val="000000" w:themeColor="text1"/>
          <w:sz w:val="28"/>
          <w:szCs w:val="28"/>
          <w:highlight w:val="none"/>
          <w14:textFill>
            <w14:solidFill>
              <w14:schemeClr w14:val="tx1"/>
            </w14:solidFill>
          </w14:textFill>
        </w:rPr>
      </w:pPr>
    </w:p>
    <w:p>
      <w:pPr>
        <w:pStyle w:val="17"/>
        <w:spacing w:line="360" w:lineRule="auto"/>
        <w:ind w:firstLine="0"/>
        <w:jc w:val="center"/>
        <w:rPr>
          <w:rFonts w:hint="eastAsia" w:ascii="宋体" w:hAnsi="宋体" w:cs="宋体"/>
          <w:b/>
          <w:bCs/>
          <w:color w:val="000000" w:themeColor="text1"/>
          <w:sz w:val="28"/>
          <w:szCs w:val="28"/>
          <w:highlight w:val="none"/>
          <w14:textFill>
            <w14:solidFill>
              <w14:schemeClr w14:val="tx1"/>
            </w14:solidFill>
          </w14:textFill>
        </w:rPr>
      </w:pPr>
    </w:p>
    <w:p>
      <w:pPr>
        <w:pStyle w:val="17"/>
        <w:spacing w:line="360" w:lineRule="auto"/>
        <w:ind w:firstLine="0"/>
        <w:jc w:val="center"/>
        <w:rPr>
          <w:rFonts w:hint="eastAsia" w:ascii="宋体" w:hAnsi="宋体" w:cs="宋体"/>
          <w:b/>
          <w:bCs/>
          <w:color w:val="000000" w:themeColor="text1"/>
          <w:sz w:val="28"/>
          <w:szCs w:val="28"/>
          <w:highlight w:val="none"/>
          <w14:textFill>
            <w14:solidFill>
              <w14:schemeClr w14:val="tx1"/>
            </w14:solidFill>
          </w14:textFill>
        </w:rPr>
      </w:pPr>
    </w:p>
    <w:p>
      <w:pPr>
        <w:pStyle w:val="17"/>
        <w:spacing w:line="360" w:lineRule="auto"/>
        <w:ind w:firstLine="0"/>
        <w:jc w:val="center"/>
        <w:rPr>
          <w:rFonts w:hint="eastAsia" w:ascii="宋体" w:hAnsi="宋体" w:cs="宋体"/>
          <w:b/>
          <w:bCs/>
          <w:color w:val="000000" w:themeColor="text1"/>
          <w:sz w:val="28"/>
          <w:szCs w:val="28"/>
          <w:highlight w:val="none"/>
          <w14:textFill>
            <w14:solidFill>
              <w14:schemeClr w14:val="tx1"/>
            </w14:solidFill>
          </w14:textFill>
        </w:rPr>
      </w:pPr>
    </w:p>
    <w:p>
      <w:pPr>
        <w:pStyle w:val="17"/>
        <w:spacing w:line="360" w:lineRule="auto"/>
        <w:ind w:firstLine="0"/>
        <w:jc w:val="center"/>
        <w:rPr>
          <w:rFonts w:hint="eastAsia" w:ascii="宋体" w:hAnsi="宋体" w:cs="宋体"/>
          <w:b/>
          <w:bCs/>
          <w:color w:val="000000" w:themeColor="text1"/>
          <w:sz w:val="28"/>
          <w:szCs w:val="28"/>
          <w:highlight w:val="none"/>
          <w14:textFill>
            <w14:solidFill>
              <w14:schemeClr w14:val="tx1"/>
            </w14:solidFill>
          </w14:textFill>
        </w:rPr>
      </w:pPr>
    </w:p>
    <w:p>
      <w:pPr>
        <w:pStyle w:val="17"/>
        <w:spacing w:line="360" w:lineRule="auto"/>
        <w:ind w:firstLine="0"/>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第五章  投标文件格式</w:t>
      </w:r>
    </w:p>
    <w:p>
      <w:pPr>
        <w:spacing w:line="480" w:lineRule="auto"/>
        <w:jc w:val="left"/>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格式1   法定代表人资格证明书</w:t>
      </w:r>
    </w:p>
    <w:p>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格式2   法定代表人授权委托书</w:t>
      </w:r>
    </w:p>
    <w:p>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格式3   投标人资格声明</w:t>
      </w:r>
    </w:p>
    <w:p>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格式</w:t>
      </w: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14:textFill>
            <w14:solidFill>
              <w14:schemeClr w14:val="tx1"/>
            </w14:solidFill>
          </w14:textFill>
        </w:rPr>
        <w:t xml:space="preserve">   中小企业声明函</w:t>
      </w:r>
    </w:p>
    <w:p>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格式</w:t>
      </w:r>
      <w:r>
        <w:rPr>
          <w:rFonts w:hint="eastAsia" w:ascii="宋体" w:hAnsi="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 xml:space="preserve">   项目管理及服务人员表</w:t>
      </w:r>
    </w:p>
    <w:p>
      <w:pPr>
        <w:spacing w:line="360" w:lineRule="auto"/>
        <w:ind w:firstLine="480" w:firstLineChars="200"/>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格式</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lang w:eastAsia="zh-CN"/>
          <w14:textFill>
            <w14:solidFill>
              <w14:schemeClr w14:val="tx1"/>
            </w14:solidFill>
          </w14:textFill>
        </w:rPr>
        <w:t>拟投入本服务项目的主要机械、车辆及设备表</w:t>
      </w:r>
    </w:p>
    <w:p>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格式</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近三年（201</w:t>
      </w:r>
      <w:r>
        <w:rPr>
          <w:rFonts w:hint="eastAsia" w:ascii="宋体" w:hAnsi="宋体" w:cs="宋体"/>
          <w:bCs/>
          <w:color w:val="000000" w:themeColor="text1"/>
          <w:sz w:val="24"/>
          <w:highlight w:val="none"/>
          <w:lang w:val="en-US" w:eastAsia="zh-CN"/>
          <w14:textFill>
            <w14:solidFill>
              <w14:schemeClr w14:val="tx1"/>
            </w14:solidFill>
          </w14:textFill>
        </w:rPr>
        <w:t>8</w:t>
      </w:r>
      <w:r>
        <w:rPr>
          <w:rFonts w:hint="eastAsia" w:ascii="宋体" w:hAnsi="宋体" w:eastAsia="宋体" w:cs="宋体"/>
          <w:bCs/>
          <w:color w:val="000000" w:themeColor="text1"/>
          <w:sz w:val="24"/>
          <w:highlight w:val="none"/>
          <w14:textFill>
            <w14:solidFill>
              <w14:schemeClr w14:val="tx1"/>
            </w14:solidFill>
          </w14:textFill>
        </w:rPr>
        <w:t>年1月1日至今）同类项目业绩表</w:t>
      </w:r>
    </w:p>
    <w:p>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格式</w:t>
      </w:r>
      <w:r>
        <w:rPr>
          <w:rFonts w:hint="eastAsia" w:ascii="宋体" w:hAnsi="宋体" w:cs="宋体"/>
          <w:bCs/>
          <w:color w:val="000000" w:themeColor="text1"/>
          <w:sz w:val="24"/>
          <w:highlight w:val="none"/>
          <w:lang w:val="en-US" w:eastAsia="zh-CN"/>
          <w14:textFill>
            <w14:solidFill>
              <w14:schemeClr w14:val="tx1"/>
            </w14:solidFill>
          </w14:textFill>
        </w:rPr>
        <w:t>8</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资格性/符合性自查表</w:t>
      </w:r>
    </w:p>
    <w:p>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格式</w:t>
      </w:r>
      <w:r>
        <w:rPr>
          <w:rFonts w:hint="eastAsia" w:ascii="宋体" w:hAnsi="宋体" w:cs="宋体"/>
          <w:bCs/>
          <w:color w:val="000000" w:themeColor="text1"/>
          <w:sz w:val="24"/>
          <w:highlight w:val="none"/>
          <w:lang w:val="en-US" w:eastAsia="zh-CN"/>
          <w14:textFill>
            <w14:solidFill>
              <w14:schemeClr w14:val="tx1"/>
            </w14:solidFill>
          </w14:textFill>
        </w:rPr>
        <w:t>9</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lang w:eastAsia="zh-CN"/>
          <w14:textFill>
            <w14:solidFill>
              <w14:schemeClr w14:val="tx1"/>
            </w14:solidFill>
          </w14:textFill>
        </w:rPr>
        <w:t>投标</w:t>
      </w:r>
      <w:r>
        <w:rPr>
          <w:rFonts w:hint="eastAsia" w:ascii="宋体" w:hAnsi="宋体" w:eastAsia="宋体" w:cs="宋体"/>
          <w:bCs/>
          <w:color w:val="000000" w:themeColor="text1"/>
          <w:sz w:val="24"/>
          <w:highlight w:val="none"/>
          <w14:textFill>
            <w14:solidFill>
              <w14:schemeClr w14:val="tx1"/>
            </w14:solidFill>
          </w14:textFill>
        </w:rPr>
        <w:t>函</w:t>
      </w:r>
    </w:p>
    <w:p>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格式1</w:t>
      </w:r>
      <w:r>
        <w:rPr>
          <w:rFonts w:hint="eastAsia" w:ascii="宋体" w:hAnsi="宋体" w:cs="宋体"/>
          <w:bCs/>
          <w:color w:val="000000" w:themeColor="text1"/>
          <w:sz w:val="24"/>
          <w:highlight w:val="none"/>
          <w:lang w:val="en-US" w:eastAsia="zh-CN"/>
          <w14:textFill>
            <w14:solidFill>
              <w14:schemeClr w14:val="tx1"/>
            </w14:solidFill>
          </w14:textFill>
        </w:rPr>
        <w:t>0</w:t>
      </w:r>
      <w:r>
        <w:rPr>
          <w:rFonts w:hint="eastAsia" w:ascii="宋体" w:hAnsi="宋体" w:eastAsia="宋体" w:cs="宋体"/>
          <w:bCs/>
          <w:color w:val="000000" w:themeColor="text1"/>
          <w:sz w:val="24"/>
          <w:highlight w:val="none"/>
          <w14:textFill>
            <w14:solidFill>
              <w14:schemeClr w14:val="tx1"/>
            </w14:solidFill>
          </w14:textFill>
        </w:rPr>
        <w:t xml:space="preserve">  开标一览表</w:t>
      </w:r>
    </w:p>
    <w:p>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格式1</w:t>
      </w:r>
      <w:r>
        <w:rPr>
          <w:rFonts w:hint="eastAsia" w:ascii="宋体" w:hAnsi="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 xml:space="preserve">  商务条款偏离表</w:t>
      </w:r>
    </w:p>
    <w:p>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格式1</w:t>
      </w: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 xml:space="preserve"> 技术规格响应偏离表</w:t>
      </w:r>
    </w:p>
    <w:p>
      <w:pPr>
        <w:spacing w:line="480" w:lineRule="auto"/>
        <w:ind w:firstLine="480" w:firstLineChars="200"/>
        <w:rPr>
          <w:rFonts w:ascii="宋体" w:hAnsi="宋体" w:cs="宋体"/>
          <w:color w:val="000000" w:themeColor="text1"/>
          <w:sz w:val="24"/>
          <w:highlight w:val="none"/>
          <w14:textFill>
            <w14:solidFill>
              <w14:schemeClr w14:val="tx1"/>
            </w14:solidFill>
          </w14:textFill>
        </w:rPr>
      </w:pPr>
    </w:p>
    <w:p>
      <w:pPr>
        <w:spacing w:line="480" w:lineRule="auto"/>
        <w:rPr>
          <w:rFonts w:ascii="宋体" w:hAnsi="宋体" w:cs="宋体"/>
          <w:bCs/>
          <w:color w:val="000000" w:themeColor="text1"/>
          <w:sz w:val="24"/>
          <w:highlight w:val="none"/>
          <w14:textFill>
            <w14:solidFill>
              <w14:schemeClr w14:val="tx1"/>
            </w14:solidFill>
          </w14:textFill>
        </w:rPr>
      </w:pPr>
    </w:p>
    <w:p>
      <w:pPr>
        <w:spacing w:line="360" w:lineRule="auto"/>
        <w:rPr>
          <w:rFonts w:ascii="宋体" w:hAnsi="宋体" w:cs="宋体"/>
          <w:b/>
          <w:bCs/>
          <w:color w:val="000000" w:themeColor="text1"/>
          <w:sz w:val="36"/>
          <w:szCs w:val="36"/>
          <w:highlight w:val="none"/>
          <w14:textFill>
            <w14:solidFill>
              <w14:schemeClr w14:val="tx1"/>
            </w14:solidFill>
          </w14:textFill>
        </w:rPr>
      </w:pPr>
    </w:p>
    <w:p>
      <w:pPr>
        <w:spacing w:line="360" w:lineRule="auto"/>
        <w:rPr>
          <w:rFonts w:ascii="宋体" w:hAnsi="宋体" w:cs="宋体"/>
          <w:b/>
          <w:color w:val="000000" w:themeColor="text1"/>
          <w:sz w:val="52"/>
          <w:szCs w:val="52"/>
          <w:highlight w:val="none"/>
          <w14:textFill>
            <w14:solidFill>
              <w14:schemeClr w14:val="tx1"/>
            </w14:solidFill>
          </w14:textFill>
        </w:rPr>
      </w:pPr>
    </w:p>
    <w:p>
      <w:pPr>
        <w:spacing w:line="360" w:lineRule="auto"/>
        <w:rPr>
          <w:rFonts w:ascii="宋体" w:hAnsi="宋体" w:cs="宋体"/>
          <w:b/>
          <w:color w:val="000000" w:themeColor="text1"/>
          <w:sz w:val="52"/>
          <w:szCs w:val="52"/>
          <w:highlight w:val="none"/>
          <w14:textFill>
            <w14:solidFill>
              <w14:schemeClr w14:val="tx1"/>
            </w14:solidFill>
          </w14:textFill>
        </w:rPr>
      </w:pPr>
    </w:p>
    <w:p>
      <w:pPr>
        <w:spacing w:line="360" w:lineRule="auto"/>
        <w:ind w:firstLine="723" w:firstLineChars="200"/>
        <w:jc w:val="center"/>
        <w:rPr>
          <w:rFonts w:hint="eastAsia" w:ascii="宋体" w:hAnsi="宋体" w:cs="宋体"/>
          <w:b/>
          <w:color w:val="000000" w:themeColor="text1"/>
          <w:sz w:val="36"/>
          <w:szCs w:val="36"/>
          <w:highlight w:val="none"/>
          <w:lang w:eastAsia="zh-CN"/>
          <w14:textFill>
            <w14:solidFill>
              <w14:schemeClr w14:val="tx1"/>
            </w14:solidFill>
          </w14:textFill>
        </w:rPr>
      </w:pPr>
    </w:p>
    <w:p>
      <w:pPr>
        <w:spacing w:line="360" w:lineRule="auto"/>
        <w:ind w:firstLine="723" w:firstLineChars="200"/>
        <w:jc w:val="center"/>
        <w:rPr>
          <w:rFonts w:hint="eastAsia" w:ascii="宋体" w:hAnsi="宋体" w:cs="宋体"/>
          <w:b/>
          <w:color w:val="000000" w:themeColor="text1"/>
          <w:sz w:val="36"/>
          <w:szCs w:val="36"/>
          <w:highlight w:val="none"/>
          <w:lang w:eastAsia="zh-CN"/>
          <w14:textFill>
            <w14:solidFill>
              <w14:schemeClr w14:val="tx1"/>
            </w14:solidFill>
          </w14:textFill>
        </w:rPr>
      </w:pPr>
    </w:p>
    <w:p>
      <w:pPr>
        <w:spacing w:line="360" w:lineRule="auto"/>
        <w:ind w:firstLine="723" w:firstLineChars="200"/>
        <w:jc w:val="center"/>
        <w:rPr>
          <w:rFonts w:hint="eastAsia" w:ascii="宋体" w:hAnsi="宋体" w:cs="宋体"/>
          <w:b/>
          <w:color w:val="000000" w:themeColor="text1"/>
          <w:sz w:val="36"/>
          <w:szCs w:val="36"/>
          <w:highlight w:val="none"/>
          <w:lang w:eastAsia="zh-CN"/>
          <w14:textFill>
            <w14:solidFill>
              <w14:schemeClr w14:val="tx1"/>
            </w14:solidFill>
          </w14:textFill>
        </w:rPr>
      </w:pPr>
    </w:p>
    <w:p>
      <w:pPr>
        <w:spacing w:line="360" w:lineRule="auto"/>
        <w:ind w:firstLine="723" w:firstLineChars="200"/>
        <w:jc w:val="center"/>
        <w:rPr>
          <w:rFonts w:hint="eastAsia" w:ascii="宋体" w:hAnsi="宋体" w:cs="宋体"/>
          <w:b/>
          <w:color w:val="000000" w:themeColor="text1"/>
          <w:sz w:val="36"/>
          <w:szCs w:val="36"/>
          <w:highlight w:val="none"/>
          <w:lang w:eastAsia="zh-CN"/>
          <w14:textFill>
            <w14:solidFill>
              <w14:schemeClr w14:val="tx1"/>
            </w14:solidFill>
          </w14:textFill>
        </w:rPr>
      </w:pPr>
    </w:p>
    <w:p>
      <w:pPr>
        <w:spacing w:line="360" w:lineRule="auto"/>
        <w:ind w:firstLine="723" w:firstLineChars="200"/>
        <w:jc w:val="center"/>
        <w:rPr>
          <w:rFonts w:hint="eastAsia" w:ascii="宋体" w:hAnsi="宋体" w:cs="宋体"/>
          <w:b/>
          <w:color w:val="000000" w:themeColor="text1"/>
          <w:sz w:val="36"/>
          <w:szCs w:val="36"/>
          <w:highlight w:val="none"/>
          <w:lang w:eastAsia="zh-CN"/>
          <w14:textFill>
            <w14:solidFill>
              <w14:schemeClr w14:val="tx1"/>
            </w14:solidFill>
          </w14:textFill>
        </w:rPr>
      </w:pPr>
    </w:p>
    <w:p>
      <w:pPr>
        <w:spacing w:line="360" w:lineRule="auto"/>
        <w:ind w:firstLine="723" w:firstLineChars="200"/>
        <w:jc w:val="center"/>
        <w:rPr>
          <w:rFonts w:hint="eastAsia" w:ascii="宋体" w:hAnsi="宋体" w:cs="宋体"/>
          <w:b/>
          <w:color w:val="000000" w:themeColor="text1"/>
          <w:sz w:val="36"/>
          <w:szCs w:val="36"/>
          <w:highlight w:val="none"/>
          <w:lang w:eastAsia="zh-CN"/>
          <w14:textFill>
            <w14:solidFill>
              <w14:schemeClr w14:val="tx1"/>
            </w14:solidFill>
          </w14:textFill>
        </w:rPr>
      </w:pPr>
    </w:p>
    <w:p>
      <w:pPr>
        <w:spacing w:line="360" w:lineRule="auto"/>
        <w:ind w:firstLine="1044"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乌尔禾“西部乌镇”环卫服务</w:t>
      </w:r>
    </w:p>
    <w:p>
      <w:pPr>
        <w:spacing w:line="360" w:lineRule="auto"/>
        <w:ind w:firstLine="482" w:firstLineChars="200"/>
        <w:jc w:val="center"/>
        <w:rPr>
          <w:rFonts w:ascii="宋体" w:hAnsi="宋体" w:cs="宋体"/>
          <w:b/>
          <w:color w:val="000000" w:themeColor="text1"/>
          <w:sz w:val="24"/>
          <w:highlight w:val="none"/>
          <w14:textFill>
            <w14:solidFill>
              <w14:schemeClr w14:val="tx1"/>
            </w14:solidFill>
          </w14:textFill>
        </w:rPr>
      </w:pPr>
    </w:p>
    <w:p>
      <w:pPr>
        <w:spacing w:line="360" w:lineRule="auto"/>
        <w:ind w:firstLine="723" w:firstLineChars="200"/>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投  标  文  件</w:t>
      </w:r>
    </w:p>
    <w:p>
      <w:pPr>
        <w:spacing w:line="360" w:lineRule="auto"/>
        <w:ind w:firstLine="482" w:firstLineChars="200"/>
        <w:jc w:val="center"/>
        <w:rPr>
          <w:rFonts w:hint="default"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招标文件编号：</w:t>
      </w:r>
      <w:r>
        <w:rPr>
          <w:rFonts w:hint="eastAsia" w:ascii="宋体" w:hAnsi="宋体" w:cs="宋体"/>
          <w:b/>
          <w:color w:val="000000" w:themeColor="text1"/>
          <w:sz w:val="24"/>
          <w:szCs w:val="24"/>
          <w:highlight w:val="none"/>
          <w:lang w:val="en-US" w:eastAsia="zh-CN"/>
          <w14:textFill>
            <w14:solidFill>
              <w14:schemeClr w14:val="tx1"/>
            </w14:solidFill>
          </w14:textFill>
        </w:rPr>
        <w:t>WEHZRMZF（ZC）2021-02</w:t>
      </w:r>
    </w:p>
    <w:p>
      <w:pPr>
        <w:pStyle w:val="5"/>
        <w:spacing w:line="360" w:lineRule="auto"/>
        <w:ind w:firstLine="602" w:firstLineChars="200"/>
        <w:jc w:val="center"/>
        <w:rPr>
          <w:rFonts w:ascii="宋体" w:hAnsi="宋体" w:cs="宋体"/>
          <w:bCs w:val="0"/>
          <w:color w:val="000000" w:themeColor="text1"/>
          <w:sz w:val="30"/>
          <w:szCs w:val="30"/>
          <w:highlight w:val="none"/>
          <w14:textFill>
            <w14:solidFill>
              <w14:schemeClr w14:val="tx1"/>
            </w14:solidFill>
          </w14:textFill>
        </w:rPr>
      </w:pPr>
      <w:r>
        <w:rPr>
          <w:rFonts w:hint="eastAsia" w:ascii="宋体" w:hAnsi="宋体" w:cs="宋体"/>
          <w:bCs w:val="0"/>
          <w:color w:val="000000" w:themeColor="text1"/>
          <w:sz w:val="30"/>
          <w:szCs w:val="30"/>
          <w:highlight w:val="none"/>
          <w14:textFill>
            <w14:solidFill>
              <w14:schemeClr w14:val="tx1"/>
            </w14:solidFill>
          </w14:textFill>
        </w:rPr>
        <w:t>资格证明文件/商务文件/技术文件</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 （单位名称）盖章</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单位地址：</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pStyle w:val="32"/>
        <w:spacing w:line="360" w:lineRule="auto"/>
        <w:ind w:firstLine="482" w:firstLineChars="200"/>
        <w:rPr>
          <w:rFonts w:hAnsi="宋体" w:cs="宋体"/>
          <w:b/>
          <w:color w:val="000000" w:themeColor="text1"/>
          <w:sz w:val="24"/>
          <w:szCs w:val="24"/>
          <w:highlight w:val="none"/>
          <w14:textFill>
            <w14:solidFill>
              <w14:schemeClr w14:val="tx1"/>
            </w14:solidFill>
          </w14:textFill>
        </w:rPr>
      </w:pPr>
    </w:p>
    <w:p>
      <w:pPr>
        <w:pStyle w:val="32"/>
        <w:spacing w:line="360" w:lineRule="auto"/>
        <w:ind w:firstLine="482"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联系人：                   联系电话：</w:t>
      </w:r>
    </w:p>
    <w:p>
      <w:pPr>
        <w:tabs>
          <w:tab w:val="left" w:pos="360"/>
          <w:tab w:val="left" w:pos="720"/>
          <w:tab w:val="left" w:pos="90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tabs>
          <w:tab w:val="left" w:pos="360"/>
          <w:tab w:val="left" w:pos="720"/>
          <w:tab w:val="left" w:pos="90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tabs>
          <w:tab w:val="left" w:pos="360"/>
          <w:tab w:val="left" w:pos="720"/>
          <w:tab w:val="left" w:pos="90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tabs>
          <w:tab w:val="left" w:pos="360"/>
          <w:tab w:val="left" w:pos="720"/>
          <w:tab w:val="left" w:pos="900"/>
          <w:tab w:val="left" w:pos="180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pPr>
        <w:tabs>
          <w:tab w:val="left" w:pos="360"/>
          <w:tab w:val="left" w:pos="720"/>
          <w:tab w:val="left" w:pos="900"/>
          <w:tab w:val="left" w:pos="180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pPr>
        <w:tabs>
          <w:tab w:val="left" w:pos="360"/>
          <w:tab w:val="left" w:pos="720"/>
          <w:tab w:val="left" w:pos="900"/>
          <w:tab w:val="left" w:pos="180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pPr>
        <w:pStyle w:val="4"/>
        <w:spacing w:line="360" w:lineRule="auto"/>
        <w:ind w:firstLine="482" w:firstLineChars="200"/>
        <w:jc w:val="center"/>
        <w:rPr>
          <w:rFonts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格式1  法定代表人资格证明书</w:t>
      </w:r>
    </w:p>
    <w:p>
      <w:pPr>
        <w:tabs>
          <w:tab w:val="left" w:pos="360"/>
          <w:tab w:val="left" w:pos="1800"/>
        </w:tabs>
        <w:spacing w:line="360" w:lineRule="auto"/>
        <w:ind w:left="540" w:firstLine="480" w:firstLineChars="200"/>
        <w:rPr>
          <w:rFonts w:ascii="宋体" w:hAnsi="宋体" w:cs="宋体"/>
          <w:bCs/>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单位名称：</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p>
    <w:p>
      <w:pPr>
        <w:tabs>
          <w:tab w:val="left" w:pos="360"/>
          <w:tab w:val="left" w:pos="720"/>
          <w:tab w:val="left" w:pos="90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姓名：        性别：       年龄：         职务： </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单位）的法定代表人。为的项目，签署上述项目的投标文件、进行合同谈判、签署合同和处理与之有关的一切事务。</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pPr>
        <w:tabs>
          <w:tab w:val="left" w:pos="360"/>
          <w:tab w:val="left" w:pos="1800"/>
        </w:tabs>
        <w:spacing w:line="360" w:lineRule="auto"/>
        <w:ind w:left="45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投标人：（盖章）</w:t>
      </w:r>
    </w:p>
    <w:p>
      <w:pPr>
        <w:tabs>
          <w:tab w:val="left" w:pos="360"/>
          <w:tab w:val="left" w:pos="1800"/>
        </w:tabs>
        <w:spacing w:line="360" w:lineRule="auto"/>
        <w:ind w:left="45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pPr>
        <w:tabs>
          <w:tab w:val="left" w:pos="360"/>
          <w:tab w:val="left" w:pos="1800"/>
        </w:tabs>
        <w:spacing w:line="360" w:lineRule="auto"/>
        <w:ind w:firstLine="480" w:firstLineChars="200"/>
        <w:rPr>
          <w:rFonts w:ascii="宋体" w:hAnsi="宋体" w:cs="宋体"/>
          <w:bCs/>
          <w:color w:val="000000" w:themeColor="text1"/>
          <w:sz w:val="24"/>
          <w:highlight w:val="none"/>
          <w14:textFill>
            <w14:solidFill>
              <w14:schemeClr w14:val="tx1"/>
            </w14:solidFill>
          </w14:textFill>
        </w:rPr>
      </w:pPr>
    </w:p>
    <w:tbl>
      <w:tblPr>
        <w:tblStyle w:val="5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tcPr>
          <w:p>
            <w:pPr>
              <w:tabs>
                <w:tab w:val="left" w:pos="360"/>
                <w:tab w:val="left" w:pos="1800"/>
              </w:tabs>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法定代表人身份证复印件或扫描件（正、反两面）</w:t>
            </w:r>
          </w:p>
        </w:tc>
      </w:tr>
    </w:tbl>
    <w:p>
      <w:pPr>
        <w:tabs>
          <w:tab w:val="left" w:pos="360"/>
          <w:tab w:val="left" w:pos="1800"/>
        </w:tabs>
        <w:spacing w:line="360" w:lineRule="auto"/>
        <w:ind w:firstLine="482" w:firstLineChars="200"/>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注：法定代表人身份证复印件或扫描件应反映出证件有效期等所载内容。</w:t>
      </w:r>
    </w:p>
    <w:p>
      <w:pPr>
        <w:tabs>
          <w:tab w:val="left" w:pos="360"/>
          <w:tab w:val="left" w:pos="1800"/>
        </w:tabs>
        <w:spacing w:line="360" w:lineRule="auto"/>
        <w:ind w:left="1980" w:firstLine="480" w:firstLineChars="200"/>
        <w:rPr>
          <w:rFonts w:ascii="宋体" w:hAnsi="宋体" w:cs="宋体"/>
          <w:bCs/>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rPr>
          <w:rFonts w:ascii="宋体" w:hAnsi="宋体" w:cs="宋体"/>
          <w:bCs/>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rPr>
          <w:rFonts w:ascii="宋体" w:hAnsi="宋体" w:cs="宋体"/>
          <w:bCs/>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rPr>
          <w:rFonts w:ascii="宋体" w:hAnsi="宋体" w:cs="宋体"/>
          <w:bCs/>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pPr>
        <w:pStyle w:val="4"/>
        <w:spacing w:line="360" w:lineRule="auto"/>
        <w:ind w:firstLine="482" w:firstLineChars="20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格式2  法定代表人授权书</w:t>
      </w:r>
    </w:p>
    <w:p>
      <w:pPr>
        <w:tabs>
          <w:tab w:val="left" w:pos="360"/>
          <w:tab w:val="left" w:pos="1800"/>
        </w:tabs>
        <w:spacing w:line="360" w:lineRule="auto"/>
        <w:ind w:firstLine="482" w:firstLineChars="200"/>
        <w:jc w:val="center"/>
        <w:rPr>
          <w:rFonts w:ascii="宋体" w:hAnsi="宋体" w:cs="宋体"/>
          <w:b/>
          <w:bCs/>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本授权委托书声明：我（姓名）系（投标人名称）的法定代表人，现授权委托（单位名称）的（姓名），其身份证号为，为我公司代理人，以本公司的名义参加</w:t>
      </w:r>
      <w:r>
        <w:rPr>
          <w:rFonts w:hint="eastAsia" w:ascii="宋体" w:hAnsi="宋体" w:cs="宋体"/>
          <w:color w:val="000000" w:themeColor="text1"/>
          <w:sz w:val="24"/>
          <w:highlight w:val="none"/>
          <w:u w:val="single"/>
          <w14:textFill>
            <w14:solidFill>
              <w14:schemeClr w14:val="tx1"/>
            </w14:solidFill>
          </w14:textFill>
        </w:rPr>
        <w:t>（采购人）（招标项目名称）</w:t>
      </w:r>
      <w:r>
        <w:rPr>
          <w:rFonts w:hint="eastAsia" w:ascii="宋体" w:hAnsi="宋体" w:cs="宋体"/>
          <w:color w:val="000000" w:themeColor="text1"/>
          <w:sz w:val="24"/>
          <w:highlight w:val="none"/>
          <w14:textFill>
            <w14:solidFill>
              <w14:schemeClr w14:val="tx1"/>
            </w14:solidFill>
          </w14:textFill>
        </w:rPr>
        <w:t>项目的投标活动。</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代理人在开标、评标、合同谈判过程中所签署的一切文件和处理与之有关的一切事务，我均予以承认。</w:t>
      </w:r>
    </w:p>
    <w:p>
      <w:pPr>
        <w:tabs>
          <w:tab w:val="left" w:pos="360"/>
          <w:tab w:val="left" w:pos="180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本授权委托书期限自</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日起至</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日止。</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委托代理人无转委权。特此委托。</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            性别：           年龄：</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              部门：           职务：</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投标人：（盖章）</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法定代表人：（签字或盖章）</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委托代理人：（签字或盖章）</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pPr>
        <w:tabs>
          <w:tab w:val="left" w:pos="360"/>
          <w:tab w:val="left" w:pos="1800"/>
        </w:tabs>
        <w:spacing w:line="360" w:lineRule="auto"/>
        <w:ind w:firstLine="480" w:firstLineChars="200"/>
        <w:rPr>
          <w:rFonts w:ascii="宋体" w:hAnsi="宋体" w:cs="宋体"/>
          <w:color w:val="000000" w:themeColor="text1"/>
          <w:sz w:val="24"/>
          <w:highlight w:val="none"/>
          <w14:textFill>
            <w14:solidFill>
              <w14:schemeClr w14:val="tx1"/>
            </w14:solidFill>
          </w14:textFill>
        </w:rPr>
      </w:pPr>
    </w:p>
    <w:tbl>
      <w:tblPr>
        <w:tblStyle w:val="5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9" w:hRule="atLeast"/>
          <w:jc w:val="center"/>
        </w:trPr>
        <w:tc>
          <w:tcPr>
            <w:tcW w:w="6952" w:type="dxa"/>
            <w:noWrap/>
          </w:tcPr>
          <w:p>
            <w:pPr>
              <w:tabs>
                <w:tab w:val="left" w:pos="360"/>
                <w:tab w:val="left" w:pos="1800"/>
              </w:tabs>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p>
            <w:pPr>
              <w:tabs>
                <w:tab w:val="left" w:pos="360"/>
                <w:tab w:val="left" w:pos="1800"/>
              </w:tabs>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委托代理人身份证复印件或扫描件（正、反两面）</w:t>
            </w:r>
          </w:p>
        </w:tc>
      </w:tr>
    </w:tbl>
    <w:p>
      <w:pPr>
        <w:tabs>
          <w:tab w:val="left" w:pos="360"/>
          <w:tab w:val="left" w:pos="1800"/>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注：委托代理人身份证复印件或扫描件应反映出证件有效期等所载内容，</w:t>
      </w:r>
      <w:r>
        <w:rPr>
          <w:rFonts w:hint="eastAsia" w:ascii="宋体" w:hAnsi="宋体" w:cs="宋体"/>
          <w:b/>
          <w:color w:val="000000" w:themeColor="text1"/>
          <w:sz w:val="24"/>
          <w:highlight w:val="none"/>
          <w14:textFill>
            <w14:solidFill>
              <w14:schemeClr w14:val="tx1"/>
            </w14:solidFill>
          </w14:textFill>
        </w:rPr>
        <w:t>作为本</w:t>
      </w:r>
      <w:r>
        <w:rPr>
          <w:rFonts w:hint="eastAsia" w:ascii="宋体" w:hAnsi="宋体" w:cs="宋体"/>
          <w:b/>
          <w:bCs/>
          <w:color w:val="000000" w:themeColor="text1"/>
          <w:sz w:val="24"/>
          <w:highlight w:val="none"/>
          <w14:textFill>
            <w14:solidFill>
              <w14:schemeClr w14:val="tx1"/>
            </w14:solidFill>
          </w14:textFill>
        </w:rPr>
        <w:t>法定代表人授权书的附件。</w:t>
      </w:r>
    </w:p>
    <w:p>
      <w:pPr>
        <w:pStyle w:val="32"/>
        <w:spacing w:line="360" w:lineRule="auto"/>
        <w:ind w:right="840" w:firstLine="482" w:firstLineChars="200"/>
        <w:jc w:val="center"/>
        <w:outlineLvl w:val="1"/>
        <w:rPr>
          <w:rFonts w:hAnsi="宋体" w:cs="宋体"/>
          <w:b/>
          <w:bCs/>
          <w:color w:val="000000" w:themeColor="text1"/>
          <w:sz w:val="24"/>
          <w:szCs w:val="24"/>
          <w:highlight w:val="none"/>
          <w14:textFill>
            <w14:solidFill>
              <w14:schemeClr w14:val="tx1"/>
            </w14:solidFill>
          </w14:textFill>
        </w:rPr>
      </w:pPr>
    </w:p>
    <w:p>
      <w:pPr>
        <w:pStyle w:val="32"/>
        <w:spacing w:line="360" w:lineRule="auto"/>
        <w:ind w:right="840" w:firstLine="482" w:firstLineChars="200"/>
        <w:jc w:val="center"/>
        <w:outlineLvl w:val="1"/>
        <w:rPr>
          <w:rFonts w:hAnsi="宋体" w:cs="宋体"/>
          <w:b/>
          <w:bCs/>
          <w:color w:val="000000" w:themeColor="text1"/>
          <w:sz w:val="24"/>
          <w:szCs w:val="24"/>
          <w:highlight w:val="none"/>
          <w14:textFill>
            <w14:solidFill>
              <w14:schemeClr w14:val="tx1"/>
            </w14:solidFill>
          </w14:textFill>
        </w:rPr>
      </w:pPr>
    </w:p>
    <w:p>
      <w:pPr>
        <w:pStyle w:val="32"/>
        <w:spacing w:line="360" w:lineRule="auto"/>
        <w:ind w:right="840" w:firstLine="482" w:firstLineChars="200"/>
        <w:jc w:val="center"/>
        <w:outlineLvl w:val="1"/>
        <w:rPr>
          <w:rFonts w:hAnsi="宋体" w:cs="宋体"/>
          <w:b/>
          <w:bCs/>
          <w:color w:val="000000" w:themeColor="text1"/>
          <w:sz w:val="24"/>
          <w:szCs w:val="24"/>
          <w:highlight w:val="none"/>
          <w14:textFill>
            <w14:solidFill>
              <w14:schemeClr w14:val="tx1"/>
            </w14:solidFill>
          </w14:textFill>
        </w:rPr>
      </w:pPr>
    </w:p>
    <w:p>
      <w:pPr>
        <w:pStyle w:val="32"/>
        <w:spacing w:line="360" w:lineRule="auto"/>
        <w:ind w:right="840" w:firstLine="482" w:firstLineChars="200"/>
        <w:jc w:val="center"/>
        <w:outlineLvl w:val="1"/>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格式3   投标人资格声明</w:t>
      </w:r>
    </w:p>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投标人名称</w:t>
            </w:r>
          </w:p>
        </w:tc>
        <w:tc>
          <w:tcPr>
            <w:tcW w:w="7668" w:type="dxa"/>
            <w:gridSpan w:val="5"/>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 址</w:t>
            </w:r>
          </w:p>
        </w:tc>
        <w:tc>
          <w:tcPr>
            <w:tcW w:w="7668" w:type="dxa"/>
            <w:gridSpan w:val="5"/>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主管部门</w:t>
            </w:r>
          </w:p>
        </w:tc>
        <w:tc>
          <w:tcPr>
            <w:tcW w:w="1380"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vAlign w:val="center"/>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法定代表</w:t>
            </w:r>
          </w:p>
        </w:tc>
        <w:tc>
          <w:tcPr>
            <w:tcW w:w="1549"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83"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职 务</w:t>
            </w:r>
          </w:p>
        </w:tc>
        <w:tc>
          <w:tcPr>
            <w:tcW w:w="1607"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注册时间</w:t>
            </w:r>
          </w:p>
        </w:tc>
        <w:tc>
          <w:tcPr>
            <w:tcW w:w="2929" w:type="dxa"/>
            <w:gridSpan w:val="2"/>
            <w:noWrap/>
            <w:vAlign w:val="center"/>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1549"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经济类型</w:t>
            </w:r>
          </w:p>
        </w:tc>
        <w:tc>
          <w:tcPr>
            <w:tcW w:w="3190" w:type="dxa"/>
            <w:gridSpan w:val="2"/>
            <w:noWrap/>
            <w:vAlign w:val="center"/>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7" w:type="dxa"/>
            <w:gridSpan w:val="3"/>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营业执照号</w:t>
            </w:r>
          </w:p>
        </w:tc>
        <w:tc>
          <w:tcPr>
            <w:tcW w:w="4739" w:type="dxa"/>
            <w:gridSpan w:val="3"/>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近三年内（201</w:t>
            </w:r>
            <w:r>
              <w:rPr>
                <w:rFonts w:hint="eastAsia" w:ascii="宋体" w:hAnsi="宋体" w:cs="宋体"/>
                <w:bCs/>
                <w:color w:val="000000" w:themeColor="text1"/>
                <w:sz w:val="24"/>
                <w:highlight w:val="none"/>
                <w:lang w:val="en-US" w:eastAsia="zh-CN"/>
                <w14:textFill>
                  <w14:solidFill>
                    <w14:schemeClr w14:val="tx1"/>
                  </w14:solidFill>
                </w14:textFill>
              </w:rPr>
              <w:t>8</w:t>
            </w:r>
            <w:r>
              <w:rPr>
                <w:rFonts w:hint="eastAsia" w:ascii="宋体" w:hAnsi="宋体" w:cs="宋体"/>
                <w:bCs/>
                <w:color w:val="000000" w:themeColor="text1"/>
                <w:sz w:val="24"/>
                <w:highlight w:val="none"/>
                <w14:textFill>
                  <w14:solidFill>
                    <w14:schemeClr w14:val="tx1"/>
                  </w14:solidFill>
                </w14:textFill>
              </w:rPr>
              <w:t>年至20</w:t>
            </w:r>
            <w:r>
              <w:rPr>
                <w:rFonts w:hint="eastAsia" w:ascii="宋体" w:hAnsi="宋体" w:cs="宋体"/>
                <w:bCs/>
                <w:color w:val="000000" w:themeColor="text1"/>
                <w:sz w:val="24"/>
                <w:highlight w:val="none"/>
                <w:lang w:val="en-US" w:eastAsia="zh-CN"/>
                <w14:textFill>
                  <w14:solidFill>
                    <w14:schemeClr w14:val="tx1"/>
                  </w14:solidFill>
                </w14:textFill>
              </w:rPr>
              <w:t>20</w:t>
            </w:r>
            <w:r>
              <w:rPr>
                <w:rFonts w:hint="eastAsia" w:ascii="宋体" w:hAnsi="宋体" w:cs="宋体"/>
                <w:bCs/>
                <w:color w:val="000000" w:themeColor="text1"/>
                <w:sz w:val="24"/>
                <w:highlight w:val="none"/>
                <w14:textFill>
                  <w14:solidFill>
                    <w14:schemeClr w14:val="tx1"/>
                  </w14:solidFill>
                </w14:textFill>
              </w:rPr>
              <w:t>年）经营活动中有无重大违法纪录</w:t>
            </w:r>
          </w:p>
        </w:tc>
        <w:tc>
          <w:tcPr>
            <w:tcW w:w="4739" w:type="dxa"/>
            <w:gridSpan w:val="3"/>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是否依法缴纳税收</w:t>
            </w:r>
          </w:p>
        </w:tc>
        <w:tc>
          <w:tcPr>
            <w:tcW w:w="2929" w:type="dxa"/>
            <w:gridSpan w:val="2"/>
            <w:noWrap/>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1549" w:type="dxa"/>
            <w:noWrap/>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是否依法缴纳社会保障资金</w:t>
            </w:r>
          </w:p>
        </w:tc>
        <w:tc>
          <w:tcPr>
            <w:tcW w:w="3190" w:type="dxa"/>
            <w:gridSpan w:val="2"/>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restart"/>
            <w:noWrap/>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单</w:t>
            </w:r>
          </w:p>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位</w:t>
            </w:r>
          </w:p>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概</w:t>
            </w:r>
          </w:p>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况</w:t>
            </w:r>
          </w:p>
        </w:tc>
        <w:tc>
          <w:tcPr>
            <w:tcW w:w="1380" w:type="dxa"/>
            <w:noWrap/>
            <w:vAlign w:val="center"/>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注册资本</w:t>
            </w:r>
          </w:p>
        </w:tc>
        <w:tc>
          <w:tcPr>
            <w:tcW w:w="1549"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万元</w:t>
            </w:r>
          </w:p>
        </w:tc>
        <w:tc>
          <w:tcPr>
            <w:tcW w:w="1549" w:type="dxa"/>
            <w:noWrap/>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占地面积</w:t>
            </w:r>
          </w:p>
        </w:tc>
        <w:tc>
          <w:tcPr>
            <w:tcW w:w="3190" w:type="dxa"/>
            <w:gridSpan w:val="2"/>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380" w:type="dxa"/>
            <w:noWrap/>
            <w:vAlign w:val="center"/>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职工总数</w:t>
            </w:r>
          </w:p>
        </w:tc>
        <w:tc>
          <w:tcPr>
            <w:tcW w:w="1549"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人</w:t>
            </w:r>
          </w:p>
        </w:tc>
        <w:tc>
          <w:tcPr>
            <w:tcW w:w="1549" w:type="dxa"/>
            <w:noWrap/>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建筑面积</w:t>
            </w:r>
          </w:p>
        </w:tc>
        <w:tc>
          <w:tcPr>
            <w:tcW w:w="3190" w:type="dxa"/>
            <w:gridSpan w:val="2"/>
            <w:noWrap/>
          </w:tcPr>
          <w:p>
            <w:pPr>
              <w:spacing w:line="360" w:lineRule="auto"/>
              <w:ind w:firstLine="1920" w:firstLineChars="8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380" w:type="dxa"/>
            <w:vMerge w:val="restart"/>
            <w:noWrap/>
            <w:vAlign w:val="center"/>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资产情况</w:t>
            </w:r>
          </w:p>
        </w:tc>
        <w:tc>
          <w:tcPr>
            <w:tcW w:w="3098" w:type="dxa"/>
            <w:gridSpan w:val="2"/>
            <w:noWrap/>
            <w:vAlign w:val="center"/>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净资产：        万元</w:t>
            </w:r>
          </w:p>
        </w:tc>
        <w:tc>
          <w:tcPr>
            <w:tcW w:w="3190" w:type="dxa"/>
            <w:gridSpan w:val="2"/>
            <w:vMerge w:val="restart"/>
            <w:noWrap/>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固定资产原值 ：      万元</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380" w:type="dxa"/>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3098" w:type="dxa"/>
            <w:gridSpan w:val="2"/>
            <w:noWrap/>
            <w:vAlign w:val="center"/>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负 债：         万元</w:t>
            </w:r>
          </w:p>
        </w:tc>
        <w:tc>
          <w:tcPr>
            <w:tcW w:w="3190" w:type="dxa"/>
            <w:gridSpan w:val="2"/>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财务状况（最近三年201</w:t>
            </w:r>
            <w:r>
              <w:rPr>
                <w:rFonts w:hint="eastAsia" w:ascii="宋体" w:hAnsi="宋体" w:cs="宋体"/>
                <w:bCs/>
                <w:color w:val="000000" w:themeColor="text1"/>
                <w:sz w:val="24"/>
                <w:highlight w:val="none"/>
                <w:lang w:val="en-US" w:eastAsia="zh-CN"/>
                <w14:textFill>
                  <w14:solidFill>
                    <w14:schemeClr w14:val="tx1"/>
                  </w14:solidFill>
                </w14:textFill>
              </w:rPr>
              <w:t>8</w:t>
            </w:r>
            <w:r>
              <w:rPr>
                <w:rFonts w:hint="eastAsia" w:ascii="宋体" w:hAnsi="宋体" w:cs="宋体"/>
                <w:bCs/>
                <w:color w:val="000000" w:themeColor="text1"/>
                <w:sz w:val="24"/>
                <w:highlight w:val="none"/>
                <w14:textFill>
                  <w14:solidFill>
                    <w14:schemeClr w14:val="tx1"/>
                  </w14:solidFill>
                </w14:textFill>
              </w:rPr>
              <w:t>年至20</w:t>
            </w:r>
            <w:r>
              <w:rPr>
                <w:rFonts w:hint="eastAsia" w:ascii="宋体" w:hAnsi="宋体" w:cs="宋体"/>
                <w:bCs/>
                <w:color w:val="000000" w:themeColor="text1"/>
                <w:sz w:val="24"/>
                <w:highlight w:val="none"/>
                <w:lang w:val="en-US" w:eastAsia="zh-CN"/>
                <w14:textFill>
                  <w14:solidFill>
                    <w14:schemeClr w14:val="tx1"/>
                  </w14:solidFill>
                </w14:textFill>
              </w:rPr>
              <w:t>20</w:t>
            </w:r>
            <w:r>
              <w:rPr>
                <w:rFonts w:hint="eastAsia" w:ascii="宋体" w:hAnsi="宋体" w:cs="宋体"/>
                <w:bCs/>
                <w:color w:val="000000" w:themeColor="text1"/>
                <w:sz w:val="24"/>
                <w:highlight w:val="none"/>
                <w14:textFill>
                  <w14:solidFill>
                    <w14:schemeClr w14:val="tx1"/>
                  </w14:solidFill>
                </w14:textFill>
              </w:rPr>
              <w:t>年）</w:t>
            </w:r>
          </w:p>
        </w:tc>
        <w:tc>
          <w:tcPr>
            <w:tcW w:w="1380" w:type="dxa"/>
            <w:noWrap/>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年份</w:t>
            </w:r>
          </w:p>
        </w:tc>
        <w:tc>
          <w:tcPr>
            <w:tcW w:w="1549"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主营收入</w:t>
            </w:r>
          </w:p>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（万元）</w:t>
            </w:r>
          </w:p>
        </w:tc>
        <w:tc>
          <w:tcPr>
            <w:tcW w:w="1549"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收入总额</w:t>
            </w:r>
          </w:p>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（万元）</w:t>
            </w:r>
          </w:p>
        </w:tc>
        <w:tc>
          <w:tcPr>
            <w:tcW w:w="1583"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利润总额</w:t>
            </w:r>
          </w:p>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（万元）</w:t>
            </w:r>
          </w:p>
        </w:tc>
        <w:tc>
          <w:tcPr>
            <w:tcW w:w="1607" w:type="dxa"/>
            <w:noWrap/>
            <w:vAlign w:val="center"/>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净利润</w:t>
            </w:r>
          </w:p>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380"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83"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607"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380"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83"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607"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380"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83"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607"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ign w:val="center"/>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经营范围</w:t>
            </w:r>
          </w:p>
        </w:tc>
        <w:tc>
          <w:tcPr>
            <w:tcW w:w="7668" w:type="dxa"/>
            <w:gridSpan w:val="5"/>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ign w:val="center"/>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备注</w:t>
            </w:r>
          </w:p>
        </w:tc>
        <w:tc>
          <w:tcPr>
            <w:tcW w:w="7668" w:type="dxa"/>
            <w:gridSpan w:val="5"/>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bl>
    <w:p>
      <w:pPr>
        <w:tabs>
          <w:tab w:val="left" w:pos="6300"/>
        </w:tabs>
        <w:snapToGrid w:val="0"/>
        <w:spacing w:line="360" w:lineRule="auto"/>
        <w:ind w:firstLine="482" w:firstLineChars="200"/>
        <w:jc w:val="center"/>
        <w:rPr>
          <w:rFonts w:ascii="宋体" w:hAnsi="宋体" w:cs="宋体"/>
          <w:b/>
          <w:color w:val="000000" w:themeColor="text1"/>
          <w:sz w:val="24"/>
          <w:highlight w:val="none"/>
          <w14:textFill>
            <w14:solidFill>
              <w14:schemeClr w14:val="tx1"/>
            </w14:solidFill>
          </w14:textFill>
        </w:rPr>
      </w:pPr>
    </w:p>
    <w:p>
      <w:pPr>
        <w:tabs>
          <w:tab w:val="left" w:pos="6300"/>
        </w:tabs>
        <w:snapToGrid w:val="0"/>
        <w:spacing w:line="360" w:lineRule="auto"/>
        <w:ind w:firstLine="482" w:firstLineChars="200"/>
        <w:jc w:val="center"/>
        <w:rPr>
          <w:rFonts w:ascii="宋体" w:hAnsi="宋体" w:cs="宋体"/>
          <w:b/>
          <w:color w:val="000000" w:themeColor="text1"/>
          <w:sz w:val="24"/>
          <w:highlight w:val="none"/>
          <w14:textFill>
            <w14:solidFill>
              <w14:schemeClr w14:val="tx1"/>
            </w14:solidFill>
          </w14:textFill>
        </w:rPr>
      </w:pPr>
    </w:p>
    <w:p>
      <w:pPr>
        <w:tabs>
          <w:tab w:val="left" w:pos="6300"/>
        </w:tabs>
        <w:snapToGrid w:val="0"/>
        <w:spacing w:line="360" w:lineRule="auto"/>
        <w:ind w:firstLine="482" w:firstLineChars="200"/>
        <w:jc w:val="center"/>
        <w:rPr>
          <w:rFonts w:ascii="宋体" w:hAnsi="宋体" w:cs="宋体"/>
          <w:b/>
          <w:color w:val="000000" w:themeColor="text1"/>
          <w:sz w:val="24"/>
          <w:highlight w:val="none"/>
          <w14:textFill>
            <w14:solidFill>
              <w14:schemeClr w14:val="tx1"/>
            </w14:solidFill>
          </w14:textFill>
        </w:rPr>
      </w:pPr>
    </w:p>
    <w:p>
      <w:pPr>
        <w:tabs>
          <w:tab w:val="left" w:pos="6300"/>
        </w:tabs>
        <w:snapToGrid w:val="0"/>
        <w:spacing w:line="360" w:lineRule="auto"/>
        <w:ind w:firstLine="482" w:firstLineChars="200"/>
        <w:jc w:val="center"/>
        <w:rPr>
          <w:rFonts w:ascii="宋体" w:hAnsi="宋体" w:cs="宋体"/>
          <w:b/>
          <w:color w:val="000000" w:themeColor="text1"/>
          <w:sz w:val="24"/>
          <w:highlight w:val="none"/>
          <w14:textFill>
            <w14:solidFill>
              <w14:schemeClr w14:val="tx1"/>
            </w14:solidFill>
          </w14:textFill>
        </w:rPr>
      </w:pPr>
    </w:p>
    <w:p>
      <w:pPr>
        <w:tabs>
          <w:tab w:val="left" w:pos="360"/>
          <w:tab w:val="left" w:pos="1800"/>
        </w:tabs>
        <w:spacing w:line="480" w:lineRule="exact"/>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格式</w:t>
      </w:r>
      <w:r>
        <w:rPr>
          <w:rFonts w:hint="eastAsia" w:ascii="宋体" w:hAnsi="宋体" w:cs="宋体"/>
          <w:b/>
          <w:bCs/>
          <w:color w:val="000000" w:themeColor="text1"/>
          <w:sz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highlight w:val="none"/>
          <w14:textFill>
            <w14:solidFill>
              <w14:schemeClr w14:val="tx1"/>
            </w14:solidFill>
          </w14:textFill>
        </w:rPr>
        <w:t xml:space="preserve"> 中小企业声明函（服务）</w:t>
      </w:r>
    </w:p>
    <w:p>
      <w:pPr>
        <w:tabs>
          <w:tab w:val="left" w:pos="6300"/>
        </w:tabs>
        <w:snapToGrid w:val="0"/>
        <w:spacing w:line="500" w:lineRule="exact"/>
        <w:ind w:firstLine="720" w:firstLineChars="200"/>
        <w:jc w:val="center"/>
        <w:outlineLvl w:val="0"/>
        <w:rPr>
          <w:rFonts w:hint="eastAsia" w:ascii="宋体" w:hAnsi="宋体" w:eastAsia="宋体" w:cs="宋体"/>
          <w:color w:val="000000" w:themeColor="text1"/>
          <w:sz w:val="36"/>
          <w:szCs w:val="36"/>
          <w:highlight w:val="none"/>
          <w14:textFill>
            <w14:solidFill>
              <w14:schemeClr w14:val="tx1"/>
            </w14:solidFill>
          </w14:textFill>
        </w:rPr>
      </w:pP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highlight w:val="none"/>
          <w:u w:val="single"/>
          <w14:textFill>
            <w14:solidFill>
              <w14:schemeClr w14:val="tx1"/>
            </w14:solidFill>
          </w14:textFill>
        </w:rPr>
        <w:t xml:space="preserve"> （单位名称）</w:t>
      </w:r>
      <w:r>
        <w:rPr>
          <w:rFonts w:hint="eastAsia" w:ascii="宋体" w:hAnsi="宋体" w:eastAsia="宋体" w:cs="宋体"/>
          <w:color w:val="000000" w:themeColor="text1"/>
          <w:sz w:val="24"/>
          <w:highlight w:val="none"/>
          <w14:textFill>
            <w14:solidFill>
              <w14:schemeClr w14:val="tx1"/>
            </w14:solidFill>
          </w14:textFill>
        </w:rPr>
        <w:t xml:space="preserve"> 的</w:t>
      </w:r>
      <w:r>
        <w:rPr>
          <w:rFonts w:hint="eastAsia" w:ascii="宋体" w:hAnsi="宋体" w:eastAsia="宋体" w:cs="宋体"/>
          <w:color w:val="000000" w:themeColor="text1"/>
          <w:sz w:val="24"/>
          <w:highlight w:val="none"/>
          <w:u w:val="single"/>
          <w14:textFill>
            <w14:solidFill>
              <w14:schemeClr w14:val="tx1"/>
            </w14:solidFill>
          </w14:textFill>
        </w:rPr>
        <w:t xml:space="preserve"> （项目名称） </w:t>
      </w:r>
      <w:r>
        <w:rPr>
          <w:rFonts w:hint="eastAsia" w:ascii="宋体" w:hAnsi="宋体" w:eastAsia="宋体" w:cs="宋体"/>
          <w:color w:val="000000" w:themeColor="text1"/>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u w:val="single"/>
          <w14:textFill>
            <w14:solidFill>
              <w14:schemeClr w14:val="tx1"/>
            </w14:solidFill>
          </w14:textFill>
        </w:rPr>
        <w:t xml:space="preserve">（标的名称） </w:t>
      </w:r>
      <w:r>
        <w:rPr>
          <w:rFonts w:hint="eastAsia" w:ascii="宋体" w:hAnsi="宋体" w:eastAsia="宋体" w:cs="宋体"/>
          <w:color w:val="000000" w:themeColor="text1"/>
          <w:sz w:val="24"/>
          <w:highlight w:val="none"/>
          <w14:textFill>
            <w14:solidFill>
              <w14:schemeClr w14:val="tx1"/>
            </w14:solidFill>
          </w14:textFill>
        </w:rPr>
        <w:t xml:space="preserve">，属于 </w:t>
      </w:r>
      <w:r>
        <w:rPr>
          <w:rFonts w:hint="eastAsia" w:ascii="宋体" w:hAnsi="宋体" w:eastAsia="宋体" w:cs="宋体"/>
          <w:color w:val="000000" w:themeColor="text1"/>
          <w:sz w:val="24"/>
          <w:highlight w:val="none"/>
          <w:u w:val="single"/>
          <w14:textFill>
            <w14:solidFill>
              <w14:schemeClr w14:val="tx1"/>
            </w14:solidFill>
          </w14:textFill>
        </w:rPr>
        <w:t xml:space="preserve">（采购文件中明确的所属行业） </w:t>
      </w:r>
      <w:r>
        <w:rPr>
          <w:rFonts w:hint="eastAsia" w:ascii="宋体" w:hAnsi="宋体" w:eastAsia="宋体" w:cs="宋体"/>
          <w:color w:val="000000" w:themeColor="text1"/>
          <w:sz w:val="24"/>
          <w:highlight w:val="none"/>
          <w14:textFill>
            <w14:solidFill>
              <w14:schemeClr w14:val="tx1"/>
            </w14:solidFill>
          </w14:textFill>
        </w:rPr>
        <w:t xml:space="preserve">；承建（承接）企业为 </w:t>
      </w:r>
      <w:r>
        <w:rPr>
          <w:rFonts w:hint="eastAsia" w:ascii="宋体" w:hAnsi="宋体" w:eastAsia="宋体" w:cs="宋体"/>
          <w:color w:val="000000" w:themeColor="text1"/>
          <w:sz w:val="24"/>
          <w:highlight w:val="none"/>
          <w:u w:val="single"/>
          <w14:textFill>
            <w14:solidFill>
              <w14:schemeClr w14:val="tx1"/>
            </w14:solidFill>
          </w14:textFill>
        </w:rPr>
        <w:t xml:space="preserve">（企业名称） </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 ，属于</w:t>
      </w:r>
      <w:r>
        <w:rPr>
          <w:rFonts w:hint="eastAsia" w:ascii="宋体" w:hAnsi="宋体" w:eastAsia="宋体" w:cs="宋体"/>
          <w:color w:val="000000" w:themeColor="text1"/>
          <w:sz w:val="24"/>
          <w:highlight w:val="none"/>
          <w:u w:val="single"/>
          <w14:textFill>
            <w14:solidFill>
              <w14:schemeClr w14:val="tx1"/>
            </w14:solidFill>
          </w14:textFill>
        </w:rPr>
        <w:t xml:space="preserve"> （中型企业、小型企业、微型企业） </w:t>
      </w: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 </w:t>
      </w:r>
      <w:r>
        <w:rPr>
          <w:rFonts w:hint="eastAsia" w:ascii="宋体" w:hAnsi="宋体" w:eastAsia="宋体" w:cs="宋体"/>
          <w:color w:val="000000" w:themeColor="text1"/>
          <w:sz w:val="24"/>
          <w:highlight w:val="none"/>
          <w:u w:val="single"/>
          <w14:textFill>
            <w14:solidFill>
              <w14:schemeClr w14:val="tx1"/>
            </w14:solidFill>
          </w14:textFill>
        </w:rPr>
        <w:t xml:space="preserve">（标的名称） </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14:textFill>
            <w14:solidFill>
              <w14:schemeClr w14:val="tx1"/>
            </w14:solidFill>
          </w14:textFill>
        </w:rPr>
        <w:t xml:space="preserve"> （采购文件中明确的所属行业） </w:t>
      </w:r>
      <w:r>
        <w:rPr>
          <w:rFonts w:hint="eastAsia" w:ascii="宋体" w:hAnsi="宋体" w:eastAsia="宋体" w:cs="宋体"/>
          <w:color w:val="000000" w:themeColor="text1"/>
          <w:sz w:val="24"/>
          <w:highlight w:val="none"/>
          <w14:textFill>
            <w14:solidFill>
              <w14:schemeClr w14:val="tx1"/>
            </w14:solidFill>
          </w14:textFill>
        </w:rPr>
        <w:t xml:space="preserve">；承建（承接）企业为 </w:t>
      </w:r>
      <w:r>
        <w:rPr>
          <w:rFonts w:hint="eastAsia" w:ascii="宋体" w:hAnsi="宋体" w:eastAsia="宋体" w:cs="宋体"/>
          <w:color w:val="000000" w:themeColor="text1"/>
          <w:sz w:val="24"/>
          <w:highlight w:val="none"/>
          <w:u w:val="single"/>
          <w14:textFill>
            <w14:solidFill>
              <w14:schemeClr w14:val="tx1"/>
            </w14:solidFill>
          </w14:textFill>
        </w:rPr>
        <w:t xml:space="preserve">（企业名称） </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万元，属于</w:t>
      </w:r>
      <w:r>
        <w:rPr>
          <w:rFonts w:hint="eastAsia" w:ascii="宋体" w:hAnsi="宋体" w:eastAsia="宋体" w:cs="宋体"/>
          <w:color w:val="000000" w:themeColor="text1"/>
          <w:sz w:val="24"/>
          <w:highlight w:val="none"/>
          <w:u w:val="single"/>
          <w14:textFill>
            <w14:solidFill>
              <w14:schemeClr w14:val="tx1"/>
            </w14:solidFill>
          </w14:textFill>
        </w:rPr>
        <w:t xml:space="preserve"> （中型企业、小型企业、微型企业） </w:t>
      </w: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本企业对上述声明内容的真实性负责。如有虚假，将依法承担相应责任。</w:t>
      </w:r>
    </w:p>
    <w:p>
      <w:pPr>
        <w:spacing w:line="360" w:lineRule="auto"/>
        <w:ind w:firstLine="4800" w:firstLineChars="2000"/>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ind w:firstLine="4800" w:firstLineChars="2000"/>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ind w:firstLine="4800" w:firstLineChars="2000"/>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ind w:firstLine="4800" w:firstLineChars="2000"/>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ind w:firstLine="4800" w:firstLineChars="20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企业名称（盖章）：</w:t>
      </w:r>
    </w:p>
    <w:p>
      <w:pPr>
        <w:spacing w:line="360" w:lineRule="auto"/>
        <w:ind w:firstLine="5040" w:firstLineChars="2100"/>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ind w:firstLine="5040" w:firstLineChars="21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480" w:lineRule="exact"/>
        <w:ind w:firstLine="492" w:firstLineChars="175"/>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注：1、从业人员、营业收入、资产总额填报上一年度数据，无上一年度数据的新成立企业可不填报。</w:t>
      </w:r>
    </w:p>
    <w:p>
      <w:pPr>
        <w:spacing w:line="480" w:lineRule="exact"/>
        <w:ind w:firstLine="492" w:firstLineChars="175"/>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2、各供应商参照《关于印发中小企业划型标准规定的通知 工信部联企业〔2011〕300号》 中小企业划型标准规定中规定的行业以及划型标准对本企业进行划型。</w:t>
      </w:r>
    </w:p>
    <w:p>
      <w:pPr>
        <w:pStyle w:val="32"/>
        <w:spacing w:line="360" w:lineRule="auto"/>
        <w:ind w:firstLine="480"/>
        <w:rPr>
          <w:rFonts w:hint="eastAsia" w:ascii="宋体" w:hAnsi="宋体" w:eastAsia="宋体" w:cs="宋体"/>
          <w:color w:val="000000" w:themeColor="text1"/>
          <w:highlight w:val="none"/>
          <w14:textFill>
            <w14:solidFill>
              <w14:schemeClr w14:val="tx1"/>
            </w14:solidFill>
          </w14:textFill>
        </w:rPr>
      </w:pPr>
    </w:p>
    <w:p>
      <w:pPr>
        <w:snapToGrid w:val="0"/>
        <w:spacing w:line="240" w:lineRule="atLeas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eastAsia="宋体" w:cs="宋体"/>
          <w:b/>
          <w:bCs/>
          <w:color w:val="000000" w:themeColor="text1"/>
          <w:sz w:val="24"/>
          <w:highlight w:val="none"/>
          <w14:textFill>
            <w14:solidFill>
              <w14:schemeClr w14:val="tx1"/>
            </w14:solidFill>
          </w14:textFill>
        </w:rPr>
        <w:t>格式</w:t>
      </w:r>
      <w:r>
        <w:rPr>
          <w:rFonts w:hint="eastAsia" w:ascii="宋体" w:hAnsi="宋体"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项目管理及服务人员表</w:t>
      </w:r>
    </w:p>
    <w:p>
      <w:pPr>
        <w:tabs>
          <w:tab w:val="left" w:pos="360"/>
          <w:tab w:val="left" w:pos="1800"/>
        </w:tabs>
        <w:spacing w:line="300" w:lineRule="exact"/>
        <w:jc w:val="center"/>
        <w:rPr>
          <w:rFonts w:hint="eastAsia" w:ascii="宋体" w:hAnsi="宋体" w:eastAsia="宋体" w:cs="宋体"/>
          <w:b/>
          <w:bCs/>
          <w:color w:val="000000" w:themeColor="text1"/>
          <w:sz w:val="24"/>
          <w:highlight w:val="none"/>
          <w14:textFill>
            <w14:solidFill>
              <w14:schemeClr w14:val="tx1"/>
            </w14:solidFill>
          </w14:textFill>
        </w:rPr>
      </w:pPr>
    </w:p>
    <w:tbl>
      <w:tblPr>
        <w:tblStyle w:val="57"/>
        <w:tblpPr w:leftFromText="180" w:rightFromText="180" w:vertAnchor="text" w:horzAnchor="margin" w:tblpXSpec="center" w:tblpY="146"/>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51"/>
        <w:gridCol w:w="992"/>
        <w:gridCol w:w="1417"/>
        <w:gridCol w:w="1134"/>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职称/岗位证</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证书编号</w:t>
            </w: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1、项目负责人</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hint="eastAsia" w:ascii="宋体" w:hAnsi="宋体" w:eastAsia="宋体" w:cs="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highlight w:val="none"/>
                <w14:textFill>
                  <w14:solidFill>
                    <w14:schemeClr w14:val="tx1"/>
                  </w14:solidFill>
                </w14:textFill>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、保洁管理人员</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、保洁服务人员</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lef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125" w:type="dxa"/>
            <w:gridSpan w:val="6"/>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tLeas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注：需完整反映本项目要求的所有拟派人员信息，所提供的资料均附于本表后。</w:t>
            </w:r>
          </w:p>
        </w:tc>
      </w:tr>
    </w:tbl>
    <w:p>
      <w:pPr>
        <w:tabs>
          <w:tab w:val="left" w:pos="360"/>
          <w:tab w:val="left" w:pos="1800"/>
        </w:tabs>
        <w:spacing w:line="480" w:lineRule="exact"/>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投标人：（盖章）             </w:t>
      </w:r>
    </w:p>
    <w:p>
      <w:pPr>
        <w:tabs>
          <w:tab w:val="left" w:pos="360"/>
          <w:tab w:val="left" w:pos="1800"/>
        </w:tabs>
        <w:spacing w:line="480" w:lineRule="exact"/>
        <w:ind w:firstLine="210" w:firstLineChars="100"/>
        <w:rPr>
          <w:rFonts w:hint="eastAsia" w:ascii="宋体" w:hAnsi="宋体" w:eastAsia="宋体" w:cs="宋体"/>
          <w:color w:val="000000" w:themeColor="text1"/>
          <w:highlight w:val="none"/>
          <w14:textFill>
            <w14:solidFill>
              <w14:schemeClr w14:val="tx1"/>
            </w14:solidFill>
          </w14:textFill>
        </w:rPr>
      </w:pPr>
    </w:p>
    <w:p>
      <w:pPr>
        <w:tabs>
          <w:tab w:val="left" w:pos="360"/>
          <w:tab w:val="left" w:pos="1800"/>
        </w:tabs>
        <w:spacing w:line="480" w:lineRule="exact"/>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法定代表人或委托代理人：（签字或盖章）</w:t>
      </w:r>
    </w:p>
    <w:p>
      <w:pPr>
        <w:tabs>
          <w:tab w:val="left" w:pos="360"/>
          <w:tab w:val="left" w:pos="1800"/>
        </w:tabs>
        <w:spacing w:line="360" w:lineRule="auto"/>
        <w:ind w:right="960" w:firstLine="4935" w:firstLineChars="23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     年   月   日</w:t>
      </w:r>
    </w:p>
    <w:p>
      <w:pPr>
        <w:tabs>
          <w:tab w:val="left" w:pos="360"/>
          <w:tab w:val="left" w:pos="1800"/>
        </w:tabs>
        <w:spacing w:line="360" w:lineRule="auto"/>
        <w:ind w:right="960" w:firstLine="4935" w:firstLineChars="2350"/>
        <w:rPr>
          <w:rFonts w:hint="eastAsia" w:ascii="宋体" w:hAnsi="宋体" w:eastAsia="宋体" w:cs="宋体"/>
          <w:color w:val="000000" w:themeColor="text1"/>
          <w:highlight w:val="none"/>
          <w14:textFill>
            <w14:solidFill>
              <w14:schemeClr w14:val="tx1"/>
            </w14:solidFill>
          </w14:textFill>
        </w:rPr>
      </w:pPr>
    </w:p>
    <w:p>
      <w:pPr>
        <w:pStyle w:val="523"/>
        <w:spacing w:beforeLines="100"/>
        <w:jc w:val="center"/>
        <w:outlineLvl w:val="4"/>
        <w:rPr>
          <w:rFonts w:hint="eastAsia" w:ascii="宋体" w:hAnsi="宋体" w:eastAsia="宋体" w:cs="宋体"/>
          <w:b/>
          <w:color w:val="000000" w:themeColor="text1"/>
          <w:sz w:val="24"/>
          <w:szCs w:val="24"/>
          <w:highlight w:val="none"/>
          <w14:textFill>
            <w14:solidFill>
              <w14:schemeClr w14:val="tx1"/>
            </w14:solidFill>
          </w14:textFill>
        </w:rPr>
      </w:pPr>
    </w:p>
    <w:p>
      <w:pPr>
        <w:pStyle w:val="523"/>
        <w:spacing w:beforeLines="100"/>
        <w:jc w:val="center"/>
        <w:outlineLvl w:val="4"/>
        <w:rPr>
          <w:rFonts w:hint="eastAsia" w:ascii="宋体" w:hAnsi="宋体" w:eastAsia="宋体" w:cs="宋体"/>
          <w:b/>
          <w:color w:val="000000" w:themeColor="text1"/>
          <w:sz w:val="24"/>
          <w:szCs w:val="24"/>
          <w:highlight w:val="none"/>
          <w14:textFill>
            <w14:solidFill>
              <w14:schemeClr w14:val="tx1"/>
            </w14:solidFill>
          </w14:textFill>
        </w:rPr>
      </w:pPr>
    </w:p>
    <w:p>
      <w:pPr>
        <w:pStyle w:val="523"/>
        <w:spacing w:beforeLines="100"/>
        <w:jc w:val="center"/>
        <w:outlineLvl w:val="4"/>
        <w:rPr>
          <w:rFonts w:hint="eastAsia" w:ascii="宋体" w:hAnsi="宋体" w:eastAsia="宋体" w:cs="宋体"/>
          <w:b/>
          <w:color w:val="000000" w:themeColor="text1"/>
          <w:sz w:val="24"/>
          <w:szCs w:val="24"/>
          <w:highlight w:val="none"/>
          <w14:textFill>
            <w14:solidFill>
              <w14:schemeClr w14:val="tx1"/>
            </w14:solidFill>
          </w14:textFill>
        </w:rPr>
      </w:pPr>
    </w:p>
    <w:p>
      <w:pPr>
        <w:pStyle w:val="523"/>
        <w:spacing w:beforeLines="100"/>
        <w:jc w:val="center"/>
        <w:outlineLvl w:val="4"/>
        <w:rPr>
          <w:rFonts w:hint="eastAsia" w:ascii="宋体" w:hAnsi="宋体" w:eastAsia="宋体" w:cs="宋体"/>
          <w:b/>
          <w:color w:val="000000" w:themeColor="text1"/>
          <w:sz w:val="24"/>
          <w:szCs w:val="24"/>
          <w:highlight w:val="none"/>
          <w14:textFill>
            <w14:solidFill>
              <w14:schemeClr w14:val="tx1"/>
            </w14:solidFill>
          </w14:textFill>
        </w:rPr>
      </w:pPr>
    </w:p>
    <w:p>
      <w:pPr>
        <w:snapToGrid w:val="0"/>
        <w:spacing w:line="240" w:lineRule="atLeast"/>
        <w:jc w:val="center"/>
        <w:outlineLvl w:val="0"/>
        <w:rPr>
          <w:rFonts w:hint="eastAsia" w:ascii="宋体" w:hAnsi="宋体" w:eastAsia="宋体" w:cs="宋体"/>
          <w:b/>
          <w:color w:val="000000" w:themeColor="text1"/>
          <w:sz w:val="24"/>
          <w:szCs w:val="24"/>
          <w:highlight w:val="none"/>
          <w14:textFill>
            <w14:solidFill>
              <w14:schemeClr w14:val="tx1"/>
            </w14:solidFill>
          </w14:textFill>
        </w:rPr>
      </w:pPr>
    </w:p>
    <w:p>
      <w:pPr>
        <w:snapToGrid w:val="0"/>
        <w:spacing w:line="240" w:lineRule="atLeast"/>
        <w:jc w:val="center"/>
        <w:outlineLvl w:val="0"/>
        <w:rPr>
          <w:rFonts w:hint="eastAsia" w:ascii="宋体" w:hAnsi="宋体" w:eastAsia="宋体" w:cs="宋体"/>
          <w:b/>
          <w:color w:val="000000" w:themeColor="text1"/>
          <w:sz w:val="24"/>
          <w:szCs w:val="24"/>
          <w:highlight w:val="none"/>
          <w14:textFill>
            <w14:solidFill>
              <w14:schemeClr w14:val="tx1"/>
            </w14:solidFill>
          </w14:textFill>
        </w:rPr>
      </w:pPr>
    </w:p>
    <w:p>
      <w:pPr>
        <w:snapToGrid w:val="0"/>
        <w:spacing w:line="240" w:lineRule="atLeast"/>
        <w:jc w:val="center"/>
        <w:outlineLvl w:val="0"/>
        <w:rPr>
          <w:rFonts w:hint="eastAsia" w:ascii="宋体" w:hAnsi="宋体" w:eastAsia="宋体" w:cs="宋体"/>
          <w:b/>
          <w:color w:val="000000" w:themeColor="text1"/>
          <w:sz w:val="24"/>
          <w:szCs w:val="24"/>
          <w:highlight w:val="none"/>
          <w14:textFill>
            <w14:solidFill>
              <w14:schemeClr w14:val="tx1"/>
            </w14:solidFill>
          </w14:textFill>
        </w:rPr>
      </w:pPr>
    </w:p>
    <w:p>
      <w:pPr>
        <w:snapToGrid w:val="0"/>
        <w:spacing w:line="240" w:lineRule="atLeast"/>
        <w:jc w:val="center"/>
        <w:outlineLvl w:val="0"/>
        <w:rPr>
          <w:rFonts w:hint="eastAsia" w:ascii="宋体" w:hAnsi="宋体" w:eastAsia="宋体" w:cs="宋体"/>
          <w:b/>
          <w:color w:val="000000" w:themeColor="text1"/>
          <w:sz w:val="24"/>
          <w:szCs w:val="24"/>
          <w:highlight w:val="none"/>
          <w14:textFill>
            <w14:solidFill>
              <w14:schemeClr w14:val="tx1"/>
            </w14:solidFill>
          </w14:textFill>
        </w:rPr>
      </w:pPr>
    </w:p>
    <w:p>
      <w:pPr>
        <w:snapToGrid w:val="0"/>
        <w:spacing w:line="240" w:lineRule="atLeast"/>
        <w:jc w:val="center"/>
        <w:outlineLvl w:val="0"/>
        <w:rPr>
          <w:rFonts w:hint="eastAsia" w:ascii="宋体" w:hAnsi="宋体" w:eastAsia="宋体" w:cs="宋体"/>
          <w:b/>
          <w:color w:val="000000" w:themeColor="text1"/>
          <w:sz w:val="24"/>
          <w:szCs w:val="24"/>
          <w:highlight w:val="none"/>
          <w14:textFill>
            <w14:solidFill>
              <w14:schemeClr w14:val="tx1"/>
            </w14:solidFill>
          </w14:textFill>
        </w:rPr>
      </w:pPr>
    </w:p>
    <w:p>
      <w:pPr>
        <w:snapToGrid w:val="0"/>
        <w:spacing w:line="240" w:lineRule="atLeast"/>
        <w:jc w:val="center"/>
        <w:outlineLvl w:val="0"/>
        <w:rPr>
          <w:rFonts w:hint="eastAsia" w:ascii="宋体" w:hAnsi="宋体" w:eastAsia="宋体" w:cs="宋体"/>
          <w:b/>
          <w:color w:val="000000" w:themeColor="text1"/>
          <w:sz w:val="24"/>
          <w:szCs w:val="24"/>
          <w:highlight w:val="none"/>
          <w14:textFill>
            <w14:solidFill>
              <w14:schemeClr w14:val="tx1"/>
            </w14:solidFill>
          </w14:textFill>
        </w:rPr>
      </w:pPr>
    </w:p>
    <w:p>
      <w:pPr>
        <w:snapToGrid w:val="0"/>
        <w:spacing w:line="240" w:lineRule="atLeast"/>
        <w:jc w:val="center"/>
        <w:outlineLvl w:val="0"/>
        <w:rPr>
          <w:rFonts w:hint="eastAsia" w:ascii="宋体" w:hAnsi="宋体" w:eastAsia="宋体" w:cs="宋体"/>
          <w:b/>
          <w:color w:val="000000" w:themeColor="text1"/>
          <w:sz w:val="24"/>
          <w:szCs w:val="24"/>
          <w:highlight w:val="none"/>
          <w14:textFill>
            <w14:solidFill>
              <w14:schemeClr w14:val="tx1"/>
            </w14:solidFill>
          </w14:textFill>
        </w:rPr>
      </w:pPr>
    </w:p>
    <w:p>
      <w:pPr>
        <w:snapToGrid w:val="0"/>
        <w:spacing w:line="240" w:lineRule="atLeast"/>
        <w:jc w:val="center"/>
        <w:outlineLvl w:val="0"/>
        <w:rPr>
          <w:rFonts w:hint="eastAsia" w:ascii="宋体" w:hAnsi="宋体" w:eastAsia="宋体" w:cs="宋体"/>
          <w:b/>
          <w:color w:val="000000" w:themeColor="text1"/>
          <w:sz w:val="24"/>
          <w:szCs w:val="24"/>
          <w:highlight w:val="none"/>
          <w14:textFill>
            <w14:solidFill>
              <w14:schemeClr w14:val="tx1"/>
            </w14:solidFill>
          </w14:textFill>
        </w:rPr>
      </w:pPr>
    </w:p>
    <w:p>
      <w:pPr>
        <w:snapToGrid w:val="0"/>
        <w:spacing w:line="240" w:lineRule="atLeast"/>
        <w:jc w:val="center"/>
        <w:outlineLvl w:val="0"/>
        <w:rPr>
          <w:rFonts w:hint="eastAsia" w:ascii="宋体" w:hAnsi="宋体" w:eastAsia="宋体" w:cs="宋体"/>
          <w:b/>
          <w:color w:val="000000" w:themeColor="text1"/>
          <w:sz w:val="24"/>
          <w:szCs w:val="24"/>
          <w:highlight w:val="none"/>
          <w14:textFill>
            <w14:solidFill>
              <w14:schemeClr w14:val="tx1"/>
            </w14:solidFill>
          </w14:textFill>
        </w:rPr>
      </w:pPr>
    </w:p>
    <w:p>
      <w:pPr>
        <w:snapToGrid w:val="0"/>
        <w:spacing w:line="240" w:lineRule="atLeast"/>
        <w:jc w:val="center"/>
        <w:outlineLvl w:val="0"/>
        <w:rPr>
          <w:rFonts w:hint="eastAsia" w:ascii="宋体" w:hAnsi="宋体" w:eastAsia="宋体" w:cs="宋体"/>
          <w:b/>
          <w:color w:val="000000" w:themeColor="text1"/>
          <w:sz w:val="24"/>
          <w:szCs w:val="24"/>
          <w:highlight w:val="none"/>
          <w14:textFill>
            <w14:solidFill>
              <w14:schemeClr w14:val="tx1"/>
            </w14:solidFill>
          </w14:textFill>
        </w:rPr>
      </w:pPr>
    </w:p>
    <w:p>
      <w:pPr>
        <w:snapToGrid w:val="0"/>
        <w:spacing w:line="240" w:lineRule="atLeast"/>
        <w:jc w:val="center"/>
        <w:outlineLvl w:val="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格式</w:t>
      </w:r>
      <w:r>
        <w:rPr>
          <w:rFonts w:hint="eastAsia" w:ascii="宋体" w:hAnsi="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8"/>
          <w:szCs w:val="28"/>
          <w:highlight w:val="none"/>
          <w:lang w:eastAsia="zh-CN"/>
          <w14:textFill>
            <w14:solidFill>
              <w14:schemeClr w14:val="tx1"/>
            </w14:solidFill>
          </w14:textFill>
        </w:rPr>
        <w:t>拟投入本服务项目的主要机械、车辆及设备表</w:t>
      </w:r>
    </w:p>
    <w:p>
      <w:pPr>
        <w:pStyle w:val="523"/>
        <w:spacing w:before="0" w:after="0" w:line="240" w:lineRule="auto"/>
        <w:jc w:val="center"/>
        <w:outlineLvl w:val="4"/>
        <w:rPr>
          <w:rFonts w:hint="eastAsia" w:ascii="宋体" w:hAnsi="宋体" w:eastAsia="宋体" w:cs="宋体"/>
          <w:b/>
          <w:color w:val="000000" w:themeColor="text1"/>
          <w:sz w:val="24"/>
          <w:szCs w:val="24"/>
          <w:highlight w:val="none"/>
          <w14:textFill>
            <w14:solidFill>
              <w14:schemeClr w14:val="tx1"/>
            </w14:solidFill>
          </w14:textFill>
        </w:rPr>
      </w:pPr>
    </w:p>
    <w:tbl>
      <w:tblPr>
        <w:tblStyle w:val="57"/>
        <w:tblW w:w="9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819"/>
        <w:gridCol w:w="821"/>
        <w:gridCol w:w="820"/>
        <w:gridCol w:w="822"/>
        <w:gridCol w:w="704"/>
        <w:gridCol w:w="704"/>
        <w:gridCol w:w="704"/>
        <w:gridCol w:w="708"/>
        <w:gridCol w:w="568"/>
        <w:gridCol w:w="1064"/>
        <w:gridCol w:w="898"/>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trPr>
        <w:tc>
          <w:tcPr>
            <w:tcW w:w="469" w:type="dxa"/>
            <w:vMerge w:val="restart"/>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819" w:type="dxa"/>
            <w:vMerge w:val="restart"/>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车辆、设备名称</w:t>
            </w:r>
          </w:p>
        </w:tc>
        <w:tc>
          <w:tcPr>
            <w:tcW w:w="821" w:type="dxa"/>
            <w:vMerge w:val="restart"/>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规格型号</w:t>
            </w:r>
          </w:p>
        </w:tc>
        <w:tc>
          <w:tcPr>
            <w:tcW w:w="820" w:type="dxa"/>
            <w:vMerge w:val="restart"/>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产地</w:t>
            </w:r>
          </w:p>
        </w:tc>
        <w:tc>
          <w:tcPr>
            <w:tcW w:w="822" w:type="dxa"/>
            <w:vMerge w:val="restart"/>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出厂时间</w:t>
            </w:r>
          </w:p>
        </w:tc>
        <w:tc>
          <w:tcPr>
            <w:tcW w:w="3388" w:type="dxa"/>
            <w:gridSpan w:val="5"/>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数量（台/套）</w:t>
            </w:r>
          </w:p>
        </w:tc>
        <w:tc>
          <w:tcPr>
            <w:tcW w:w="1064" w:type="dxa"/>
            <w:vMerge w:val="restart"/>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进口/国产</w:t>
            </w:r>
          </w:p>
        </w:tc>
        <w:tc>
          <w:tcPr>
            <w:tcW w:w="898" w:type="dxa"/>
            <w:vMerge w:val="restart"/>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现状</w:t>
            </w:r>
          </w:p>
        </w:tc>
        <w:tc>
          <w:tcPr>
            <w:tcW w:w="896" w:type="dxa"/>
            <w:vMerge w:val="restart"/>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69" w:type="dxa"/>
            <w:vMerge w:val="continue"/>
            <w:vAlign w:val="center"/>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819" w:type="dxa"/>
            <w:vMerge w:val="continue"/>
            <w:vAlign w:val="center"/>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821" w:type="dxa"/>
            <w:vMerge w:val="continue"/>
            <w:vAlign w:val="center"/>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820" w:type="dxa"/>
            <w:vMerge w:val="continue"/>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822" w:type="dxa"/>
            <w:vMerge w:val="continue"/>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2820" w:type="dxa"/>
            <w:gridSpan w:val="4"/>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其中</w:t>
            </w:r>
          </w:p>
        </w:tc>
        <w:tc>
          <w:tcPr>
            <w:tcW w:w="568" w:type="dxa"/>
            <w:vMerge w:val="restart"/>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小计</w:t>
            </w:r>
          </w:p>
        </w:tc>
        <w:tc>
          <w:tcPr>
            <w:tcW w:w="1064" w:type="dxa"/>
            <w:vMerge w:val="continue"/>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898" w:type="dxa"/>
            <w:vMerge w:val="continue"/>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896" w:type="dxa"/>
            <w:vMerge w:val="continue"/>
            <w:vAlign w:val="center"/>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trPr>
        <w:tc>
          <w:tcPr>
            <w:tcW w:w="469" w:type="dxa"/>
            <w:vMerge w:val="continue"/>
            <w:vAlign w:val="center"/>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819" w:type="dxa"/>
            <w:vMerge w:val="continue"/>
            <w:vAlign w:val="center"/>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821" w:type="dxa"/>
            <w:vMerge w:val="continue"/>
            <w:vAlign w:val="center"/>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820" w:type="dxa"/>
            <w:vMerge w:val="continue"/>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822" w:type="dxa"/>
            <w:vMerge w:val="continue"/>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自有</w:t>
            </w: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租赁</w:t>
            </w: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新购</w:t>
            </w:r>
          </w:p>
        </w:tc>
        <w:tc>
          <w:tcPr>
            <w:tcW w:w="70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特别</w:t>
            </w:r>
          </w:p>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制造</w:t>
            </w:r>
          </w:p>
        </w:tc>
        <w:tc>
          <w:tcPr>
            <w:tcW w:w="568" w:type="dxa"/>
            <w:vMerge w:val="continue"/>
            <w:vAlign w:val="center"/>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1064" w:type="dxa"/>
            <w:vMerge w:val="continue"/>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898" w:type="dxa"/>
            <w:vMerge w:val="continue"/>
            <w:vAlign w:val="center"/>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c>
          <w:tcPr>
            <w:tcW w:w="896" w:type="dxa"/>
            <w:vMerge w:val="continue"/>
            <w:vAlign w:val="center"/>
          </w:tcPr>
          <w:p>
            <w:pPr>
              <w:snapToGrid w:val="0"/>
              <w:spacing w:line="320" w:lineRule="exact"/>
              <w:jc w:val="center"/>
              <w:rPr>
                <w:rFonts w:hint="eastAsia" w:ascii="宋体" w:hAnsi="宋体" w:eastAsia="宋体" w:cs="宋体"/>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46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1"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0"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6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6"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46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1"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0"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6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6"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46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1"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0"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6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6"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46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1"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0"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6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6"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1"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0"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6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6"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1"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0"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6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6"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1"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0"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6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6"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1"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0"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6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6"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1"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0"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6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6"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19"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1"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0"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2"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4"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70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56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64" w:type="dxa"/>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8"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6" w:type="dxa"/>
            <w:vAlign w:val="center"/>
          </w:tcPr>
          <w:p>
            <w:pPr>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p>
        </w:tc>
      </w:tr>
    </w:tbl>
    <w:p>
      <w:pPr>
        <w:snapToGrid w:val="0"/>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 车辆、机械设备按</w:t>
      </w:r>
      <w:r>
        <w:rPr>
          <w:rFonts w:hint="eastAsia" w:ascii="宋体" w:hAnsi="宋体" w:eastAsia="宋体" w:cs="宋体"/>
          <w:color w:val="000000" w:themeColor="text1"/>
          <w:sz w:val="24"/>
          <w:highlight w:val="none"/>
          <w:lang w:eastAsia="zh-CN"/>
          <w14:textFill>
            <w14:solidFill>
              <w14:schemeClr w14:val="tx1"/>
            </w14:solidFill>
          </w14:textFill>
        </w:rPr>
        <w:t>本服务项目</w:t>
      </w:r>
      <w:r>
        <w:rPr>
          <w:rFonts w:hint="eastAsia" w:ascii="宋体" w:hAnsi="宋体" w:eastAsia="宋体" w:cs="宋体"/>
          <w:color w:val="000000" w:themeColor="text1"/>
          <w:sz w:val="24"/>
          <w:highlight w:val="none"/>
          <w14:textFill>
            <w14:solidFill>
              <w14:schemeClr w14:val="tx1"/>
            </w14:solidFill>
          </w14:textFill>
        </w:rPr>
        <w:t>施工需要的顺序填写；</w:t>
      </w:r>
    </w:p>
    <w:p>
      <w:pPr>
        <w:snapToGrid w:val="0"/>
        <w:spacing w:line="3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 填写拟派于</w:t>
      </w:r>
      <w:r>
        <w:rPr>
          <w:rFonts w:hint="eastAsia" w:ascii="宋体" w:hAnsi="宋体" w:eastAsia="宋体" w:cs="宋体"/>
          <w:color w:val="000000" w:themeColor="text1"/>
          <w:sz w:val="24"/>
          <w:highlight w:val="none"/>
          <w:lang w:eastAsia="zh-CN"/>
          <w14:textFill>
            <w14:solidFill>
              <w14:schemeClr w14:val="tx1"/>
            </w14:solidFill>
          </w14:textFill>
        </w:rPr>
        <w:t>本服务项目</w:t>
      </w:r>
      <w:r>
        <w:rPr>
          <w:rFonts w:hint="eastAsia" w:ascii="宋体" w:hAnsi="宋体" w:eastAsia="宋体" w:cs="宋体"/>
          <w:color w:val="000000" w:themeColor="text1"/>
          <w:sz w:val="24"/>
          <w:highlight w:val="none"/>
          <w14:textFill>
            <w14:solidFill>
              <w14:schemeClr w14:val="tx1"/>
            </w14:solidFill>
          </w14:textFill>
        </w:rPr>
        <w:t>的具体设备；</w:t>
      </w:r>
    </w:p>
    <w:p>
      <w:pPr>
        <w:snapToGrid w:val="0"/>
        <w:spacing w:line="3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 注明车辆、机械设备出厂日期、目前存放地点、承担工作等内容。</w:t>
      </w:r>
    </w:p>
    <w:p>
      <w:pPr>
        <w:tabs>
          <w:tab w:val="left" w:pos="2660"/>
        </w:tabs>
        <w:jc w:val="center"/>
        <w:rPr>
          <w:rFonts w:hint="eastAsia" w:ascii="宋体" w:hAnsi="宋体" w:eastAsia="宋体" w:cs="宋体"/>
          <w:color w:val="000000" w:themeColor="text1"/>
          <w:sz w:val="72"/>
          <w:szCs w:val="72"/>
          <w:highlight w:val="none"/>
          <w14:textFill>
            <w14:solidFill>
              <w14:schemeClr w14:val="tx1"/>
            </w14:solidFill>
          </w14:textFill>
        </w:rPr>
      </w:pPr>
    </w:p>
    <w:p>
      <w:pPr>
        <w:tabs>
          <w:tab w:val="left" w:pos="360"/>
          <w:tab w:val="left" w:pos="1800"/>
        </w:tabs>
        <w:spacing w:line="4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投标人：（盖章）       </w:t>
      </w:r>
    </w:p>
    <w:p>
      <w:pPr>
        <w:tabs>
          <w:tab w:val="left" w:pos="360"/>
          <w:tab w:val="left" w:pos="1800"/>
        </w:tabs>
        <w:spacing w:line="4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tabs>
          <w:tab w:val="left" w:pos="360"/>
          <w:tab w:val="left" w:pos="1800"/>
        </w:tabs>
        <w:spacing w:line="4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法定代表人或委托代理人：（签字或盖章）</w:t>
      </w:r>
    </w:p>
    <w:p>
      <w:pPr>
        <w:tabs>
          <w:tab w:val="left" w:pos="360"/>
          <w:tab w:val="left" w:pos="1800"/>
        </w:tabs>
        <w:spacing w:line="480" w:lineRule="exact"/>
        <w:rPr>
          <w:rFonts w:hint="eastAsia" w:ascii="宋体" w:hAnsi="宋体" w:eastAsia="宋体" w:cs="宋体"/>
          <w:color w:val="000000" w:themeColor="text1"/>
          <w:sz w:val="24"/>
          <w:highlight w:val="none"/>
          <w14:textFill>
            <w14:solidFill>
              <w14:schemeClr w14:val="tx1"/>
            </w14:solidFill>
          </w14:textFill>
        </w:rPr>
      </w:pPr>
    </w:p>
    <w:p>
      <w:pPr>
        <w:tabs>
          <w:tab w:val="left" w:pos="360"/>
          <w:tab w:val="left" w:pos="1800"/>
        </w:tabs>
        <w:spacing w:line="360" w:lineRule="auto"/>
        <w:ind w:right="9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     年   月   日</w:t>
      </w:r>
    </w:p>
    <w:p>
      <w:pPr>
        <w:tabs>
          <w:tab w:val="left" w:pos="360"/>
          <w:tab w:val="left" w:pos="1800"/>
        </w:tabs>
        <w:spacing w:line="360" w:lineRule="auto"/>
        <w:ind w:right="960" w:firstLine="6000" w:firstLineChars="2500"/>
        <w:rPr>
          <w:rFonts w:hint="eastAsia" w:ascii="宋体" w:hAnsi="宋体" w:eastAsia="宋体" w:cs="宋体"/>
          <w:color w:val="000000" w:themeColor="text1"/>
          <w:sz w:val="24"/>
          <w:highlight w:val="none"/>
          <w14:textFill>
            <w14:solidFill>
              <w14:schemeClr w14:val="tx1"/>
            </w14:solidFill>
          </w14:textFill>
        </w:rPr>
      </w:pPr>
    </w:p>
    <w:p>
      <w:pPr>
        <w:tabs>
          <w:tab w:val="left" w:pos="360"/>
          <w:tab w:val="left" w:pos="1800"/>
        </w:tabs>
        <w:spacing w:line="360" w:lineRule="auto"/>
        <w:ind w:right="960"/>
        <w:jc w:val="center"/>
        <w:rPr>
          <w:rFonts w:hint="eastAsia" w:ascii="宋体" w:hAnsi="宋体" w:eastAsia="宋体" w:cs="宋体"/>
          <w:b/>
          <w:color w:val="000000" w:themeColor="text1"/>
          <w:sz w:val="24"/>
          <w:highlight w:val="none"/>
          <w14:textFill>
            <w14:solidFill>
              <w14:schemeClr w14:val="tx1"/>
            </w14:solidFill>
          </w14:textFill>
        </w:rPr>
      </w:pPr>
    </w:p>
    <w:p>
      <w:pPr>
        <w:tabs>
          <w:tab w:val="left" w:pos="360"/>
          <w:tab w:val="left" w:pos="1800"/>
        </w:tabs>
        <w:spacing w:line="360" w:lineRule="auto"/>
        <w:ind w:right="96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w:t>
      </w:r>
      <w:r>
        <w:rPr>
          <w:rFonts w:hint="eastAsia" w:ascii="宋体" w:hAnsi="宋体" w:cs="宋体"/>
          <w:b/>
          <w:color w:val="000000" w:themeColor="text1"/>
          <w:sz w:val="24"/>
          <w:highlight w:val="none"/>
          <w:lang w:val="en-US" w:eastAsia="zh-CN"/>
          <w14:textFill>
            <w14:solidFill>
              <w14:schemeClr w14:val="tx1"/>
            </w14:solidFill>
          </w14:textFill>
        </w:rPr>
        <w:t xml:space="preserve">7 </w:t>
      </w:r>
      <w:r>
        <w:rPr>
          <w:rFonts w:hint="eastAsia" w:ascii="宋体" w:hAnsi="宋体" w:cs="宋体"/>
          <w:b/>
          <w:color w:val="000000" w:themeColor="text1"/>
          <w:sz w:val="24"/>
          <w:highlight w:val="none"/>
          <w14:textFill>
            <w14:solidFill>
              <w14:schemeClr w14:val="tx1"/>
            </w14:solidFill>
          </w14:textFill>
        </w:rPr>
        <w:t xml:space="preserve"> 近三年（201</w:t>
      </w:r>
      <w:r>
        <w:rPr>
          <w:rFonts w:hint="eastAsia" w:ascii="宋体" w:hAnsi="宋体" w:cs="宋体"/>
          <w:b/>
          <w:color w:val="000000" w:themeColor="text1"/>
          <w:sz w:val="24"/>
          <w:highlight w:val="none"/>
          <w:lang w:val="en-US" w:eastAsia="zh-CN"/>
          <w14:textFill>
            <w14:solidFill>
              <w14:schemeClr w14:val="tx1"/>
            </w14:solidFill>
          </w14:textFill>
        </w:rPr>
        <w:t>8</w:t>
      </w:r>
      <w:r>
        <w:rPr>
          <w:rFonts w:hint="eastAsia" w:ascii="宋体" w:hAnsi="宋体" w:cs="宋体"/>
          <w:b/>
          <w:color w:val="000000" w:themeColor="text1"/>
          <w:sz w:val="24"/>
          <w:highlight w:val="none"/>
          <w14:textFill>
            <w14:solidFill>
              <w14:schemeClr w14:val="tx1"/>
            </w14:solidFill>
          </w14:textFill>
        </w:rPr>
        <w:t>年1月1日至今）同类项目业绩表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17"/>
        <w:gridCol w:w="1755"/>
        <w:gridCol w:w="8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年份</w:t>
            </w:r>
          </w:p>
        </w:tc>
        <w:tc>
          <w:tcPr>
            <w:tcW w:w="1440" w:type="dxa"/>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1320" w:type="dxa"/>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用户名称</w:t>
            </w:r>
          </w:p>
        </w:tc>
        <w:tc>
          <w:tcPr>
            <w:tcW w:w="1161" w:type="dxa"/>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完成时间</w:t>
            </w:r>
          </w:p>
        </w:tc>
        <w:tc>
          <w:tcPr>
            <w:tcW w:w="1260" w:type="dxa"/>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合同金额</w:t>
            </w:r>
          </w:p>
        </w:tc>
        <w:tc>
          <w:tcPr>
            <w:tcW w:w="1626" w:type="dxa"/>
            <w:gridSpan w:val="2"/>
            <w:tcBorders>
              <w:right w:val="single" w:color="auto" w:sz="4" w:space="0"/>
            </w:tcBorders>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完成项目质量</w:t>
            </w:r>
          </w:p>
        </w:tc>
        <w:tc>
          <w:tcPr>
            <w:tcW w:w="1755" w:type="dxa"/>
            <w:tcBorders>
              <w:left w:val="single" w:color="auto" w:sz="4" w:space="0"/>
            </w:tcBorders>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用户联系电话</w:t>
            </w:r>
          </w:p>
        </w:tc>
        <w:tc>
          <w:tcPr>
            <w:tcW w:w="881" w:type="dxa"/>
            <w:tcBorders>
              <w:left w:val="single" w:color="auto" w:sz="4" w:space="0"/>
            </w:tcBorders>
            <w:noWrap/>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44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2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61"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6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626" w:type="dxa"/>
            <w:gridSpan w:val="2"/>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55"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81" w:type="dxa"/>
            <w:tcBorders>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44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2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61"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6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626" w:type="dxa"/>
            <w:gridSpan w:val="2"/>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55"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81" w:type="dxa"/>
            <w:tcBorders>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44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2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61"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6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626" w:type="dxa"/>
            <w:gridSpan w:val="2"/>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55"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81" w:type="dxa"/>
            <w:tcBorders>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440" w:type="dxa"/>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20"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61"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6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626" w:type="dxa"/>
            <w:gridSpan w:val="2"/>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55"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81" w:type="dxa"/>
            <w:tcBorders>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440" w:type="dxa"/>
            <w:tcBorders>
              <w:left w:val="single" w:color="auto" w:sz="4" w:space="0"/>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320" w:type="dxa"/>
            <w:tcBorders>
              <w:left w:val="single" w:color="auto" w:sz="4" w:space="0"/>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61" w:type="dxa"/>
            <w:tcBorders>
              <w:left w:val="single" w:color="auto" w:sz="4" w:space="0"/>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69" w:type="dxa"/>
            <w:gridSpan w:val="2"/>
            <w:tcBorders>
              <w:left w:val="single" w:color="auto" w:sz="4" w:space="0"/>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17" w:type="dxa"/>
            <w:tcBorders>
              <w:left w:val="single" w:color="auto" w:sz="4" w:space="0"/>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55" w:type="dxa"/>
            <w:tcBorders>
              <w:lef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81" w:type="dxa"/>
            <w:tcBorders>
              <w:left w:val="single" w:color="auto" w:sz="4" w:space="0"/>
            </w:tcBorders>
            <w:noWrap/>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44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3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61"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69" w:type="dxa"/>
            <w:gridSpan w:val="2"/>
            <w:tcBorders>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17" w:type="dxa"/>
            <w:tcBorders>
              <w:left w:val="single" w:color="auto" w:sz="4" w:space="0"/>
              <w:righ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55" w:type="dxa"/>
            <w:tcBorders>
              <w:left w:val="single" w:color="auto" w:sz="4"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81" w:type="dxa"/>
            <w:tcBorders>
              <w:left w:val="single" w:color="auto" w:sz="4" w:space="0"/>
            </w:tcBorders>
            <w:noWrap/>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44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2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61"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69" w:type="dxa"/>
            <w:gridSpan w:val="2"/>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617" w:type="dxa"/>
            <w:tcBorders>
              <w:left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55"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81" w:type="dxa"/>
            <w:tcBorders>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44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2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61"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69" w:type="dxa"/>
            <w:gridSpan w:val="2"/>
            <w:tcBorders>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617" w:type="dxa"/>
            <w:tcBorders>
              <w:left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55" w:type="dxa"/>
            <w:tcBorders>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81" w:type="dxa"/>
            <w:tcBorders>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440" w:type="dxa"/>
            <w:tcBorders>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20" w:type="dxa"/>
            <w:tcBorders>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61" w:type="dxa"/>
            <w:tcBorders>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69" w:type="dxa"/>
            <w:gridSpan w:val="2"/>
            <w:tcBorders>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617" w:type="dxa"/>
            <w:tcBorders>
              <w:left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55" w:type="dxa"/>
            <w:tcBorders>
              <w:left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81" w:type="dxa"/>
            <w:tcBorders>
              <w:left w:val="single" w:color="auto" w:sz="4" w:space="0"/>
              <w:bottom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440"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20"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61"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617"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55" w:type="dxa"/>
            <w:tcBorders>
              <w:top w:val="single" w:color="auto" w:sz="4" w:space="0"/>
              <w:left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81" w:type="dxa"/>
            <w:tcBorders>
              <w:top w:val="single" w:color="auto" w:sz="4" w:space="0"/>
              <w:left w:val="single" w:color="auto" w:sz="4" w:space="0"/>
              <w:bottom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440"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20"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61"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617"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55" w:type="dxa"/>
            <w:tcBorders>
              <w:top w:val="single" w:color="auto" w:sz="4" w:space="0"/>
              <w:left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81" w:type="dxa"/>
            <w:tcBorders>
              <w:top w:val="single" w:color="auto" w:sz="4" w:space="0"/>
              <w:left w:val="single" w:color="auto" w:sz="4" w:space="0"/>
              <w:bottom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440"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20"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61" w:type="dxa"/>
            <w:tcBorders>
              <w:top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617"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55" w:type="dxa"/>
            <w:tcBorders>
              <w:top w:val="single" w:color="auto" w:sz="4" w:space="0"/>
              <w:left w:val="single" w:color="auto" w:sz="4" w:space="0"/>
              <w:bottom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81" w:type="dxa"/>
            <w:tcBorders>
              <w:top w:val="single" w:color="auto" w:sz="4" w:space="0"/>
              <w:left w:val="single" w:color="auto" w:sz="4" w:space="0"/>
              <w:bottom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440" w:type="dxa"/>
            <w:tcBorders>
              <w:top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320" w:type="dxa"/>
            <w:tcBorders>
              <w:top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161" w:type="dxa"/>
            <w:tcBorders>
              <w:top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269" w:type="dxa"/>
            <w:gridSpan w:val="2"/>
            <w:tcBorders>
              <w:top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617" w:type="dxa"/>
            <w:tcBorders>
              <w:top w:val="single" w:color="auto" w:sz="4" w:space="0"/>
              <w:left w:val="single" w:color="auto" w:sz="4" w:space="0"/>
              <w:righ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1755" w:type="dxa"/>
            <w:tcBorders>
              <w:top w:val="single" w:color="auto" w:sz="4" w:space="0"/>
              <w:left w:val="single" w:color="auto" w:sz="4"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881" w:type="dxa"/>
            <w:tcBorders>
              <w:top w:val="single" w:color="auto" w:sz="4" w:space="0"/>
              <w:left w:val="single" w:color="auto" w:sz="4" w:space="0"/>
            </w:tcBorders>
            <w:noWrap/>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注：投标人（仅限于投标人自身实施的）以上业绩需提供有关书面证明材料（如</w:t>
      </w:r>
      <w:r>
        <w:rPr>
          <w:rFonts w:hint="eastAsia" w:ascii="宋体" w:hAnsi="宋体" w:cs="宋体"/>
          <w:color w:val="000000" w:themeColor="text1"/>
          <w:sz w:val="24"/>
          <w:highlight w:val="none"/>
          <w:lang w:eastAsia="zh-CN"/>
          <w14:textFill>
            <w14:solidFill>
              <w14:schemeClr w14:val="tx1"/>
            </w14:solidFill>
          </w14:textFill>
        </w:rPr>
        <w:t>中标</w:t>
      </w:r>
      <w:r>
        <w:rPr>
          <w:rFonts w:hint="eastAsia" w:ascii="宋体" w:hAnsi="宋体" w:cs="宋体"/>
          <w:color w:val="000000" w:themeColor="text1"/>
          <w:sz w:val="24"/>
          <w:highlight w:val="none"/>
          <w14:textFill>
            <w14:solidFill>
              <w14:schemeClr w14:val="tx1"/>
            </w14:solidFill>
          </w14:textFill>
        </w:rPr>
        <w:t>通知书/</w:t>
      </w:r>
      <w:r>
        <w:rPr>
          <w:rFonts w:hint="eastAsia" w:ascii="宋体" w:hAnsi="宋体" w:cs="宋体"/>
          <w:color w:val="000000" w:themeColor="text1"/>
          <w:sz w:val="24"/>
          <w:highlight w:val="none"/>
          <w:lang w:eastAsia="zh-CN"/>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通知书或合同</w:t>
      </w:r>
      <w:r>
        <w:rPr>
          <w:rFonts w:hint="eastAsia" w:ascii="宋体" w:hAnsi="宋体" w:cs="宋体"/>
          <w:color w:val="000000" w:themeColor="text1"/>
          <w:sz w:val="24"/>
          <w:highlight w:val="none"/>
          <w:lang w:eastAsia="zh-CN"/>
          <w14:textFill>
            <w14:solidFill>
              <w14:schemeClr w14:val="tx1"/>
            </w14:solidFill>
          </w14:textFill>
        </w:rPr>
        <w:t>等证明资料</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adjustRightIn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投标人（盖章）：         </w:t>
      </w:r>
    </w:p>
    <w:p>
      <w:pPr>
        <w:adjustRightIn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pPr>
        <w:spacing w:line="360" w:lineRule="auto"/>
        <w:ind w:right="480"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法定代表人或委托代理人（签字或盖章）：</w:t>
      </w:r>
    </w:p>
    <w:p>
      <w:pPr>
        <w:spacing w:line="360" w:lineRule="auto"/>
        <w:ind w:right="480" w:firstLine="480" w:firstLineChars="200"/>
        <w:jc w:val="right"/>
        <w:rPr>
          <w:rFonts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年  月  日</w:t>
      </w:r>
    </w:p>
    <w:p>
      <w:pPr>
        <w:spacing w:line="360" w:lineRule="auto"/>
        <w:ind w:firstLine="522" w:firstLineChars="200"/>
        <w:rPr>
          <w:rFonts w:ascii="宋体" w:hAnsi="宋体" w:cs="宋体"/>
          <w:b/>
          <w:bCs/>
          <w:color w:val="000000" w:themeColor="text1"/>
          <w:spacing w:val="10"/>
          <w:sz w:val="24"/>
          <w:highlight w:val="none"/>
          <w14:textFill>
            <w14:solidFill>
              <w14:schemeClr w14:val="tx1"/>
            </w14:solidFill>
          </w14:textFill>
        </w:rPr>
      </w:pPr>
    </w:p>
    <w:p>
      <w:pPr>
        <w:spacing w:line="360" w:lineRule="auto"/>
        <w:ind w:firstLine="522" w:firstLineChars="200"/>
        <w:jc w:val="center"/>
        <w:rPr>
          <w:rFonts w:hint="eastAsia" w:ascii="宋体" w:hAnsi="宋体" w:eastAsia="宋体" w:cs="宋体"/>
          <w:b/>
          <w:bCs/>
          <w:color w:val="000000" w:themeColor="text1"/>
          <w:spacing w:val="10"/>
          <w:sz w:val="24"/>
          <w:highlight w:val="none"/>
          <w14:textFill>
            <w14:solidFill>
              <w14:schemeClr w14:val="tx1"/>
            </w14:solidFill>
          </w14:textFill>
        </w:rPr>
      </w:pPr>
    </w:p>
    <w:p>
      <w:pPr>
        <w:pStyle w:val="4"/>
        <w:spacing w:line="360" w:lineRule="auto"/>
        <w:ind w:firstLine="482" w:firstLineChars="20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8  </w:t>
      </w:r>
      <w:r>
        <w:rPr>
          <w:rFonts w:hint="eastAsia" w:ascii="宋体" w:hAnsi="宋体" w:eastAsia="宋体" w:cs="宋体"/>
          <w:color w:val="000000" w:themeColor="text1"/>
          <w:sz w:val="24"/>
          <w:szCs w:val="24"/>
          <w:highlight w:val="none"/>
          <w14:textFill>
            <w14:solidFill>
              <w14:schemeClr w14:val="tx1"/>
            </w14:solidFill>
          </w14:textFill>
        </w:rPr>
        <w:t xml:space="preserve"> 资格性/符合性自查表</w:t>
      </w:r>
    </w:p>
    <w:tbl>
      <w:tblPr>
        <w:tblStyle w:val="57"/>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532"/>
        <w:gridCol w:w="2133"/>
        <w:gridCol w:w="2567"/>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pacing w:val="10"/>
                <w:sz w:val="24"/>
                <w:highlight w:val="none"/>
                <w14:textFill>
                  <w14:solidFill>
                    <w14:schemeClr w14:val="tx1"/>
                  </w14:solidFill>
                </w14:textFill>
              </w:rPr>
              <w:t>评审内容</w:t>
            </w:r>
          </w:p>
        </w:tc>
        <w:tc>
          <w:tcPr>
            <w:tcW w:w="3532"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ind w:firstLine="522" w:firstLineChars="200"/>
              <w:jc w:val="center"/>
              <w:rPr>
                <w:rFonts w:hint="eastAsia" w:ascii="宋体" w:hAnsi="宋体" w:eastAsia="宋体" w:cs="宋体"/>
                <w:b/>
                <w:bCs/>
                <w:color w:val="000000" w:themeColor="text1"/>
                <w:spacing w:val="10"/>
                <w:sz w:val="24"/>
                <w:highlight w:val="none"/>
                <w:lang w:eastAsia="zh-CN"/>
                <w14:textFill>
                  <w14:solidFill>
                    <w14:schemeClr w14:val="tx1"/>
                  </w14:solidFill>
                </w14:textFill>
              </w:rPr>
            </w:pPr>
            <w:r>
              <w:rPr>
                <w:rFonts w:hint="eastAsia" w:ascii="宋体" w:hAnsi="宋体" w:cs="宋体"/>
                <w:b/>
                <w:bCs/>
                <w:color w:val="000000" w:themeColor="text1"/>
                <w:spacing w:val="10"/>
                <w:sz w:val="24"/>
                <w:highlight w:val="none"/>
                <w14:textFill>
                  <w14:solidFill>
                    <w14:schemeClr w14:val="tx1"/>
                  </w14:solidFill>
                </w14:textFill>
              </w:rPr>
              <w:t>采购文件要求</w:t>
            </w:r>
          </w:p>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（详见《资格性和符合性审查表》各项）</w:t>
            </w:r>
          </w:p>
        </w:tc>
        <w:tc>
          <w:tcPr>
            <w:tcW w:w="2133"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pacing w:val="10"/>
                <w:sz w:val="24"/>
                <w:highlight w:val="none"/>
                <w14:textFill>
                  <w14:solidFill>
                    <w14:schemeClr w14:val="tx1"/>
                  </w14:solidFill>
                </w14:textFill>
              </w:rPr>
              <w:t>自查结论</w:t>
            </w:r>
          </w:p>
        </w:tc>
        <w:tc>
          <w:tcPr>
            <w:tcW w:w="2567"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pacing w:val="10"/>
                <w:sz w:val="24"/>
                <w:highlight w:val="none"/>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noWrap/>
            <w:vAlign w:val="center"/>
          </w:tcPr>
          <w:p>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资格性审查</w:t>
            </w:r>
          </w:p>
        </w:tc>
        <w:tc>
          <w:tcPr>
            <w:tcW w:w="3532"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33"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 □不通过</w:t>
            </w:r>
          </w:p>
        </w:tc>
        <w:tc>
          <w:tcPr>
            <w:tcW w:w="2567"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3532"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33"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 □不通过</w:t>
            </w:r>
          </w:p>
        </w:tc>
        <w:tc>
          <w:tcPr>
            <w:tcW w:w="2567"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3532"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33"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 □不通过</w:t>
            </w:r>
          </w:p>
        </w:tc>
        <w:tc>
          <w:tcPr>
            <w:tcW w:w="2567"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c>
        <w:tc>
          <w:tcPr>
            <w:tcW w:w="3532"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33"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 □不通过</w:t>
            </w:r>
          </w:p>
        </w:tc>
        <w:tc>
          <w:tcPr>
            <w:tcW w:w="2567"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noWrap/>
            <w:vAlign w:val="center"/>
          </w:tcPr>
          <w:p>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符合性审查</w:t>
            </w:r>
          </w:p>
        </w:tc>
        <w:tc>
          <w:tcPr>
            <w:tcW w:w="3532"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33"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 □不通过</w:t>
            </w:r>
          </w:p>
        </w:tc>
        <w:tc>
          <w:tcPr>
            <w:tcW w:w="2567"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532"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33"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 □不通过</w:t>
            </w:r>
          </w:p>
        </w:tc>
        <w:tc>
          <w:tcPr>
            <w:tcW w:w="2567"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532"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33"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 □不通过</w:t>
            </w:r>
          </w:p>
        </w:tc>
        <w:tc>
          <w:tcPr>
            <w:tcW w:w="2567"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532"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33"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 □不通过</w:t>
            </w:r>
          </w:p>
        </w:tc>
        <w:tc>
          <w:tcPr>
            <w:tcW w:w="2567"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532"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33"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 □不通过</w:t>
            </w:r>
          </w:p>
        </w:tc>
        <w:tc>
          <w:tcPr>
            <w:tcW w:w="2567"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532"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33"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 □不通过</w:t>
            </w:r>
          </w:p>
        </w:tc>
        <w:tc>
          <w:tcPr>
            <w:tcW w:w="2567"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532"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33"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 □不通过</w:t>
            </w:r>
          </w:p>
        </w:tc>
        <w:tc>
          <w:tcPr>
            <w:tcW w:w="2567" w:type="dxa"/>
            <w:tcBorders>
              <w:top w:val="outset" w:color="111111" w:sz="6" w:space="0"/>
              <w:left w:val="outset" w:color="111111" w:sz="6" w:space="0"/>
              <w:bottom w:val="outset" w:color="111111" w:sz="6" w:space="0"/>
              <w:right w:val="outset" w:color="111111" w:sz="6"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见投标文件第（）页</w:t>
            </w:r>
          </w:p>
        </w:tc>
      </w:tr>
    </w:tbl>
    <w:p>
      <w:pPr>
        <w:spacing w:line="360" w:lineRule="auto"/>
        <w:ind w:firstLine="482" w:firstLineChars="200"/>
        <w:rPr>
          <w:rFonts w:ascii="宋体" w:hAnsi="宋体" w:cs="宋体"/>
          <w:b/>
          <w:color w:val="000000" w:themeColor="text1"/>
          <w:w w:val="9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注：1、以上材料将作为招标投标人有效性审核的重要内容之一，投标人必须严格按照其内容及序列要求在投标文件中对应如</w:t>
      </w:r>
      <w:r>
        <w:rPr>
          <w:rFonts w:hint="eastAsia" w:ascii="宋体" w:hAnsi="宋体" w:cs="宋体"/>
          <w:b/>
          <w:color w:val="000000" w:themeColor="text1"/>
          <w:w w:val="90"/>
          <w:sz w:val="24"/>
          <w:highlight w:val="none"/>
          <w14:textFill>
            <w14:solidFill>
              <w14:schemeClr w14:val="tx1"/>
            </w14:solidFill>
          </w14:textFill>
        </w:rPr>
        <w:t>实提供，对资格性和符合性证明文件的任何缺漏和不符合项将会直接导致投标文件无效！投标人根据自查结论在对应的□打“√”。</w:t>
      </w:r>
    </w:p>
    <w:p>
      <w:pPr>
        <w:spacing w:line="360" w:lineRule="auto"/>
        <w:ind w:firstLine="434" w:firstLineChars="200"/>
        <w:rPr>
          <w:rFonts w:ascii="宋体" w:hAnsi="宋体" w:cs="宋体"/>
          <w:b/>
          <w:color w:val="000000" w:themeColor="text1"/>
          <w:w w:val="90"/>
          <w:sz w:val="24"/>
          <w:highlight w:val="none"/>
          <w14:textFill>
            <w14:solidFill>
              <w14:schemeClr w14:val="tx1"/>
            </w14:solidFill>
          </w14:textFill>
        </w:rPr>
      </w:pPr>
      <w:r>
        <w:rPr>
          <w:rFonts w:hint="eastAsia" w:ascii="宋体" w:hAnsi="宋体" w:cs="宋体"/>
          <w:b/>
          <w:color w:val="000000" w:themeColor="text1"/>
          <w:w w:val="90"/>
          <w:sz w:val="24"/>
          <w:highlight w:val="none"/>
          <w14:textFill>
            <w14:solidFill>
              <w14:schemeClr w14:val="tx1"/>
            </w14:solidFill>
          </w14:textFill>
        </w:rPr>
        <w:t>2、各投标人按此表格式填写，表格不够时可自行添加。</w:t>
      </w:r>
    </w:p>
    <w:p>
      <w:pPr>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p>
    <w:p>
      <w:pPr>
        <w:pStyle w:val="4"/>
        <w:spacing w:line="360" w:lineRule="auto"/>
        <w:ind w:firstLine="482" w:firstLineChars="20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9  </w:t>
      </w:r>
      <w:r>
        <w:rPr>
          <w:rFonts w:hint="eastAsia" w:ascii="宋体" w:hAnsi="宋体" w:eastAsia="宋体" w:cs="宋体"/>
          <w:color w:val="000000" w:themeColor="text1"/>
          <w:sz w:val="24"/>
          <w:szCs w:val="24"/>
          <w:highlight w:val="none"/>
          <w14:textFill>
            <w14:solidFill>
              <w14:schemeClr w14:val="tx1"/>
            </w14:solidFill>
          </w14:textFill>
        </w:rPr>
        <w:t xml:space="preserve"> 投标  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eastAsia="zh-CN"/>
          <w14:textFill>
            <w14:solidFill>
              <w14:schemeClr w14:val="tx1"/>
            </w14:solidFill>
          </w14:textFill>
        </w:rPr>
        <w:t>乌尔禾区乌尔禾镇人民政府</w:t>
      </w:r>
      <w:r>
        <w:rPr>
          <w:rFonts w:hint="eastAsia" w:ascii="宋体" w:hAnsi="宋体" w:cs="宋体"/>
          <w:bCs/>
          <w:color w:val="000000" w:themeColor="text1"/>
          <w:kern w:val="0"/>
          <w:sz w:val="24"/>
          <w:highlight w:val="none"/>
          <w14:textFill>
            <w14:solidFill>
              <w14:schemeClr w14:val="tx1"/>
            </w14:solidFill>
          </w14:textFill>
        </w:rPr>
        <w:t>：</w:t>
      </w:r>
    </w:p>
    <w:p>
      <w:pPr>
        <w:pStyle w:val="35"/>
        <w:keepNext w:val="0"/>
        <w:keepLines w:val="0"/>
        <w:pageBreakBefore w:val="0"/>
        <w:widowControl w:val="0"/>
        <w:kinsoku/>
        <w:wordWrap/>
        <w:overflowPunct/>
        <w:topLinePunct w:val="0"/>
        <w:autoSpaceDE/>
        <w:autoSpaceDN/>
        <w:bidi w:val="0"/>
        <w:adjustRightInd/>
        <w:snapToGrid/>
        <w:spacing w:line="360" w:lineRule="auto"/>
        <w:ind w:left="479" w:leftChars="228"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p>
      <w:pPr>
        <w:pStyle w:val="35"/>
        <w:keepNext w:val="0"/>
        <w:keepLines w:val="0"/>
        <w:pageBreakBefore w:val="0"/>
        <w:widowControl w:val="0"/>
        <w:kinsoku/>
        <w:wordWrap/>
        <w:overflowPunct/>
        <w:topLinePunct w:val="0"/>
        <w:autoSpaceDE/>
        <w:autoSpaceDN/>
        <w:bidi w:val="0"/>
        <w:adjustRightInd/>
        <w:snapToGrid/>
        <w:spacing w:line="360" w:lineRule="auto"/>
        <w:ind w:left="479" w:leftChars="228"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我方全面研究了 “</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”项目招标文件（文件编号：</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），决定参加本项目投标。我方授权（</w:t>
      </w:r>
      <w:r>
        <w:rPr>
          <w:rFonts w:hint="eastAsia" w:ascii="宋体" w:hAnsi="宋体" w:eastAsia="宋体" w:cs="宋体"/>
          <w:b w:val="0"/>
          <w:bCs/>
          <w:color w:val="000000" w:themeColor="text1"/>
          <w:sz w:val="24"/>
          <w:szCs w:val="24"/>
          <w:highlight w:val="none"/>
          <w:u w:val="single"/>
          <w14:textFill>
            <w14:solidFill>
              <w14:schemeClr w14:val="tx1"/>
            </w14:solidFill>
          </w14:textFill>
        </w:rPr>
        <w:t>姓名、职务</w:t>
      </w:r>
      <w:r>
        <w:rPr>
          <w:rFonts w:hint="eastAsia" w:ascii="宋体" w:hAnsi="宋体" w:eastAsia="宋体" w:cs="宋体"/>
          <w:b w:val="0"/>
          <w:bCs/>
          <w:color w:val="000000" w:themeColor="text1"/>
          <w:sz w:val="24"/>
          <w:szCs w:val="24"/>
          <w:highlight w:val="none"/>
          <w14:textFill>
            <w14:solidFill>
              <w14:schemeClr w14:val="tx1"/>
            </w14:solidFill>
          </w14:textFill>
        </w:rPr>
        <w:t>）代表我方</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（投标人的名称）全权处理本项目投标的有关事宜。</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我方自愿按照</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 w:val="0"/>
          <w:bCs/>
          <w:color w:val="000000" w:themeColor="text1"/>
          <w:sz w:val="24"/>
          <w:szCs w:val="24"/>
          <w:highlight w:val="none"/>
          <w14:textFill>
            <w14:solidFill>
              <w14:schemeClr w14:val="tx1"/>
            </w14:solidFill>
          </w14:textFill>
        </w:rPr>
        <w:t>文件规定的各项要求向采购人提供所需</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服务。</w:t>
      </w:r>
      <w:r>
        <w:rPr>
          <w:rFonts w:hint="eastAsia" w:ascii="宋体" w:hAnsi="宋体" w:eastAsia="宋体" w:cs="宋体"/>
          <w:b w:val="0"/>
          <w:bCs/>
          <w:color w:val="000000" w:themeColor="text1"/>
          <w:sz w:val="24"/>
          <w:szCs w:val="24"/>
          <w:highlight w:val="none"/>
          <w14:textFill>
            <w14:solidFill>
              <w14:schemeClr w14:val="tx1"/>
            </w14:solidFill>
          </w14:textFill>
        </w:rPr>
        <w:t>投标总报价为</w:t>
      </w:r>
      <w:r>
        <w:rPr>
          <w:rFonts w:hint="default" w:ascii="Arial" w:hAnsi="Arial" w:eastAsia="宋体" w:cs="Arial"/>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万元（大写：人民币</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若</w:t>
      </w:r>
      <w:r>
        <w:rPr>
          <w:rFonts w:hint="eastAsia" w:ascii="宋体" w:hAnsi="宋体" w:eastAsia="宋体" w:cs="宋体"/>
          <w:b w:val="0"/>
          <w:bCs/>
          <w:color w:val="000000" w:themeColor="text1"/>
          <w:sz w:val="24"/>
          <w:szCs w:val="24"/>
          <w:highlight w:val="none"/>
          <w14:textFill>
            <w14:solidFill>
              <w14:schemeClr w14:val="tx1"/>
            </w14:solidFill>
          </w14:textFill>
        </w:rPr>
        <w:t>我方</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中标</w:t>
      </w:r>
      <w:r>
        <w:rPr>
          <w:rFonts w:hint="eastAsia" w:ascii="宋体" w:hAnsi="宋体" w:eastAsia="宋体" w:cs="宋体"/>
          <w:b w:val="0"/>
          <w:bCs/>
          <w:color w:val="000000" w:themeColor="text1"/>
          <w:sz w:val="24"/>
          <w:szCs w:val="24"/>
          <w:highlight w:val="none"/>
          <w14:textFill>
            <w14:solidFill>
              <w14:schemeClr w14:val="tx1"/>
            </w14:solidFill>
          </w14:textFill>
        </w:rPr>
        <w:t>，我方将严格履行合同规定的责任和义务，保证按采购人要求及我方承诺完成所需服务及应尽义务。</w:t>
      </w:r>
    </w:p>
    <w:p>
      <w:pPr>
        <w:pStyle w:val="3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、其投标自递交投标文件截止日起有效期为</w:t>
      </w:r>
      <w:r>
        <w:rPr>
          <w:rFonts w:hint="eastAsia" w:hAnsi="宋体" w:cs="宋体"/>
          <w:color w:val="000000" w:themeColor="text1"/>
          <w:sz w:val="24"/>
          <w:highlight w:val="none"/>
          <w:u w:val="single"/>
          <w:lang w:val="en-US" w:eastAsia="zh-CN"/>
          <w14:textFill>
            <w14:solidFill>
              <w14:schemeClr w14:val="tx1"/>
            </w14:solidFill>
          </w14:textFill>
        </w:rPr>
        <w:t xml:space="preserve">  90 </w:t>
      </w:r>
      <w:r>
        <w:rPr>
          <w:rFonts w:hint="eastAsia" w:ascii="宋体" w:hAnsi="宋体" w:eastAsia="宋体" w:cs="宋体"/>
          <w:color w:val="000000" w:themeColor="text1"/>
          <w:sz w:val="24"/>
          <w:highlight w:val="none"/>
          <w14:textFill>
            <w14:solidFill>
              <w14:schemeClr w14:val="tx1"/>
            </w14:solidFill>
          </w14:textFill>
        </w:rPr>
        <w:t>个日历日。如果我们的投标被接受，则至合同生效时止，本投标始终有效，我们将按合同条款、投标承诺及招标文件的规定履行合同责任和义务。</w:t>
      </w:r>
    </w:p>
    <w:p>
      <w:pPr>
        <w:pStyle w:val="35"/>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val="0"/>
          <w:color w:val="000000" w:themeColor="text1"/>
          <w:sz w:val="24"/>
          <w:szCs w:val="24"/>
          <w:highlight w:val="none"/>
          <w14:textFill>
            <w14:solidFill>
              <w14:schemeClr w14:val="tx1"/>
            </w14:solidFill>
          </w14:textFill>
        </w:rPr>
        <w:t>、我方为本项目提交的投标文件一式</w:t>
      </w:r>
      <w:r>
        <w:rPr>
          <w:rFonts w:hint="eastAsia" w:ascii="宋体" w:hAnsi="宋体" w:cs="宋体"/>
          <w:b/>
          <w:bCs w:val="0"/>
          <w:color w:val="000000" w:themeColor="text1"/>
          <w:sz w:val="24"/>
          <w:szCs w:val="24"/>
          <w:highlight w:val="none"/>
          <w:lang w:val="en-US" w:eastAsia="zh-CN"/>
          <w14:textFill>
            <w14:solidFill>
              <w14:schemeClr w14:val="tx1"/>
            </w14:solidFill>
          </w14:textFill>
        </w:rPr>
        <w:t>陆</w:t>
      </w:r>
      <w:r>
        <w:rPr>
          <w:rFonts w:hint="eastAsia" w:ascii="宋体" w:hAnsi="宋体" w:eastAsia="宋体" w:cs="宋体"/>
          <w:b/>
          <w:bCs w:val="0"/>
          <w:color w:val="000000" w:themeColor="text1"/>
          <w:sz w:val="24"/>
          <w:szCs w:val="24"/>
          <w:highlight w:val="none"/>
          <w14:textFill>
            <w14:solidFill>
              <w14:schemeClr w14:val="tx1"/>
            </w14:solidFill>
          </w14:textFill>
        </w:rPr>
        <w:t>份，其中正本壹份，副本</w:t>
      </w:r>
      <w:r>
        <w:rPr>
          <w:rFonts w:hint="eastAsia" w:ascii="宋体" w:hAnsi="宋体" w:cs="宋体"/>
          <w:b/>
          <w:bCs w:val="0"/>
          <w:color w:val="000000" w:themeColor="text1"/>
          <w:sz w:val="24"/>
          <w:szCs w:val="24"/>
          <w:highlight w:val="none"/>
          <w:lang w:val="en-US" w:eastAsia="zh-CN"/>
          <w14:textFill>
            <w14:solidFill>
              <w14:schemeClr w14:val="tx1"/>
            </w14:solidFill>
          </w14:textFill>
        </w:rPr>
        <w:t>伍</w:t>
      </w:r>
      <w:r>
        <w:rPr>
          <w:rFonts w:hint="eastAsia" w:ascii="宋体" w:hAnsi="宋体" w:eastAsia="宋体" w:cs="宋体"/>
          <w:b/>
          <w:bCs w:val="0"/>
          <w:color w:val="000000" w:themeColor="text1"/>
          <w:sz w:val="24"/>
          <w:szCs w:val="24"/>
          <w:highlight w:val="none"/>
          <w14:textFill>
            <w14:solidFill>
              <w14:schemeClr w14:val="tx1"/>
            </w14:solidFill>
          </w14:textFill>
        </w:rPr>
        <w:t>份。</w:t>
      </w:r>
    </w:p>
    <w:p>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szCs w:val="24"/>
          <w:highlight w:val="none"/>
          <w14:textFill>
            <w14:solidFill>
              <w14:schemeClr w14:val="tx1"/>
            </w14:solidFill>
          </w14:textFill>
        </w:rPr>
        <w:t>、我方愿意提供采购人可能另外要求的，与公开有关的文件资料，并保证我方已提供和将要提供的文件资料是真实、准确的。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、我方完全理解你们将不受必须接受你们所收到的最低投标价及其它任何投标文件的约束。</w:t>
      </w:r>
    </w:p>
    <w:p>
      <w:pPr>
        <w:pStyle w:val="35"/>
        <w:keepNext w:val="0"/>
        <w:keepLines w:val="0"/>
        <w:pageBreakBefore w:val="0"/>
        <w:widowControl w:val="0"/>
        <w:kinsoku/>
        <w:wordWrap/>
        <w:overflowPunct/>
        <w:topLinePunct w:val="0"/>
        <w:autoSpaceDE/>
        <w:autoSpaceDN/>
        <w:bidi w:val="0"/>
        <w:adjustRightInd/>
        <w:snapToGrid/>
        <w:spacing w:line="360" w:lineRule="auto"/>
        <w:ind w:left="838"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投标人名称：        （盖章）</w:t>
      </w:r>
    </w:p>
    <w:p>
      <w:pPr>
        <w:pStyle w:val="35"/>
        <w:keepNext w:val="0"/>
        <w:keepLines w:val="0"/>
        <w:pageBreakBefore w:val="0"/>
        <w:widowControl w:val="0"/>
        <w:kinsoku/>
        <w:wordWrap/>
        <w:overflowPunct/>
        <w:topLinePunct w:val="0"/>
        <w:autoSpaceDE/>
        <w:autoSpaceDN/>
        <w:bidi w:val="0"/>
        <w:adjustRightInd/>
        <w:snapToGrid/>
        <w:spacing w:line="360" w:lineRule="auto"/>
        <w:ind w:left="838"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法定代表人或授权代表（签字）或盖章：</w:t>
      </w:r>
    </w:p>
    <w:p>
      <w:pPr>
        <w:pStyle w:val="35"/>
        <w:keepNext w:val="0"/>
        <w:keepLines w:val="0"/>
        <w:pageBreakBefore w:val="0"/>
        <w:widowControl w:val="0"/>
        <w:kinsoku/>
        <w:wordWrap/>
        <w:overflowPunct/>
        <w:topLinePunct w:val="0"/>
        <w:autoSpaceDE/>
        <w:autoSpaceDN/>
        <w:bidi w:val="0"/>
        <w:adjustRightInd/>
        <w:snapToGrid/>
        <w:spacing w:line="360" w:lineRule="auto"/>
        <w:ind w:left="838"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通讯地址：</w:t>
      </w:r>
    </w:p>
    <w:p>
      <w:pPr>
        <w:pStyle w:val="35"/>
        <w:keepNext w:val="0"/>
        <w:keepLines w:val="0"/>
        <w:pageBreakBefore w:val="0"/>
        <w:widowControl w:val="0"/>
        <w:kinsoku/>
        <w:wordWrap/>
        <w:overflowPunct/>
        <w:topLinePunct w:val="0"/>
        <w:autoSpaceDE/>
        <w:autoSpaceDN/>
        <w:bidi w:val="0"/>
        <w:adjustRightInd/>
        <w:snapToGrid/>
        <w:spacing w:line="360" w:lineRule="auto"/>
        <w:ind w:left="838"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邮政编码：</w:t>
      </w:r>
    </w:p>
    <w:p>
      <w:pPr>
        <w:pStyle w:val="35"/>
        <w:keepNext w:val="0"/>
        <w:keepLines w:val="0"/>
        <w:pageBreakBefore w:val="0"/>
        <w:widowControl w:val="0"/>
        <w:kinsoku/>
        <w:wordWrap/>
        <w:overflowPunct/>
        <w:topLinePunct w:val="0"/>
        <w:autoSpaceDE/>
        <w:autoSpaceDN/>
        <w:bidi w:val="0"/>
        <w:adjustRightInd/>
        <w:snapToGrid/>
        <w:spacing w:line="360" w:lineRule="auto"/>
        <w:ind w:left="838"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联系电话：</w:t>
      </w:r>
    </w:p>
    <w:p>
      <w:pPr>
        <w:pStyle w:val="35"/>
        <w:keepNext w:val="0"/>
        <w:keepLines w:val="0"/>
        <w:pageBreakBefore w:val="0"/>
        <w:widowControl w:val="0"/>
        <w:kinsoku/>
        <w:wordWrap/>
        <w:overflowPunct/>
        <w:topLinePunct w:val="0"/>
        <w:autoSpaceDE/>
        <w:autoSpaceDN/>
        <w:bidi w:val="0"/>
        <w:adjustRightInd/>
        <w:snapToGrid/>
        <w:spacing w:line="360" w:lineRule="auto"/>
        <w:ind w:left="838"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传    真：</w:t>
      </w:r>
    </w:p>
    <w:p>
      <w:pPr>
        <w:pStyle w:val="35"/>
        <w:keepNext w:val="0"/>
        <w:keepLines w:val="0"/>
        <w:pageBreakBefore w:val="0"/>
        <w:widowControl w:val="0"/>
        <w:kinsoku/>
        <w:wordWrap/>
        <w:overflowPunct/>
        <w:topLinePunct w:val="0"/>
        <w:autoSpaceDE/>
        <w:autoSpaceDN/>
        <w:bidi w:val="0"/>
        <w:adjustRightInd/>
        <w:snapToGrid/>
        <w:spacing w:line="360" w:lineRule="auto"/>
        <w:ind w:left="838"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日    期：</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202</w:t>
      </w:r>
      <w:r>
        <w:rPr>
          <w:rFonts w:hint="eastAsia" w:ascii="宋体" w:hAnsi="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年  月  日</w:t>
      </w:r>
    </w:p>
    <w:p>
      <w:pPr>
        <w:widowControl/>
        <w:spacing w:line="23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p>
      <w:pPr>
        <w:tabs>
          <w:tab w:val="left" w:pos="360"/>
          <w:tab w:val="left" w:pos="1800"/>
        </w:tabs>
        <w:spacing w:line="23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3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3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3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3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3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3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3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30" w:lineRule="exact"/>
        <w:jc w:val="center"/>
        <w:textAlignment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格式</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开标一览表</w:t>
      </w:r>
    </w:p>
    <w:p>
      <w:pPr>
        <w:keepNext w:val="0"/>
        <w:keepLines w:val="0"/>
        <w:pageBreakBefore w:val="0"/>
        <w:widowControl/>
        <w:kinsoku/>
        <w:wordWrap/>
        <w:overflowPunct/>
        <w:topLinePunct w:val="0"/>
        <w:autoSpaceDE/>
        <w:autoSpaceDN/>
        <w:bidi w:val="0"/>
        <w:adjustRightInd/>
        <w:snapToGrid/>
        <w:spacing w:line="230" w:lineRule="exact"/>
        <w:jc w:val="center"/>
        <w:textAlignment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项目名称：                             </w:t>
      </w:r>
      <w:r>
        <w:rPr>
          <w:rFonts w:hint="eastAsia" w:ascii="宋体" w:hAnsi="宋体" w:eastAsia="宋体" w:cs="宋体"/>
          <w:color w:val="000000" w:themeColor="text1"/>
          <w:kern w:val="0"/>
          <w:sz w:val="18"/>
          <w:szCs w:val="18"/>
          <w:highlight w:val="none"/>
          <w:lang w:eastAsia="zh-CN"/>
          <w14:textFill>
            <w14:solidFill>
              <w14:schemeClr w14:val="tx1"/>
            </w14:solidFill>
          </w14:textFill>
        </w:rPr>
        <w:t xml:space="preserve">                        币种：人民币</w:t>
      </w:r>
    </w:p>
    <w:tbl>
      <w:tblPr>
        <w:tblStyle w:val="57"/>
        <w:tblpPr w:leftFromText="180" w:rightFromText="180" w:vertAnchor="text" w:horzAnchor="page" w:tblpX="619" w:tblpY="363"/>
        <w:tblOverlap w:val="never"/>
        <w:tblW w:w="10921" w:type="dxa"/>
        <w:tblInd w:w="0" w:type="dxa"/>
        <w:tblLayout w:type="fixed"/>
        <w:tblCellMar>
          <w:top w:w="15" w:type="dxa"/>
          <w:left w:w="15" w:type="dxa"/>
          <w:bottom w:w="15" w:type="dxa"/>
          <w:right w:w="15" w:type="dxa"/>
        </w:tblCellMar>
      </w:tblPr>
      <w:tblGrid>
        <w:gridCol w:w="554"/>
        <w:gridCol w:w="2861"/>
        <w:gridCol w:w="1970"/>
        <w:gridCol w:w="2260"/>
        <w:gridCol w:w="1880"/>
        <w:gridCol w:w="1396"/>
      </w:tblGrid>
      <w:tr>
        <w:tblPrEx>
          <w:tblCellMar>
            <w:top w:w="15" w:type="dxa"/>
            <w:left w:w="15" w:type="dxa"/>
            <w:bottom w:w="15" w:type="dxa"/>
            <w:right w:w="15" w:type="dxa"/>
          </w:tblCellMar>
        </w:tblPrEx>
        <w:trPr>
          <w:trHeight w:val="37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序号</w:t>
            </w:r>
          </w:p>
        </w:tc>
        <w:tc>
          <w:tcPr>
            <w:tcW w:w="28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全域名称</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面积（㎡）</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单价（元/㎡</w:t>
            </w:r>
            <w:r>
              <w:rPr>
                <w:rFonts w:hint="eastAsia" w:ascii="宋体" w:hAnsi="宋体" w:cs="宋体"/>
                <w:color w:val="000000" w:themeColor="text1"/>
                <w:kern w:val="0"/>
                <w:sz w:val="18"/>
                <w:szCs w:val="18"/>
                <w:highlight w:val="none"/>
                <w:lang w:val="en-US" w:eastAsia="zh-CN"/>
                <w14:textFill>
                  <w14:solidFill>
                    <w14:schemeClr w14:val="tx1"/>
                  </w14:solidFill>
                </w14:textFill>
              </w:rPr>
              <w:t>/月</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合计（万元）</w:t>
            </w: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备注</w:t>
            </w: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1</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上海街</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19460.00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广东街</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12654.00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3</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江苏街</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17388.00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4</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北京街</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16560.00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5</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深圳街</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20504.00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6</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绍兴路</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4387.50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7</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杭州路</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5436.00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8</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苏州路</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5625.00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9</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扬州路</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5670.00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10</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郑州路</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2826.00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11</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西安路</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1458.00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12</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兰州路</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1440.00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13</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乌鲁木齐路</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960.00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14</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延安路</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4184.00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15</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井冈山路</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4500.00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16</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东游客集散中心</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18175.00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17</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长生帐广场（含扬州会馆公共区域）</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16000.00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18</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观光塔广场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2000.00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19</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美食街</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35066.00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9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20</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镇政府门口广场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525.00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14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21</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党校</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3600.00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22</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镇大门南侧停车场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9000.00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23</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镇大门北侧停车场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16100.00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24</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八匹马市场南侧停车场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37000.00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25</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风城小院北侧停车场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7100.00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18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26</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二工区中间停车场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6155.00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19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27</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西游客集散中心停车场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2900.00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28</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道路两边绿化带</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39903.00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30" w:hRule="atLeast"/>
        </w:trPr>
        <w:tc>
          <w:tcPr>
            <w:tcW w:w="5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29</w:t>
            </w:r>
          </w:p>
        </w:tc>
        <w:tc>
          <w:tcPr>
            <w:tcW w:w="286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商铺前面环卫面积</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53204.00 </w:t>
            </w:r>
          </w:p>
        </w:tc>
        <w:tc>
          <w:tcPr>
            <w:tcW w:w="2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139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160" w:hRule="atLeast"/>
        </w:trPr>
        <w:tc>
          <w:tcPr>
            <w:tcW w:w="554"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p>
        </w:tc>
        <w:tc>
          <w:tcPr>
            <w:tcW w:w="286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总合计（</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1-29</w:t>
            </w:r>
            <w:r>
              <w:rPr>
                <w:rFonts w:hint="eastAsia" w:ascii="宋体" w:hAnsi="宋体" w:eastAsia="宋体" w:cs="宋体"/>
                <w:color w:val="000000" w:themeColor="text1"/>
                <w:kern w:val="0"/>
                <w:sz w:val="18"/>
                <w:szCs w:val="18"/>
                <w:highlight w:val="none"/>
                <w14:textFill>
                  <w14:solidFill>
                    <w14:schemeClr w14:val="tx1"/>
                  </w14:solidFill>
                </w14:textFill>
              </w:rPr>
              <w:t>合计之和）</w:t>
            </w:r>
          </w:p>
        </w:tc>
        <w:tc>
          <w:tcPr>
            <w:tcW w:w="750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小写：¥</w:t>
            </w:r>
          </w:p>
        </w:tc>
      </w:tr>
      <w:tr>
        <w:tblPrEx>
          <w:tblCellMar>
            <w:top w:w="15" w:type="dxa"/>
            <w:left w:w="15" w:type="dxa"/>
            <w:bottom w:w="15" w:type="dxa"/>
            <w:right w:w="15" w:type="dxa"/>
          </w:tblCellMar>
        </w:tblPrEx>
        <w:trPr>
          <w:trHeight w:val="160" w:hRule="atLeast"/>
        </w:trPr>
        <w:tc>
          <w:tcPr>
            <w:tcW w:w="554"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2861"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0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 xml:space="preserve">大写：人民币                               </w:t>
            </w:r>
          </w:p>
        </w:tc>
      </w:tr>
      <w:tr>
        <w:tblPrEx>
          <w:tblCellMar>
            <w:top w:w="15" w:type="dxa"/>
            <w:left w:w="15" w:type="dxa"/>
            <w:bottom w:w="15" w:type="dxa"/>
            <w:right w:w="15" w:type="dxa"/>
          </w:tblCellMar>
        </w:tblPrEx>
        <w:trPr>
          <w:trHeight w:val="232" w:hRule="atLeast"/>
        </w:trPr>
        <w:tc>
          <w:tcPr>
            <w:tcW w:w="55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31</w:t>
            </w:r>
          </w:p>
        </w:tc>
        <w:tc>
          <w:tcPr>
            <w:tcW w:w="28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服务期限</w:t>
            </w:r>
            <w:r>
              <w:rPr>
                <w:rFonts w:hint="eastAsia" w:ascii="宋体" w:hAnsi="宋体" w:eastAsia="宋体" w:cs="宋体"/>
                <w:color w:val="000000" w:themeColor="text1"/>
                <w:kern w:val="0"/>
                <w:sz w:val="18"/>
                <w:szCs w:val="18"/>
                <w:highlight w:val="none"/>
                <w14:textFill>
                  <w14:solidFill>
                    <w14:schemeClr w14:val="tx1"/>
                  </w14:solidFill>
                </w14:textFill>
              </w:rPr>
              <w:t>限</w:t>
            </w:r>
          </w:p>
        </w:tc>
        <w:tc>
          <w:tcPr>
            <w:tcW w:w="750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2021年12月1日至2022年12月31日。</w:t>
            </w:r>
          </w:p>
        </w:tc>
      </w:tr>
      <w:tr>
        <w:tblPrEx>
          <w:tblCellMar>
            <w:top w:w="15" w:type="dxa"/>
            <w:left w:w="15" w:type="dxa"/>
            <w:bottom w:w="15" w:type="dxa"/>
            <w:right w:w="15" w:type="dxa"/>
          </w:tblCellMar>
        </w:tblPrEx>
        <w:trPr>
          <w:trHeight w:val="170" w:hRule="atLeast"/>
        </w:trPr>
        <w:tc>
          <w:tcPr>
            <w:tcW w:w="10921" w:type="dxa"/>
            <w:gridSpan w:val="6"/>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注：</w:t>
            </w: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18"/>
                <w:szCs w:val="18"/>
                <w:highlight w:val="none"/>
                <w14:textFill>
                  <w14:solidFill>
                    <w14:schemeClr w14:val="tx1"/>
                  </w14:solidFill>
                </w14:textFill>
              </w:rPr>
              <w:t>报价包含的内容：</w:t>
            </w:r>
            <w:r>
              <w:rPr>
                <w:rFonts w:hint="eastAsia" w:ascii="宋体" w:hAnsi="宋体" w:eastAsia="宋体" w:cs="宋体"/>
                <w:b/>
                <w:bCs/>
                <w:color w:val="000000" w:themeColor="text1"/>
                <w:kern w:val="0"/>
                <w:sz w:val="18"/>
                <w:szCs w:val="18"/>
                <w:highlight w:val="none"/>
                <w:lang w:eastAsia="zh-CN"/>
                <w14:textFill>
                  <w14:solidFill>
                    <w14:schemeClr w14:val="tx1"/>
                  </w14:solidFill>
                </w14:textFill>
              </w:rPr>
              <w:t>在服务期限内完成西部乌镇面积总计369780.50㎡公共区域（包含道路、广场、停车场及沿街商铺前面的公共区域等）环卫服务工作等以及合同条款、技术规范及标准、项目采购需求、本招标文件约定的全部内容并配合采购人完成与此服务相关的全部工作</w:t>
            </w:r>
            <w:r>
              <w:rPr>
                <w:rFonts w:hint="eastAsia" w:ascii="宋体" w:hAnsi="宋体" w:eastAsia="宋体" w:cs="宋体"/>
                <w:b/>
                <w:bCs/>
                <w:color w:val="000000" w:themeColor="text1"/>
                <w:kern w:val="0"/>
                <w:sz w:val="18"/>
                <w:szCs w:val="18"/>
                <w:highlight w:val="none"/>
                <w14:textFill>
                  <w14:solidFill>
                    <w14:schemeClr w14:val="tx1"/>
                  </w14:solidFill>
                </w14:textFill>
              </w:rPr>
              <w:t>。</w:t>
            </w:r>
          </w:p>
        </w:tc>
      </w:tr>
    </w:tbl>
    <w:p>
      <w:pPr>
        <w:spacing w:line="360" w:lineRule="auto"/>
        <w:ind w:firstLine="180" w:firstLineChars="10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 xml:space="preserve">投标人(盖章)： </w:t>
      </w:r>
    </w:p>
    <w:p>
      <w:pPr>
        <w:spacing w:line="360" w:lineRule="auto"/>
        <w:ind w:firstLine="180" w:firstLineChars="10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法定代表人或委托代理人（签字或盖章）：</w:t>
      </w:r>
    </w:p>
    <w:p>
      <w:pPr>
        <w:spacing w:line="360" w:lineRule="auto"/>
        <w:ind w:firstLine="180" w:firstLineChars="100"/>
        <w:jc w:val="both"/>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报价日期：   年  月   日</w:t>
      </w:r>
    </w:p>
    <w:p>
      <w:pPr>
        <w:spacing w:line="360" w:lineRule="auto"/>
        <w:ind w:firstLine="482" w:firstLineChars="200"/>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格式</w:t>
      </w:r>
      <w:r>
        <w:rPr>
          <w:rFonts w:hint="eastAsia" w:ascii="宋体" w:hAnsi="宋体" w:cs="宋体"/>
          <w:b/>
          <w:bCs/>
          <w:color w:val="000000" w:themeColor="text1"/>
          <w:kern w:val="0"/>
          <w:sz w:val="24"/>
          <w:highlight w:val="none"/>
          <w:lang w:val="en-US" w:eastAsia="zh-CN"/>
          <w14:textFill>
            <w14:solidFill>
              <w14:schemeClr w14:val="tx1"/>
            </w14:solidFill>
          </w14:textFill>
        </w:rPr>
        <w:t>11</w:t>
      </w:r>
      <w:r>
        <w:rPr>
          <w:rFonts w:hint="eastAsia" w:ascii="宋体" w:hAnsi="宋体" w:cs="宋体"/>
          <w:b/>
          <w:bCs/>
          <w:color w:val="000000" w:themeColor="text1"/>
          <w:kern w:val="0"/>
          <w:sz w:val="24"/>
          <w:highlight w:val="none"/>
          <w14:textFill>
            <w14:solidFill>
              <w14:schemeClr w14:val="tx1"/>
            </w14:solidFill>
          </w14:textFill>
        </w:rPr>
        <w:t xml:space="preserve">  商务条款偏离表</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p>
    <w:tbl>
      <w:tblPr>
        <w:tblStyle w:val="57"/>
        <w:tblpPr w:leftFromText="180" w:rightFromText="180" w:vertAnchor="page" w:horzAnchor="page" w:tblpX="1147" w:tblpY="24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03"/>
        <w:gridCol w:w="2350"/>
        <w:gridCol w:w="2150"/>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203"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招标文件条目号</w:t>
            </w:r>
          </w:p>
        </w:tc>
        <w:tc>
          <w:tcPr>
            <w:tcW w:w="235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w:t>
            </w:r>
          </w:p>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商务条款</w:t>
            </w:r>
          </w:p>
        </w:tc>
        <w:tc>
          <w:tcPr>
            <w:tcW w:w="2150"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w:t>
            </w:r>
          </w:p>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商务条款</w:t>
            </w:r>
          </w:p>
        </w:tc>
        <w:tc>
          <w:tcPr>
            <w:tcW w:w="2333" w:type="dxa"/>
            <w:noWrap/>
            <w:vAlign w:val="center"/>
          </w:tcPr>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20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15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333"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p>
    <w:p>
      <w:pPr>
        <w:spacing w:line="360" w:lineRule="auto"/>
        <w:ind w:firstLine="482"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注：投标人按此表格式列出不影响投标实质性响应的商务偏差，没有说明的其他条款将被认为完全满足招标文件的规定。</w:t>
      </w:r>
    </w:p>
    <w:p>
      <w:pPr>
        <w:pStyle w:val="32"/>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投标人（盖章）：</w:t>
      </w:r>
    </w:p>
    <w:p>
      <w:pPr>
        <w:pStyle w:val="32"/>
        <w:spacing w:line="360" w:lineRule="auto"/>
        <w:ind w:firstLine="480" w:firstLineChars="200"/>
        <w:rPr>
          <w:rFonts w:hAnsi="宋体" w:cs="宋体"/>
          <w:bCs/>
          <w:color w:val="000000" w:themeColor="text1"/>
          <w:sz w:val="24"/>
          <w:szCs w:val="24"/>
          <w:highlight w:val="none"/>
          <w14:textFill>
            <w14:solidFill>
              <w14:schemeClr w14:val="tx1"/>
            </w14:solidFill>
          </w14:textFill>
        </w:rPr>
      </w:pPr>
    </w:p>
    <w:p>
      <w:pPr>
        <w:pStyle w:val="32"/>
        <w:spacing w:line="360" w:lineRule="auto"/>
        <w:ind w:firstLine="480" w:firstLineChars="200"/>
        <w:rPr>
          <w:rFonts w:hAnsi="宋体" w:cs="宋体"/>
          <w:bCs/>
          <w:color w:val="000000" w:themeColor="text1"/>
          <w:sz w:val="24"/>
          <w:szCs w:val="24"/>
          <w:highlight w:val="none"/>
          <w14:textFill>
            <w14:solidFill>
              <w14:schemeClr w14:val="tx1"/>
            </w14:solidFill>
          </w14:textFill>
        </w:rPr>
      </w:pPr>
    </w:p>
    <w:p>
      <w:pPr>
        <w:pStyle w:val="32"/>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法定代表人或委托代理人签字或盖章：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pStyle w:val="32"/>
        <w:spacing w:line="360" w:lineRule="auto"/>
        <w:ind w:firstLine="480" w:firstLineChars="200"/>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年  月  日</w:t>
      </w:r>
    </w:p>
    <w:p>
      <w:pPr>
        <w:pStyle w:val="32"/>
        <w:spacing w:line="360" w:lineRule="auto"/>
        <w:jc w:val="right"/>
        <w:rPr>
          <w:rFonts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br w:type="page"/>
      </w:r>
    </w:p>
    <w:p>
      <w:pPr>
        <w:pStyle w:val="17"/>
        <w:spacing w:line="360" w:lineRule="auto"/>
        <w:ind w:firstLine="482" w:firstLineChars="200"/>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格式1</w:t>
      </w: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2 </w:t>
      </w:r>
      <w:r>
        <w:rPr>
          <w:rFonts w:hint="eastAsia" w:ascii="宋体" w:hAnsi="宋体" w:cs="宋体"/>
          <w:b/>
          <w:bCs/>
          <w:color w:val="000000" w:themeColor="text1"/>
          <w:sz w:val="24"/>
          <w:szCs w:val="24"/>
          <w:highlight w:val="none"/>
          <w14:textFill>
            <w14:solidFill>
              <w14:schemeClr w14:val="tx1"/>
            </w14:solidFill>
          </w14:textFill>
        </w:rPr>
        <w:t xml:space="preserve"> 技术规格响应偏离表</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6"/>
        <w:gridCol w:w="1690"/>
        <w:gridCol w:w="1620"/>
        <w:gridCol w:w="1800"/>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606"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1690"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服务内容及要求</w:t>
            </w:r>
          </w:p>
        </w:tc>
        <w:tc>
          <w:tcPr>
            <w:tcW w:w="1620"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招标要求</w:t>
            </w: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投标规格</w:t>
            </w: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06"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9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62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800"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744"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1、投标人应对照技术规格及要求中的招标项目要求，逐条说明所提供服务已对招标文件的技术要求做出了实质性的响应，并申明与技术规格条文的偏差和例外。特别对有具体技术要求的指标，投标人必须提供所投标项目的具体参数值。</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投标人所提供服务已对招标文件、技术规格及要求中的招标项目要求、技术规格和服务条件的偏离只能优于招标文件、技术规格及要求的招标项目要求，否则评标委员会有权按招标文件中相应规定作否决投标处理。</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3、没有说明的其他条款将被认为完全满足本招标项目技术条款要求。</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4、各投标人按此表格式自行填写，表格不够时可自行添加。</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 （盖章）：</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法定代表人或委托代理人签字或盖章：</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pPr>
        <w:pStyle w:val="3"/>
        <w:spacing w:before="0" w:after="0" w:line="360" w:lineRule="auto"/>
        <w:ind w:firstLine="482" w:firstLineChars="20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第六章  评标方法（综合评分法）</w:t>
      </w:r>
    </w:p>
    <w:p>
      <w:pPr>
        <w:pStyle w:val="4"/>
        <w:spacing w:before="0" w:after="0" w:line="360" w:lineRule="auto"/>
        <w:ind w:firstLine="482"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1、初审</w:t>
      </w:r>
    </w:p>
    <w:p>
      <w:pPr>
        <w:pStyle w:val="5"/>
        <w:spacing w:before="0" w:after="0"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1.1资格性审查</w:t>
      </w:r>
    </w:p>
    <w:tbl>
      <w:tblPr>
        <w:tblStyle w:val="57"/>
        <w:tblW w:w="10399"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5812"/>
        <w:gridCol w:w="3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29"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5812"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检查因素</w:t>
            </w:r>
          </w:p>
        </w:tc>
        <w:tc>
          <w:tcPr>
            <w:tcW w:w="365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trPr>
        <w:tc>
          <w:tcPr>
            <w:tcW w:w="929"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5812" w:type="dxa"/>
            <w:noWrap/>
            <w:vAlign w:val="center"/>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投标人须符合《中华人民共和国政府采购法》第二十二条</w:t>
            </w:r>
          </w:p>
        </w:tc>
        <w:tc>
          <w:tcPr>
            <w:tcW w:w="365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符合本招标文件规定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29" w:type="dxa"/>
            <w:noWrap/>
            <w:vAlign w:val="center"/>
          </w:tcPr>
          <w:p>
            <w:pPr>
              <w:spacing w:line="360" w:lineRule="auto"/>
              <w:jc w:val="center"/>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2</w:t>
            </w:r>
          </w:p>
        </w:tc>
        <w:tc>
          <w:tcPr>
            <w:tcW w:w="5812" w:type="dxa"/>
            <w:noWrap/>
            <w:vAlign w:val="center"/>
          </w:tcPr>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本项目不接受联合体投标人参加</w:t>
            </w:r>
          </w:p>
        </w:tc>
        <w:tc>
          <w:tcPr>
            <w:tcW w:w="3658" w:type="dxa"/>
            <w:noWrap/>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符合本招标文件规定</w:t>
            </w:r>
          </w:p>
        </w:tc>
      </w:tr>
    </w:tbl>
    <w:p>
      <w:pPr>
        <w:pStyle w:val="5"/>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1.2符合性审查</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51"/>
        <w:gridCol w:w="2192"/>
        <w:gridCol w:w="6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83" w:type="dxa"/>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3343" w:type="dxa"/>
            <w:gridSpan w:val="2"/>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评审因素</w:t>
            </w:r>
          </w:p>
        </w:tc>
        <w:tc>
          <w:tcPr>
            <w:tcW w:w="6047" w:type="dxa"/>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3" w:type="dxa"/>
            <w:vMerge w:val="restart"/>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151" w:type="dxa"/>
            <w:vMerge w:val="restart"/>
            <w:noWrap/>
            <w:vAlign w:val="center"/>
          </w:tcPr>
          <w:p>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有效性审查</w:t>
            </w:r>
          </w:p>
        </w:tc>
        <w:tc>
          <w:tcPr>
            <w:tcW w:w="2192" w:type="dxa"/>
            <w:noWrap/>
            <w:vAlign w:val="center"/>
          </w:tcPr>
          <w:p>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文件签署</w:t>
            </w:r>
          </w:p>
        </w:tc>
        <w:tc>
          <w:tcPr>
            <w:tcW w:w="6047" w:type="dxa"/>
            <w:noWrap/>
            <w:vAlign w:val="center"/>
          </w:tcPr>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文件中法定代表人或其授权代表人的签字齐全。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83" w:type="dxa"/>
            <w:vMerge w:val="continue"/>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p>
        </w:tc>
        <w:tc>
          <w:tcPr>
            <w:tcW w:w="1151" w:type="dxa"/>
            <w:vMerge w:val="continue"/>
            <w:noWrap/>
            <w:vAlign w:val="center"/>
          </w:tcPr>
          <w:p>
            <w:pPr>
              <w:spacing w:line="360" w:lineRule="auto"/>
              <w:ind w:firstLine="480" w:firstLineChars="200"/>
              <w:jc w:val="center"/>
              <w:rPr>
                <w:rFonts w:ascii="宋体" w:hAnsi="宋体" w:cs="宋体"/>
                <w:color w:val="000000" w:themeColor="text1"/>
                <w:kern w:val="0"/>
                <w:sz w:val="24"/>
                <w:highlight w:val="none"/>
                <w14:textFill>
                  <w14:solidFill>
                    <w14:schemeClr w14:val="tx1"/>
                  </w14:solidFill>
                </w14:textFill>
              </w:rPr>
            </w:pPr>
          </w:p>
        </w:tc>
        <w:tc>
          <w:tcPr>
            <w:tcW w:w="2192"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法定代表人身份证明及授权委托书</w:t>
            </w:r>
          </w:p>
        </w:tc>
        <w:tc>
          <w:tcPr>
            <w:tcW w:w="6047" w:type="dxa"/>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法定代表人身份证明及授权委托书有效，且符合招标文件规定的格式。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83" w:type="dxa"/>
            <w:vMerge w:val="continue"/>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p>
        </w:tc>
        <w:tc>
          <w:tcPr>
            <w:tcW w:w="1151" w:type="dxa"/>
            <w:vMerge w:val="continue"/>
            <w:noWrap/>
            <w:vAlign w:val="center"/>
          </w:tcPr>
          <w:p>
            <w:pPr>
              <w:spacing w:line="360" w:lineRule="auto"/>
              <w:ind w:firstLine="480" w:firstLineChars="200"/>
              <w:jc w:val="center"/>
              <w:rPr>
                <w:rFonts w:ascii="宋体" w:hAnsi="宋体" w:cs="宋体"/>
                <w:color w:val="000000" w:themeColor="text1"/>
                <w:kern w:val="0"/>
                <w:sz w:val="24"/>
                <w:highlight w:val="none"/>
                <w14:textFill>
                  <w14:solidFill>
                    <w14:schemeClr w14:val="tx1"/>
                  </w14:solidFill>
                </w14:textFill>
              </w:rPr>
            </w:pPr>
          </w:p>
        </w:tc>
        <w:tc>
          <w:tcPr>
            <w:tcW w:w="2192" w:type="dxa"/>
            <w:noWrap/>
            <w:vAlign w:val="center"/>
          </w:tcPr>
          <w:p>
            <w:pPr>
              <w:spacing w:line="360" w:lineRule="auto"/>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投标方案</w:t>
            </w:r>
          </w:p>
        </w:tc>
        <w:tc>
          <w:tcPr>
            <w:tcW w:w="6047" w:type="dxa"/>
            <w:noWrap/>
            <w:vAlign w:val="center"/>
          </w:tcPr>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只能有一个投标方案。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p>
        </w:tc>
        <w:tc>
          <w:tcPr>
            <w:tcW w:w="1151" w:type="dxa"/>
            <w:vMerge w:val="continue"/>
            <w:noWrap/>
            <w:vAlign w:val="center"/>
          </w:tcPr>
          <w:p>
            <w:pPr>
              <w:spacing w:line="360" w:lineRule="auto"/>
              <w:ind w:firstLine="480" w:firstLineChars="200"/>
              <w:jc w:val="center"/>
              <w:rPr>
                <w:rFonts w:ascii="宋体" w:hAnsi="宋体" w:cs="宋体"/>
                <w:color w:val="000000" w:themeColor="text1"/>
                <w:kern w:val="0"/>
                <w:sz w:val="24"/>
                <w:highlight w:val="none"/>
                <w14:textFill>
                  <w14:solidFill>
                    <w14:schemeClr w14:val="tx1"/>
                  </w14:solidFill>
                </w14:textFill>
              </w:rPr>
            </w:pPr>
          </w:p>
        </w:tc>
        <w:tc>
          <w:tcPr>
            <w:tcW w:w="2192" w:type="dxa"/>
            <w:noWrap/>
            <w:vAlign w:val="center"/>
          </w:tcPr>
          <w:p>
            <w:pPr>
              <w:spacing w:line="360" w:lineRule="auto"/>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报价唯一</w:t>
            </w:r>
          </w:p>
        </w:tc>
        <w:tc>
          <w:tcPr>
            <w:tcW w:w="6047" w:type="dxa"/>
            <w:noWrap/>
            <w:vAlign w:val="center"/>
          </w:tcPr>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报价在采购项目预算额内，</w:t>
            </w:r>
            <w:r>
              <w:rPr>
                <w:rFonts w:hint="eastAsia" w:ascii="宋体" w:hAnsi="宋体" w:cs="宋体"/>
                <w:color w:val="000000" w:themeColor="text1"/>
                <w:sz w:val="24"/>
                <w:highlight w:val="none"/>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vMerge w:val="restart"/>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1151" w:type="dxa"/>
            <w:vMerge w:val="restart"/>
            <w:noWrap/>
            <w:vAlign w:val="center"/>
          </w:tcPr>
          <w:p>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完整性审查</w:t>
            </w:r>
          </w:p>
        </w:tc>
        <w:tc>
          <w:tcPr>
            <w:tcW w:w="2192"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投标文件份数</w:t>
            </w:r>
          </w:p>
        </w:tc>
        <w:tc>
          <w:tcPr>
            <w:tcW w:w="6047" w:type="dxa"/>
            <w:noWrap/>
            <w:vAlign w:val="center"/>
          </w:tcPr>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投标文件正本、副本等投标文件数量符合</w:t>
            </w:r>
            <w:r>
              <w:rPr>
                <w:rFonts w:hint="eastAsia" w:ascii="宋体" w:hAnsi="宋体" w:cs="宋体"/>
                <w:color w:val="000000" w:themeColor="text1"/>
                <w:kern w:val="0"/>
                <w:sz w:val="24"/>
                <w:highlight w:val="none"/>
                <w14:textFill>
                  <w14:solidFill>
                    <w14:schemeClr w14:val="tx1"/>
                  </w14:solidFill>
                </w14:textFill>
              </w:rPr>
              <w:t>招标</w:t>
            </w:r>
            <w:r>
              <w:rPr>
                <w:rFonts w:hint="eastAsia" w:ascii="宋体" w:hAnsi="宋体" w:cs="宋体"/>
                <w:color w:val="000000" w:themeColor="text1"/>
                <w:sz w:val="24"/>
                <w:highlight w:val="none"/>
                <w:lang w:val="zh-CN"/>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83" w:type="dxa"/>
            <w:vMerge w:val="continue"/>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p>
        </w:tc>
        <w:tc>
          <w:tcPr>
            <w:tcW w:w="1151" w:type="dxa"/>
            <w:vMerge w:val="continue"/>
            <w:noWrap/>
            <w:vAlign w:val="center"/>
          </w:tcPr>
          <w:p>
            <w:pPr>
              <w:spacing w:line="360" w:lineRule="auto"/>
              <w:ind w:firstLine="480" w:firstLineChars="200"/>
              <w:jc w:val="center"/>
              <w:rPr>
                <w:rFonts w:ascii="宋体" w:hAnsi="宋体" w:cs="宋体"/>
                <w:color w:val="000000" w:themeColor="text1"/>
                <w:kern w:val="0"/>
                <w:sz w:val="24"/>
                <w:highlight w:val="none"/>
                <w14:textFill>
                  <w14:solidFill>
                    <w14:schemeClr w14:val="tx1"/>
                  </w14:solidFill>
                </w14:textFill>
              </w:rPr>
            </w:pPr>
          </w:p>
        </w:tc>
        <w:tc>
          <w:tcPr>
            <w:tcW w:w="2192" w:type="dxa"/>
            <w:noWrap/>
            <w:vAlign w:val="center"/>
          </w:tcPr>
          <w:p>
            <w:pPr>
              <w:spacing w:line="360" w:lineRule="auto"/>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投标文件内容</w:t>
            </w:r>
          </w:p>
        </w:tc>
        <w:tc>
          <w:tcPr>
            <w:tcW w:w="6047" w:type="dxa"/>
            <w:noWrap/>
            <w:vAlign w:val="center"/>
          </w:tcPr>
          <w:p>
            <w:pPr>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83" w:type="dxa"/>
            <w:vMerge w:val="restart"/>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1151" w:type="dxa"/>
            <w:vMerge w:val="restart"/>
            <w:noWrap/>
            <w:vAlign w:val="center"/>
          </w:tcPr>
          <w:p>
            <w:pPr>
              <w:spacing w:line="360" w:lineRule="auto"/>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招标文件的响应程度审查</w:t>
            </w:r>
          </w:p>
        </w:tc>
        <w:tc>
          <w:tcPr>
            <w:tcW w:w="2192"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文件内容</w:t>
            </w:r>
          </w:p>
        </w:tc>
        <w:tc>
          <w:tcPr>
            <w:tcW w:w="6047" w:type="dxa"/>
            <w:noWrap/>
            <w:vAlign w:val="center"/>
          </w:tcPr>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对招标文件规定的内容全部做出响应。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3" w:type="dxa"/>
            <w:vMerge w:val="continue"/>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p>
        </w:tc>
        <w:tc>
          <w:tcPr>
            <w:tcW w:w="1151" w:type="dxa"/>
            <w:vMerge w:val="continue"/>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p>
        </w:tc>
        <w:tc>
          <w:tcPr>
            <w:tcW w:w="2192"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质量技术</w:t>
            </w:r>
          </w:p>
        </w:tc>
        <w:tc>
          <w:tcPr>
            <w:tcW w:w="6047" w:type="dxa"/>
            <w:noWrap/>
            <w:vAlign w:val="center"/>
          </w:tcPr>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满足招标文件提出的质量、技术要求。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p>
        </w:tc>
        <w:tc>
          <w:tcPr>
            <w:tcW w:w="1151" w:type="dxa"/>
            <w:vMerge w:val="continue"/>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p>
        </w:tc>
        <w:tc>
          <w:tcPr>
            <w:tcW w:w="2192" w:type="dxa"/>
            <w:noWrap/>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服务期限</w:t>
            </w:r>
          </w:p>
        </w:tc>
        <w:tc>
          <w:tcPr>
            <w:tcW w:w="6047" w:type="dxa"/>
            <w:noWrap/>
            <w:vAlign w:val="center"/>
          </w:tcPr>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满足招标文件</w:t>
            </w:r>
            <w:r>
              <w:rPr>
                <w:rFonts w:hint="eastAsia" w:ascii="宋体" w:hAnsi="宋体" w:cs="宋体"/>
                <w:color w:val="000000" w:themeColor="text1"/>
                <w:sz w:val="24"/>
                <w:highlight w:val="none"/>
                <w:lang w:val="zh-CN"/>
                <w14:textFill>
                  <w14:solidFill>
                    <w14:schemeClr w14:val="tx1"/>
                  </w14:solidFill>
                </w14:textFill>
              </w:rPr>
              <w:t>规定</w:t>
            </w:r>
            <w:r>
              <w:rPr>
                <w:rFonts w:hint="eastAsia" w:ascii="宋体" w:hAnsi="宋体" w:cs="宋体"/>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3" w:type="dxa"/>
            <w:vMerge w:val="continue"/>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p>
        </w:tc>
        <w:tc>
          <w:tcPr>
            <w:tcW w:w="1151" w:type="dxa"/>
            <w:vMerge w:val="continue"/>
            <w:noWrap/>
            <w:vAlign w:val="center"/>
          </w:tcPr>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p>
        </w:tc>
        <w:tc>
          <w:tcPr>
            <w:tcW w:w="2192" w:type="dxa"/>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文件有效期</w:t>
            </w:r>
          </w:p>
        </w:tc>
        <w:tc>
          <w:tcPr>
            <w:tcW w:w="6047" w:type="dxa"/>
            <w:noWrap/>
            <w:vAlign w:val="center"/>
          </w:tcPr>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满足招标文件</w:t>
            </w:r>
            <w:r>
              <w:rPr>
                <w:rFonts w:hint="eastAsia" w:ascii="宋体" w:hAnsi="宋体" w:cs="宋体"/>
                <w:color w:val="000000" w:themeColor="text1"/>
                <w:sz w:val="24"/>
                <w:highlight w:val="none"/>
                <w:lang w:val="zh-CN"/>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3" w:type="dxa"/>
            <w:vMerge w:val="continue"/>
            <w:tcBorders>
              <w:bottom w:val="single" w:color="auto" w:sz="4" w:space="0"/>
            </w:tcBorders>
            <w:noWrap/>
            <w:vAlign w:val="center"/>
          </w:tcPr>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p>
        </w:tc>
        <w:tc>
          <w:tcPr>
            <w:tcW w:w="1151" w:type="dxa"/>
            <w:vMerge w:val="continue"/>
            <w:tcBorders>
              <w:bottom w:val="single" w:color="auto" w:sz="4" w:space="0"/>
            </w:tcBorders>
            <w:noWrap/>
            <w:vAlign w:val="center"/>
          </w:tcPr>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p>
        </w:tc>
        <w:tc>
          <w:tcPr>
            <w:tcW w:w="2192" w:type="dxa"/>
            <w:tcBorders>
              <w:bottom w:val="single" w:color="auto" w:sz="4" w:space="0"/>
            </w:tcBorders>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w:t>
            </w:r>
          </w:p>
        </w:tc>
        <w:tc>
          <w:tcPr>
            <w:tcW w:w="6047" w:type="dxa"/>
            <w:tcBorders>
              <w:bottom w:val="single" w:color="auto" w:sz="4" w:space="0"/>
            </w:tcBorders>
            <w:noWrap/>
            <w:vAlign w:val="center"/>
          </w:tcPr>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满足招标文件相关</w:t>
            </w:r>
            <w:r>
              <w:rPr>
                <w:rFonts w:hint="eastAsia" w:ascii="宋体" w:hAnsi="宋体" w:cs="宋体"/>
                <w:color w:val="000000" w:themeColor="text1"/>
                <w:sz w:val="24"/>
                <w:highlight w:val="none"/>
                <w:lang w:val="zh-CN"/>
                <w14:textFill>
                  <w14:solidFill>
                    <w14:schemeClr w14:val="tx1"/>
                  </w14:solidFill>
                </w14:textFill>
              </w:rPr>
              <w:t>规定。</w:t>
            </w:r>
          </w:p>
        </w:tc>
      </w:tr>
    </w:tbl>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注：资格性审查、符合性审查的评审内容，有一项不通过者，视为未通过资格性审查、符合性审查。未提供资格性审查、符合性审查的投标文件将按照无效投标处理。</w:t>
      </w:r>
    </w:p>
    <w:p>
      <w:pPr>
        <w:spacing w:line="300" w:lineRule="exact"/>
        <w:rPr>
          <w:rFonts w:hint="eastAsia" w:ascii="宋体" w:hAnsi="宋体" w:cs="宋体"/>
          <w:b/>
          <w:bCs/>
          <w:color w:val="000000" w:themeColor="text1"/>
          <w:kern w:val="0"/>
          <w:sz w:val="24"/>
          <w:highlight w:val="none"/>
          <w14:textFill>
            <w14:solidFill>
              <w14:schemeClr w14:val="tx1"/>
            </w14:solidFill>
          </w14:textFill>
        </w:rPr>
      </w:pPr>
    </w:p>
    <w:p>
      <w:pPr>
        <w:spacing w:line="300" w:lineRule="exact"/>
        <w:rPr>
          <w:rFonts w:hint="eastAsia" w:ascii="宋体" w:hAnsi="宋体" w:cs="宋体"/>
          <w:b/>
          <w:bCs/>
          <w:color w:val="000000" w:themeColor="text1"/>
          <w:kern w:val="0"/>
          <w:sz w:val="24"/>
          <w:highlight w:val="none"/>
          <w14:textFill>
            <w14:solidFill>
              <w14:schemeClr w14:val="tx1"/>
            </w14:solidFill>
          </w14:textFill>
        </w:rPr>
      </w:pPr>
    </w:p>
    <w:p>
      <w:pPr>
        <w:spacing w:line="300" w:lineRule="exac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2、评标方法（综合评分法）</w:t>
      </w:r>
    </w:p>
    <w:tbl>
      <w:tblPr>
        <w:tblStyle w:val="57"/>
        <w:tblpPr w:leftFromText="180" w:rightFromText="180" w:vertAnchor="text" w:horzAnchor="page" w:tblpX="1120" w:tblpY="377"/>
        <w:tblW w:w="10551" w:type="dxa"/>
        <w:tblInd w:w="0" w:type="dxa"/>
        <w:tblLayout w:type="fixed"/>
        <w:tblCellMar>
          <w:top w:w="0" w:type="dxa"/>
          <w:left w:w="108" w:type="dxa"/>
          <w:bottom w:w="0" w:type="dxa"/>
          <w:right w:w="108" w:type="dxa"/>
        </w:tblCellMar>
      </w:tblPr>
      <w:tblGrid>
        <w:gridCol w:w="520"/>
        <w:gridCol w:w="1512"/>
        <w:gridCol w:w="7899"/>
        <w:gridCol w:w="620"/>
      </w:tblGrid>
      <w:tr>
        <w:tblPrEx>
          <w:tblCellMar>
            <w:top w:w="0" w:type="dxa"/>
            <w:left w:w="108" w:type="dxa"/>
            <w:bottom w:w="0" w:type="dxa"/>
            <w:right w:w="108" w:type="dxa"/>
          </w:tblCellMar>
        </w:tblPrEx>
        <w:trPr>
          <w:trHeight w:val="144" w:hRule="atLeast"/>
        </w:trPr>
        <w:tc>
          <w:tcPr>
            <w:tcW w:w="520" w:type="dxa"/>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151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评审</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指标         </w:t>
            </w:r>
          </w:p>
        </w:tc>
        <w:tc>
          <w:tcPr>
            <w:tcW w:w="789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评分标准</w:t>
            </w:r>
          </w:p>
        </w:tc>
        <w:tc>
          <w:tcPr>
            <w:tcW w:w="62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分值</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范围</w:t>
            </w:r>
          </w:p>
        </w:tc>
      </w:tr>
      <w:tr>
        <w:tblPrEx>
          <w:tblCellMar>
            <w:top w:w="0" w:type="dxa"/>
            <w:left w:w="108" w:type="dxa"/>
            <w:bottom w:w="0" w:type="dxa"/>
            <w:right w:w="108" w:type="dxa"/>
          </w:tblCellMar>
        </w:tblPrEx>
        <w:trPr>
          <w:trHeight w:val="90" w:hRule="atLeast"/>
        </w:trPr>
        <w:tc>
          <w:tcPr>
            <w:tcW w:w="520" w:type="dxa"/>
            <w:tcBorders>
              <w:top w:val="single" w:color="auto" w:sz="4" w:space="0"/>
              <w:left w:val="single" w:color="auto" w:sz="4" w:space="0"/>
              <w:bottom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15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商务</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报价（10分）</w:t>
            </w:r>
          </w:p>
        </w:tc>
        <w:tc>
          <w:tcPr>
            <w:tcW w:w="78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满足招标文件要求且投标价格最低的投标报价为评标基准价，其价格分为满分。其他投标人的价格分统一按照下列公式计算：投标报价得分=(评标基准价／投标报价)×10%×100</w:t>
            </w:r>
            <w:r>
              <w:rPr>
                <w:rFonts w:hint="eastAsia" w:ascii="宋体" w:hAnsi="宋体" w:cs="宋体"/>
                <w:b/>
                <w:bCs/>
                <w:color w:val="000000" w:themeColor="text1"/>
                <w:kern w:val="0"/>
                <w:sz w:val="18"/>
                <w:szCs w:val="18"/>
                <w:highlight w:val="none"/>
                <w14:textFill>
                  <w14:solidFill>
                    <w14:schemeClr w14:val="tx1"/>
                  </w14:solidFill>
                </w14:textFill>
              </w:rPr>
              <w:t>（说明：对小型和微型企业服务的价格给予6%的扣除，用扣除后的价格参与评审。）</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0-10</w:t>
            </w:r>
          </w:p>
        </w:tc>
      </w:tr>
      <w:tr>
        <w:tblPrEx>
          <w:tblCellMar>
            <w:top w:w="0" w:type="dxa"/>
            <w:left w:w="108" w:type="dxa"/>
            <w:bottom w:w="0" w:type="dxa"/>
            <w:right w:w="108" w:type="dxa"/>
          </w:tblCellMar>
        </w:tblPrEx>
        <w:trPr>
          <w:trHeight w:val="90" w:hRule="atLeast"/>
        </w:trPr>
        <w:tc>
          <w:tcPr>
            <w:tcW w:w="520" w:type="dxa"/>
            <w:vMerge w:val="restart"/>
            <w:tcBorders>
              <w:top w:val="single" w:color="auto" w:sz="4" w:space="0"/>
              <w:left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1512"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企业综合实力及企业诚信</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w:t>
            </w:r>
            <w:r>
              <w:rPr>
                <w:rFonts w:hint="eastAsia" w:ascii="宋体" w:hAnsi="宋体" w:cs="宋体"/>
                <w:color w:val="000000" w:themeColor="text1"/>
                <w:kern w:val="0"/>
                <w:sz w:val="18"/>
                <w:szCs w:val="18"/>
                <w:highlight w:val="none"/>
                <w:lang w:val="en-US" w:eastAsia="zh-CN"/>
                <w14:textFill>
                  <w14:solidFill>
                    <w14:schemeClr w14:val="tx1"/>
                  </w14:solidFill>
                </w14:textFill>
              </w:rPr>
              <w:t>9</w:t>
            </w:r>
            <w:r>
              <w:rPr>
                <w:rFonts w:hint="eastAsia" w:ascii="宋体" w:hAnsi="宋体" w:cs="宋体"/>
                <w:color w:val="000000" w:themeColor="text1"/>
                <w:kern w:val="0"/>
                <w:sz w:val="18"/>
                <w:szCs w:val="18"/>
                <w:highlight w:val="none"/>
                <w14:textFill>
                  <w14:solidFill>
                    <w14:schemeClr w14:val="tx1"/>
                  </w14:solidFill>
                </w14:textFill>
              </w:rPr>
              <w:t>分）</w:t>
            </w:r>
          </w:p>
        </w:tc>
        <w:tc>
          <w:tcPr>
            <w:tcW w:w="78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根据投标人所提供由信合联服（网址</w:t>
            </w:r>
            <w:r>
              <w:rPr>
                <w:rFonts w:hint="eastAsia" w:ascii="宋体" w:hAnsi="宋体" w:cs="宋体"/>
                <w:color w:val="000000" w:themeColor="text1"/>
                <w:sz w:val="18"/>
                <w:szCs w:val="18"/>
                <w:highlight w:val="none"/>
                <w14:textFill>
                  <w14:solidFill>
                    <w14:schemeClr w14:val="tx1"/>
                  </w14:solidFill>
                </w14:textFill>
              </w:rPr>
              <w:drawing>
                <wp:inline distT="0" distB="0" distL="114300" distR="114300">
                  <wp:extent cx="190500" cy="142875"/>
                  <wp:effectExtent l="0" t="0" r="0" b="952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hint="eastAsia" w:ascii="宋体" w:hAnsi="宋体" w:cs="宋体"/>
                <w:color w:val="000000" w:themeColor="text1"/>
                <w:sz w:val="18"/>
                <w:szCs w:val="18"/>
                <w:highlight w:val="none"/>
                <w14:textFill>
                  <w14:solidFill>
                    <w14:schemeClr w14:val="tx1"/>
                  </w14:solidFill>
                </w14:textFill>
              </w:rPr>
              <w:t>http://www.xhlfzx.com.cn/，克拉玛依市信用办备案认可信用服务机构）出具的信用报告所评定信用等级评分：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1、信用等级为AAA级，得5分；2、信用等级为AA级，得4.5分；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3、信用等级为A级，得4分；4、信用等级为BBB级，得3.5分；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5、信用等级为BB级，得3分；6、信用等级为B级，得2.5分；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7、信用等级为CCC级，得2分；8、信用等级为CC级，得1.5分；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9、信用等级为C级，得1分；10、信用等级为D级，取消其投标资格；</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11、未提供信用报告的，此项不得分。</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0-5</w:t>
            </w:r>
          </w:p>
        </w:tc>
      </w:tr>
      <w:tr>
        <w:tblPrEx>
          <w:tblCellMar>
            <w:top w:w="0" w:type="dxa"/>
            <w:left w:w="108" w:type="dxa"/>
            <w:bottom w:w="0" w:type="dxa"/>
            <w:right w:w="108" w:type="dxa"/>
          </w:tblCellMar>
        </w:tblPrEx>
        <w:trPr>
          <w:trHeight w:val="264" w:hRule="atLeast"/>
        </w:trPr>
        <w:tc>
          <w:tcPr>
            <w:tcW w:w="520" w:type="dxa"/>
            <w:vMerge w:val="continue"/>
            <w:tcBorders>
              <w:left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15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7899" w:type="dxa"/>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投标人实力较强，设备及专业人员较多者得3-4分，一般者得1-2分。（提供专业技术人员专业技能证明材料及公司为技术人员缴纳社保的证明材料）</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r>
      <w:tr>
        <w:tblPrEx>
          <w:tblCellMar>
            <w:top w:w="0" w:type="dxa"/>
            <w:left w:w="108" w:type="dxa"/>
            <w:bottom w:w="0" w:type="dxa"/>
            <w:right w:w="108" w:type="dxa"/>
          </w:tblCellMar>
        </w:tblPrEx>
        <w:trPr>
          <w:trHeight w:val="515" w:hRule="atLeast"/>
        </w:trPr>
        <w:tc>
          <w:tcPr>
            <w:tcW w:w="520" w:type="dxa"/>
            <w:tcBorders>
              <w:top w:val="single" w:color="auto" w:sz="4" w:space="0"/>
              <w:left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1512" w:type="dxa"/>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企业业绩（</w:t>
            </w:r>
            <w:r>
              <w:rPr>
                <w:rFonts w:hint="eastAsia" w:ascii="宋体" w:hAnsi="宋体" w:cs="宋体"/>
                <w:color w:val="000000" w:themeColor="text1"/>
                <w:kern w:val="0"/>
                <w:sz w:val="18"/>
                <w:szCs w:val="18"/>
                <w:highlight w:val="none"/>
                <w:lang w:val="en-US" w:eastAsia="zh-CN"/>
                <w14:textFill>
                  <w14:solidFill>
                    <w14:schemeClr w14:val="tx1"/>
                  </w14:solidFill>
                </w14:textFill>
              </w:rPr>
              <w:t>2</w:t>
            </w:r>
            <w:r>
              <w:rPr>
                <w:rFonts w:hint="eastAsia" w:ascii="宋体" w:hAnsi="宋体" w:cs="宋体"/>
                <w:color w:val="000000" w:themeColor="text1"/>
                <w:kern w:val="0"/>
                <w:sz w:val="18"/>
                <w:szCs w:val="18"/>
                <w:highlight w:val="none"/>
                <w14:textFill>
                  <w14:solidFill>
                    <w14:schemeClr w14:val="tx1"/>
                  </w14:solidFill>
                </w14:textFill>
              </w:rPr>
              <w:t>分</w:t>
            </w:r>
            <w:r>
              <w:rPr>
                <w:rFonts w:hint="eastAsia" w:ascii="宋体" w:hAnsi="宋体" w:cs="宋体"/>
                <w:color w:val="000000" w:themeColor="text1"/>
                <w:kern w:val="0"/>
                <w:sz w:val="18"/>
                <w:szCs w:val="18"/>
                <w:highlight w:val="none"/>
                <w:lang w:val="zh-CN"/>
                <w14:textFill>
                  <w14:solidFill>
                    <w14:schemeClr w14:val="tx1"/>
                  </w14:solidFill>
                </w14:textFill>
              </w:rPr>
              <w:t>）</w:t>
            </w:r>
          </w:p>
        </w:tc>
        <w:tc>
          <w:tcPr>
            <w:tcW w:w="7899" w:type="dxa"/>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近三年（201</w:t>
            </w:r>
            <w:r>
              <w:rPr>
                <w:rFonts w:hint="eastAsia" w:ascii="宋体" w:hAnsi="宋体" w:cs="宋体"/>
                <w:color w:val="000000" w:themeColor="text1"/>
                <w:kern w:val="0"/>
                <w:sz w:val="18"/>
                <w:szCs w:val="18"/>
                <w:highlight w:val="none"/>
                <w14:textFill>
                  <w14:solidFill>
                    <w14:schemeClr w14:val="tx1"/>
                  </w14:solidFill>
                </w14:textFill>
              </w:rPr>
              <w:t>8</w:t>
            </w:r>
            <w:r>
              <w:rPr>
                <w:rFonts w:hint="eastAsia" w:ascii="宋体" w:hAnsi="宋体" w:cs="宋体"/>
                <w:color w:val="000000" w:themeColor="text1"/>
                <w:kern w:val="0"/>
                <w:sz w:val="18"/>
                <w:szCs w:val="18"/>
                <w:highlight w:val="none"/>
                <w:lang w:val="zh-CN"/>
                <w14:textFill>
                  <w14:solidFill>
                    <w14:schemeClr w14:val="tx1"/>
                  </w14:solidFill>
                </w14:textFill>
              </w:rPr>
              <w:t>年1月1日至今）承担过同类项目业绩，每具有一个业绩得</w:t>
            </w:r>
            <w:r>
              <w:rPr>
                <w:rFonts w:hint="eastAsia" w:ascii="宋体" w:hAnsi="宋体" w:cs="宋体"/>
                <w:color w:val="000000" w:themeColor="text1"/>
                <w:kern w:val="0"/>
                <w:sz w:val="18"/>
                <w:szCs w:val="18"/>
                <w:highlight w:val="none"/>
                <w14:textFill>
                  <w14:solidFill>
                    <w14:schemeClr w14:val="tx1"/>
                  </w14:solidFill>
                </w14:textFill>
              </w:rPr>
              <w:t>1</w:t>
            </w:r>
            <w:r>
              <w:rPr>
                <w:rFonts w:hint="eastAsia" w:ascii="宋体" w:hAnsi="宋体" w:cs="宋体"/>
                <w:color w:val="000000" w:themeColor="text1"/>
                <w:kern w:val="0"/>
                <w:sz w:val="18"/>
                <w:szCs w:val="18"/>
                <w:highlight w:val="none"/>
                <w:lang w:val="zh-CN"/>
                <w14:textFill>
                  <w14:solidFill>
                    <w14:schemeClr w14:val="tx1"/>
                  </w14:solidFill>
                </w14:textFill>
              </w:rPr>
              <w:t>分，并附业绩证明资料（成交通知书或中标通知书或合同等业绩证明资料），最多得</w:t>
            </w:r>
            <w:r>
              <w:rPr>
                <w:rFonts w:hint="eastAsia" w:ascii="宋体" w:hAnsi="宋体" w:cs="宋体"/>
                <w:color w:val="000000" w:themeColor="text1"/>
                <w:kern w:val="0"/>
                <w:sz w:val="18"/>
                <w:szCs w:val="18"/>
                <w:highlight w:val="none"/>
                <w:lang w:val="en-US" w:eastAsia="zh-CN"/>
                <w14:textFill>
                  <w14:solidFill>
                    <w14:schemeClr w14:val="tx1"/>
                  </w14:solidFill>
                </w14:textFill>
              </w:rPr>
              <w:t>2</w:t>
            </w:r>
            <w:r>
              <w:rPr>
                <w:rFonts w:hint="eastAsia" w:ascii="宋体" w:hAnsi="宋体" w:cs="宋体"/>
                <w:color w:val="000000" w:themeColor="text1"/>
                <w:kern w:val="0"/>
                <w:sz w:val="18"/>
                <w:szCs w:val="18"/>
                <w:highlight w:val="none"/>
                <w14:textFill>
                  <w14:solidFill>
                    <w14:schemeClr w14:val="tx1"/>
                  </w14:solidFill>
                </w14:textFill>
              </w:rPr>
              <w:t>分。</w:t>
            </w:r>
            <w:r>
              <w:rPr>
                <w:rFonts w:hint="eastAsia" w:ascii="宋体" w:hAnsi="宋体" w:cs="宋体"/>
                <w:color w:val="000000" w:themeColor="text1"/>
                <w:kern w:val="0"/>
                <w:sz w:val="18"/>
                <w:szCs w:val="18"/>
                <w:highlight w:val="none"/>
                <w:lang w:val="zh-CN"/>
                <w14:textFill>
                  <w14:solidFill>
                    <w14:schemeClr w14:val="tx1"/>
                  </w14:solidFill>
                </w14:textFill>
              </w:rPr>
              <w:t>未附业绩证明资料的不得分。</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0-</w:t>
            </w: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r>
      <w:tr>
        <w:tblPrEx>
          <w:tblCellMar>
            <w:top w:w="0" w:type="dxa"/>
            <w:left w:w="108" w:type="dxa"/>
            <w:bottom w:w="0" w:type="dxa"/>
            <w:right w:w="108" w:type="dxa"/>
          </w:tblCellMar>
        </w:tblPrEx>
        <w:trPr>
          <w:trHeight w:val="444" w:hRule="atLeast"/>
        </w:trPr>
        <w:tc>
          <w:tcPr>
            <w:tcW w:w="520" w:type="dxa"/>
            <w:tcBorders>
              <w:top w:val="single" w:color="auto" w:sz="4" w:space="0"/>
              <w:left w:val="single" w:color="auto" w:sz="4" w:space="0"/>
              <w:bottom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w:t>
            </w:r>
          </w:p>
        </w:tc>
        <w:tc>
          <w:tcPr>
            <w:tcW w:w="15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企业的承诺及优惠条件（</w:t>
            </w:r>
            <w:r>
              <w:rPr>
                <w:rFonts w:hint="eastAsia" w:ascii="宋体" w:hAnsi="宋体" w:cs="宋体"/>
                <w:color w:val="000000" w:themeColor="text1"/>
                <w:kern w:val="0"/>
                <w:sz w:val="18"/>
                <w:szCs w:val="18"/>
                <w:highlight w:val="none"/>
                <w:lang w:val="en-US" w:eastAsia="zh-CN"/>
                <w14:textFill>
                  <w14:solidFill>
                    <w14:schemeClr w14:val="tx1"/>
                  </w14:solidFill>
                </w14:textFill>
              </w:rPr>
              <w:t>9</w:t>
            </w:r>
            <w:r>
              <w:rPr>
                <w:rFonts w:hint="eastAsia" w:ascii="宋体" w:hAnsi="宋体" w:cs="宋体"/>
                <w:color w:val="000000" w:themeColor="text1"/>
                <w:kern w:val="0"/>
                <w:sz w:val="18"/>
                <w:szCs w:val="18"/>
                <w:highlight w:val="none"/>
                <w14:textFill>
                  <w14:solidFill>
                    <w14:schemeClr w14:val="tx1"/>
                  </w14:solidFill>
                </w14:textFill>
              </w:rPr>
              <w:t>分）</w:t>
            </w:r>
          </w:p>
        </w:tc>
        <w:tc>
          <w:tcPr>
            <w:tcW w:w="78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有非常满意的承诺和优惠条件得</w:t>
            </w:r>
            <w:r>
              <w:rPr>
                <w:rFonts w:hint="eastAsia" w:ascii="宋体" w:hAnsi="宋体" w:cs="宋体"/>
                <w:color w:val="000000" w:themeColor="text1"/>
                <w:kern w:val="0"/>
                <w:sz w:val="18"/>
                <w:szCs w:val="18"/>
                <w:highlight w:val="none"/>
                <w:lang w:val="en-US" w:eastAsia="zh-CN"/>
                <w14:textFill>
                  <w14:solidFill>
                    <w14:schemeClr w14:val="tx1"/>
                  </w14:solidFill>
                </w14:textFill>
              </w:rPr>
              <w:t>7-9</w:t>
            </w:r>
            <w:r>
              <w:rPr>
                <w:rFonts w:hint="eastAsia" w:ascii="宋体" w:hAnsi="宋体" w:cs="宋体"/>
                <w:color w:val="000000" w:themeColor="text1"/>
                <w:kern w:val="0"/>
                <w:sz w:val="18"/>
                <w:szCs w:val="18"/>
                <w:highlight w:val="none"/>
                <w14:textFill>
                  <w14:solidFill>
                    <w14:schemeClr w14:val="tx1"/>
                  </w14:solidFill>
                </w14:textFill>
              </w:rPr>
              <w:t>分；有较好的承诺和优惠条件得</w:t>
            </w:r>
            <w:r>
              <w:rPr>
                <w:rFonts w:hint="eastAsia" w:ascii="宋体" w:hAnsi="宋体" w:cs="宋体"/>
                <w:color w:val="000000" w:themeColor="text1"/>
                <w:kern w:val="0"/>
                <w:sz w:val="18"/>
                <w:szCs w:val="18"/>
                <w:highlight w:val="none"/>
                <w:lang w:val="en-US" w:eastAsia="zh-CN"/>
                <w14:textFill>
                  <w14:solidFill>
                    <w14:schemeClr w14:val="tx1"/>
                  </w14:solidFill>
                </w14:textFill>
              </w:rPr>
              <w:t>4-6</w:t>
            </w:r>
            <w:r>
              <w:rPr>
                <w:rFonts w:hint="eastAsia" w:ascii="宋体" w:hAnsi="宋体" w:cs="宋体"/>
                <w:color w:val="000000" w:themeColor="text1"/>
                <w:kern w:val="0"/>
                <w:sz w:val="18"/>
                <w:szCs w:val="18"/>
                <w:highlight w:val="none"/>
                <w14:textFill>
                  <w14:solidFill>
                    <w14:schemeClr w14:val="tx1"/>
                  </w14:solidFill>
                </w14:textFill>
              </w:rPr>
              <w:t>分；承诺、优惠条件一般得1-</w:t>
            </w:r>
            <w:r>
              <w:rPr>
                <w:rFonts w:hint="eastAsia" w:ascii="宋体" w:hAnsi="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cs="宋体"/>
                <w:color w:val="000000" w:themeColor="text1"/>
                <w:kern w:val="0"/>
                <w:sz w:val="18"/>
                <w:szCs w:val="18"/>
                <w:highlight w:val="none"/>
                <w14:textFill>
                  <w14:solidFill>
                    <w14:schemeClr w14:val="tx1"/>
                  </w14:solidFill>
                </w14:textFill>
              </w:rPr>
              <w:t>分；无企业的承诺及优惠条件不得分。</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0-</w:t>
            </w:r>
            <w:r>
              <w:rPr>
                <w:rFonts w:hint="eastAsia" w:ascii="宋体" w:hAnsi="宋体" w:cs="宋体"/>
                <w:color w:val="000000" w:themeColor="text1"/>
                <w:kern w:val="0"/>
                <w:sz w:val="18"/>
                <w:szCs w:val="18"/>
                <w:highlight w:val="none"/>
                <w:lang w:val="en-US" w:eastAsia="zh-CN"/>
                <w14:textFill>
                  <w14:solidFill>
                    <w14:schemeClr w14:val="tx1"/>
                  </w14:solidFill>
                </w14:textFill>
              </w:rPr>
              <w:t>9</w:t>
            </w:r>
          </w:p>
        </w:tc>
      </w:tr>
      <w:tr>
        <w:tblPrEx>
          <w:tblCellMar>
            <w:top w:w="0" w:type="dxa"/>
            <w:left w:w="108" w:type="dxa"/>
            <w:bottom w:w="0" w:type="dxa"/>
            <w:right w:w="108" w:type="dxa"/>
          </w:tblCellMar>
        </w:tblPrEx>
        <w:trPr>
          <w:trHeight w:val="764" w:hRule="atLeast"/>
        </w:trPr>
        <w:tc>
          <w:tcPr>
            <w:tcW w:w="520" w:type="dxa"/>
            <w:vMerge w:val="restart"/>
            <w:tcBorders>
              <w:top w:val="single" w:color="auto" w:sz="4" w:space="0"/>
              <w:left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5</w:t>
            </w:r>
          </w:p>
        </w:tc>
        <w:tc>
          <w:tcPr>
            <w:tcW w:w="1512"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服务方案（</w:t>
            </w:r>
            <w:r>
              <w:rPr>
                <w:rFonts w:hint="eastAsia" w:ascii="宋体" w:hAnsi="宋体" w:cs="宋体"/>
                <w:color w:val="000000" w:themeColor="text1"/>
                <w:kern w:val="0"/>
                <w:sz w:val="18"/>
                <w:szCs w:val="18"/>
                <w:highlight w:val="none"/>
                <w:lang w:val="en-US" w:eastAsia="zh-CN"/>
                <w14:textFill>
                  <w14:solidFill>
                    <w14:schemeClr w14:val="tx1"/>
                  </w14:solidFill>
                </w14:textFill>
              </w:rPr>
              <w:t>33</w:t>
            </w:r>
            <w:r>
              <w:rPr>
                <w:rFonts w:hint="eastAsia" w:ascii="宋体" w:hAnsi="宋体" w:cs="宋体"/>
                <w:color w:val="000000" w:themeColor="text1"/>
                <w:kern w:val="0"/>
                <w:sz w:val="18"/>
                <w:szCs w:val="18"/>
                <w:highlight w:val="none"/>
                <w14:textFill>
                  <w14:solidFill>
                    <w14:schemeClr w14:val="tx1"/>
                  </w14:solidFill>
                </w14:textFill>
              </w:rPr>
              <w:t>分）</w:t>
            </w:r>
          </w:p>
        </w:tc>
        <w:tc>
          <w:tcPr>
            <w:tcW w:w="78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投标人根据对项目的前期调研和对项目需求的理解程度，提供项目前期调研及项目需求的调研论证说明，进行横向对比。前期调研细致充分，对项目的理解全面深刻的得</w:t>
            </w:r>
            <w:r>
              <w:rPr>
                <w:rFonts w:hint="eastAsia" w:ascii="宋体" w:hAnsi="宋体" w:cs="宋体"/>
                <w:color w:val="000000" w:themeColor="text1"/>
                <w:kern w:val="0"/>
                <w:sz w:val="18"/>
                <w:szCs w:val="18"/>
                <w:highlight w:val="none"/>
                <w:lang w:val="en-US" w:eastAsia="zh-CN"/>
                <w14:textFill>
                  <w14:solidFill>
                    <w14:schemeClr w14:val="tx1"/>
                  </w14:solidFill>
                </w14:textFill>
              </w:rPr>
              <w:t>6</w:t>
            </w:r>
            <w:r>
              <w:rPr>
                <w:rFonts w:hint="eastAsia" w:ascii="宋体" w:hAnsi="宋体" w:cs="宋体"/>
                <w:color w:val="000000" w:themeColor="text1"/>
                <w:kern w:val="0"/>
                <w:sz w:val="18"/>
                <w:szCs w:val="18"/>
                <w:highlight w:val="none"/>
                <w14:textFill>
                  <w14:solidFill>
                    <w14:schemeClr w14:val="tx1"/>
                  </w14:solidFill>
                </w14:textFill>
              </w:rPr>
              <w:t>分；前期调研了解，对项目的理解准确的得</w:t>
            </w:r>
            <w:r>
              <w:rPr>
                <w:rFonts w:hint="eastAsia" w:ascii="宋体" w:hAnsi="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cs="宋体"/>
                <w:color w:val="000000" w:themeColor="text1"/>
                <w:kern w:val="0"/>
                <w:sz w:val="18"/>
                <w:szCs w:val="18"/>
                <w:highlight w:val="none"/>
                <w14:textFill>
                  <w14:solidFill>
                    <w14:schemeClr w14:val="tx1"/>
                  </w14:solidFill>
                </w14:textFill>
              </w:rPr>
              <w:t>分；前期经过调研，对项目作出正确理解的得1分，未调研不得分。（提供书面调研材料）</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0-</w:t>
            </w:r>
            <w:r>
              <w:rPr>
                <w:rFonts w:hint="eastAsia" w:ascii="宋体" w:hAnsi="宋体" w:cs="宋体"/>
                <w:color w:val="000000" w:themeColor="text1"/>
                <w:kern w:val="0"/>
                <w:sz w:val="18"/>
                <w:szCs w:val="18"/>
                <w:highlight w:val="none"/>
                <w:lang w:val="en-US" w:eastAsia="zh-CN"/>
                <w14:textFill>
                  <w14:solidFill>
                    <w14:schemeClr w14:val="tx1"/>
                  </w14:solidFill>
                </w14:textFill>
              </w:rPr>
              <w:t>6</w:t>
            </w:r>
          </w:p>
        </w:tc>
      </w:tr>
      <w:tr>
        <w:tblPrEx>
          <w:tblCellMar>
            <w:top w:w="0" w:type="dxa"/>
            <w:left w:w="108" w:type="dxa"/>
            <w:bottom w:w="0" w:type="dxa"/>
            <w:right w:w="108" w:type="dxa"/>
          </w:tblCellMar>
        </w:tblPrEx>
        <w:trPr>
          <w:trHeight w:val="508" w:hRule="atLeast"/>
        </w:trPr>
        <w:tc>
          <w:tcPr>
            <w:tcW w:w="520" w:type="dxa"/>
            <w:vMerge w:val="continue"/>
            <w:tcBorders>
              <w:left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15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7899" w:type="dxa"/>
            <w:tcBorders>
              <w:top w:val="single" w:color="auto" w:sz="4" w:space="0"/>
              <w:left w:val="single" w:color="auto" w:sz="4" w:space="0"/>
              <w:bottom w:val="single" w:color="auto" w:sz="4" w:space="0"/>
              <w:right w:val="single" w:color="auto" w:sz="4" w:space="0"/>
            </w:tcBorders>
            <w:noWrap/>
            <w:vAlign w:val="center"/>
          </w:tcPr>
          <w:p>
            <w:pPr>
              <w:pStyle w:val="331"/>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工作管理措施（考核制度；岗位责任制；信息反馈处理机制）</w:t>
            </w:r>
          </w:p>
          <w:p>
            <w:pPr>
              <w:pStyle w:val="331"/>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（1）工作管理体系完善，工作质量有保障（0-</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cs="宋体"/>
                <w:color w:val="000000" w:themeColor="text1"/>
                <w:sz w:val="18"/>
                <w:szCs w:val="18"/>
                <w:highlight w:val="none"/>
                <w14:textFill>
                  <w14:solidFill>
                    <w14:schemeClr w14:val="tx1"/>
                  </w14:solidFill>
                </w14:textFill>
              </w:rPr>
              <w:t>分）</w:t>
            </w:r>
          </w:p>
          <w:p>
            <w:pPr>
              <w:pStyle w:val="331"/>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（2）工作管理制度、工作操作规程齐全（0-</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cs="宋体"/>
                <w:color w:val="000000" w:themeColor="text1"/>
                <w:sz w:val="18"/>
                <w:szCs w:val="18"/>
                <w:highlight w:val="none"/>
                <w14:textFill>
                  <w14:solidFill>
                    <w14:schemeClr w14:val="tx1"/>
                  </w14:solidFill>
                </w14:textFill>
              </w:rPr>
              <w:t>分）</w:t>
            </w:r>
          </w:p>
          <w:p>
            <w:pPr>
              <w:pStyle w:val="331"/>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（3）工作管理机制的创新程度（0-</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cs="宋体"/>
                <w:color w:val="000000" w:themeColor="text1"/>
                <w:sz w:val="18"/>
                <w:szCs w:val="18"/>
                <w:highlight w:val="none"/>
                <w14:textFill>
                  <w14:solidFill>
                    <w14:schemeClr w14:val="tx1"/>
                  </w14:solidFill>
                </w14:textFill>
              </w:rPr>
              <w:t>分）</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0-</w:t>
            </w:r>
            <w:r>
              <w:rPr>
                <w:rFonts w:hint="eastAsia" w:ascii="宋体" w:hAnsi="宋体" w:cs="宋体"/>
                <w:color w:val="000000" w:themeColor="text1"/>
                <w:kern w:val="0"/>
                <w:sz w:val="18"/>
                <w:szCs w:val="18"/>
                <w:highlight w:val="none"/>
                <w:lang w:val="en-US" w:eastAsia="zh-CN"/>
                <w14:textFill>
                  <w14:solidFill>
                    <w14:schemeClr w14:val="tx1"/>
                  </w14:solidFill>
                </w14:textFill>
              </w:rPr>
              <w:t>9</w:t>
            </w:r>
          </w:p>
        </w:tc>
      </w:tr>
      <w:tr>
        <w:tblPrEx>
          <w:tblCellMar>
            <w:top w:w="0" w:type="dxa"/>
            <w:left w:w="108" w:type="dxa"/>
            <w:bottom w:w="0" w:type="dxa"/>
            <w:right w:w="108" w:type="dxa"/>
          </w:tblCellMar>
        </w:tblPrEx>
        <w:trPr>
          <w:trHeight w:val="320" w:hRule="atLeast"/>
        </w:trPr>
        <w:tc>
          <w:tcPr>
            <w:tcW w:w="520" w:type="dxa"/>
            <w:vMerge w:val="continue"/>
            <w:tcBorders>
              <w:left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15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7899" w:type="dxa"/>
            <w:tcBorders>
              <w:top w:val="single" w:color="auto" w:sz="4" w:space="0"/>
              <w:left w:val="single" w:color="auto" w:sz="4" w:space="0"/>
              <w:bottom w:val="single" w:color="auto" w:sz="4" w:space="0"/>
              <w:right w:val="single" w:color="auto" w:sz="4" w:space="0"/>
            </w:tcBorders>
            <w:noWrap/>
            <w:vAlign w:val="center"/>
          </w:tcPr>
          <w:p>
            <w:pPr>
              <w:pStyle w:val="331"/>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卫生环境保洁方案：卫生环境保洁方案针对性、可实施性：优4-</w:t>
            </w:r>
            <w:r>
              <w:rPr>
                <w:rFonts w:hint="eastAsia" w:ascii="宋体" w:hAnsi="宋体" w:cs="宋体"/>
                <w:color w:val="000000" w:themeColor="text1"/>
                <w:sz w:val="18"/>
                <w:szCs w:val="18"/>
                <w:highlight w:val="none"/>
                <w:lang w:val="en-US" w:eastAsia="zh-CN"/>
                <w14:textFill>
                  <w14:solidFill>
                    <w14:schemeClr w14:val="tx1"/>
                  </w14:solidFill>
                </w14:textFill>
              </w:rPr>
              <w:t>6</w:t>
            </w:r>
            <w:r>
              <w:rPr>
                <w:rFonts w:hint="eastAsia" w:ascii="宋体" w:hAnsi="宋体" w:cs="宋体"/>
                <w:color w:val="000000" w:themeColor="text1"/>
                <w:sz w:val="18"/>
                <w:szCs w:val="18"/>
                <w:highlight w:val="none"/>
                <w14:textFill>
                  <w14:solidFill>
                    <w14:schemeClr w14:val="tx1"/>
                  </w14:solidFill>
                </w14:textFill>
              </w:rPr>
              <w:t>分，良2-3分，一般1分。</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6</w:t>
            </w:r>
          </w:p>
        </w:tc>
      </w:tr>
      <w:tr>
        <w:tblPrEx>
          <w:tblCellMar>
            <w:top w:w="0" w:type="dxa"/>
            <w:left w:w="108" w:type="dxa"/>
            <w:bottom w:w="0" w:type="dxa"/>
            <w:right w:w="108" w:type="dxa"/>
          </w:tblCellMar>
        </w:tblPrEx>
        <w:trPr>
          <w:trHeight w:val="418" w:hRule="atLeast"/>
        </w:trPr>
        <w:tc>
          <w:tcPr>
            <w:tcW w:w="520" w:type="dxa"/>
            <w:vMerge w:val="continue"/>
            <w:tcBorders>
              <w:left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15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7899" w:type="dxa"/>
            <w:tcBorders>
              <w:top w:val="single" w:color="auto" w:sz="4" w:space="0"/>
              <w:left w:val="single" w:color="auto" w:sz="4" w:space="0"/>
              <w:bottom w:val="single" w:color="auto" w:sz="4" w:space="0"/>
              <w:right w:val="single" w:color="auto" w:sz="4" w:space="0"/>
            </w:tcBorders>
            <w:noWrap/>
            <w:vAlign w:val="center"/>
          </w:tcPr>
          <w:p>
            <w:pPr>
              <w:pStyle w:val="331"/>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安全教育及安全作业方案：制定安全制度、安全预案，对本项目的安全教育、安全生产责任分配、安全检查及记录、安全事故善后措施及赔偿方案，优4-</w:t>
            </w:r>
            <w:r>
              <w:rPr>
                <w:rFonts w:hint="eastAsia" w:ascii="宋体" w:hAnsi="宋体" w:cs="宋体"/>
                <w:color w:val="000000" w:themeColor="text1"/>
                <w:sz w:val="18"/>
                <w:szCs w:val="18"/>
                <w:highlight w:val="none"/>
                <w:lang w:val="en-US" w:eastAsia="zh-CN"/>
                <w14:textFill>
                  <w14:solidFill>
                    <w14:schemeClr w14:val="tx1"/>
                  </w14:solidFill>
                </w14:textFill>
              </w:rPr>
              <w:t>6</w:t>
            </w:r>
            <w:r>
              <w:rPr>
                <w:rFonts w:hint="eastAsia" w:ascii="宋体" w:hAnsi="宋体" w:cs="宋体"/>
                <w:color w:val="000000" w:themeColor="text1"/>
                <w:sz w:val="18"/>
                <w:szCs w:val="18"/>
                <w:highlight w:val="none"/>
                <w14:textFill>
                  <w14:solidFill>
                    <w14:schemeClr w14:val="tx1"/>
                  </w14:solidFill>
                </w14:textFill>
              </w:rPr>
              <w:t>分，良2-3分，一般1分。</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6</w:t>
            </w:r>
          </w:p>
        </w:tc>
      </w:tr>
      <w:tr>
        <w:tblPrEx>
          <w:tblCellMar>
            <w:top w:w="0" w:type="dxa"/>
            <w:left w:w="108" w:type="dxa"/>
            <w:bottom w:w="0" w:type="dxa"/>
            <w:right w:w="108" w:type="dxa"/>
          </w:tblCellMar>
        </w:tblPrEx>
        <w:trPr>
          <w:trHeight w:val="418" w:hRule="atLeast"/>
        </w:trPr>
        <w:tc>
          <w:tcPr>
            <w:tcW w:w="520" w:type="dxa"/>
            <w:vMerge w:val="continue"/>
            <w:tcBorders>
              <w:left w:val="single" w:color="auto" w:sz="4" w:space="0"/>
              <w:bottom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1512"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7899" w:type="dxa"/>
            <w:tcBorders>
              <w:top w:val="single" w:color="auto" w:sz="4" w:space="0"/>
              <w:left w:val="single" w:color="auto" w:sz="4" w:space="0"/>
              <w:bottom w:val="single" w:color="auto" w:sz="4" w:space="0"/>
              <w:right w:val="single" w:color="auto" w:sz="4" w:space="0"/>
            </w:tcBorders>
            <w:noWrap/>
            <w:vAlign w:val="center"/>
          </w:tcPr>
          <w:p>
            <w:pPr>
              <w:pStyle w:val="331"/>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应急保障：投标人提供的针对大型活动、迎检、创优评先、投诉和突击检查等特殊情况时需采取应急保障措施，优4-</w:t>
            </w:r>
            <w:r>
              <w:rPr>
                <w:rFonts w:hint="eastAsia" w:ascii="宋体" w:hAnsi="宋体" w:cs="宋体"/>
                <w:color w:val="000000" w:themeColor="text1"/>
                <w:sz w:val="18"/>
                <w:szCs w:val="18"/>
                <w:highlight w:val="none"/>
                <w:lang w:val="en-US" w:eastAsia="zh-CN"/>
                <w14:textFill>
                  <w14:solidFill>
                    <w14:schemeClr w14:val="tx1"/>
                  </w14:solidFill>
                </w14:textFill>
              </w:rPr>
              <w:t>6</w:t>
            </w:r>
            <w:r>
              <w:rPr>
                <w:rFonts w:hint="eastAsia" w:ascii="宋体" w:hAnsi="宋体" w:cs="宋体"/>
                <w:color w:val="000000" w:themeColor="text1"/>
                <w:sz w:val="18"/>
                <w:szCs w:val="18"/>
                <w:highlight w:val="none"/>
                <w14:textFill>
                  <w14:solidFill>
                    <w14:schemeClr w14:val="tx1"/>
                  </w14:solidFill>
                </w14:textFill>
              </w:rPr>
              <w:t>分，良2-3分，一般1分。</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6</w:t>
            </w:r>
          </w:p>
        </w:tc>
      </w:tr>
      <w:tr>
        <w:tblPrEx>
          <w:tblCellMar>
            <w:top w:w="0" w:type="dxa"/>
            <w:left w:w="108" w:type="dxa"/>
            <w:bottom w:w="0" w:type="dxa"/>
            <w:right w:w="108" w:type="dxa"/>
          </w:tblCellMar>
        </w:tblPrEx>
        <w:trPr>
          <w:trHeight w:val="418" w:hRule="atLeast"/>
        </w:trPr>
        <w:tc>
          <w:tcPr>
            <w:tcW w:w="520" w:type="dxa"/>
            <w:vMerge w:val="restart"/>
            <w:tcBorders>
              <w:left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w:t>
            </w:r>
          </w:p>
        </w:tc>
        <w:tc>
          <w:tcPr>
            <w:tcW w:w="1512" w:type="dxa"/>
            <w:vMerge w:val="restart"/>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项目管理机构运作方法及管理制度（12分）</w:t>
            </w:r>
          </w:p>
        </w:tc>
        <w:tc>
          <w:tcPr>
            <w:tcW w:w="7899" w:type="dxa"/>
            <w:tcBorders>
              <w:top w:val="single" w:color="auto" w:sz="4" w:space="0"/>
              <w:left w:val="single" w:color="auto" w:sz="4" w:space="0"/>
              <w:bottom w:val="single" w:color="auto" w:sz="4" w:space="0"/>
              <w:right w:val="single" w:color="auto" w:sz="4" w:space="0"/>
            </w:tcBorders>
            <w:noWrap/>
            <w:vAlign w:val="center"/>
          </w:tcPr>
          <w:p>
            <w:pPr>
              <w:pStyle w:val="331"/>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投标人项目管理机构、工作职能组织运行等清晰、合理。有明确的项目负责人的管理职责、内部管理的职责分工等。较优得3-4分，一般得1-2分，不满足得0分。</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0-4</w:t>
            </w:r>
          </w:p>
        </w:tc>
      </w:tr>
      <w:tr>
        <w:tblPrEx>
          <w:tblCellMar>
            <w:top w:w="0" w:type="dxa"/>
            <w:left w:w="108" w:type="dxa"/>
            <w:bottom w:w="0" w:type="dxa"/>
            <w:right w:w="108" w:type="dxa"/>
          </w:tblCellMar>
        </w:tblPrEx>
        <w:trPr>
          <w:trHeight w:val="184" w:hRule="atLeast"/>
        </w:trPr>
        <w:tc>
          <w:tcPr>
            <w:tcW w:w="520" w:type="dxa"/>
            <w:vMerge w:val="continue"/>
            <w:tcBorders>
              <w:left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15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7899" w:type="dxa"/>
            <w:tcBorders>
              <w:top w:val="single" w:color="auto" w:sz="4" w:space="0"/>
              <w:left w:val="single" w:color="auto" w:sz="4" w:space="0"/>
              <w:bottom w:val="single" w:color="auto" w:sz="4" w:space="0"/>
              <w:right w:val="single" w:color="auto" w:sz="4" w:space="0"/>
            </w:tcBorders>
            <w:noWrap/>
            <w:vAlign w:val="center"/>
          </w:tcPr>
          <w:p>
            <w:pPr>
              <w:pStyle w:val="331"/>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为确保服务质量，制定相关人员培训方案较优得3-4分，一般得1-2分，不满足得0分。</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0-4</w:t>
            </w:r>
          </w:p>
        </w:tc>
      </w:tr>
      <w:tr>
        <w:tblPrEx>
          <w:tblCellMar>
            <w:top w:w="0" w:type="dxa"/>
            <w:left w:w="108" w:type="dxa"/>
            <w:bottom w:w="0" w:type="dxa"/>
            <w:right w:w="108" w:type="dxa"/>
          </w:tblCellMar>
        </w:tblPrEx>
        <w:trPr>
          <w:trHeight w:val="90" w:hRule="atLeast"/>
        </w:trPr>
        <w:tc>
          <w:tcPr>
            <w:tcW w:w="520" w:type="dxa"/>
            <w:vMerge w:val="continue"/>
            <w:tcBorders>
              <w:left w:val="single" w:color="auto" w:sz="4" w:space="0"/>
              <w:bottom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1512"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7899" w:type="dxa"/>
            <w:tcBorders>
              <w:top w:val="single" w:color="auto" w:sz="4" w:space="0"/>
              <w:left w:val="single" w:color="auto" w:sz="4" w:space="0"/>
              <w:bottom w:val="single" w:color="auto" w:sz="4" w:space="0"/>
              <w:right w:val="single" w:color="auto" w:sz="4" w:space="0"/>
            </w:tcBorders>
            <w:noWrap/>
            <w:vAlign w:val="center"/>
          </w:tcPr>
          <w:p>
            <w:pPr>
              <w:pStyle w:val="331"/>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对物业服务人员有完善的日常管理制度和考核办法。较优得3-4分，一般得1-2分，不满足得0分。</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0-4</w:t>
            </w:r>
          </w:p>
        </w:tc>
      </w:tr>
      <w:tr>
        <w:tblPrEx>
          <w:tblCellMar>
            <w:top w:w="0" w:type="dxa"/>
            <w:left w:w="108" w:type="dxa"/>
            <w:bottom w:w="0" w:type="dxa"/>
            <w:right w:w="108" w:type="dxa"/>
          </w:tblCellMar>
        </w:tblPrEx>
        <w:trPr>
          <w:trHeight w:val="90" w:hRule="atLeast"/>
        </w:trPr>
        <w:tc>
          <w:tcPr>
            <w:tcW w:w="520" w:type="dxa"/>
            <w:vMerge w:val="restart"/>
            <w:tcBorders>
              <w:top w:val="single" w:color="auto" w:sz="4" w:space="0"/>
              <w:left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7</w:t>
            </w:r>
          </w:p>
        </w:tc>
        <w:tc>
          <w:tcPr>
            <w:tcW w:w="1512" w:type="dxa"/>
            <w:vMerge w:val="restart"/>
            <w:tcBorders>
              <w:top w:val="single" w:color="auto" w:sz="4" w:space="0"/>
              <w:left w:val="single" w:color="auto" w:sz="4" w:space="0"/>
              <w:right w:val="single" w:color="auto" w:sz="4" w:space="0"/>
            </w:tcBorders>
            <w:noWrap/>
            <w:vAlign w:val="center"/>
          </w:tcPr>
          <w:p>
            <w:pPr>
              <w:pStyle w:val="3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人员配备情况</w:t>
            </w:r>
          </w:p>
          <w:p>
            <w:pPr>
              <w:pStyle w:val="3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18"/>
                <w:szCs w:val="18"/>
                <w:highlight w:val="none"/>
                <w:lang w:val="zh-CN"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14</w:t>
            </w:r>
            <w:r>
              <w:rPr>
                <w:rFonts w:hint="eastAsia" w:ascii="宋体" w:hAnsi="宋体" w:cs="宋体"/>
                <w:color w:val="000000" w:themeColor="text1"/>
                <w:sz w:val="18"/>
                <w:szCs w:val="18"/>
                <w:highlight w:val="none"/>
                <w14:textFill>
                  <w14:solidFill>
                    <w14:schemeClr w14:val="tx1"/>
                  </w14:solidFill>
                </w14:textFill>
              </w:rPr>
              <w:t>分）</w:t>
            </w:r>
          </w:p>
        </w:tc>
        <w:tc>
          <w:tcPr>
            <w:tcW w:w="7899" w:type="dxa"/>
            <w:tcBorders>
              <w:top w:val="single" w:color="auto" w:sz="4" w:space="0"/>
              <w:left w:val="single" w:color="auto" w:sz="4" w:space="0"/>
              <w:right w:val="single" w:color="auto" w:sz="4" w:space="0"/>
            </w:tcBorders>
            <w:noWrap/>
            <w:vAlign w:val="center"/>
          </w:tcPr>
          <w:p>
            <w:pPr>
              <w:pStyle w:val="331"/>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根据管理机构运作方式及管理制度；人员配置（根据专业人员资格证书、人员数量、素质、培训计划、作业规范、人员管理制度等方面综合评定）；较优得</w:t>
            </w:r>
            <w:r>
              <w:rPr>
                <w:rFonts w:hint="eastAsia" w:ascii="宋体" w:hAnsi="宋体" w:cs="宋体"/>
                <w:color w:val="000000" w:themeColor="text1"/>
                <w:sz w:val="18"/>
                <w:szCs w:val="18"/>
                <w:highlight w:val="none"/>
                <w14:textFill>
                  <w14:solidFill>
                    <w14:schemeClr w14:val="tx1"/>
                  </w14:solidFill>
                </w14:textFill>
              </w:rPr>
              <w:t>5-8</w:t>
            </w:r>
            <w:r>
              <w:rPr>
                <w:rFonts w:hint="eastAsia" w:ascii="宋体" w:hAnsi="宋体" w:cs="宋体"/>
                <w:color w:val="000000" w:themeColor="text1"/>
                <w:sz w:val="18"/>
                <w:szCs w:val="18"/>
                <w:highlight w:val="none"/>
                <w:lang w:val="zh-CN"/>
                <w14:textFill>
                  <w14:solidFill>
                    <w14:schemeClr w14:val="tx1"/>
                  </w14:solidFill>
                </w14:textFill>
              </w:rPr>
              <w:t>分，一般得</w:t>
            </w:r>
            <w:r>
              <w:rPr>
                <w:rFonts w:hint="eastAsia" w:ascii="宋体" w:hAnsi="宋体" w:cs="宋体"/>
                <w:color w:val="000000" w:themeColor="text1"/>
                <w:sz w:val="18"/>
                <w:szCs w:val="18"/>
                <w:highlight w:val="none"/>
                <w14:textFill>
                  <w14:solidFill>
                    <w14:schemeClr w14:val="tx1"/>
                  </w14:solidFill>
                </w14:textFill>
              </w:rPr>
              <w:t>1-4</w:t>
            </w:r>
            <w:r>
              <w:rPr>
                <w:rFonts w:hint="eastAsia" w:ascii="宋体" w:hAnsi="宋体" w:cs="宋体"/>
                <w:color w:val="000000" w:themeColor="text1"/>
                <w:sz w:val="18"/>
                <w:szCs w:val="18"/>
                <w:highlight w:val="none"/>
                <w:lang w:val="zh-CN"/>
                <w14:textFill>
                  <w14:solidFill>
                    <w14:schemeClr w14:val="tx1"/>
                  </w14:solidFill>
                </w14:textFill>
              </w:rPr>
              <w:t>分，不满足得0分。</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0-8</w:t>
            </w:r>
          </w:p>
        </w:tc>
      </w:tr>
      <w:tr>
        <w:tblPrEx>
          <w:tblCellMar>
            <w:top w:w="0" w:type="dxa"/>
            <w:left w:w="108" w:type="dxa"/>
            <w:bottom w:w="0" w:type="dxa"/>
            <w:right w:w="108" w:type="dxa"/>
          </w:tblCellMar>
        </w:tblPrEx>
        <w:trPr>
          <w:trHeight w:val="90" w:hRule="atLeast"/>
        </w:trPr>
        <w:tc>
          <w:tcPr>
            <w:tcW w:w="520" w:type="dxa"/>
            <w:vMerge w:val="continue"/>
            <w:tcBorders>
              <w:left w:val="single" w:color="auto" w:sz="4" w:space="0"/>
              <w:right w:val="single" w:color="auto" w:sz="4" w:space="0"/>
            </w:tcBorders>
            <w:noWrap/>
            <w:textDirection w:val="lrTbV"/>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1512" w:type="dxa"/>
            <w:vMerge w:val="continue"/>
            <w:tcBorders>
              <w:left w:val="single" w:color="auto" w:sz="4" w:space="0"/>
              <w:right w:val="single" w:color="auto" w:sz="4" w:space="0"/>
            </w:tcBorders>
            <w:noWrap/>
            <w:vAlign w:val="center"/>
          </w:tcPr>
          <w:p>
            <w:pPr>
              <w:pStyle w:val="331"/>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color w:val="000000" w:themeColor="text1"/>
                <w:sz w:val="18"/>
                <w:szCs w:val="18"/>
                <w:highlight w:val="none"/>
                <w14:textFill>
                  <w14:solidFill>
                    <w14:schemeClr w14:val="tx1"/>
                  </w14:solidFill>
                </w14:textFill>
              </w:rPr>
            </w:pPr>
          </w:p>
        </w:tc>
        <w:tc>
          <w:tcPr>
            <w:tcW w:w="7899"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宋体" w:cs="宋体"/>
                <w:color w:val="000000" w:themeColor="text1"/>
                <w:kern w:val="0"/>
                <w:sz w:val="18"/>
                <w:szCs w:val="18"/>
                <w:highlight w:val="none"/>
                <w:lang w:val="zh-CN" w:eastAsia="zh-CN"/>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使用本地人员和南疆务工人员比例不低于</w:t>
            </w:r>
            <w:r>
              <w:rPr>
                <w:rFonts w:hint="eastAsia" w:ascii="宋体" w:hAnsi="宋体" w:cs="宋体"/>
                <w:color w:val="000000" w:themeColor="text1"/>
                <w:kern w:val="0"/>
                <w:sz w:val="18"/>
                <w:szCs w:val="18"/>
                <w:highlight w:val="none"/>
                <w14:textFill>
                  <w14:solidFill>
                    <w14:schemeClr w14:val="tx1"/>
                  </w14:solidFill>
                </w14:textFill>
              </w:rPr>
              <w:t>70%得2分，不低于80%得4分，不低于90%得6分。未提供不得分</w:t>
            </w:r>
            <w:r>
              <w:rPr>
                <w:rFonts w:hint="eastAsia" w:ascii="宋体" w:hAnsi="宋体" w:cs="宋体"/>
                <w:b/>
                <w:bCs/>
                <w:color w:val="000000" w:themeColor="text1"/>
                <w:kern w:val="0"/>
                <w:sz w:val="18"/>
                <w:szCs w:val="18"/>
                <w:highlight w:val="none"/>
                <w14:textFill>
                  <w14:solidFill>
                    <w14:schemeClr w14:val="tx1"/>
                  </w14:solidFill>
                </w14:textFill>
              </w:rPr>
              <w:t>（投标人必须提供承诺书，且中标后严格执行）</w:t>
            </w:r>
            <w:r>
              <w:rPr>
                <w:rFonts w:hint="eastAsia" w:ascii="宋体" w:hAnsi="宋体" w:cs="宋体"/>
                <w:b/>
                <w:bCs/>
                <w:color w:val="000000" w:themeColor="text1"/>
                <w:kern w:val="0"/>
                <w:sz w:val="18"/>
                <w:szCs w:val="18"/>
                <w:highlight w:val="none"/>
                <w:lang w:eastAsia="zh-CN"/>
                <w14:textFill>
                  <w14:solidFill>
                    <w14:schemeClr w14:val="tx1"/>
                  </w14:solidFill>
                </w14:textFill>
              </w:rPr>
              <w:t>。</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0-6</w:t>
            </w:r>
          </w:p>
        </w:tc>
      </w:tr>
      <w:tr>
        <w:tblPrEx>
          <w:tblCellMar>
            <w:top w:w="0" w:type="dxa"/>
            <w:left w:w="108" w:type="dxa"/>
            <w:bottom w:w="0" w:type="dxa"/>
            <w:right w:w="108" w:type="dxa"/>
          </w:tblCellMar>
        </w:tblPrEx>
        <w:trPr>
          <w:trHeight w:val="444" w:hRule="atLeast"/>
        </w:trPr>
        <w:tc>
          <w:tcPr>
            <w:tcW w:w="5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8</w:t>
            </w:r>
          </w:p>
        </w:tc>
        <w:tc>
          <w:tcPr>
            <w:tcW w:w="15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质量保证措施及服务承诺（6分）</w:t>
            </w:r>
          </w:p>
        </w:tc>
        <w:tc>
          <w:tcPr>
            <w:tcW w:w="78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质量保证体系的建立健全程度 ：制度健全得4-6分，基本健全得1-3分，没有相关管理制度和方案的不得分。</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0-6</w:t>
            </w:r>
          </w:p>
        </w:tc>
      </w:tr>
      <w:tr>
        <w:tblPrEx>
          <w:tblCellMar>
            <w:top w:w="0" w:type="dxa"/>
            <w:left w:w="108" w:type="dxa"/>
            <w:bottom w:w="0" w:type="dxa"/>
            <w:right w:w="108" w:type="dxa"/>
          </w:tblCellMar>
        </w:tblPrEx>
        <w:trPr>
          <w:trHeight w:val="137" w:hRule="atLeast"/>
        </w:trPr>
        <w:tc>
          <w:tcPr>
            <w:tcW w:w="5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9</w:t>
            </w:r>
          </w:p>
        </w:tc>
        <w:tc>
          <w:tcPr>
            <w:tcW w:w="15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投标文件编制质量（</w:t>
            </w:r>
            <w:r>
              <w:rPr>
                <w:rFonts w:hint="eastAsia" w:ascii="宋体" w:hAnsi="宋体" w:cs="宋体"/>
                <w:color w:val="000000" w:themeColor="text1"/>
                <w:kern w:val="0"/>
                <w:sz w:val="18"/>
                <w:szCs w:val="18"/>
                <w:highlight w:val="none"/>
                <w:lang w:val="en-US" w:eastAsia="zh-CN"/>
                <w14:textFill>
                  <w14:solidFill>
                    <w14:schemeClr w14:val="tx1"/>
                  </w14:solidFill>
                </w14:textFill>
              </w:rPr>
              <w:t>5</w:t>
            </w:r>
            <w:r>
              <w:rPr>
                <w:rFonts w:hint="eastAsia" w:ascii="宋体" w:hAnsi="宋体" w:cs="宋体"/>
                <w:color w:val="000000" w:themeColor="text1"/>
                <w:kern w:val="0"/>
                <w:sz w:val="18"/>
                <w:szCs w:val="18"/>
                <w:highlight w:val="none"/>
                <w14:textFill>
                  <w14:solidFill>
                    <w14:schemeClr w14:val="tx1"/>
                  </w14:solidFill>
                </w14:textFill>
              </w:rPr>
              <w:t>分）</w:t>
            </w:r>
          </w:p>
        </w:tc>
        <w:tc>
          <w:tcPr>
            <w:tcW w:w="78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投标人根据招标文件条款和要求认真组织编写投标文件及相关工作。没有细微偏差的得</w:t>
            </w:r>
            <w:r>
              <w:rPr>
                <w:rFonts w:hint="eastAsia" w:ascii="宋体" w:hAnsi="宋体" w:cs="宋体"/>
                <w:color w:val="000000" w:themeColor="text1"/>
                <w:kern w:val="0"/>
                <w:sz w:val="18"/>
                <w:szCs w:val="18"/>
                <w:highlight w:val="none"/>
                <w:lang w:val="en-US" w:eastAsia="zh-CN"/>
                <w14:textFill>
                  <w14:solidFill>
                    <w14:schemeClr w14:val="tx1"/>
                  </w14:solidFill>
                </w14:textFill>
              </w:rPr>
              <w:t>5</w:t>
            </w:r>
            <w:r>
              <w:rPr>
                <w:rFonts w:hint="eastAsia" w:ascii="宋体" w:hAnsi="宋体" w:cs="宋体"/>
                <w:color w:val="000000" w:themeColor="text1"/>
                <w:kern w:val="0"/>
                <w:sz w:val="18"/>
                <w:szCs w:val="18"/>
                <w:highlight w:val="none"/>
                <w14:textFill>
                  <w14:solidFill>
                    <w14:schemeClr w14:val="tx1"/>
                  </w14:solidFill>
                </w14:textFill>
              </w:rPr>
              <w:t>分，有一项偏差的扣</w:t>
            </w:r>
            <w:r>
              <w:rPr>
                <w:rFonts w:hint="eastAsia" w:ascii="宋体" w:hAnsi="宋体" w:cs="宋体"/>
                <w:color w:val="000000" w:themeColor="text1"/>
                <w:kern w:val="0"/>
                <w:sz w:val="18"/>
                <w:szCs w:val="18"/>
                <w:highlight w:val="none"/>
                <w:lang w:val="en-US" w:eastAsia="zh-CN"/>
                <w14:textFill>
                  <w14:solidFill>
                    <w14:schemeClr w14:val="tx1"/>
                  </w14:solidFill>
                </w14:textFill>
              </w:rPr>
              <w:t>1</w:t>
            </w:r>
            <w:r>
              <w:rPr>
                <w:rFonts w:hint="eastAsia" w:ascii="宋体" w:hAnsi="宋体" w:cs="宋体"/>
                <w:color w:val="000000" w:themeColor="text1"/>
                <w:kern w:val="0"/>
                <w:sz w:val="18"/>
                <w:szCs w:val="18"/>
                <w:highlight w:val="none"/>
                <w14:textFill>
                  <w14:solidFill>
                    <w14:schemeClr w14:val="tx1"/>
                  </w14:solidFill>
                </w14:textFill>
              </w:rPr>
              <w:t>分，扣分扣至0分为止。</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0-</w:t>
            </w:r>
            <w:r>
              <w:rPr>
                <w:rFonts w:hint="eastAsia" w:ascii="宋体" w:hAnsi="宋体" w:cs="宋体"/>
                <w:color w:val="000000" w:themeColor="text1"/>
                <w:kern w:val="0"/>
                <w:sz w:val="18"/>
                <w:szCs w:val="18"/>
                <w:highlight w:val="none"/>
                <w:lang w:val="en-US" w:eastAsia="zh-CN"/>
                <w14:textFill>
                  <w14:solidFill>
                    <w14:schemeClr w14:val="tx1"/>
                  </w14:solidFill>
                </w14:textFill>
              </w:rPr>
              <w:t>5</w:t>
            </w:r>
          </w:p>
        </w:tc>
      </w:tr>
      <w:tr>
        <w:tblPrEx>
          <w:tblCellMar>
            <w:top w:w="0" w:type="dxa"/>
            <w:left w:w="108" w:type="dxa"/>
            <w:bottom w:w="0" w:type="dxa"/>
            <w:right w:w="108" w:type="dxa"/>
          </w:tblCellMar>
        </w:tblPrEx>
        <w:trPr>
          <w:trHeight w:val="93" w:hRule="atLeast"/>
        </w:trPr>
        <w:tc>
          <w:tcPr>
            <w:tcW w:w="993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评审得分合计</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w:t>
            </w:r>
          </w:p>
        </w:tc>
      </w:tr>
      <w:tr>
        <w:tblPrEx>
          <w:tblCellMar>
            <w:top w:w="0" w:type="dxa"/>
            <w:left w:w="108" w:type="dxa"/>
            <w:bottom w:w="0" w:type="dxa"/>
            <w:right w:w="108" w:type="dxa"/>
          </w:tblCellMar>
        </w:tblPrEx>
        <w:trPr>
          <w:trHeight w:val="198" w:hRule="atLeast"/>
        </w:trPr>
        <w:tc>
          <w:tcPr>
            <w:tcW w:w="993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ind w:firstLine="361" w:firstLineChars="200"/>
              <w:jc w:val="center"/>
              <w:textAlignment w:val="auto"/>
              <w:rPr>
                <w:rFonts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注：评分计算结果保留两位小数，第三位小数四舍五入。</w:t>
            </w:r>
          </w:p>
        </w:tc>
        <w:tc>
          <w:tcPr>
            <w:tcW w:w="6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相关说明：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1、关于小微企业：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1.1按&lt;关于印发《政府采购促进中小企业发展暂行办法》的通知&gt;（财库〔</w:t>
      </w:r>
      <w:r>
        <w:rPr>
          <w:rFonts w:hint="eastAsia" w:ascii="黑体" w:hAnsi="黑体" w:eastAsia="黑体" w:cs="黑体"/>
          <w:b/>
          <w:color w:val="000000" w:themeColor="text1"/>
          <w:sz w:val="28"/>
          <w:szCs w:val="28"/>
          <w:highlight w:val="none"/>
          <w:lang w:val="en-US" w:eastAsia="zh-CN"/>
          <w14:textFill>
            <w14:solidFill>
              <w14:schemeClr w14:val="tx1"/>
            </w14:solidFill>
          </w14:textFill>
        </w:rPr>
        <w:t>2020</w:t>
      </w:r>
      <w:r>
        <w:rPr>
          <w:rFonts w:hint="eastAsia" w:ascii="黑体" w:hAnsi="黑体" w:eastAsia="黑体" w:cs="黑体"/>
          <w:b/>
          <w:color w:val="000000" w:themeColor="text1"/>
          <w:sz w:val="28"/>
          <w:szCs w:val="28"/>
          <w:highlight w:val="none"/>
          <w14:textFill>
            <w14:solidFill>
              <w14:schemeClr w14:val="tx1"/>
            </w14:solidFill>
          </w14:textFill>
        </w:rPr>
        <w:t>〕</w:t>
      </w:r>
      <w:r>
        <w:rPr>
          <w:rFonts w:hint="eastAsia" w:ascii="黑体" w:hAnsi="黑体" w:eastAsia="黑体" w:cs="黑体"/>
          <w:b/>
          <w:color w:val="000000" w:themeColor="text1"/>
          <w:sz w:val="28"/>
          <w:szCs w:val="28"/>
          <w:highlight w:val="none"/>
          <w:lang w:val="en-US" w:eastAsia="zh-CN"/>
          <w14:textFill>
            <w14:solidFill>
              <w14:schemeClr w14:val="tx1"/>
            </w14:solidFill>
          </w14:textFill>
        </w:rPr>
        <w:t>46</w:t>
      </w:r>
      <w:r>
        <w:rPr>
          <w:rFonts w:hint="eastAsia" w:ascii="黑体" w:hAnsi="黑体" w:eastAsia="黑体" w:cs="黑体"/>
          <w:b/>
          <w:color w:val="000000" w:themeColor="text1"/>
          <w:sz w:val="28"/>
          <w:szCs w:val="28"/>
          <w:highlight w:val="none"/>
          <w14:textFill>
            <w14:solidFill>
              <w14:schemeClr w14:val="tx1"/>
            </w14:solidFill>
          </w14:textFill>
        </w:rPr>
        <w:t>号）之规定，</w:t>
      </w:r>
      <w:r>
        <w:rPr>
          <w:rFonts w:hint="eastAsia" w:ascii="黑体" w:hAnsi="黑体" w:eastAsia="黑体" w:cs="黑体"/>
          <w:b/>
          <w:color w:val="000000" w:themeColor="text1"/>
          <w:sz w:val="28"/>
          <w:szCs w:val="28"/>
          <w:highlight w:val="none"/>
          <w:lang w:val="en-US" w:eastAsia="zh-CN"/>
          <w14:textFill>
            <w14:solidFill>
              <w14:schemeClr w14:val="tx1"/>
            </w14:solidFill>
          </w14:textFill>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1.</w:t>
      </w:r>
      <w:r>
        <w:rPr>
          <w:rFonts w:hint="eastAsia" w:ascii="黑体" w:hAnsi="黑体" w:eastAsia="黑体" w:cs="黑体"/>
          <w:b/>
          <w:color w:val="000000" w:themeColor="text1"/>
          <w:sz w:val="28"/>
          <w:szCs w:val="28"/>
          <w:highlight w:val="none"/>
          <w:lang w:val="en-US" w:eastAsia="zh-CN"/>
          <w14:textFill>
            <w14:solidFill>
              <w14:schemeClr w14:val="tx1"/>
            </w14:solidFill>
          </w14:textFill>
        </w:rPr>
        <w:t>1.1在政府采购活动中，供应商提供的货物、工程或者服务符合下列情形的，享受本办法规定的中小企业扶持政策：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lang w:val="en-US" w:eastAsia="zh-CN"/>
          <w14:textFill>
            <w14:solidFill>
              <w14:schemeClr w14:val="tx1"/>
            </w14:solidFill>
          </w14:textFill>
        </w:rPr>
        <w:t xml:space="preserve">（一）在货物采购项目中，货物由中小企业制造，即货物由中小企业生产且使用该中小企业商号或者注册商标；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lang w:val="en-US" w:eastAsia="zh-CN"/>
          <w14:textFill>
            <w14:solidFill>
              <w14:schemeClr w14:val="tx1"/>
            </w14:solidFill>
          </w14:textFill>
        </w:rPr>
        <w:t xml:space="preserve">（二）在工程采购项目中，工程由中小企业承建，即工程施工单位为中小企业；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themeColor="text1"/>
          <w:sz w:val="28"/>
          <w:szCs w:val="28"/>
          <w:highlight w:val="none"/>
          <w:lang w:val="en-US" w:eastAsia="zh-CN"/>
          <w14:textFill>
            <w14:solidFill>
              <w14:schemeClr w14:val="tx1"/>
            </w14:solidFill>
          </w14:textFill>
        </w:rPr>
      </w:pPr>
      <w:r>
        <w:rPr>
          <w:rFonts w:hint="eastAsia" w:ascii="黑体" w:hAnsi="黑体" w:eastAsia="黑体" w:cs="黑体"/>
          <w:b/>
          <w:color w:val="000000" w:themeColor="text1"/>
          <w:sz w:val="28"/>
          <w:szCs w:val="28"/>
          <w:highlight w:val="none"/>
          <w:lang w:val="en-US" w:eastAsia="zh-CN"/>
          <w14:textFill>
            <w14:solidFill>
              <w14:schemeClr w14:val="tx1"/>
            </w14:solidFill>
          </w14:textFill>
        </w:rPr>
        <w:t>（三）在服务采购项目中，服务由中小企业承接，即提供服务的人员为中小企业依照《中华人民共和国劳动合同法》订立劳动合同的从业人员。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lang w:val="en-US" w:eastAsia="zh-CN"/>
          <w14:textFill>
            <w14:solidFill>
              <w14:schemeClr w14:val="tx1"/>
            </w14:solidFill>
          </w14:textFill>
        </w:rPr>
        <w:t xml:space="preserve">在货物采购项目中，供应商提供的货物既有中小企业制造货物，也有大型企业制造货物的，不享受本办法规定的中小企业扶持政策。 </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lang w:val="en-US" w:eastAsia="zh-CN"/>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1.2依照&lt;财政部、司法部关于政府采购支持监狱企业发展有关问题的通知&gt;（财库〔2014〕68号）之规定，监狱企业应当符合以下条件：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1.2.1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1.2. 2监狱企业参加政府采购活动时，视同小型、微型企业，应当提供由省级以上监狱管理局、戒毒管理局（含新疆生产建设兵团）出具的属于监狱企业的证明文件。</w:t>
      </w:r>
    </w:p>
    <w:p>
      <w:pPr>
        <w:spacing w:line="400" w:lineRule="exact"/>
        <w:rPr>
          <w:rFonts w:ascii="仿宋_GB2312" w:eastAsia="仿宋_GB2312"/>
          <w:b/>
          <w:color w:val="000000" w:themeColor="text1"/>
          <w:szCs w:val="21"/>
          <w:highlight w:val="none"/>
          <w14:textFill>
            <w14:solidFill>
              <w14:schemeClr w14:val="tx1"/>
            </w14:solidFill>
          </w14:textFill>
        </w:rPr>
      </w:pPr>
    </w:p>
    <w:sectPr>
      <w:footerReference r:id="rId5" w:type="default"/>
      <w:pgSz w:w="11906" w:h="16838"/>
      <w:pgMar w:top="680"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魏碑体">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a..DD..">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新魏">
    <w:altName w:val="宋体"/>
    <w:panose1 w:val="02010800040101010101"/>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ngsana New">
    <w:panose1 w:val="02020603050405020304"/>
    <w:charset w:val="DE"/>
    <w:family w:val="roman"/>
    <w:pitch w:val="default"/>
    <w:sig w:usb0="81000003" w:usb1="00000000" w:usb2="00000000" w:usb3="00000000" w:csb0="0001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38"/>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wOFPHUAAAAAgEAAA8AAAAAAAAAAQAg&#10;AAAAIgAAAGRycy9kb3ducmV2LnhtbFBLAQIUABQAAAAIAIdO4kD/2Mjq2QEAAKMDAAAOAAAAAAAA&#10;AAEAIAAAACMBAABkcnMvZTJvRG9jLnhtbFBLBQYAAAAABgAGAFkBAABuBQAAAAA=&#10;">
              <v:fill on="f" focussize="0,0"/>
              <v:stroke on="f" weight="1.25pt"/>
              <v:imagedata o:title=""/>
              <o:lock v:ext="edit" aspectratio="f"/>
              <v:textbox inset="0mm,0mm,0mm,0mm" style="mso-fit-shape-to-text:t;">
                <w:txbxContent>
                  <w:p>
                    <w:pPr>
                      <w:pStyle w:val="3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p>
    <w:pPr>
      <w:pStyle w:val="3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formatting="1" w:enforcement="1" w:cryptProviderType="rsaFull" w:cryptAlgorithmClass="hash" w:cryptAlgorithmType="typeAny" w:cryptAlgorithmSid="4" w:cryptSpinCount="0" w:hash="8f1J0Rj6M69mJEP1zrjkhImjQpE=" w:salt="hAyawCZKg9u7w5CcpOalqg=="/>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61"/>
    <w:rsid w:val="00002525"/>
    <w:rsid w:val="0000262F"/>
    <w:rsid w:val="000034E8"/>
    <w:rsid w:val="00003660"/>
    <w:rsid w:val="00003DE5"/>
    <w:rsid w:val="000042D0"/>
    <w:rsid w:val="00004FCD"/>
    <w:rsid w:val="000060DE"/>
    <w:rsid w:val="00006A5C"/>
    <w:rsid w:val="00006B79"/>
    <w:rsid w:val="000102F5"/>
    <w:rsid w:val="000113A5"/>
    <w:rsid w:val="00013648"/>
    <w:rsid w:val="00020451"/>
    <w:rsid w:val="00020981"/>
    <w:rsid w:val="00021217"/>
    <w:rsid w:val="000216B7"/>
    <w:rsid w:val="000220E8"/>
    <w:rsid w:val="000228B6"/>
    <w:rsid w:val="000272BA"/>
    <w:rsid w:val="00027C77"/>
    <w:rsid w:val="00030AC6"/>
    <w:rsid w:val="000319D4"/>
    <w:rsid w:val="000326C7"/>
    <w:rsid w:val="00033CF5"/>
    <w:rsid w:val="000345DF"/>
    <w:rsid w:val="00034DC4"/>
    <w:rsid w:val="00035EA9"/>
    <w:rsid w:val="00036722"/>
    <w:rsid w:val="00037F8C"/>
    <w:rsid w:val="00040698"/>
    <w:rsid w:val="00040E70"/>
    <w:rsid w:val="0004120F"/>
    <w:rsid w:val="00050C06"/>
    <w:rsid w:val="000535B5"/>
    <w:rsid w:val="00057DCF"/>
    <w:rsid w:val="000603EF"/>
    <w:rsid w:val="00067701"/>
    <w:rsid w:val="00070133"/>
    <w:rsid w:val="00071648"/>
    <w:rsid w:val="0007185B"/>
    <w:rsid w:val="00071BE9"/>
    <w:rsid w:val="00072290"/>
    <w:rsid w:val="0007285A"/>
    <w:rsid w:val="00073ABF"/>
    <w:rsid w:val="00074442"/>
    <w:rsid w:val="0007616C"/>
    <w:rsid w:val="00076890"/>
    <w:rsid w:val="00082D10"/>
    <w:rsid w:val="00087EBA"/>
    <w:rsid w:val="0009267C"/>
    <w:rsid w:val="0009489D"/>
    <w:rsid w:val="000A07FC"/>
    <w:rsid w:val="000A295D"/>
    <w:rsid w:val="000A402D"/>
    <w:rsid w:val="000B082F"/>
    <w:rsid w:val="000B0BD7"/>
    <w:rsid w:val="000B2DE6"/>
    <w:rsid w:val="000B5574"/>
    <w:rsid w:val="000B5C17"/>
    <w:rsid w:val="000B6BEB"/>
    <w:rsid w:val="000B7050"/>
    <w:rsid w:val="000C06A2"/>
    <w:rsid w:val="000C153B"/>
    <w:rsid w:val="000C6152"/>
    <w:rsid w:val="000C6FB8"/>
    <w:rsid w:val="000D2E74"/>
    <w:rsid w:val="000D5E5E"/>
    <w:rsid w:val="000D778C"/>
    <w:rsid w:val="000E2DCC"/>
    <w:rsid w:val="000E6B38"/>
    <w:rsid w:val="000E72BD"/>
    <w:rsid w:val="000F0D13"/>
    <w:rsid w:val="000F1C67"/>
    <w:rsid w:val="000F2BF1"/>
    <w:rsid w:val="000F46AB"/>
    <w:rsid w:val="001000E4"/>
    <w:rsid w:val="0010149F"/>
    <w:rsid w:val="001028B4"/>
    <w:rsid w:val="00102FDB"/>
    <w:rsid w:val="00103108"/>
    <w:rsid w:val="00103B3F"/>
    <w:rsid w:val="00110F6E"/>
    <w:rsid w:val="00112A68"/>
    <w:rsid w:val="00113A82"/>
    <w:rsid w:val="00114A98"/>
    <w:rsid w:val="001151E1"/>
    <w:rsid w:val="00115212"/>
    <w:rsid w:val="0011570C"/>
    <w:rsid w:val="00115AEE"/>
    <w:rsid w:val="00116415"/>
    <w:rsid w:val="00116C10"/>
    <w:rsid w:val="00121D0F"/>
    <w:rsid w:val="001221DF"/>
    <w:rsid w:val="0012239A"/>
    <w:rsid w:val="001235E7"/>
    <w:rsid w:val="00123DBA"/>
    <w:rsid w:val="00132588"/>
    <w:rsid w:val="00133445"/>
    <w:rsid w:val="00133646"/>
    <w:rsid w:val="0013387F"/>
    <w:rsid w:val="00133FDC"/>
    <w:rsid w:val="0013470C"/>
    <w:rsid w:val="00135A5C"/>
    <w:rsid w:val="00137B3E"/>
    <w:rsid w:val="00143377"/>
    <w:rsid w:val="001473D1"/>
    <w:rsid w:val="001514FF"/>
    <w:rsid w:val="00153701"/>
    <w:rsid w:val="00154E89"/>
    <w:rsid w:val="0015550A"/>
    <w:rsid w:val="00155A57"/>
    <w:rsid w:val="001575A2"/>
    <w:rsid w:val="0015767E"/>
    <w:rsid w:val="00157EEC"/>
    <w:rsid w:val="001611E4"/>
    <w:rsid w:val="00161F68"/>
    <w:rsid w:val="00163081"/>
    <w:rsid w:val="00163B52"/>
    <w:rsid w:val="00163DD8"/>
    <w:rsid w:val="00163F34"/>
    <w:rsid w:val="00164445"/>
    <w:rsid w:val="00164F48"/>
    <w:rsid w:val="001765A4"/>
    <w:rsid w:val="00176EBF"/>
    <w:rsid w:val="00181429"/>
    <w:rsid w:val="00181957"/>
    <w:rsid w:val="0018380E"/>
    <w:rsid w:val="00197309"/>
    <w:rsid w:val="00197DF7"/>
    <w:rsid w:val="001A0E6B"/>
    <w:rsid w:val="001A1384"/>
    <w:rsid w:val="001A4A17"/>
    <w:rsid w:val="001A4E09"/>
    <w:rsid w:val="001A5149"/>
    <w:rsid w:val="001A6641"/>
    <w:rsid w:val="001A6827"/>
    <w:rsid w:val="001A72F4"/>
    <w:rsid w:val="001A768E"/>
    <w:rsid w:val="001B0206"/>
    <w:rsid w:val="001B07AB"/>
    <w:rsid w:val="001B372B"/>
    <w:rsid w:val="001B3823"/>
    <w:rsid w:val="001B5BEB"/>
    <w:rsid w:val="001B691F"/>
    <w:rsid w:val="001C1DE8"/>
    <w:rsid w:val="001D2310"/>
    <w:rsid w:val="001D6909"/>
    <w:rsid w:val="001D6AA4"/>
    <w:rsid w:val="001E0CAA"/>
    <w:rsid w:val="001E0FE3"/>
    <w:rsid w:val="001E1261"/>
    <w:rsid w:val="001E13FB"/>
    <w:rsid w:val="001E26CD"/>
    <w:rsid w:val="001E2FE3"/>
    <w:rsid w:val="001E65A7"/>
    <w:rsid w:val="001F0B2F"/>
    <w:rsid w:val="001F1398"/>
    <w:rsid w:val="001F1DE5"/>
    <w:rsid w:val="001F2230"/>
    <w:rsid w:val="001F2EBF"/>
    <w:rsid w:val="001F376D"/>
    <w:rsid w:val="001F4D4F"/>
    <w:rsid w:val="001F649C"/>
    <w:rsid w:val="002012F9"/>
    <w:rsid w:val="00201C4D"/>
    <w:rsid w:val="00202CBC"/>
    <w:rsid w:val="00203777"/>
    <w:rsid w:val="00203DBE"/>
    <w:rsid w:val="00203F5A"/>
    <w:rsid w:val="00205DAA"/>
    <w:rsid w:val="00207523"/>
    <w:rsid w:val="00207E29"/>
    <w:rsid w:val="0021045A"/>
    <w:rsid w:val="00212FA6"/>
    <w:rsid w:val="002178B9"/>
    <w:rsid w:val="00220BB4"/>
    <w:rsid w:val="00220CB1"/>
    <w:rsid w:val="00222A6A"/>
    <w:rsid w:val="00222FA3"/>
    <w:rsid w:val="002250CA"/>
    <w:rsid w:val="00231148"/>
    <w:rsid w:val="002327FC"/>
    <w:rsid w:val="002345B9"/>
    <w:rsid w:val="002407A5"/>
    <w:rsid w:val="00243DB8"/>
    <w:rsid w:val="002452DA"/>
    <w:rsid w:val="00245802"/>
    <w:rsid w:val="002507CD"/>
    <w:rsid w:val="002508B3"/>
    <w:rsid w:val="002515A9"/>
    <w:rsid w:val="00253CFC"/>
    <w:rsid w:val="002552C0"/>
    <w:rsid w:val="0025600A"/>
    <w:rsid w:val="0025727F"/>
    <w:rsid w:val="002609A3"/>
    <w:rsid w:val="00263DBA"/>
    <w:rsid w:val="0026694E"/>
    <w:rsid w:val="00266A59"/>
    <w:rsid w:val="00271082"/>
    <w:rsid w:val="0027243E"/>
    <w:rsid w:val="00276348"/>
    <w:rsid w:val="002777F3"/>
    <w:rsid w:val="00277E42"/>
    <w:rsid w:val="00280AAB"/>
    <w:rsid w:val="00282662"/>
    <w:rsid w:val="002846FD"/>
    <w:rsid w:val="00286D80"/>
    <w:rsid w:val="00287C36"/>
    <w:rsid w:val="002908ED"/>
    <w:rsid w:val="00292A1F"/>
    <w:rsid w:val="00296BFC"/>
    <w:rsid w:val="002972D2"/>
    <w:rsid w:val="002A35C0"/>
    <w:rsid w:val="002A45D8"/>
    <w:rsid w:val="002B0FA7"/>
    <w:rsid w:val="002B1AEC"/>
    <w:rsid w:val="002B2195"/>
    <w:rsid w:val="002B328B"/>
    <w:rsid w:val="002B3D18"/>
    <w:rsid w:val="002B67EC"/>
    <w:rsid w:val="002C1CB3"/>
    <w:rsid w:val="002C252B"/>
    <w:rsid w:val="002C2B2E"/>
    <w:rsid w:val="002C2E69"/>
    <w:rsid w:val="002C3521"/>
    <w:rsid w:val="002C403D"/>
    <w:rsid w:val="002C4B97"/>
    <w:rsid w:val="002C6E6E"/>
    <w:rsid w:val="002D3951"/>
    <w:rsid w:val="002D5C6D"/>
    <w:rsid w:val="002D760A"/>
    <w:rsid w:val="002D7EC2"/>
    <w:rsid w:val="002E05D1"/>
    <w:rsid w:val="002E13FF"/>
    <w:rsid w:val="002E69CB"/>
    <w:rsid w:val="002F344E"/>
    <w:rsid w:val="002F5114"/>
    <w:rsid w:val="003006F5"/>
    <w:rsid w:val="00300A9F"/>
    <w:rsid w:val="0030126A"/>
    <w:rsid w:val="00301DF6"/>
    <w:rsid w:val="00302CA4"/>
    <w:rsid w:val="00304ED3"/>
    <w:rsid w:val="00304F25"/>
    <w:rsid w:val="003062E8"/>
    <w:rsid w:val="00306FEB"/>
    <w:rsid w:val="00311643"/>
    <w:rsid w:val="00311796"/>
    <w:rsid w:val="00311A9F"/>
    <w:rsid w:val="0031285E"/>
    <w:rsid w:val="00312BB2"/>
    <w:rsid w:val="00313303"/>
    <w:rsid w:val="003136E9"/>
    <w:rsid w:val="00313D5A"/>
    <w:rsid w:val="003141CE"/>
    <w:rsid w:val="00314E54"/>
    <w:rsid w:val="00315719"/>
    <w:rsid w:val="003208C7"/>
    <w:rsid w:val="00320F15"/>
    <w:rsid w:val="00321F37"/>
    <w:rsid w:val="00322E03"/>
    <w:rsid w:val="003247DF"/>
    <w:rsid w:val="00327794"/>
    <w:rsid w:val="0033115E"/>
    <w:rsid w:val="0033395A"/>
    <w:rsid w:val="00334DC8"/>
    <w:rsid w:val="003365D5"/>
    <w:rsid w:val="00340214"/>
    <w:rsid w:val="00341B42"/>
    <w:rsid w:val="00343B48"/>
    <w:rsid w:val="00346785"/>
    <w:rsid w:val="00355A5D"/>
    <w:rsid w:val="00356269"/>
    <w:rsid w:val="003579E7"/>
    <w:rsid w:val="00363ECB"/>
    <w:rsid w:val="00366A5D"/>
    <w:rsid w:val="0037014D"/>
    <w:rsid w:val="00371697"/>
    <w:rsid w:val="003730EC"/>
    <w:rsid w:val="003733CE"/>
    <w:rsid w:val="00374158"/>
    <w:rsid w:val="00377196"/>
    <w:rsid w:val="00377FDA"/>
    <w:rsid w:val="00380949"/>
    <w:rsid w:val="00380A1F"/>
    <w:rsid w:val="00381FDF"/>
    <w:rsid w:val="00387D6B"/>
    <w:rsid w:val="00387EFD"/>
    <w:rsid w:val="00391EE9"/>
    <w:rsid w:val="00394145"/>
    <w:rsid w:val="003A0C65"/>
    <w:rsid w:val="003A38A5"/>
    <w:rsid w:val="003A3ECC"/>
    <w:rsid w:val="003A677D"/>
    <w:rsid w:val="003B334C"/>
    <w:rsid w:val="003C0AEC"/>
    <w:rsid w:val="003C2AF2"/>
    <w:rsid w:val="003C4FED"/>
    <w:rsid w:val="003C5501"/>
    <w:rsid w:val="003C5797"/>
    <w:rsid w:val="003C713B"/>
    <w:rsid w:val="003C7C5D"/>
    <w:rsid w:val="003D2E73"/>
    <w:rsid w:val="003D35DA"/>
    <w:rsid w:val="003D76A8"/>
    <w:rsid w:val="003E17C4"/>
    <w:rsid w:val="003E303C"/>
    <w:rsid w:val="003E34A7"/>
    <w:rsid w:val="003E42C8"/>
    <w:rsid w:val="003E575C"/>
    <w:rsid w:val="003E7E27"/>
    <w:rsid w:val="003F6838"/>
    <w:rsid w:val="00403FA9"/>
    <w:rsid w:val="0040477B"/>
    <w:rsid w:val="004078A5"/>
    <w:rsid w:val="00414631"/>
    <w:rsid w:val="00415861"/>
    <w:rsid w:val="00416565"/>
    <w:rsid w:val="00416D4C"/>
    <w:rsid w:val="004203AD"/>
    <w:rsid w:val="00420F1C"/>
    <w:rsid w:val="004218AD"/>
    <w:rsid w:val="00426AF2"/>
    <w:rsid w:val="00426CAE"/>
    <w:rsid w:val="0042709B"/>
    <w:rsid w:val="00427C96"/>
    <w:rsid w:val="00431877"/>
    <w:rsid w:val="0043215A"/>
    <w:rsid w:val="0043289D"/>
    <w:rsid w:val="00436246"/>
    <w:rsid w:val="004373E3"/>
    <w:rsid w:val="004421B8"/>
    <w:rsid w:val="00442FE6"/>
    <w:rsid w:val="00443273"/>
    <w:rsid w:val="004441F0"/>
    <w:rsid w:val="004451E5"/>
    <w:rsid w:val="00445982"/>
    <w:rsid w:val="00446B4F"/>
    <w:rsid w:val="00446D54"/>
    <w:rsid w:val="00451BD3"/>
    <w:rsid w:val="0045242E"/>
    <w:rsid w:val="004528A7"/>
    <w:rsid w:val="00455A68"/>
    <w:rsid w:val="00457EBE"/>
    <w:rsid w:val="004619E4"/>
    <w:rsid w:val="00464E16"/>
    <w:rsid w:val="00464ECC"/>
    <w:rsid w:val="00470803"/>
    <w:rsid w:val="004719BA"/>
    <w:rsid w:val="00472616"/>
    <w:rsid w:val="00472DEC"/>
    <w:rsid w:val="0047433B"/>
    <w:rsid w:val="00475E8C"/>
    <w:rsid w:val="004765E3"/>
    <w:rsid w:val="004811C4"/>
    <w:rsid w:val="004835EE"/>
    <w:rsid w:val="00483659"/>
    <w:rsid w:val="0048561B"/>
    <w:rsid w:val="00485756"/>
    <w:rsid w:val="00485ED5"/>
    <w:rsid w:val="00486508"/>
    <w:rsid w:val="0048713A"/>
    <w:rsid w:val="00491D61"/>
    <w:rsid w:val="00492FA2"/>
    <w:rsid w:val="004A3A67"/>
    <w:rsid w:val="004A41E4"/>
    <w:rsid w:val="004A4965"/>
    <w:rsid w:val="004A5647"/>
    <w:rsid w:val="004A58E9"/>
    <w:rsid w:val="004B2C99"/>
    <w:rsid w:val="004B460F"/>
    <w:rsid w:val="004B4664"/>
    <w:rsid w:val="004B4709"/>
    <w:rsid w:val="004B4F2E"/>
    <w:rsid w:val="004B4F39"/>
    <w:rsid w:val="004B4FF9"/>
    <w:rsid w:val="004B5C25"/>
    <w:rsid w:val="004C04E1"/>
    <w:rsid w:val="004C53F7"/>
    <w:rsid w:val="004C6312"/>
    <w:rsid w:val="004C7C28"/>
    <w:rsid w:val="004D123C"/>
    <w:rsid w:val="004D23F4"/>
    <w:rsid w:val="004D2D35"/>
    <w:rsid w:val="004D346A"/>
    <w:rsid w:val="004D3AD2"/>
    <w:rsid w:val="004D7C1C"/>
    <w:rsid w:val="004D7DA1"/>
    <w:rsid w:val="004E2B56"/>
    <w:rsid w:val="004E424D"/>
    <w:rsid w:val="004E4D39"/>
    <w:rsid w:val="004E5930"/>
    <w:rsid w:val="004E5F55"/>
    <w:rsid w:val="004E746F"/>
    <w:rsid w:val="004E7AD2"/>
    <w:rsid w:val="004F0413"/>
    <w:rsid w:val="004F1CD9"/>
    <w:rsid w:val="004F32F1"/>
    <w:rsid w:val="004F4AF6"/>
    <w:rsid w:val="004F4FF4"/>
    <w:rsid w:val="004F5E68"/>
    <w:rsid w:val="004F7392"/>
    <w:rsid w:val="004F7B2F"/>
    <w:rsid w:val="00500E75"/>
    <w:rsid w:val="00502E7D"/>
    <w:rsid w:val="005076A0"/>
    <w:rsid w:val="005118F5"/>
    <w:rsid w:val="005143A3"/>
    <w:rsid w:val="00516147"/>
    <w:rsid w:val="005163A6"/>
    <w:rsid w:val="00516BD7"/>
    <w:rsid w:val="00520D7F"/>
    <w:rsid w:val="00521BDB"/>
    <w:rsid w:val="0052310A"/>
    <w:rsid w:val="00526815"/>
    <w:rsid w:val="0053110E"/>
    <w:rsid w:val="0053350A"/>
    <w:rsid w:val="00533510"/>
    <w:rsid w:val="0053424B"/>
    <w:rsid w:val="00535F25"/>
    <w:rsid w:val="0053655B"/>
    <w:rsid w:val="00541B8B"/>
    <w:rsid w:val="0054371E"/>
    <w:rsid w:val="00547CCF"/>
    <w:rsid w:val="00555999"/>
    <w:rsid w:val="00556447"/>
    <w:rsid w:val="00556A53"/>
    <w:rsid w:val="00562192"/>
    <w:rsid w:val="005636DF"/>
    <w:rsid w:val="00564D9F"/>
    <w:rsid w:val="0056537E"/>
    <w:rsid w:val="00570127"/>
    <w:rsid w:val="00571EDF"/>
    <w:rsid w:val="00572B1B"/>
    <w:rsid w:val="005735DD"/>
    <w:rsid w:val="00573F48"/>
    <w:rsid w:val="00581988"/>
    <w:rsid w:val="0058202B"/>
    <w:rsid w:val="0058373A"/>
    <w:rsid w:val="00583B07"/>
    <w:rsid w:val="00583C32"/>
    <w:rsid w:val="00583F61"/>
    <w:rsid w:val="00584A04"/>
    <w:rsid w:val="00585013"/>
    <w:rsid w:val="00585B04"/>
    <w:rsid w:val="005864F1"/>
    <w:rsid w:val="00586860"/>
    <w:rsid w:val="00586986"/>
    <w:rsid w:val="005870F8"/>
    <w:rsid w:val="005877EF"/>
    <w:rsid w:val="005901B9"/>
    <w:rsid w:val="00590215"/>
    <w:rsid w:val="0059033F"/>
    <w:rsid w:val="00591006"/>
    <w:rsid w:val="00593B21"/>
    <w:rsid w:val="005958CC"/>
    <w:rsid w:val="005A1062"/>
    <w:rsid w:val="005A136C"/>
    <w:rsid w:val="005A1F6A"/>
    <w:rsid w:val="005A2355"/>
    <w:rsid w:val="005A252A"/>
    <w:rsid w:val="005A2D97"/>
    <w:rsid w:val="005A3EB3"/>
    <w:rsid w:val="005A7E43"/>
    <w:rsid w:val="005B4C90"/>
    <w:rsid w:val="005C17CE"/>
    <w:rsid w:val="005C2ADF"/>
    <w:rsid w:val="005C3BCB"/>
    <w:rsid w:val="005C407E"/>
    <w:rsid w:val="005C6574"/>
    <w:rsid w:val="005C657A"/>
    <w:rsid w:val="005C660B"/>
    <w:rsid w:val="005C6B2D"/>
    <w:rsid w:val="005C7074"/>
    <w:rsid w:val="005D0C67"/>
    <w:rsid w:val="005D18C2"/>
    <w:rsid w:val="005D37BC"/>
    <w:rsid w:val="005D429C"/>
    <w:rsid w:val="005D584E"/>
    <w:rsid w:val="005D6BE1"/>
    <w:rsid w:val="005E19C8"/>
    <w:rsid w:val="005E371D"/>
    <w:rsid w:val="005E37BD"/>
    <w:rsid w:val="005E4E34"/>
    <w:rsid w:val="005E7DAF"/>
    <w:rsid w:val="005F2EC4"/>
    <w:rsid w:val="005F4EF4"/>
    <w:rsid w:val="005F63D6"/>
    <w:rsid w:val="005F7F0B"/>
    <w:rsid w:val="00600912"/>
    <w:rsid w:val="00600FDC"/>
    <w:rsid w:val="006021FE"/>
    <w:rsid w:val="00604107"/>
    <w:rsid w:val="00604BCB"/>
    <w:rsid w:val="00607720"/>
    <w:rsid w:val="0061468D"/>
    <w:rsid w:val="00614719"/>
    <w:rsid w:val="006170C6"/>
    <w:rsid w:val="006225C8"/>
    <w:rsid w:val="00623281"/>
    <w:rsid w:val="00626E6D"/>
    <w:rsid w:val="00632C21"/>
    <w:rsid w:val="006332CE"/>
    <w:rsid w:val="00634916"/>
    <w:rsid w:val="006423F3"/>
    <w:rsid w:val="00642BC5"/>
    <w:rsid w:val="00642C33"/>
    <w:rsid w:val="00642CA4"/>
    <w:rsid w:val="0064337A"/>
    <w:rsid w:val="00644DC2"/>
    <w:rsid w:val="00645C9B"/>
    <w:rsid w:val="006542E3"/>
    <w:rsid w:val="00654559"/>
    <w:rsid w:val="00655784"/>
    <w:rsid w:val="0065653B"/>
    <w:rsid w:val="00662AA8"/>
    <w:rsid w:val="0066474C"/>
    <w:rsid w:val="00664EDF"/>
    <w:rsid w:val="00664FB4"/>
    <w:rsid w:val="0067189D"/>
    <w:rsid w:val="00671AD1"/>
    <w:rsid w:val="0067238D"/>
    <w:rsid w:val="006731E4"/>
    <w:rsid w:val="0068120F"/>
    <w:rsid w:val="0068372E"/>
    <w:rsid w:val="00684D4D"/>
    <w:rsid w:val="00692A16"/>
    <w:rsid w:val="0069326E"/>
    <w:rsid w:val="006943A9"/>
    <w:rsid w:val="006950BD"/>
    <w:rsid w:val="00696359"/>
    <w:rsid w:val="00696990"/>
    <w:rsid w:val="00697ACF"/>
    <w:rsid w:val="006A178F"/>
    <w:rsid w:val="006A4422"/>
    <w:rsid w:val="006A4876"/>
    <w:rsid w:val="006A5C1A"/>
    <w:rsid w:val="006A6163"/>
    <w:rsid w:val="006A75B2"/>
    <w:rsid w:val="006B0776"/>
    <w:rsid w:val="006B0B2C"/>
    <w:rsid w:val="006B238B"/>
    <w:rsid w:val="006B3CD1"/>
    <w:rsid w:val="006B5753"/>
    <w:rsid w:val="006C24D4"/>
    <w:rsid w:val="006C7279"/>
    <w:rsid w:val="006D27FB"/>
    <w:rsid w:val="006D2A96"/>
    <w:rsid w:val="006D4943"/>
    <w:rsid w:val="006D5191"/>
    <w:rsid w:val="006D5BEE"/>
    <w:rsid w:val="006E14E3"/>
    <w:rsid w:val="006E2CD1"/>
    <w:rsid w:val="006E4572"/>
    <w:rsid w:val="006E579F"/>
    <w:rsid w:val="006E6213"/>
    <w:rsid w:val="006E6C15"/>
    <w:rsid w:val="006E6D7C"/>
    <w:rsid w:val="006E71AB"/>
    <w:rsid w:val="006F0D15"/>
    <w:rsid w:val="006F0E63"/>
    <w:rsid w:val="006F119C"/>
    <w:rsid w:val="006F31A5"/>
    <w:rsid w:val="006F3257"/>
    <w:rsid w:val="006F36EE"/>
    <w:rsid w:val="006F523A"/>
    <w:rsid w:val="00700E7C"/>
    <w:rsid w:val="00702351"/>
    <w:rsid w:val="00703BD4"/>
    <w:rsid w:val="007056F5"/>
    <w:rsid w:val="00706A57"/>
    <w:rsid w:val="0070732A"/>
    <w:rsid w:val="00711F9D"/>
    <w:rsid w:val="00713CC5"/>
    <w:rsid w:val="00714AF9"/>
    <w:rsid w:val="00717139"/>
    <w:rsid w:val="00723803"/>
    <w:rsid w:val="007244DE"/>
    <w:rsid w:val="00727FE8"/>
    <w:rsid w:val="0073151B"/>
    <w:rsid w:val="00731B24"/>
    <w:rsid w:val="00732541"/>
    <w:rsid w:val="0073496B"/>
    <w:rsid w:val="0073506F"/>
    <w:rsid w:val="00735E4A"/>
    <w:rsid w:val="00736828"/>
    <w:rsid w:val="00740D83"/>
    <w:rsid w:val="007414B3"/>
    <w:rsid w:val="007451A4"/>
    <w:rsid w:val="00746BE3"/>
    <w:rsid w:val="007479AB"/>
    <w:rsid w:val="007510CC"/>
    <w:rsid w:val="007543E8"/>
    <w:rsid w:val="00756F0E"/>
    <w:rsid w:val="00760FDE"/>
    <w:rsid w:val="00761269"/>
    <w:rsid w:val="007618AE"/>
    <w:rsid w:val="007619C5"/>
    <w:rsid w:val="007631A9"/>
    <w:rsid w:val="00763C0E"/>
    <w:rsid w:val="0076608B"/>
    <w:rsid w:val="007663DF"/>
    <w:rsid w:val="00770E00"/>
    <w:rsid w:val="007745BC"/>
    <w:rsid w:val="00774D74"/>
    <w:rsid w:val="00777260"/>
    <w:rsid w:val="00780502"/>
    <w:rsid w:val="00782360"/>
    <w:rsid w:val="00782F60"/>
    <w:rsid w:val="00783844"/>
    <w:rsid w:val="007869C8"/>
    <w:rsid w:val="00787597"/>
    <w:rsid w:val="00790DAA"/>
    <w:rsid w:val="00794E25"/>
    <w:rsid w:val="00795595"/>
    <w:rsid w:val="007958C2"/>
    <w:rsid w:val="00795C6A"/>
    <w:rsid w:val="007977B7"/>
    <w:rsid w:val="00797D3E"/>
    <w:rsid w:val="007A1E24"/>
    <w:rsid w:val="007A246D"/>
    <w:rsid w:val="007A6200"/>
    <w:rsid w:val="007B0808"/>
    <w:rsid w:val="007B1FAA"/>
    <w:rsid w:val="007B30E5"/>
    <w:rsid w:val="007B3C39"/>
    <w:rsid w:val="007B7A56"/>
    <w:rsid w:val="007C2D01"/>
    <w:rsid w:val="007C2D98"/>
    <w:rsid w:val="007C56BA"/>
    <w:rsid w:val="007C6DF5"/>
    <w:rsid w:val="007D3BD5"/>
    <w:rsid w:val="007D3E1A"/>
    <w:rsid w:val="007E06E7"/>
    <w:rsid w:val="007E182F"/>
    <w:rsid w:val="007E20AC"/>
    <w:rsid w:val="007E4DCC"/>
    <w:rsid w:val="007E4EF3"/>
    <w:rsid w:val="007E65FD"/>
    <w:rsid w:val="007E69BA"/>
    <w:rsid w:val="007E6E11"/>
    <w:rsid w:val="007E7CC0"/>
    <w:rsid w:val="007F327F"/>
    <w:rsid w:val="007F3DFE"/>
    <w:rsid w:val="008032FF"/>
    <w:rsid w:val="0080590F"/>
    <w:rsid w:val="008068FE"/>
    <w:rsid w:val="00807294"/>
    <w:rsid w:val="00807969"/>
    <w:rsid w:val="008120F4"/>
    <w:rsid w:val="008142B7"/>
    <w:rsid w:val="00817BBD"/>
    <w:rsid w:val="00822BC9"/>
    <w:rsid w:val="00823227"/>
    <w:rsid w:val="00823A63"/>
    <w:rsid w:val="008245B4"/>
    <w:rsid w:val="008271B7"/>
    <w:rsid w:val="00831459"/>
    <w:rsid w:val="00832479"/>
    <w:rsid w:val="00835C70"/>
    <w:rsid w:val="00837572"/>
    <w:rsid w:val="008425AE"/>
    <w:rsid w:val="00843475"/>
    <w:rsid w:val="00843F8A"/>
    <w:rsid w:val="00850B9A"/>
    <w:rsid w:val="008523A0"/>
    <w:rsid w:val="00853745"/>
    <w:rsid w:val="008552B8"/>
    <w:rsid w:val="008610F2"/>
    <w:rsid w:val="008632EE"/>
    <w:rsid w:val="008641FA"/>
    <w:rsid w:val="00866071"/>
    <w:rsid w:val="008663B0"/>
    <w:rsid w:val="00866A00"/>
    <w:rsid w:val="00867C6D"/>
    <w:rsid w:val="00872E23"/>
    <w:rsid w:val="00876813"/>
    <w:rsid w:val="00880BA7"/>
    <w:rsid w:val="00882342"/>
    <w:rsid w:val="00883295"/>
    <w:rsid w:val="00883D36"/>
    <w:rsid w:val="008854F3"/>
    <w:rsid w:val="00885D9B"/>
    <w:rsid w:val="00886A1D"/>
    <w:rsid w:val="00886AD0"/>
    <w:rsid w:val="008873F6"/>
    <w:rsid w:val="00892F32"/>
    <w:rsid w:val="00893102"/>
    <w:rsid w:val="0089372A"/>
    <w:rsid w:val="00893941"/>
    <w:rsid w:val="00894099"/>
    <w:rsid w:val="00894BA6"/>
    <w:rsid w:val="008954DC"/>
    <w:rsid w:val="008A1A6F"/>
    <w:rsid w:val="008A1FB8"/>
    <w:rsid w:val="008A35AF"/>
    <w:rsid w:val="008A37C3"/>
    <w:rsid w:val="008A74ED"/>
    <w:rsid w:val="008B1443"/>
    <w:rsid w:val="008B3780"/>
    <w:rsid w:val="008B45F2"/>
    <w:rsid w:val="008B59A5"/>
    <w:rsid w:val="008B6308"/>
    <w:rsid w:val="008C03BF"/>
    <w:rsid w:val="008C0896"/>
    <w:rsid w:val="008C0AA7"/>
    <w:rsid w:val="008C16BB"/>
    <w:rsid w:val="008C4ECB"/>
    <w:rsid w:val="008C53B1"/>
    <w:rsid w:val="008C62AC"/>
    <w:rsid w:val="008C6D70"/>
    <w:rsid w:val="008C7606"/>
    <w:rsid w:val="008D1846"/>
    <w:rsid w:val="008D3EB0"/>
    <w:rsid w:val="008D7C27"/>
    <w:rsid w:val="008D7ECF"/>
    <w:rsid w:val="008E4A61"/>
    <w:rsid w:val="008E7925"/>
    <w:rsid w:val="008F216B"/>
    <w:rsid w:val="008F29B0"/>
    <w:rsid w:val="008F3B42"/>
    <w:rsid w:val="008F547E"/>
    <w:rsid w:val="008F54EA"/>
    <w:rsid w:val="008F6A20"/>
    <w:rsid w:val="0090297A"/>
    <w:rsid w:val="00906D50"/>
    <w:rsid w:val="00910A62"/>
    <w:rsid w:val="0091230C"/>
    <w:rsid w:val="00912A7E"/>
    <w:rsid w:val="00912EF9"/>
    <w:rsid w:val="0091309D"/>
    <w:rsid w:val="009131EE"/>
    <w:rsid w:val="00914501"/>
    <w:rsid w:val="00914E8C"/>
    <w:rsid w:val="00915029"/>
    <w:rsid w:val="00915F38"/>
    <w:rsid w:val="0091606C"/>
    <w:rsid w:val="00916DFD"/>
    <w:rsid w:val="00920183"/>
    <w:rsid w:val="00921468"/>
    <w:rsid w:val="009226F7"/>
    <w:rsid w:val="009230C0"/>
    <w:rsid w:val="00924D64"/>
    <w:rsid w:val="009275B6"/>
    <w:rsid w:val="0093321D"/>
    <w:rsid w:val="00935298"/>
    <w:rsid w:val="0093678D"/>
    <w:rsid w:val="00937319"/>
    <w:rsid w:val="00940201"/>
    <w:rsid w:val="009419F7"/>
    <w:rsid w:val="00942376"/>
    <w:rsid w:val="00944EEF"/>
    <w:rsid w:val="00952189"/>
    <w:rsid w:val="00954C0A"/>
    <w:rsid w:val="0095538D"/>
    <w:rsid w:val="00963D31"/>
    <w:rsid w:val="00965B67"/>
    <w:rsid w:val="00970740"/>
    <w:rsid w:val="00970E4E"/>
    <w:rsid w:val="00972C97"/>
    <w:rsid w:val="00973FD0"/>
    <w:rsid w:val="00974991"/>
    <w:rsid w:val="00974D76"/>
    <w:rsid w:val="00977CC4"/>
    <w:rsid w:val="009822D3"/>
    <w:rsid w:val="00983315"/>
    <w:rsid w:val="00986DA9"/>
    <w:rsid w:val="00991844"/>
    <w:rsid w:val="00991E80"/>
    <w:rsid w:val="00993136"/>
    <w:rsid w:val="009934DA"/>
    <w:rsid w:val="009950E9"/>
    <w:rsid w:val="009A01C7"/>
    <w:rsid w:val="009A267B"/>
    <w:rsid w:val="009A2948"/>
    <w:rsid w:val="009A4DF3"/>
    <w:rsid w:val="009A5E72"/>
    <w:rsid w:val="009B0830"/>
    <w:rsid w:val="009B0FAD"/>
    <w:rsid w:val="009B225A"/>
    <w:rsid w:val="009C0081"/>
    <w:rsid w:val="009C0448"/>
    <w:rsid w:val="009C1691"/>
    <w:rsid w:val="009C286A"/>
    <w:rsid w:val="009C2988"/>
    <w:rsid w:val="009C4BB3"/>
    <w:rsid w:val="009D00CD"/>
    <w:rsid w:val="009D265D"/>
    <w:rsid w:val="009D2F30"/>
    <w:rsid w:val="009D6F5F"/>
    <w:rsid w:val="009D7466"/>
    <w:rsid w:val="009D7D01"/>
    <w:rsid w:val="009E352C"/>
    <w:rsid w:val="009E5BC4"/>
    <w:rsid w:val="009E5BED"/>
    <w:rsid w:val="009F033B"/>
    <w:rsid w:val="009F12A7"/>
    <w:rsid w:val="009F2D2A"/>
    <w:rsid w:val="00A00381"/>
    <w:rsid w:val="00A0194F"/>
    <w:rsid w:val="00A02919"/>
    <w:rsid w:val="00A02FEF"/>
    <w:rsid w:val="00A04BC5"/>
    <w:rsid w:val="00A05939"/>
    <w:rsid w:val="00A05F0B"/>
    <w:rsid w:val="00A102C9"/>
    <w:rsid w:val="00A11488"/>
    <w:rsid w:val="00A11B31"/>
    <w:rsid w:val="00A14E11"/>
    <w:rsid w:val="00A16125"/>
    <w:rsid w:val="00A2098A"/>
    <w:rsid w:val="00A23F28"/>
    <w:rsid w:val="00A2666A"/>
    <w:rsid w:val="00A2796E"/>
    <w:rsid w:val="00A30DDB"/>
    <w:rsid w:val="00A3181B"/>
    <w:rsid w:val="00A322CB"/>
    <w:rsid w:val="00A3600E"/>
    <w:rsid w:val="00A36B5B"/>
    <w:rsid w:val="00A40167"/>
    <w:rsid w:val="00A43EBD"/>
    <w:rsid w:val="00A459EA"/>
    <w:rsid w:val="00A46F4A"/>
    <w:rsid w:val="00A50D37"/>
    <w:rsid w:val="00A519DA"/>
    <w:rsid w:val="00A54E20"/>
    <w:rsid w:val="00A56828"/>
    <w:rsid w:val="00A61836"/>
    <w:rsid w:val="00A61EA2"/>
    <w:rsid w:val="00A623BC"/>
    <w:rsid w:val="00A72350"/>
    <w:rsid w:val="00A7787F"/>
    <w:rsid w:val="00A77FF6"/>
    <w:rsid w:val="00A802B9"/>
    <w:rsid w:val="00A80329"/>
    <w:rsid w:val="00A81ADD"/>
    <w:rsid w:val="00A82B93"/>
    <w:rsid w:val="00A854C5"/>
    <w:rsid w:val="00A90042"/>
    <w:rsid w:val="00A934AE"/>
    <w:rsid w:val="00A94E82"/>
    <w:rsid w:val="00A952F8"/>
    <w:rsid w:val="00A95B0D"/>
    <w:rsid w:val="00A9789E"/>
    <w:rsid w:val="00A978FA"/>
    <w:rsid w:val="00AA22CB"/>
    <w:rsid w:val="00AA363F"/>
    <w:rsid w:val="00AA419F"/>
    <w:rsid w:val="00AA5CBD"/>
    <w:rsid w:val="00AA7997"/>
    <w:rsid w:val="00AB0CDC"/>
    <w:rsid w:val="00AB19CC"/>
    <w:rsid w:val="00AB3212"/>
    <w:rsid w:val="00AB4B0A"/>
    <w:rsid w:val="00AC315D"/>
    <w:rsid w:val="00AC4A37"/>
    <w:rsid w:val="00AC54ED"/>
    <w:rsid w:val="00AC709E"/>
    <w:rsid w:val="00AC79E6"/>
    <w:rsid w:val="00AC7E7A"/>
    <w:rsid w:val="00AD12FB"/>
    <w:rsid w:val="00AD1F68"/>
    <w:rsid w:val="00AD285F"/>
    <w:rsid w:val="00AD4A18"/>
    <w:rsid w:val="00AD4EA6"/>
    <w:rsid w:val="00AD520C"/>
    <w:rsid w:val="00AE2E8B"/>
    <w:rsid w:val="00AE56E1"/>
    <w:rsid w:val="00AE5C6F"/>
    <w:rsid w:val="00AF118D"/>
    <w:rsid w:val="00AF353A"/>
    <w:rsid w:val="00AF5104"/>
    <w:rsid w:val="00AF6499"/>
    <w:rsid w:val="00AF7509"/>
    <w:rsid w:val="00B0104E"/>
    <w:rsid w:val="00B01487"/>
    <w:rsid w:val="00B023CF"/>
    <w:rsid w:val="00B029B0"/>
    <w:rsid w:val="00B0300F"/>
    <w:rsid w:val="00B04C47"/>
    <w:rsid w:val="00B07813"/>
    <w:rsid w:val="00B104E2"/>
    <w:rsid w:val="00B1099B"/>
    <w:rsid w:val="00B118CF"/>
    <w:rsid w:val="00B13C88"/>
    <w:rsid w:val="00B14C80"/>
    <w:rsid w:val="00B172EA"/>
    <w:rsid w:val="00B20416"/>
    <w:rsid w:val="00B21021"/>
    <w:rsid w:val="00B21A59"/>
    <w:rsid w:val="00B21AE8"/>
    <w:rsid w:val="00B21FEE"/>
    <w:rsid w:val="00B220E5"/>
    <w:rsid w:val="00B23D8C"/>
    <w:rsid w:val="00B24581"/>
    <w:rsid w:val="00B24AFF"/>
    <w:rsid w:val="00B2644D"/>
    <w:rsid w:val="00B26A61"/>
    <w:rsid w:val="00B30587"/>
    <w:rsid w:val="00B33D10"/>
    <w:rsid w:val="00B34A9C"/>
    <w:rsid w:val="00B3508D"/>
    <w:rsid w:val="00B367D8"/>
    <w:rsid w:val="00B41D23"/>
    <w:rsid w:val="00B41FA0"/>
    <w:rsid w:val="00B42897"/>
    <w:rsid w:val="00B45EBB"/>
    <w:rsid w:val="00B511A7"/>
    <w:rsid w:val="00B52043"/>
    <w:rsid w:val="00B52D7C"/>
    <w:rsid w:val="00B541EC"/>
    <w:rsid w:val="00B55B8F"/>
    <w:rsid w:val="00B56555"/>
    <w:rsid w:val="00B57E51"/>
    <w:rsid w:val="00B60142"/>
    <w:rsid w:val="00B618D4"/>
    <w:rsid w:val="00B73EF5"/>
    <w:rsid w:val="00B74D6D"/>
    <w:rsid w:val="00B75E6C"/>
    <w:rsid w:val="00B77EA3"/>
    <w:rsid w:val="00B86789"/>
    <w:rsid w:val="00B87C43"/>
    <w:rsid w:val="00B91F53"/>
    <w:rsid w:val="00B93C04"/>
    <w:rsid w:val="00B95735"/>
    <w:rsid w:val="00BA072B"/>
    <w:rsid w:val="00BA6985"/>
    <w:rsid w:val="00BB017D"/>
    <w:rsid w:val="00BB0437"/>
    <w:rsid w:val="00BC32ED"/>
    <w:rsid w:val="00BC33E7"/>
    <w:rsid w:val="00BC38F9"/>
    <w:rsid w:val="00BC4910"/>
    <w:rsid w:val="00BD3F11"/>
    <w:rsid w:val="00BD4A9C"/>
    <w:rsid w:val="00BD6FD0"/>
    <w:rsid w:val="00BD7C9E"/>
    <w:rsid w:val="00BD7FC2"/>
    <w:rsid w:val="00BE0F4D"/>
    <w:rsid w:val="00BE1986"/>
    <w:rsid w:val="00BE2BE8"/>
    <w:rsid w:val="00BE3721"/>
    <w:rsid w:val="00BE5C4D"/>
    <w:rsid w:val="00BE7DE1"/>
    <w:rsid w:val="00BF11C5"/>
    <w:rsid w:val="00BF1F8E"/>
    <w:rsid w:val="00BF2041"/>
    <w:rsid w:val="00BF25EE"/>
    <w:rsid w:val="00BF3D1E"/>
    <w:rsid w:val="00BF77EF"/>
    <w:rsid w:val="00C0056A"/>
    <w:rsid w:val="00C00A24"/>
    <w:rsid w:val="00C00FA1"/>
    <w:rsid w:val="00C011A1"/>
    <w:rsid w:val="00C02E39"/>
    <w:rsid w:val="00C03E9B"/>
    <w:rsid w:val="00C13539"/>
    <w:rsid w:val="00C1432E"/>
    <w:rsid w:val="00C14DA3"/>
    <w:rsid w:val="00C14E45"/>
    <w:rsid w:val="00C159DF"/>
    <w:rsid w:val="00C15A07"/>
    <w:rsid w:val="00C16063"/>
    <w:rsid w:val="00C168DD"/>
    <w:rsid w:val="00C17191"/>
    <w:rsid w:val="00C177DD"/>
    <w:rsid w:val="00C17DBC"/>
    <w:rsid w:val="00C20292"/>
    <w:rsid w:val="00C20F1F"/>
    <w:rsid w:val="00C23A70"/>
    <w:rsid w:val="00C249AE"/>
    <w:rsid w:val="00C26F48"/>
    <w:rsid w:val="00C31080"/>
    <w:rsid w:val="00C32056"/>
    <w:rsid w:val="00C323E8"/>
    <w:rsid w:val="00C32936"/>
    <w:rsid w:val="00C3372F"/>
    <w:rsid w:val="00C40665"/>
    <w:rsid w:val="00C40976"/>
    <w:rsid w:val="00C42B4C"/>
    <w:rsid w:val="00C42E97"/>
    <w:rsid w:val="00C4414A"/>
    <w:rsid w:val="00C44362"/>
    <w:rsid w:val="00C44EE4"/>
    <w:rsid w:val="00C457D4"/>
    <w:rsid w:val="00C50E68"/>
    <w:rsid w:val="00C51F51"/>
    <w:rsid w:val="00C52829"/>
    <w:rsid w:val="00C53104"/>
    <w:rsid w:val="00C54757"/>
    <w:rsid w:val="00C56C47"/>
    <w:rsid w:val="00C624C1"/>
    <w:rsid w:val="00C63AF7"/>
    <w:rsid w:val="00C64424"/>
    <w:rsid w:val="00C64DF0"/>
    <w:rsid w:val="00C64DFF"/>
    <w:rsid w:val="00C659FE"/>
    <w:rsid w:val="00C66771"/>
    <w:rsid w:val="00C67F3D"/>
    <w:rsid w:val="00C709D3"/>
    <w:rsid w:val="00C70C22"/>
    <w:rsid w:val="00C7513F"/>
    <w:rsid w:val="00C75CC6"/>
    <w:rsid w:val="00C80079"/>
    <w:rsid w:val="00C810D8"/>
    <w:rsid w:val="00C8162F"/>
    <w:rsid w:val="00C82F9B"/>
    <w:rsid w:val="00C859FF"/>
    <w:rsid w:val="00C86930"/>
    <w:rsid w:val="00C87C6C"/>
    <w:rsid w:val="00C90D2F"/>
    <w:rsid w:val="00C95678"/>
    <w:rsid w:val="00C95867"/>
    <w:rsid w:val="00C95A68"/>
    <w:rsid w:val="00C96E1B"/>
    <w:rsid w:val="00CA2498"/>
    <w:rsid w:val="00CA3BAF"/>
    <w:rsid w:val="00CA6131"/>
    <w:rsid w:val="00CB2CC0"/>
    <w:rsid w:val="00CB7029"/>
    <w:rsid w:val="00CC0807"/>
    <w:rsid w:val="00CC3C15"/>
    <w:rsid w:val="00CC41B9"/>
    <w:rsid w:val="00CC4A2A"/>
    <w:rsid w:val="00CC550C"/>
    <w:rsid w:val="00CD0EDB"/>
    <w:rsid w:val="00CD240F"/>
    <w:rsid w:val="00CD2765"/>
    <w:rsid w:val="00CD2D74"/>
    <w:rsid w:val="00CD311F"/>
    <w:rsid w:val="00CD6452"/>
    <w:rsid w:val="00CE0E49"/>
    <w:rsid w:val="00CE1C7D"/>
    <w:rsid w:val="00CE200B"/>
    <w:rsid w:val="00CE30D5"/>
    <w:rsid w:val="00CE5DBF"/>
    <w:rsid w:val="00CE71FE"/>
    <w:rsid w:val="00CE7BD2"/>
    <w:rsid w:val="00CF1897"/>
    <w:rsid w:val="00CF28EB"/>
    <w:rsid w:val="00CF7113"/>
    <w:rsid w:val="00D03026"/>
    <w:rsid w:val="00D03934"/>
    <w:rsid w:val="00D0603C"/>
    <w:rsid w:val="00D06604"/>
    <w:rsid w:val="00D06C33"/>
    <w:rsid w:val="00D07EEB"/>
    <w:rsid w:val="00D13BD5"/>
    <w:rsid w:val="00D140AE"/>
    <w:rsid w:val="00D153BF"/>
    <w:rsid w:val="00D16CC8"/>
    <w:rsid w:val="00D203F3"/>
    <w:rsid w:val="00D248B2"/>
    <w:rsid w:val="00D24A52"/>
    <w:rsid w:val="00D24EAC"/>
    <w:rsid w:val="00D250C5"/>
    <w:rsid w:val="00D31663"/>
    <w:rsid w:val="00D32744"/>
    <w:rsid w:val="00D351F1"/>
    <w:rsid w:val="00D35F43"/>
    <w:rsid w:val="00D42257"/>
    <w:rsid w:val="00D44213"/>
    <w:rsid w:val="00D44366"/>
    <w:rsid w:val="00D44736"/>
    <w:rsid w:val="00D45D35"/>
    <w:rsid w:val="00D47EF2"/>
    <w:rsid w:val="00D51EFC"/>
    <w:rsid w:val="00D53005"/>
    <w:rsid w:val="00D54ED6"/>
    <w:rsid w:val="00D560D4"/>
    <w:rsid w:val="00D61696"/>
    <w:rsid w:val="00D622DC"/>
    <w:rsid w:val="00D62D42"/>
    <w:rsid w:val="00D64283"/>
    <w:rsid w:val="00D65B1A"/>
    <w:rsid w:val="00D67E53"/>
    <w:rsid w:val="00D703CA"/>
    <w:rsid w:val="00D703D0"/>
    <w:rsid w:val="00D71E2F"/>
    <w:rsid w:val="00D72E53"/>
    <w:rsid w:val="00D777B6"/>
    <w:rsid w:val="00D8125A"/>
    <w:rsid w:val="00D81FB2"/>
    <w:rsid w:val="00D861BC"/>
    <w:rsid w:val="00D87E09"/>
    <w:rsid w:val="00D90BFB"/>
    <w:rsid w:val="00D90CEB"/>
    <w:rsid w:val="00D91EDA"/>
    <w:rsid w:val="00D93929"/>
    <w:rsid w:val="00D94C93"/>
    <w:rsid w:val="00D97F57"/>
    <w:rsid w:val="00DA1B68"/>
    <w:rsid w:val="00DA463C"/>
    <w:rsid w:val="00DA6F45"/>
    <w:rsid w:val="00DA710A"/>
    <w:rsid w:val="00DB196D"/>
    <w:rsid w:val="00DB3F48"/>
    <w:rsid w:val="00DB458F"/>
    <w:rsid w:val="00DB533B"/>
    <w:rsid w:val="00DB5850"/>
    <w:rsid w:val="00DC3238"/>
    <w:rsid w:val="00DC3450"/>
    <w:rsid w:val="00DC3EEC"/>
    <w:rsid w:val="00DC40C4"/>
    <w:rsid w:val="00DC6723"/>
    <w:rsid w:val="00DC7CD8"/>
    <w:rsid w:val="00DD1191"/>
    <w:rsid w:val="00DD1C2F"/>
    <w:rsid w:val="00DD1EC2"/>
    <w:rsid w:val="00DD44A0"/>
    <w:rsid w:val="00DD53E3"/>
    <w:rsid w:val="00DE0963"/>
    <w:rsid w:val="00DE0F9C"/>
    <w:rsid w:val="00DE292F"/>
    <w:rsid w:val="00DE2FEB"/>
    <w:rsid w:val="00DE3635"/>
    <w:rsid w:val="00DE43AF"/>
    <w:rsid w:val="00DE4553"/>
    <w:rsid w:val="00DE5855"/>
    <w:rsid w:val="00DE620E"/>
    <w:rsid w:val="00DE6BBE"/>
    <w:rsid w:val="00DE7227"/>
    <w:rsid w:val="00DE79EB"/>
    <w:rsid w:val="00DF0E1B"/>
    <w:rsid w:val="00DF257F"/>
    <w:rsid w:val="00DF45A4"/>
    <w:rsid w:val="00E005E6"/>
    <w:rsid w:val="00E00D0C"/>
    <w:rsid w:val="00E0286F"/>
    <w:rsid w:val="00E02ABC"/>
    <w:rsid w:val="00E03675"/>
    <w:rsid w:val="00E037B4"/>
    <w:rsid w:val="00E05CE0"/>
    <w:rsid w:val="00E07DBB"/>
    <w:rsid w:val="00E10CD3"/>
    <w:rsid w:val="00E1134A"/>
    <w:rsid w:val="00E11386"/>
    <w:rsid w:val="00E117D7"/>
    <w:rsid w:val="00E13AFB"/>
    <w:rsid w:val="00E14E2D"/>
    <w:rsid w:val="00E15B55"/>
    <w:rsid w:val="00E200CC"/>
    <w:rsid w:val="00E21526"/>
    <w:rsid w:val="00E23239"/>
    <w:rsid w:val="00E31C11"/>
    <w:rsid w:val="00E40498"/>
    <w:rsid w:val="00E41314"/>
    <w:rsid w:val="00E43ACD"/>
    <w:rsid w:val="00E459B9"/>
    <w:rsid w:val="00E46F8F"/>
    <w:rsid w:val="00E474B9"/>
    <w:rsid w:val="00E4783C"/>
    <w:rsid w:val="00E47A46"/>
    <w:rsid w:val="00E51B23"/>
    <w:rsid w:val="00E5243F"/>
    <w:rsid w:val="00E53BFC"/>
    <w:rsid w:val="00E5519B"/>
    <w:rsid w:val="00E57E47"/>
    <w:rsid w:val="00E6178A"/>
    <w:rsid w:val="00E61CA7"/>
    <w:rsid w:val="00E651D4"/>
    <w:rsid w:val="00E65306"/>
    <w:rsid w:val="00E6623C"/>
    <w:rsid w:val="00E762A3"/>
    <w:rsid w:val="00E82067"/>
    <w:rsid w:val="00E83350"/>
    <w:rsid w:val="00E84E0D"/>
    <w:rsid w:val="00E85C78"/>
    <w:rsid w:val="00E85E80"/>
    <w:rsid w:val="00E85EA9"/>
    <w:rsid w:val="00E866F4"/>
    <w:rsid w:val="00E86F63"/>
    <w:rsid w:val="00E87C92"/>
    <w:rsid w:val="00E90293"/>
    <w:rsid w:val="00E90BFD"/>
    <w:rsid w:val="00E910F1"/>
    <w:rsid w:val="00E94624"/>
    <w:rsid w:val="00E96AEF"/>
    <w:rsid w:val="00E9790A"/>
    <w:rsid w:val="00EA0558"/>
    <w:rsid w:val="00EA0DDF"/>
    <w:rsid w:val="00EA11C7"/>
    <w:rsid w:val="00EA23F3"/>
    <w:rsid w:val="00EA2488"/>
    <w:rsid w:val="00EB070C"/>
    <w:rsid w:val="00EB16F5"/>
    <w:rsid w:val="00EC1974"/>
    <w:rsid w:val="00EC4904"/>
    <w:rsid w:val="00EC4E69"/>
    <w:rsid w:val="00EC61A5"/>
    <w:rsid w:val="00EE09BC"/>
    <w:rsid w:val="00EE270A"/>
    <w:rsid w:val="00EE3CDB"/>
    <w:rsid w:val="00EE53A5"/>
    <w:rsid w:val="00EE6946"/>
    <w:rsid w:val="00EE72BD"/>
    <w:rsid w:val="00EE7561"/>
    <w:rsid w:val="00EF08DF"/>
    <w:rsid w:val="00EF0972"/>
    <w:rsid w:val="00EF0AB4"/>
    <w:rsid w:val="00EF150F"/>
    <w:rsid w:val="00EF34D9"/>
    <w:rsid w:val="00EF394C"/>
    <w:rsid w:val="00EF3E51"/>
    <w:rsid w:val="00EF59FF"/>
    <w:rsid w:val="00EF6481"/>
    <w:rsid w:val="00EF66B9"/>
    <w:rsid w:val="00EF6FA6"/>
    <w:rsid w:val="00F05792"/>
    <w:rsid w:val="00F05B22"/>
    <w:rsid w:val="00F060EF"/>
    <w:rsid w:val="00F07AFB"/>
    <w:rsid w:val="00F12911"/>
    <w:rsid w:val="00F14516"/>
    <w:rsid w:val="00F157B0"/>
    <w:rsid w:val="00F17BB7"/>
    <w:rsid w:val="00F200B7"/>
    <w:rsid w:val="00F20FC8"/>
    <w:rsid w:val="00F22D98"/>
    <w:rsid w:val="00F236AB"/>
    <w:rsid w:val="00F23D19"/>
    <w:rsid w:val="00F2509E"/>
    <w:rsid w:val="00F262A3"/>
    <w:rsid w:val="00F33029"/>
    <w:rsid w:val="00F34E2F"/>
    <w:rsid w:val="00F35CEE"/>
    <w:rsid w:val="00F36031"/>
    <w:rsid w:val="00F4072D"/>
    <w:rsid w:val="00F4221B"/>
    <w:rsid w:val="00F4304F"/>
    <w:rsid w:val="00F43B95"/>
    <w:rsid w:val="00F46CBE"/>
    <w:rsid w:val="00F4745E"/>
    <w:rsid w:val="00F51363"/>
    <w:rsid w:val="00F5333D"/>
    <w:rsid w:val="00F53DDE"/>
    <w:rsid w:val="00F5488E"/>
    <w:rsid w:val="00F54E65"/>
    <w:rsid w:val="00F56549"/>
    <w:rsid w:val="00F608BB"/>
    <w:rsid w:val="00F6197E"/>
    <w:rsid w:val="00F65447"/>
    <w:rsid w:val="00F669E7"/>
    <w:rsid w:val="00F67831"/>
    <w:rsid w:val="00F70A27"/>
    <w:rsid w:val="00F732D5"/>
    <w:rsid w:val="00F7347A"/>
    <w:rsid w:val="00F736FD"/>
    <w:rsid w:val="00F81001"/>
    <w:rsid w:val="00F85E0E"/>
    <w:rsid w:val="00F863F2"/>
    <w:rsid w:val="00F86D36"/>
    <w:rsid w:val="00F9043F"/>
    <w:rsid w:val="00F916BA"/>
    <w:rsid w:val="00F95010"/>
    <w:rsid w:val="00FA1DAE"/>
    <w:rsid w:val="00FA20A1"/>
    <w:rsid w:val="00FA3D2F"/>
    <w:rsid w:val="00FA6094"/>
    <w:rsid w:val="00FA65AB"/>
    <w:rsid w:val="00FA6BE3"/>
    <w:rsid w:val="00FA70E7"/>
    <w:rsid w:val="00FA72A5"/>
    <w:rsid w:val="00FB28CB"/>
    <w:rsid w:val="00FB2C84"/>
    <w:rsid w:val="00FB5C65"/>
    <w:rsid w:val="00FB6F66"/>
    <w:rsid w:val="00FB7A62"/>
    <w:rsid w:val="00FC1ED2"/>
    <w:rsid w:val="00FC26B5"/>
    <w:rsid w:val="00FC760F"/>
    <w:rsid w:val="00FD144B"/>
    <w:rsid w:val="00FD30B3"/>
    <w:rsid w:val="00FD30FF"/>
    <w:rsid w:val="00FD599B"/>
    <w:rsid w:val="00FD7AFF"/>
    <w:rsid w:val="00FE06E7"/>
    <w:rsid w:val="00FE459E"/>
    <w:rsid w:val="00FE4D4E"/>
    <w:rsid w:val="00FE4F1C"/>
    <w:rsid w:val="00FE5134"/>
    <w:rsid w:val="00FF26E3"/>
    <w:rsid w:val="00FF7935"/>
    <w:rsid w:val="00FF7BCC"/>
    <w:rsid w:val="01026BE5"/>
    <w:rsid w:val="01094980"/>
    <w:rsid w:val="010B094E"/>
    <w:rsid w:val="010B44AE"/>
    <w:rsid w:val="010C4F9E"/>
    <w:rsid w:val="012031E5"/>
    <w:rsid w:val="01226BBB"/>
    <w:rsid w:val="012E3CBF"/>
    <w:rsid w:val="01315E5C"/>
    <w:rsid w:val="01335C29"/>
    <w:rsid w:val="013E1007"/>
    <w:rsid w:val="013F6B32"/>
    <w:rsid w:val="015E68D6"/>
    <w:rsid w:val="017452EB"/>
    <w:rsid w:val="01752D51"/>
    <w:rsid w:val="01855AD4"/>
    <w:rsid w:val="0186501F"/>
    <w:rsid w:val="01867389"/>
    <w:rsid w:val="018C3C8B"/>
    <w:rsid w:val="01923DF7"/>
    <w:rsid w:val="01A0443B"/>
    <w:rsid w:val="01B219A0"/>
    <w:rsid w:val="01DD250A"/>
    <w:rsid w:val="01E13EC7"/>
    <w:rsid w:val="01ED3666"/>
    <w:rsid w:val="01FC64FB"/>
    <w:rsid w:val="020C04D9"/>
    <w:rsid w:val="022D38D9"/>
    <w:rsid w:val="0240266B"/>
    <w:rsid w:val="02424322"/>
    <w:rsid w:val="024E2218"/>
    <w:rsid w:val="024E7885"/>
    <w:rsid w:val="02505EE2"/>
    <w:rsid w:val="02554323"/>
    <w:rsid w:val="025A0F0C"/>
    <w:rsid w:val="02642712"/>
    <w:rsid w:val="026929FF"/>
    <w:rsid w:val="02741132"/>
    <w:rsid w:val="02765564"/>
    <w:rsid w:val="02780AF0"/>
    <w:rsid w:val="028019EA"/>
    <w:rsid w:val="02821E35"/>
    <w:rsid w:val="02841FD6"/>
    <w:rsid w:val="02852B18"/>
    <w:rsid w:val="028F5222"/>
    <w:rsid w:val="02913619"/>
    <w:rsid w:val="02944328"/>
    <w:rsid w:val="029846C6"/>
    <w:rsid w:val="029C0A8D"/>
    <w:rsid w:val="029D5395"/>
    <w:rsid w:val="02A97E39"/>
    <w:rsid w:val="02B00F36"/>
    <w:rsid w:val="02CF15B4"/>
    <w:rsid w:val="02D76976"/>
    <w:rsid w:val="02DA579B"/>
    <w:rsid w:val="02DB0CD1"/>
    <w:rsid w:val="02DF1FB6"/>
    <w:rsid w:val="02F654D4"/>
    <w:rsid w:val="030B1EAF"/>
    <w:rsid w:val="030F46AB"/>
    <w:rsid w:val="03162269"/>
    <w:rsid w:val="03195E19"/>
    <w:rsid w:val="031C6EA7"/>
    <w:rsid w:val="032D34EA"/>
    <w:rsid w:val="032E4E5D"/>
    <w:rsid w:val="03317BB0"/>
    <w:rsid w:val="03362FAE"/>
    <w:rsid w:val="033D06FF"/>
    <w:rsid w:val="033E169C"/>
    <w:rsid w:val="034304B3"/>
    <w:rsid w:val="034C1280"/>
    <w:rsid w:val="036C1CFC"/>
    <w:rsid w:val="036C3A77"/>
    <w:rsid w:val="036D0DF1"/>
    <w:rsid w:val="03760E31"/>
    <w:rsid w:val="038E59CF"/>
    <w:rsid w:val="03917DC4"/>
    <w:rsid w:val="03923E62"/>
    <w:rsid w:val="03A458AF"/>
    <w:rsid w:val="03AB7667"/>
    <w:rsid w:val="03B150BB"/>
    <w:rsid w:val="03BA7387"/>
    <w:rsid w:val="03C92471"/>
    <w:rsid w:val="03E728AA"/>
    <w:rsid w:val="03EA4BA4"/>
    <w:rsid w:val="03ED664A"/>
    <w:rsid w:val="03FB14E6"/>
    <w:rsid w:val="04054E11"/>
    <w:rsid w:val="040A123A"/>
    <w:rsid w:val="040E10F8"/>
    <w:rsid w:val="041E2B0D"/>
    <w:rsid w:val="04215A9D"/>
    <w:rsid w:val="04264179"/>
    <w:rsid w:val="042B0CF7"/>
    <w:rsid w:val="042C5365"/>
    <w:rsid w:val="042E67FE"/>
    <w:rsid w:val="043208F6"/>
    <w:rsid w:val="043764FF"/>
    <w:rsid w:val="04377CEF"/>
    <w:rsid w:val="04445BE7"/>
    <w:rsid w:val="045627EF"/>
    <w:rsid w:val="04606071"/>
    <w:rsid w:val="046A54FA"/>
    <w:rsid w:val="046F14B5"/>
    <w:rsid w:val="04820542"/>
    <w:rsid w:val="04824937"/>
    <w:rsid w:val="0483554C"/>
    <w:rsid w:val="04946D64"/>
    <w:rsid w:val="04976D78"/>
    <w:rsid w:val="049B2FB3"/>
    <w:rsid w:val="049E0F81"/>
    <w:rsid w:val="04A20083"/>
    <w:rsid w:val="04AA0D76"/>
    <w:rsid w:val="04B81B24"/>
    <w:rsid w:val="04BD5452"/>
    <w:rsid w:val="04BE0757"/>
    <w:rsid w:val="04C4684B"/>
    <w:rsid w:val="04DE1A2F"/>
    <w:rsid w:val="04E0758D"/>
    <w:rsid w:val="04E66285"/>
    <w:rsid w:val="04E9536D"/>
    <w:rsid w:val="04F54E15"/>
    <w:rsid w:val="050D5D58"/>
    <w:rsid w:val="051179CC"/>
    <w:rsid w:val="05193E9D"/>
    <w:rsid w:val="052462E0"/>
    <w:rsid w:val="0539426F"/>
    <w:rsid w:val="053F7A52"/>
    <w:rsid w:val="05470A23"/>
    <w:rsid w:val="05546DC6"/>
    <w:rsid w:val="055B528B"/>
    <w:rsid w:val="055F13E5"/>
    <w:rsid w:val="05670FDF"/>
    <w:rsid w:val="05697BDD"/>
    <w:rsid w:val="057144B6"/>
    <w:rsid w:val="057659CD"/>
    <w:rsid w:val="057725A4"/>
    <w:rsid w:val="057C4684"/>
    <w:rsid w:val="057E4D94"/>
    <w:rsid w:val="058A3562"/>
    <w:rsid w:val="058C2F88"/>
    <w:rsid w:val="058F44B3"/>
    <w:rsid w:val="05A62BEE"/>
    <w:rsid w:val="05AC63D4"/>
    <w:rsid w:val="05AF2800"/>
    <w:rsid w:val="05B11D69"/>
    <w:rsid w:val="05B5222B"/>
    <w:rsid w:val="05D1184B"/>
    <w:rsid w:val="05D23942"/>
    <w:rsid w:val="05DC4B85"/>
    <w:rsid w:val="05EC5E79"/>
    <w:rsid w:val="05F214AD"/>
    <w:rsid w:val="05F576F1"/>
    <w:rsid w:val="05FB4763"/>
    <w:rsid w:val="061244FF"/>
    <w:rsid w:val="06152582"/>
    <w:rsid w:val="06152BE0"/>
    <w:rsid w:val="062055CC"/>
    <w:rsid w:val="06227480"/>
    <w:rsid w:val="063D4774"/>
    <w:rsid w:val="064051AF"/>
    <w:rsid w:val="06436527"/>
    <w:rsid w:val="0645130F"/>
    <w:rsid w:val="064D6F2A"/>
    <w:rsid w:val="065B37F7"/>
    <w:rsid w:val="065E2CDF"/>
    <w:rsid w:val="066E3B5B"/>
    <w:rsid w:val="066F4091"/>
    <w:rsid w:val="06765ECC"/>
    <w:rsid w:val="06773814"/>
    <w:rsid w:val="067E78B8"/>
    <w:rsid w:val="06841E15"/>
    <w:rsid w:val="06870468"/>
    <w:rsid w:val="06880D1A"/>
    <w:rsid w:val="06AA2C3A"/>
    <w:rsid w:val="06BA2743"/>
    <w:rsid w:val="06C919E2"/>
    <w:rsid w:val="06CD662A"/>
    <w:rsid w:val="06F95EB7"/>
    <w:rsid w:val="06FB7859"/>
    <w:rsid w:val="070B7325"/>
    <w:rsid w:val="070F65B7"/>
    <w:rsid w:val="07165E14"/>
    <w:rsid w:val="071F5CB8"/>
    <w:rsid w:val="072217F9"/>
    <w:rsid w:val="0725591D"/>
    <w:rsid w:val="07291AAA"/>
    <w:rsid w:val="072F5DE7"/>
    <w:rsid w:val="07347E2A"/>
    <w:rsid w:val="073B616A"/>
    <w:rsid w:val="073B7DF7"/>
    <w:rsid w:val="07590FFD"/>
    <w:rsid w:val="075A37A4"/>
    <w:rsid w:val="075C4ABB"/>
    <w:rsid w:val="075C73CF"/>
    <w:rsid w:val="0763016B"/>
    <w:rsid w:val="07643185"/>
    <w:rsid w:val="07662C4A"/>
    <w:rsid w:val="076B6BC4"/>
    <w:rsid w:val="07704B23"/>
    <w:rsid w:val="07720AC5"/>
    <w:rsid w:val="0781765F"/>
    <w:rsid w:val="079024B1"/>
    <w:rsid w:val="07905F07"/>
    <w:rsid w:val="079074EE"/>
    <w:rsid w:val="079B1429"/>
    <w:rsid w:val="07A5357C"/>
    <w:rsid w:val="07BE5114"/>
    <w:rsid w:val="07C13547"/>
    <w:rsid w:val="07C35B86"/>
    <w:rsid w:val="07C37265"/>
    <w:rsid w:val="07D63CA4"/>
    <w:rsid w:val="07D85205"/>
    <w:rsid w:val="07EC5CC2"/>
    <w:rsid w:val="07EE1D3D"/>
    <w:rsid w:val="07F12F62"/>
    <w:rsid w:val="07FF6DD7"/>
    <w:rsid w:val="07FF72B0"/>
    <w:rsid w:val="08004678"/>
    <w:rsid w:val="081A772A"/>
    <w:rsid w:val="082C388F"/>
    <w:rsid w:val="083A3240"/>
    <w:rsid w:val="08424F0D"/>
    <w:rsid w:val="08473081"/>
    <w:rsid w:val="08557604"/>
    <w:rsid w:val="08636B11"/>
    <w:rsid w:val="08742405"/>
    <w:rsid w:val="08765A6D"/>
    <w:rsid w:val="087A4B2B"/>
    <w:rsid w:val="087C43DD"/>
    <w:rsid w:val="087D3F16"/>
    <w:rsid w:val="087E15EB"/>
    <w:rsid w:val="087E53F0"/>
    <w:rsid w:val="0886295E"/>
    <w:rsid w:val="088A0889"/>
    <w:rsid w:val="089632E0"/>
    <w:rsid w:val="08963464"/>
    <w:rsid w:val="089F427A"/>
    <w:rsid w:val="08A049AA"/>
    <w:rsid w:val="08A07814"/>
    <w:rsid w:val="08AA55B3"/>
    <w:rsid w:val="08B71D4D"/>
    <w:rsid w:val="08C403D6"/>
    <w:rsid w:val="08C519FE"/>
    <w:rsid w:val="08CD4BF0"/>
    <w:rsid w:val="08CE39F6"/>
    <w:rsid w:val="08DC0611"/>
    <w:rsid w:val="08DC6A8D"/>
    <w:rsid w:val="08DD3E26"/>
    <w:rsid w:val="08DF0236"/>
    <w:rsid w:val="08EF7014"/>
    <w:rsid w:val="08F17241"/>
    <w:rsid w:val="08F77472"/>
    <w:rsid w:val="09021537"/>
    <w:rsid w:val="09080E22"/>
    <w:rsid w:val="09112417"/>
    <w:rsid w:val="091A69D1"/>
    <w:rsid w:val="091F1B26"/>
    <w:rsid w:val="091F3897"/>
    <w:rsid w:val="09321F8B"/>
    <w:rsid w:val="09357494"/>
    <w:rsid w:val="09383D53"/>
    <w:rsid w:val="093F47C2"/>
    <w:rsid w:val="094C2617"/>
    <w:rsid w:val="094E30C3"/>
    <w:rsid w:val="095255EA"/>
    <w:rsid w:val="095557D8"/>
    <w:rsid w:val="095D7FA2"/>
    <w:rsid w:val="09601534"/>
    <w:rsid w:val="09656B8A"/>
    <w:rsid w:val="0975766F"/>
    <w:rsid w:val="097C74D3"/>
    <w:rsid w:val="09822470"/>
    <w:rsid w:val="09857D5C"/>
    <w:rsid w:val="098E0C5F"/>
    <w:rsid w:val="09915997"/>
    <w:rsid w:val="099E1FE5"/>
    <w:rsid w:val="09A879BA"/>
    <w:rsid w:val="09AC453A"/>
    <w:rsid w:val="09AF5ECF"/>
    <w:rsid w:val="09B11572"/>
    <w:rsid w:val="09B337FB"/>
    <w:rsid w:val="09B430BC"/>
    <w:rsid w:val="09BA2A07"/>
    <w:rsid w:val="09BE05E5"/>
    <w:rsid w:val="09C55C00"/>
    <w:rsid w:val="09D22B16"/>
    <w:rsid w:val="09E2541F"/>
    <w:rsid w:val="09E57362"/>
    <w:rsid w:val="09EC1535"/>
    <w:rsid w:val="09F33C67"/>
    <w:rsid w:val="09F65A8D"/>
    <w:rsid w:val="09FB59D9"/>
    <w:rsid w:val="09FF2321"/>
    <w:rsid w:val="0A0353DC"/>
    <w:rsid w:val="0A0D119F"/>
    <w:rsid w:val="0A12018D"/>
    <w:rsid w:val="0A171B56"/>
    <w:rsid w:val="0A1A127C"/>
    <w:rsid w:val="0A1A72AB"/>
    <w:rsid w:val="0A213C45"/>
    <w:rsid w:val="0A291AB4"/>
    <w:rsid w:val="0A2B0A95"/>
    <w:rsid w:val="0A2E0D31"/>
    <w:rsid w:val="0A4D33CC"/>
    <w:rsid w:val="0A4E24EB"/>
    <w:rsid w:val="0A5A6246"/>
    <w:rsid w:val="0A642C4E"/>
    <w:rsid w:val="0A681C77"/>
    <w:rsid w:val="0A6D3A51"/>
    <w:rsid w:val="0A7B1A81"/>
    <w:rsid w:val="0A7C3F14"/>
    <w:rsid w:val="0A7F3849"/>
    <w:rsid w:val="0A7F4E1A"/>
    <w:rsid w:val="0A864007"/>
    <w:rsid w:val="0A8835CA"/>
    <w:rsid w:val="0A8A5454"/>
    <w:rsid w:val="0A8C7B73"/>
    <w:rsid w:val="0A944E7E"/>
    <w:rsid w:val="0A9602EA"/>
    <w:rsid w:val="0A98196C"/>
    <w:rsid w:val="0AAB53E2"/>
    <w:rsid w:val="0AB0147D"/>
    <w:rsid w:val="0AB17854"/>
    <w:rsid w:val="0AB716C1"/>
    <w:rsid w:val="0AB90171"/>
    <w:rsid w:val="0ABE74F8"/>
    <w:rsid w:val="0AC91E78"/>
    <w:rsid w:val="0ACC6590"/>
    <w:rsid w:val="0AD82DCC"/>
    <w:rsid w:val="0AD944FB"/>
    <w:rsid w:val="0ADA4704"/>
    <w:rsid w:val="0ADF2F76"/>
    <w:rsid w:val="0AF7161C"/>
    <w:rsid w:val="0AFB6DC4"/>
    <w:rsid w:val="0B0530CE"/>
    <w:rsid w:val="0B080BFA"/>
    <w:rsid w:val="0B0C21FE"/>
    <w:rsid w:val="0B111681"/>
    <w:rsid w:val="0B1D1FED"/>
    <w:rsid w:val="0B1D5169"/>
    <w:rsid w:val="0B2F43C1"/>
    <w:rsid w:val="0B3319E5"/>
    <w:rsid w:val="0B493CC1"/>
    <w:rsid w:val="0B5908F0"/>
    <w:rsid w:val="0B5915E4"/>
    <w:rsid w:val="0B6B5C84"/>
    <w:rsid w:val="0B803A9F"/>
    <w:rsid w:val="0B8767DF"/>
    <w:rsid w:val="0B934F25"/>
    <w:rsid w:val="0BA25877"/>
    <w:rsid w:val="0BA52CC8"/>
    <w:rsid w:val="0BAE2E65"/>
    <w:rsid w:val="0BB42A98"/>
    <w:rsid w:val="0BB65A24"/>
    <w:rsid w:val="0BBA23F8"/>
    <w:rsid w:val="0BBF62E0"/>
    <w:rsid w:val="0BC56A7C"/>
    <w:rsid w:val="0BCA5E39"/>
    <w:rsid w:val="0BD23993"/>
    <w:rsid w:val="0BDB2ECD"/>
    <w:rsid w:val="0BE203D8"/>
    <w:rsid w:val="0BED00BE"/>
    <w:rsid w:val="0BF42F22"/>
    <w:rsid w:val="0BF560A1"/>
    <w:rsid w:val="0BFC7550"/>
    <w:rsid w:val="0BFD0CEA"/>
    <w:rsid w:val="0C004E08"/>
    <w:rsid w:val="0C0D4407"/>
    <w:rsid w:val="0C1252B8"/>
    <w:rsid w:val="0C1A263B"/>
    <w:rsid w:val="0C25261E"/>
    <w:rsid w:val="0C456F05"/>
    <w:rsid w:val="0C491C97"/>
    <w:rsid w:val="0C4B4CA5"/>
    <w:rsid w:val="0C4D5ABB"/>
    <w:rsid w:val="0C5D15DD"/>
    <w:rsid w:val="0C61219C"/>
    <w:rsid w:val="0C7149B7"/>
    <w:rsid w:val="0C725493"/>
    <w:rsid w:val="0C756BE5"/>
    <w:rsid w:val="0C7B4279"/>
    <w:rsid w:val="0C834D41"/>
    <w:rsid w:val="0C8750D4"/>
    <w:rsid w:val="0C8C4E57"/>
    <w:rsid w:val="0C9329A9"/>
    <w:rsid w:val="0CA23D2E"/>
    <w:rsid w:val="0CA254A6"/>
    <w:rsid w:val="0CAC7FC3"/>
    <w:rsid w:val="0CB1014F"/>
    <w:rsid w:val="0CB22A03"/>
    <w:rsid w:val="0CBF0FC2"/>
    <w:rsid w:val="0CE83127"/>
    <w:rsid w:val="0CF05C95"/>
    <w:rsid w:val="0CF0602C"/>
    <w:rsid w:val="0CF07A21"/>
    <w:rsid w:val="0CF3194A"/>
    <w:rsid w:val="0CF400AE"/>
    <w:rsid w:val="0D0479CE"/>
    <w:rsid w:val="0D055E72"/>
    <w:rsid w:val="0D092A82"/>
    <w:rsid w:val="0D0B5FCB"/>
    <w:rsid w:val="0D0F69E0"/>
    <w:rsid w:val="0D117D19"/>
    <w:rsid w:val="0D2A054E"/>
    <w:rsid w:val="0D3421EA"/>
    <w:rsid w:val="0D3607D1"/>
    <w:rsid w:val="0D37771C"/>
    <w:rsid w:val="0D3A599E"/>
    <w:rsid w:val="0D4760ED"/>
    <w:rsid w:val="0D496C1A"/>
    <w:rsid w:val="0D5A6787"/>
    <w:rsid w:val="0D617EE4"/>
    <w:rsid w:val="0D626750"/>
    <w:rsid w:val="0D667F28"/>
    <w:rsid w:val="0D677473"/>
    <w:rsid w:val="0D731D24"/>
    <w:rsid w:val="0D737D94"/>
    <w:rsid w:val="0D7B6AEB"/>
    <w:rsid w:val="0D97788C"/>
    <w:rsid w:val="0D98262C"/>
    <w:rsid w:val="0DB34691"/>
    <w:rsid w:val="0DB473F8"/>
    <w:rsid w:val="0DB51D20"/>
    <w:rsid w:val="0DBB05F2"/>
    <w:rsid w:val="0DBE6E6C"/>
    <w:rsid w:val="0DC81A32"/>
    <w:rsid w:val="0DD25688"/>
    <w:rsid w:val="0DDD6667"/>
    <w:rsid w:val="0DDF0BBD"/>
    <w:rsid w:val="0DEF4E3A"/>
    <w:rsid w:val="0DF3318A"/>
    <w:rsid w:val="0DF358A2"/>
    <w:rsid w:val="0DF71D97"/>
    <w:rsid w:val="0DF81EF2"/>
    <w:rsid w:val="0DF92A65"/>
    <w:rsid w:val="0E061020"/>
    <w:rsid w:val="0E164A3A"/>
    <w:rsid w:val="0E1A36DE"/>
    <w:rsid w:val="0E1C5D3B"/>
    <w:rsid w:val="0E2A248B"/>
    <w:rsid w:val="0E4215EA"/>
    <w:rsid w:val="0E4E0138"/>
    <w:rsid w:val="0E4E117A"/>
    <w:rsid w:val="0E50148D"/>
    <w:rsid w:val="0E591509"/>
    <w:rsid w:val="0E6242D6"/>
    <w:rsid w:val="0E654CA2"/>
    <w:rsid w:val="0E6D1F11"/>
    <w:rsid w:val="0E724FAF"/>
    <w:rsid w:val="0E7F0BAE"/>
    <w:rsid w:val="0E7F34BF"/>
    <w:rsid w:val="0E923C5C"/>
    <w:rsid w:val="0E9B4A95"/>
    <w:rsid w:val="0EB04559"/>
    <w:rsid w:val="0EC44CEE"/>
    <w:rsid w:val="0EC451B5"/>
    <w:rsid w:val="0EDA0838"/>
    <w:rsid w:val="0EE439FF"/>
    <w:rsid w:val="0EEA5A82"/>
    <w:rsid w:val="0EFD3824"/>
    <w:rsid w:val="0F0A1F87"/>
    <w:rsid w:val="0F191FB1"/>
    <w:rsid w:val="0F1A6774"/>
    <w:rsid w:val="0F1B0671"/>
    <w:rsid w:val="0F295CA3"/>
    <w:rsid w:val="0F2F753B"/>
    <w:rsid w:val="0F346D59"/>
    <w:rsid w:val="0F3E0C76"/>
    <w:rsid w:val="0F400945"/>
    <w:rsid w:val="0F43459E"/>
    <w:rsid w:val="0F46104C"/>
    <w:rsid w:val="0F4F1795"/>
    <w:rsid w:val="0F502ED4"/>
    <w:rsid w:val="0F523595"/>
    <w:rsid w:val="0F544B1D"/>
    <w:rsid w:val="0F580032"/>
    <w:rsid w:val="0F590A0D"/>
    <w:rsid w:val="0F673EE7"/>
    <w:rsid w:val="0F77783A"/>
    <w:rsid w:val="0F836EA1"/>
    <w:rsid w:val="0F880B5D"/>
    <w:rsid w:val="0F8B630C"/>
    <w:rsid w:val="0F97532B"/>
    <w:rsid w:val="0F990943"/>
    <w:rsid w:val="0F9C2021"/>
    <w:rsid w:val="0FA3414D"/>
    <w:rsid w:val="0FAC2710"/>
    <w:rsid w:val="0FB545CC"/>
    <w:rsid w:val="0FBD794B"/>
    <w:rsid w:val="0FBE10B7"/>
    <w:rsid w:val="0FC843D4"/>
    <w:rsid w:val="0FC9038F"/>
    <w:rsid w:val="0FDC46C6"/>
    <w:rsid w:val="0FDC61B6"/>
    <w:rsid w:val="0FDD0C5B"/>
    <w:rsid w:val="0FE93727"/>
    <w:rsid w:val="0FF02884"/>
    <w:rsid w:val="0FF0600C"/>
    <w:rsid w:val="0FF90BC3"/>
    <w:rsid w:val="101314AD"/>
    <w:rsid w:val="10131ACF"/>
    <w:rsid w:val="102747DB"/>
    <w:rsid w:val="102A37D9"/>
    <w:rsid w:val="103A18B7"/>
    <w:rsid w:val="103D2787"/>
    <w:rsid w:val="103D3755"/>
    <w:rsid w:val="103E3E4E"/>
    <w:rsid w:val="10475E1E"/>
    <w:rsid w:val="1049789D"/>
    <w:rsid w:val="10521636"/>
    <w:rsid w:val="1056108F"/>
    <w:rsid w:val="105D2E72"/>
    <w:rsid w:val="105F1CD3"/>
    <w:rsid w:val="106C5B18"/>
    <w:rsid w:val="10741021"/>
    <w:rsid w:val="10751933"/>
    <w:rsid w:val="107923F7"/>
    <w:rsid w:val="10822531"/>
    <w:rsid w:val="10826A17"/>
    <w:rsid w:val="10872D04"/>
    <w:rsid w:val="108D1551"/>
    <w:rsid w:val="10966527"/>
    <w:rsid w:val="10A669F3"/>
    <w:rsid w:val="10C04ED0"/>
    <w:rsid w:val="10C20391"/>
    <w:rsid w:val="10D0771E"/>
    <w:rsid w:val="10ED211B"/>
    <w:rsid w:val="10FF4AF7"/>
    <w:rsid w:val="11056632"/>
    <w:rsid w:val="110F71B9"/>
    <w:rsid w:val="11114C9D"/>
    <w:rsid w:val="111230BC"/>
    <w:rsid w:val="111831BC"/>
    <w:rsid w:val="111C5B30"/>
    <w:rsid w:val="111F1E76"/>
    <w:rsid w:val="1128271E"/>
    <w:rsid w:val="11283001"/>
    <w:rsid w:val="112B7160"/>
    <w:rsid w:val="11320CF3"/>
    <w:rsid w:val="11412247"/>
    <w:rsid w:val="11431F99"/>
    <w:rsid w:val="114524E9"/>
    <w:rsid w:val="114A2659"/>
    <w:rsid w:val="114B2507"/>
    <w:rsid w:val="115637F9"/>
    <w:rsid w:val="11655245"/>
    <w:rsid w:val="1166076F"/>
    <w:rsid w:val="116852C4"/>
    <w:rsid w:val="11740800"/>
    <w:rsid w:val="117A51A2"/>
    <w:rsid w:val="11861881"/>
    <w:rsid w:val="11953524"/>
    <w:rsid w:val="119E225B"/>
    <w:rsid w:val="11A21EE1"/>
    <w:rsid w:val="11B3214E"/>
    <w:rsid w:val="11BE5871"/>
    <w:rsid w:val="11C806B4"/>
    <w:rsid w:val="11CC1E74"/>
    <w:rsid w:val="11D200EC"/>
    <w:rsid w:val="11DC33C4"/>
    <w:rsid w:val="11E15BFC"/>
    <w:rsid w:val="11FF7AFB"/>
    <w:rsid w:val="121E774F"/>
    <w:rsid w:val="12287BE6"/>
    <w:rsid w:val="12346D0A"/>
    <w:rsid w:val="12386903"/>
    <w:rsid w:val="12421909"/>
    <w:rsid w:val="12453D63"/>
    <w:rsid w:val="12472DC2"/>
    <w:rsid w:val="12482CF7"/>
    <w:rsid w:val="124C3388"/>
    <w:rsid w:val="12502BB8"/>
    <w:rsid w:val="12560FA0"/>
    <w:rsid w:val="1256649A"/>
    <w:rsid w:val="1269031D"/>
    <w:rsid w:val="126A1248"/>
    <w:rsid w:val="128142AD"/>
    <w:rsid w:val="12864CAF"/>
    <w:rsid w:val="12A93545"/>
    <w:rsid w:val="12AB7D9F"/>
    <w:rsid w:val="12AC07C0"/>
    <w:rsid w:val="12B10C97"/>
    <w:rsid w:val="12BF1227"/>
    <w:rsid w:val="12C5773E"/>
    <w:rsid w:val="12CD177D"/>
    <w:rsid w:val="12D0036B"/>
    <w:rsid w:val="12D720AC"/>
    <w:rsid w:val="12E3495A"/>
    <w:rsid w:val="12E36F14"/>
    <w:rsid w:val="12EF3A60"/>
    <w:rsid w:val="12EF3D4D"/>
    <w:rsid w:val="12F2472B"/>
    <w:rsid w:val="12F5529D"/>
    <w:rsid w:val="13056599"/>
    <w:rsid w:val="130C7B14"/>
    <w:rsid w:val="131113DC"/>
    <w:rsid w:val="13144E77"/>
    <w:rsid w:val="13151215"/>
    <w:rsid w:val="131B3058"/>
    <w:rsid w:val="132C3866"/>
    <w:rsid w:val="133A4434"/>
    <w:rsid w:val="133B638F"/>
    <w:rsid w:val="13426241"/>
    <w:rsid w:val="13484A2E"/>
    <w:rsid w:val="135350C1"/>
    <w:rsid w:val="135F58AD"/>
    <w:rsid w:val="13802A7C"/>
    <w:rsid w:val="138C0B0B"/>
    <w:rsid w:val="138F7FD3"/>
    <w:rsid w:val="13AD0420"/>
    <w:rsid w:val="13B015C5"/>
    <w:rsid w:val="13B223E8"/>
    <w:rsid w:val="13CF79E5"/>
    <w:rsid w:val="13D043DE"/>
    <w:rsid w:val="13D42608"/>
    <w:rsid w:val="13D66D98"/>
    <w:rsid w:val="13D9057D"/>
    <w:rsid w:val="13E3640C"/>
    <w:rsid w:val="13EC71DD"/>
    <w:rsid w:val="13F0790E"/>
    <w:rsid w:val="13F64F55"/>
    <w:rsid w:val="140540BA"/>
    <w:rsid w:val="142121F7"/>
    <w:rsid w:val="142836F1"/>
    <w:rsid w:val="14290C28"/>
    <w:rsid w:val="142B356F"/>
    <w:rsid w:val="142C3A77"/>
    <w:rsid w:val="143227FC"/>
    <w:rsid w:val="1438619F"/>
    <w:rsid w:val="143B3C11"/>
    <w:rsid w:val="143C195C"/>
    <w:rsid w:val="14456D00"/>
    <w:rsid w:val="144E0F24"/>
    <w:rsid w:val="145420EA"/>
    <w:rsid w:val="14673ED6"/>
    <w:rsid w:val="1468750F"/>
    <w:rsid w:val="14781C24"/>
    <w:rsid w:val="147F2181"/>
    <w:rsid w:val="14801874"/>
    <w:rsid w:val="1499024E"/>
    <w:rsid w:val="149D263A"/>
    <w:rsid w:val="149E17F9"/>
    <w:rsid w:val="14A25D87"/>
    <w:rsid w:val="14A57D53"/>
    <w:rsid w:val="14A73275"/>
    <w:rsid w:val="14B02EA0"/>
    <w:rsid w:val="14B63D55"/>
    <w:rsid w:val="14B71FE1"/>
    <w:rsid w:val="14BC363B"/>
    <w:rsid w:val="14C00D10"/>
    <w:rsid w:val="14C43081"/>
    <w:rsid w:val="14CA0003"/>
    <w:rsid w:val="14CA5AF5"/>
    <w:rsid w:val="14D541F0"/>
    <w:rsid w:val="14E1485C"/>
    <w:rsid w:val="14E432CC"/>
    <w:rsid w:val="14EB57EE"/>
    <w:rsid w:val="14EF2FEA"/>
    <w:rsid w:val="14F6713B"/>
    <w:rsid w:val="14FE0A6E"/>
    <w:rsid w:val="150A4946"/>
    <w:rsid w:val="1511145C"/>
    <w:rsid w:val="15141C55"/>
    <w:rsid w:val="151F3C76"/>
    <w:rsid w:val="153B160D"/>
    <w:rsid w:val="153D3218"/>
    <w:rsid w:val="1545383F"/>
    <w:rsid w:val="15476157"/>
    <w:rsid w:val="155120E2"/>
    <w:rsid w:val="1560640D"/>
    <w:rsid w:val="1562305B"/>
    <w:rsid w:val="15643486"/>
    <w:rsid w:val="156A32BB"/>
    <w:rsid w:val="156A6B04"/>
    <w:rsid w:val="156F3275"/>
    <w:rsid w:val="15721C1D"/>
    <w:rsid w:val="15730235"/>
    <w:rsid w:val="15735052"/>
    <w:rsid w:val="15773139"/>
    <w:rsid w:val="157C3BA6"/>
    <w:rsid w:val="157D344D"/>
    <w:rsid w:val="15857037"/>
    <w:rsid w:val="159530F0"/>
    <w:rsid w:val="15A346CE"/>
    <w:rsid w:val="15A62974"/>
    <w:rsid w:val="15A6661B"/>
    <w:rsid w:val="15B765B4"/>
    <w:rsid w:val="15B8664D"/>
    <w:rsid w:val="15BB362B"/>
    <w:rsid w:val="15BB6F39"/>
    <w:rsid w:val="15BC4236"/>
    <w:rsid w:val="15C46570"/>
    <w:rsid w:val="15C577E2"/>
    <w:rsid w:val="15C95159"/>
    <w:rsid w:val="15CC039A"/>
    <w:rsid w:val="15D46340"/>
    <w:rsid w:val="15D66938"/>
    <w:rsid w:val="15DA7ADF"/>
    <w:rsid w:val="15DE5797"/>
    <w:rsid w:val="15F4212C"/>
    <w:rsid w:val="15F45A3F"/>
    <w:rsid w:val="15F47D3F"/>
    <w:rsid w:val="15F70ABB"/>
    <w:rsid w:val="16044223"/>
    <w:rsid w:val="16045F7E"/>
    <w:rsid w:val="16051371"/>
    <w:rsid w:val="16084D64"/>
    <w:rsid w:val="160A084B"/>
    <w:rsid w:val="16133A84"/>
    <w:rsid w:val="1617134E"/>
    <w:rsid w:val="161A52FA"/>
    <w:rsid w:val="16235F5C"/>
    <w:rsid w:val="1627267E"/>
    <w:rsid w:val="1640578E"/>
    <w:rsid w:val="16453E16"/>
    <w:rsid w:val="165729AF"/>
    <w:rsid w:val="16586B26"/>
    <w:rsid w:val="165C62C3"/>
    <w:rsid w:val="165D19A0"/>
    <w:rsid w:val="165F1539"/>
    <w:rsid w:val="166611F7"/>
    <w:rsid w:val="166C6FB9"/>
    <w:rsid w:val="16746B16"/>
    <w:rsid w:val="167D0BD0"/>
    <w:rsid w:val="16830129"/>
    <w:rsid w:val="168542EA"/>
    <w:rsid w:val="1689195E"/>
    <w:rsid w:val="16966700"/>
    <w:rsid w:val="169B13F4"/>
    <w:rsid w:val="169E24C4"/>
    <w:rsid w:val="16A60845"/>
    <w:rsid w:val="16A64E9A"/>
    <w:rsid w:val="16A80025"/>
    <w:rsid w:val="16AF2614"/>
    <w:rsid w:val="16B43860"/>
    <w:rsid w:val="16BA4FC2"/>
    <w:rsid w:val="16C12D24"/>
    <w:rsid w:val="16D07FA9"/>
    <w:rsid w:val="16DD30BB"/>
    <w:rsid w:val="16DF6386"/>
    <w:rsid w:val="16E6314C"/>
    <w:rsid w:val="16EC4A13"/>
    <w:rsid w:val="16ED60C1"/>
    <w:rsid w:val="16F101FB"/>
    <w:rsid w:val="16F508B4"/>
    <w:rsid w:val="16FB068A"/>
    <w:rsid w:val="17016E68"/>
    <w:rsid w:val="17044DEC"/>
    <w:rsid w:val="170650EB"/>
    <w:rsid w:val="170727EC"/>
    <w:rsid w:val="17084916"/>
    <w:rsid w:val="170920BB"/>
    <w:rsid w:val="17135961"/>
    <w:rsid w:val="17165D04"/>
    <w:rsid w:val="17170B3E"/>
    <w:rsid w:val="17190FB7"/>
    <w:rsid w:val="171F1CC4"/>
    <w:rsid w:val="172443F6"/>
    <w:rsid w:val="172470E8"/>
    <w:rsid w:val="172513E7"/>
    <w:rsid w:val="172B6BAE"/>
    <w:rsid w:val="172F6AD0"/>
    <w:rsid w:val="17515580"/>
    <w:rsid w:val="175D126A"/>
    <w:rsid w:val="176119C9"/>
    <w:rsid w:val="1770099E"/>
    <w:rsid w:val="17714DEB"/>
    <w:rsid w:val="1773070A"/>
    <w:rsid w:val="177C7D93"/>
    <w:rsid w:val="1780598B"/>
    <w:rsid w:val="178B776C"/>
    <w:rsid w:val="1794208D"/>
    <w:rsid w:val="17972E49"/>
    <w:rsid w:val="179E4EB1"/>
    <w:rsid w:val="17AC2445"/>
    <w:rsid w:val="17C02416"/>
    <w:rsid w:val="17C41728"/>
    <w:rsid w:val="17C42FA3"/>
    <w:rsid w:val="17CC2050"/>
    <w:rsid w:val="17D00992"/>
    <w:rsid w:val="17DB07FD"/>
    <w:rsid w:val="17DD7A10"/>
    <w:rsid w:val="18011504"/>
    <w:rsid w:val="180204FD"/>
    <w:rsid w:val="180B3C78"/>
    <w:rsid w:val="18152765"/>
    <w:rsid w:val="182179DA"/>
    <w:rsid w:val="18231FF2"/>
    <w:rsid w:val="182363CF"/>
    <w:rsid w:val="1830215E"/>
    <w:rsid w:val="18325527"/>
    <w:rsid w:val="184548D7"/>
    <w:rsid w:val="184E58BA"/>
    <w:rsid w:val="18591130"/>
    <w:rsid w:val="185A5824"/>
    <w:rsid w:val="185B2870"/>
    <w:rsid w:val="1860479C"/>
    <w:rsid w:val="186B0A0B"/>
    <w:rsid w:val="186C1E67"/>
    <w:rsid w:val="186F12E4"/>
    <w:rsid w:val="187C7A8D"/>
    <w:rsid w:val="18894287"/>
    <w:rsid w:val="188A3D77"/>
    <w:rsid w:val="18AA183A"/>
    <w:rsid w:val="18AD75E0"/>
    <w:rsid w:val="18B134BA"/>
    <w:rsid w:val="18C30C16"/>
    <w:rsid w:val="18CD7E13"/>
    <w:rsid w:val="18CE2CD5"/>
    <w:rsid w:val="18D30343"/>
    <w:rsid w:val="18DF7C4C"/>
    <w:rsid w:val="18F5554D"/>
    <w:rsid w:val="18F8077E"/>
    <w:rsid w:val="18FD29F8"/>
    <w:rsid w:val="18FE54C8"/>
    <w:rsid w:val="18FF43AA"/>
    <w:rsid w:val="190D25FA"/>
    <w:rsid w:val="19164AD0"/>
    <w:rsid w:val="191C1AE0"/>
    <w:rsid w:val="19312BE6"/>
    <w:rsid w:val="193E255D"/>
    <w:rsid w:val="19446B04"/>
    <w:rsid w:val="194A015F"/>
    <w:rsid w:val="194C0DB9"/>
    <w:rsid w:val="194C5589"/>
    <w:rsid w:val="19503F69"/>
    <w:rsid w:val="195046DF"/>
    <w:rsid w:val="19506C57"/>
    <w:rsid w:val="19590507"/>
    <w:rsid w:val="196A7B32"/>
    <w:rsid w:val="196B6C52"/>
    <w:rsid w:val="197874D5"/>
    <w:rsid w:val="199D5D85"/>
    <w:rsid w:val="19A422EB"/>
    <w:rsid w:val="19A4516F"/>
    <w:rsid w:val="19AB3D81"/>
    <w:rsid w:val="19AE0319"/>
    <w:rsid w:val="19B852D8"/>
    <w:rsid w:val="19BB4090"/>
    <w:rsid w:val="19BF6CE5"/>
    <w:rsid w:val="19C074E9"/>
    <w:rsid w:val="19DA1AF8"/>
    <w:rsid w:val="19DD598F"/>
    <w:rsid w:val="19DF2E26"/>
    <w:rsid w:val="19E46812"/>
    <w:rsid w:val="19E637FC"/>
    <w:rsid w:val="19EB61E1"/>
    <w:rsid w:val="19EC1C0D"/>
    <w:rsid w:val="19F61EEA"/>
    <w:rsid w:val="19F750C8"/>
    <w:rsid w:val="19F86B46"/>
    <w:rsid w:val="19FD119F"/>
    <w:rsid w:val="1A0E206C"/>
    <w:rsid w:val="1A1A2C13"/>
    <w:rsid w:val="1A2E6FA4"/>
    <w:rsid w:val="1A3416C3"/>
    <w:rsid w:val="1A431508"/>
    <w:rsid w:val="1A4403B1"/>
    <w:rsid w:val="1A475BCB"/>
    <w:rsid w:val="1A4931CF"/>
    <w:rsid w:val="1A4E4344"/>
    <w:rsid w:val="1A5A6471"/>
    <w:rsid w:val="1A5C499E"/>
    <w:rsid w:val="1A62384E"/>
    <w:rsid w:val="1A645005"/>
    <w:rsid w:val="1A656C7F"/>
    <w:rsid w:val="1A683242"/>
    <w:rsid w:val="1A6D24F4"/>
    <w:rsid w:val="1A766799"/>
    <w:rsid w:val="1A773844"/>
    <w:rsid w:val="1A8705BD"/>
    <w:rsid w:val="1A9167F4"/>
    <w:rsid w:val="1A9D3061"/>
    <w:rsid w:val="1AAB5A98"/>
    <w:rsid w:val="1AAD6070"/>
    <w:rsid w:val="1ABC5B02"/>
    <w:rsid w:val="1ABE58DB"/>
    <w:rsid w:val="1AEA7FA2"/>
    <w:rsid w:val="1AF02D70"/>
    <w:rsid w:val="1AFB7505"/>
    <w:rsid w:val="1AFF564E"/>
    <w:rsid w:val="1B1B1A58"/>
    <w:rsid w:val="1B247620"/>
    <w:rsid w:val="1B2F4379"/>
    <w:rsid w:val="1B3322A9"/>
    <w:rsid w:val="1B5938DF"/>
    <w:rsid w:val="1B5D0A82"/>
    <w:rsid w:val="1B5E2F00"/>
    <w:rsid w:val="1B772D1B"/>
    <w:rsid w:val="1B940B1A"/>
    <w:rsid w:val="1B946510"/>
    <w:rsid w:val="1B946832"/>
    <w:rsid w:val="1B9674E0"/>
    <w:rsid w:val="1B982C96"/>
    <w:rsid w:val="1BA00C2D"/>
    <w:rsid w:val="1BA528B6"/>
    <w:rsid w:val="1BA62F91"/>
    <w:rsid w:val="1BA737F4"/>
    <w:rsid w:val="1BB20186"/>
    <w:rsid w:val="1BB50F28"/>
    <w:rsid w:val="1BB83431"/>
    <w:rsid w:val="1BBC508E"/>
    <w:rsid w:val="1BBD4776"/>
    <w:rsid w:val="1BC07463"/>
    <w:rsid w:val="1BCB3045"/>
    <w:rsid w:val="1BD51290"/>
    <w:rsid w:val="1BE348E1"/>
    <w:rsid w:val="1BFC0F15"/>
    <w:rsid w:val="1C0E4077"/>
    <w:rsid w:val="1C1C7F52"/>
    <w:rsid w:val="1C23498D"/>
    <w:rsid w:val="1C236694"/>
    <w:rsid w:val="1C261E70"/>
    <w:rsid w:val="1C483975"/>
    <w:rsid w:val="1C5B732D"/>
    <w:rsid w:val="1C5E0380"/>
    <w:rsid w:val="1C63324D"/>
    <w:rsid w:val="1C647970"/>
    <w:rsid w:val="1C701E81"/>
    <w:rsid w:val="1C7851C9"/>
    <w:rsid w:val="1C7C247C"/>
    <w:rsid w:val="1C80074F"/>
    <w:rsid w:val="1C915142"/>
    <w:rsid w:val="1C9174BE"/>
    <w:rsid w:val="1C9E2D64"/>
    <w:rsid w:val="1CA13151"/>
    <w:rsid w:val="1CA87BE3"/>
    <w:rsid w:val="1CC2057A"/>
    <w:rsid w:val="1CCC2FEF"/>
    <w:rsid w:val="1CCD2967"/>
    <w:rsid w:val="1CD62C15"/>
    <w:rsid w:val="1CDB3B6A"/>
    <w:rsid w:val="1CE24AAF"/>
    <w:rsid w:val="1CE971DA"/>
    <w:rsid w:val="1CF148FD"/>
    <w:rsid w:val="1D0815C2"/>
    <w:rsid w:val="1D10348D"/>
    <w:rsid w:val="1D185191"/>
    <w:rsid w:val="1D1B1917"/>
    <w:rsid w:val="1D1D6D80"/>
    <w:rsid w:val="1D286DD3"/>
    <w:rsid w:val="1D3869D4"/>
    <w:rsid w:val="1D394009"/>
    <w:rsid w:val="1D4414F9"/>
    <w:rsid w:val="1D466EE5"/>
    <w:rsid w:val="1D740A3B"/>
    <w:rsid w:val="1D771396"/>
    <w:rsid w:val="1D772A03"/>
    <w:rsid w:val="1D815388"/>
    <w:rsid w:val="1D843A64"/>
    <w:rsid w:val="1D9D7836"/>
    <w:rsid w:val="1DA66D27"/>
    <w:rsid w:val="1DAB4D3C"/>
    <w:rsid w:val="1DB00C15"/>
    <w:rsid w:val="1DB42EED"/>
    <w:rsid w:val="1DB57687"/>
    <w:rsid w:val="1DBA0FC4"/>
    <w:rsid w:val="1DBB1375"/>
    <w:rsid w:val="1DBE1A5C"/>
    <w:rsid w:val="1DCB3B09"/>
    <w:rsid w:val="1DCB4335"/>
    <w:rsid w:val="1DE265DE"/>
    <w:rsid w:val="1DE70BF9"/>
    <w:rsid w:val="1DE85755"/>
    <w:rsid w:val="1DEE56AA"/>
    <w:rsid w:val="1DFA42E6"/>
    <w:rsid w:val="1DFE3B6A"/>
    <w:rsid w:val="1E0418FF"/>
    <w:rsid w:val="1E094DE9"/>
    <w:rsid w:val="1E0D4A55"/>
    <w:rsid w:val="1E1639DE"/>
    <w:rsid w:val="1E23472C"/>
    <w:rsid w:val="1E270B2F"/>
    <w:rsid w:val="1E271AAD"/>
    <w:rsid w:val="1E323DD3"/>
    <w:rsid w:val="1E3F507E"/>
    <w:rsid w:val="1E437BF1"/>
    <w:rsid w:val="1E4C479D"/>
    <w:rsid w:val="1E5F6225"/>
    <w:rsid w:val="1E6550F5"/>
    <w:rsid w:val="1E843339"/>
    <w:rsid w:val="1E854754"/>
    <w:rsid w:val="1E8B5B35"/>
    <w:rsid w:val="1E99089F"/>
    <w:rsid w:val="1E9E575F"/>
    <w:rsid w:val="1EA25C26"/>
    <w:rsid w:val="1EA4144C"/>
    <w:rsid w:val="1EA607B6"/>
    <w:rsid w:val="1EA74D50"/>
    <w:rsid w:val="1EA83DC7"/>
    <w:rsid w:val="1EAE51E1"/>
    <w:rsid w:val="1EAF7B09"/>
    <w:rsid w:val="1EB165AF"/>
    <w:rsid w:val="1EC34FA5"/>
    <w:rsid w:val="1EDE37DC"/>
    <w:rsid w:val="1EE73495"/>
    <w:rsid w:val="1EEC2070"/>
    <w:rsid w:val="1EF00CE2"/>
    <w:rsid w:val="1EF80AC4"/>
    <w:rsid w:val="1F06290D"/>
    <w:rsid w:val="1F0B59F6"/>
    <w:rsid w:val="1F0C16DC"/>
    <w:rsid w:val="1F0F61B1"/>
    <w:rsid w:val="1F141438"/>
    <w:rsid w:val="1F1F3EDC"/>
    <w:rsid w:val="1F2414C8"/>
    <w:rsid w:val="1F3238A5"/>
    <w:rsid w:val="1F35590B"/>
    <w:rsid w:val="1F3D1B37"/>
    <w:rsid w:val="1F451DB1"/>
    <w:rsid w:val="1F474731"/>
    <w:rsid w:val="1F4A04C7"/>
    <w:rsid w:val="1F4B5206"/>
    <w:rsid w:val="1F576057"/>
    <w:rsid w:val="1F5B3CF9"/>
    <w:rsid w:val="1F696B65"/>
    <w:rsid w:val="1F6B6BD0"/>
    <w:rsid w:val="1F711926"/>
    <w:rsid w:val="1F76782A"/>
    <w:rsid w:val="1F775E2A"/>
    <w:rsid w:val="1F7D6E36"/>
    <w:rsid w:val="1F806A47"/>
    <w:rsid w:val="1F9A5A72"/>
    <w:rsid w:val="1FA657A4"/>
    <w:rsid w:val="1FA94784"/>
    <w:rsid w:val="1FB44D91"/>
    <w:rsid w:val="1FBB25A1"/>
    <w:rsid w:val="1FC073C4"/>
    <w:rsid w:val="1FC7348F"/>
    <w:rsid w:val="1FC74876"/>
    <w:rsid w:val="1FD95728"/>
    <w:rsid w:val="1FE33F8D"/>
    <w:rsid w:val="1FE5032D"/>
    <w:rsid w:val="1FEF24D0"/>
    <w:rsid w:val="1FF10DD7"/>
    <w:rsid w:val="1FF771CF"/>
    <w:rsid w:val="20060CD2"/>
    <w:rsid w:val="200A5F5B"/>
    <w:rsid w:val="200D79E0"/>
    <w:rsid w:val="2012468D"/>
    <w:rsid w:val="201C482D"/>
    <w:rsid w:val="20273D7F"/>
    <w:rsid w:val="202950DD"/>
    <w:rsid w:val="202A7323"/>
    <w:rsid w:val="202E4929"/>
    <w:rsid w:val="202F5850"/>
    <w:rsid w:val="20376FA3"/>
    <w:rsid w:val="203776CF"/>
    <w:rsid w:val="203C4B95"/>
    <w:rsid w:val="203D5DA5"/>
    <w:rsid w:val="20474BA1"/>
    <w:rsid w:val="204B5799"/>
    <w:rsid w:val="204E6099"/>
    <w:rsid w:val="204F13BC"/>
    <w:rsid w:val="2052507E"/>
    <w:rsid w:val="205C383A"/>
    <w:rsid w:val="205E13A9"/>
    <w:rsid w:val="20620FD8"/>
    <w:rsid w:val="20644EDF"/>
    <w:rsid w:val="2068176D"/>
    <w:rsid w:val="206D6E78"/>
    <w:rsid w:val="207225AE"/>
    <w:rsid w:val="20752580"/>
    <w:rsid w:val="207B015E"/>
    <w:rsid w:val="207D51A5"/>
    <w:rsid w:val="207E3A2D"/>
    <w:rsid w:val="2082305C"/>
    <w:rsid w:val="209410D8"/>
    <w:rsid w:val="20945297"/>
    <w:rsid w:val="209E0620"/>
    <w:rsid w:val="20AA1829"/>
    <w:rsid w:val="20AE364B"/>
    <w:rsid w:val="20B02CF6"/>
    <w:rsid w:val="20BE7DC0"/>
    <w:rsid w:val="20C36763"/>
    <w:rsid w:val="20C374F5"/>
    <w:rsid w:val="20C42750"/>
    <w:rsid w:val="20C459D3"/>
    <w:rsid w:val="20D54971"/>
    <w:rsid w:val="20D6412B"/>
    <w:rsid w:val="20E06466"/>
    <w:rsid w:val="20EC2E5A"/>
    <w:rsid w:val="20EE76ED"/>
    <w:rsid w:val="20F37F5F"/>
    <w:rsid w:val="210B0D8C"/>
    <w:rsid w:val="214A1282"/>
    <w:rsid w:val="21590B2B"/>
    <w:rsid w:val="215C2772"/>
    <w:rsid w:val="216259F9"/>
    <w:rsid w:val="21786B99"/>
    <w:rsid w:val="21976E18"/>
    <w:rsid w:val="219778C4"/>
    <w:rsid w:val="21996223"/>
    <w:rsid w:val="21A856B3"/>
    <w:rsid w:val="21AB14A8"/>
    <w:rsid w:val="21B45E68"/>
    <w:rsid w:val="21BE1798"/>
    <w:rsid w:val="21C4635F"/>
    <w:rsid w:val="21C56D85"/>
    <w:rsid w:val="21D63A7B"/>
    <w:rsid w:val="21D83322"/>
    <w:rsid w:val="21E25983"/>
    <w:rsid w:val="21E4070D"/>
    <w:rsid w:val="21F522EE"/>
    <w:rsid w:val="22000A7E"/>
    <w:rsid w:val="2217548D"/>
    <w:rsid w:val="221C3A4F"/>
    <w:rsid w:val="22201AF7"/>
    <w:rsid w:val="222B599C"/>
    <w:rsid w:val="2231449F"/>
    <w:rsid w:val="22353B2B"/>
    <w:rsid w:val="223717AA"/>
    <w:rsid w:val="223B34B1"/>
    <w:rsid w:val="224832AD"/>
    <w:rsid w:val="224E64D6"/>
    <w:rsid w:val="22506269"/>
    <w:rsid w:val="22527C89"/>
    <w:rsid w:val="22625A5A"/>
    <w:rsid w:val="22667E7F"/>
    <w:rsid w:val="226C73C0"/>
    <w:rsid w:val="226D1DB6"/>
    <w:rsid w:val="22803E4B"/>
    <w:rsid w:val="229D6C9B"/>
    <w:rsid w:val="22A00A2B"/>
    <w:rsid w:val="22A449CE"/>
    <w:rsid w:val="22A50B4E"/>
    <w:rsid w:val="22A744A2"/>
    <w:rsid w:val="22A7694B"/>
    <w:rsid w:val="22AF2B43"/>
    <w:rsid w:val="22AF7492"/>
    <w:rsid w:val="22B26E48"/>
    <w:rsid w:val="22B76CBA"/>
    <w:rsid w:val="22B84838"/>
    <w:rsid w:val="22CD4E56"/>
    <w:rsid w:val="22D15707"/>
    <w:rsid w:val="22D57870"/>
    <w:rsid w:val="22DA6E24"/>
    <w:rsid w:val="22DC7377"/>
    <w:rsid w:val="22EE2DA9"/>
    <w:rsid w:val="22EF5653"/>
    <w:rsid w:val="22F01831"/>
    <w:rsid w:val="22F53F4C"/>
    <w:rsid w:val="22F575C5"/>
    <w:rsid w:val="230113BE"/>
    <w:rsid w:val="230424F2"/>
    <w:rsid w:val="23095363"/>
    <w:rsid w:val="231879A1"/>
    <w:rsid w:val="231D44C6"/>
    <w:rsid w:val="231D6ABC"/>
    <w:rsid w:val="23312902"/>
    <w:rsid w:val="233554AA"/>
    <w:rsid w:val="234249EB"/>
    <w:rsid w:val="23494B81"/>
    <w:rsid w:val="234C0789"/>
    <w:rsid w:val="234F06DB"/>
    <w:rsid w:val="235506BB"/>
    <w:rsid w:val="23586A43"/>
    <w:rsid w:val="235F1A87"/>
    <w:rsid w:val="23617917"/>
    <w:rsid w:val="2369472E"/>
    <w:rsid w:val="2379097E"/>
    <w:rsid w:val="237F39B4"/>
    <w:rsid w:val="23816C24"/>
    <w:rsid w:val="2383009A"/>
    <w:rsid w:val="23870CAC"/>
    <w:rsid w:val="238717CD"/>
    <w:rsid w:val="238C44F3"/>
    <w:rsid w:val="23983611"/>
    <w:rsid w:val="23984CAA"/>
    <w:rsid w:val="23A0735D"/>
    <w:rsid w:val="23A52A88"/>
    <w:rsid w:val="23A56E5A"/>
    <w:rsid w:val="23B50828"/>
    <w:rsid w:val="23B66052"/>
    <w:rsid w:val="23C47BBC"/>
    <w:rsid w:val="23C60DBC"/>
    <w:rsid w:val="23C77146"/>
    <w:rsid w:val="23DB0822"/>
    <w:rsid w:val="23E56FBD"/>
    <w:rsid w:val="23F12C7E"/>
    <w:rsid w:val="240241AC"/>
    <w:rsid w:val="240B1EA9"/>
    <w:rsid w:val="240F0804"/>
    <w:rsid w:val="24157DF2"/>
    <w:rsid w:val="24196749"/>
    <w:rsid w:val="2423362B"/>
    <w:rsid w:val="24235F3A"/>
    <w:rsid w:val="24267076"/>
    <w:rsid w:val="24305A24"/>
    <w:rsid w:val="243802F2"/>
    <w:rsid w:val="24393940"/>
    <w:rsid w:val="24570B0E"/>
    <w:rsid w:val="245E4F27"/>
    <w:rsid w:val="24603096"/>
    <w:rsid w:val="246152AD"/>
    <w:rsid w:val="246C274C"/>
    <w:rsid w:val="24747BF9"/>
    <w:rsid w:val="247862BE"/>
    <w:rsid w:val="247F74DE"/>
    <w:rsid w:val="24893AF5"/>
    <w:rsid w:val="248C3F68"/>
    <w:rsid w:val="248F2E41"/>
    <w:rsid w:val="24941D17"/>
    <w:rsid w:val="249623ED"/>
    <w:rsid w:val="249C2906"/>
    <w:rsid w:val="24A252FD"/>
    <w:rsid w:val="24CB1FC2"/>
    <w:rsid w:val="24CD424A"/>
    <w:rsid w:val="24D71651"/>
    <w:rsid w:val="24E1532B"/>
    <w:rsid w:val="24EB0BA1"/>
    <w:rsid w:val="24F57F0A"/>
    <w:rsid w:val="25033A6C"/>
    <w:rsid w:val="25040376"/>
    <w:rsid w:val="250531F5"/>
    <w:rsid w:val="250B7C3E"/>
    <w:rsid w:val="252C6B39"/>
    <w:rsid w:val="252D7A09"/>
    <w:rsid w:val="25427061"/>
    <w:rsid w:val="25435323"/>
    <w:rsid w:val="2549611A"/>
    <w:rsid w:val="254A3531"/>
    <w:rsid w:val="254A66E3"/>
    <w:rsid w:val="254C40BE"/>
    <w:rsid w:val="254C7CC6"/>
    <w:rsid w:val="255312C4"/>
    <w:rsid w:val="256D5804"/>
    <w:rsid w:val="256E4FB1"/>
    <w:rsid w:val="2571586E"/>
    <w:rsid w:val="25796D6B"/>
    <w:rsid w:val="257E5626"/>
    <w:rsid w:val="25822881"/>
    <w:rsid w:val="258935CA"/>
    <w:rsid w:val="259431DC"/>
    <w:rsid w:val="259C7D2C"/>
    <w:rsid w:val="25A660A4"/>
    <w:rsid w:val="25BA46F2"/>
    <w:rsid w:val="25CD220C"/>
    <w:rsid w:val="25CE104B"/>
    <w:rsid w:val="25CE24B8"/>
    <w:rsid w:val="25D20D40"/>
    <w:rsid w:val="25D416BB"/>
    <w:rsid w:val="25D62BC3"/>
    <w:rsid w:val="25E0184B"/>
    <w:rsid w:val="25E7784A"/>
    <w:rsid w:val="25F07A07"/>
    <w:rsid w:val="25F934F4"/>
    <w:rsid w:val="25FB1D04"/>
    <w:rsid w:val="25FE551C"/>
    <w:rsid w:val="260A3D1D"/>
    <w:rsid w:val="260A5246"/>
    <w:rsid w:val="262578F9"/>
    <w:rsid w:val="2628110A"/>
    <w:rsid w:val="262C6EE4"/>
    <w:rsid w:val="26367EA6"/>
    <w:rsid w:val="263824C1"/>
    <w:rsid w:val="263F7046"/>
    <w:rsid w:val="264B4591"/>
    <w:rsid w:val="26544232"/>
    <w:rsid w:val="26625B2A"/>
    <w:rsid w:val="266778D1"/>
    <w:rsid w:val="266B26A5"/>
    <w:rsid w:val="267A2D8B"/>
    <w:rsid w:val="267E7CE3"/>
    <w:rsid w:val="2693660F"/>
    <w:rsid w:val="2699628B"/>
    <w:rsid w:val="26A32713"/>
    <w:rsid w:val="26A420A3"/>
    <w:rsid w:val="26A73B9A"/>
    <w:rsid w:val="26AE5253"/>
    <w:rsid w:val="26B00CC1"/>
    <w:rsid w:val="26B22B7B"/>
    <w:rsid w:val="26B46C1F"/>
    <w:rsid w:val="26DB0CA7"/>
    <w:rsid w:val="26E62026"/>
    <w:rsid w:val="26E9143A"/>
    <w:rsid w:val="26E918B2"/>
    <w:rsid w:val="26ED69D1"/>
    <w:rsid w:val="27047084"/>
    <w:rsid w:val="27097930"/>
    <w:rsid w:val="270C77C3"/>
    <w:rsid w:val="270E46D8"/>
    <w:rsid w:val="27125DE3"/>
    <w:rsid w:val="27233C28"/>
    <w:rsid w:val="27245FCA"/>
    <w:rsid w:val="272D51EB"/>
    <w:rsid w:val="27460D2E"/>
    <w:rsid w:val="27473394"/>
    <w:rsid w:val="27496B42"/>
    <w:rsid w:val="27554AB2"/>
    <w:rsid w:val="27592E37"/>
    <w:rsid w:val="27690AFE"/>
    <w:rsid w:val="276D4C1D"/>
    <w:rsid w:val="276D6E72"/>
    <w:rsid w:val="27734796"/>
    <w:rsid w:val="278352AE"/>
    <w:rsid w:val="278456D2"/>
    <w:rsid w:val="27877ADC"/>
    <w:rsid w:val="278C6639"/>
    <w:rsid w:val="27907BAE"/>
    <w:rsid w:val="27A72F5C"/>
    <w:rsid w:val="27A762B6"/>
    <w:rsid w:val="27B1767C"/>
    <w:rsid w:val="27C20955"/>
    <w:rsid w:val="27C21468"/>
    <w:rsid w:val="27C54CE8"/>
    <w:rsid w:val="27C655DE"/>
    <w:rsid w:val="27CA4E1B"/>
    <w:rsid w:val="27D061D4"/>
    <w:rsid w:val="27D2553E"/>
    <w:rsid w:val="27D86C64"/>
    <w:rsid w:val="27DB78CF"/>
    <w:rsid w:val="27DC23AB"/>
    <w:rsid w:val="27E53958"/>
    <w:rsid w:val="27E67447"/>
    <w:rsid w:val="27E92D9F"/>
    <w:rsid w:val="27F15009"/>
    <w:rsid w:val="27F471CA"/>
    <w:rsid w:val="27FB1EAF"/>
    <w:rsid w:val="27FF6A4E"/>
    <w:rsid w:val="28187DA9"/>
    <w:rsid w:val="28237372"/>
    <w:rsid w:val="282C0647"/>
    <w:rsid w:val="283441F3"/>
    <w:rsid w:val="28383D84"/>
    <w:rsid w:val="283E0864"/>
    <w:rsid w:val="283F57E8"/>
    <w:rsid w:val="284201AB"/>
    <w:rsid w:val="284A0FF1"/>
    <w:rsid w:val="284F5C9D"/>
    <w:rsid w:val="2854055D"/>
    <w:rsid w:val="285836F9"/>
    <w:rsid w:val="285D1E71"/>
    <w:rsid w:val="286B425C"/>
    <w:rsid w:val="286B7D69"/>
    <w:rsid w:val="286E230C"/>
    <w:rsid w:val="287C0AF7"/>
    <w:rsid w:val="289430C1"/>
    <w:rsid w:val="289A4FE8"/>
    <w:rsid w:val="289B2083"/>
    <w:rsid w:val="289C5F06"/>
    <w:rsid w:val="28AD2D25"/>
    <w:rsid w:val="28B5051F"/>
    <w:rsid w:val="28B63863"/>
    <w:rsid w:val="28BE4C67"/>
    <w:rsid w:val="28C675D6"/>
    <w:rsid w:val="28CA1556"/>
    <w:rsid w:val="28CA51A8"/>
    <w:rsid w:val="28D3381B"/>
    <w:rsid w:val="28D92CCD"/>
    <w:rsid w:val="28EE1ED8"/>
    <w:rsid w:val="28EF3E9F"/>
    <w:rsid w:val="28F35991"/>
    <w:rsid w:val="28F62399"/>
    <w:rsid w:val="28FC49B4"/>
    <w:rsid w:val="29070822"/>
    <w:rsid w:val="291F3BBE"/>
    <w:rsid w:val="29212491"/>
    <w:rsid w:val="292B7BF3"/>
    <w:rsid w:val="292F3F42"/>
    <w:rsid w:val="29343EE2"/>
    <w:rsid w:val="293733AD"/>
    <w:rsid w:val="29377B4C"/>
    <w:rsid w:val="29397051"/>
    <w:rsid w:val="29431DF0"/>
    <w:rsid w:val="294352D5"/>
    <w:rsid w:val="294671E7"/>
    <w:rsid w:val="294B2C64"/>
    <w:rsid w:val="294D20D6"/>
    <w:rsid w:val="295E380E"/>
    <w:rsid w:val="29666376"/>
    <w:rsid w:val="29704429"/>
    <w:rsid w:val="29741D20"/>
    <w:rsid w:val="297B55C8"/>
    <w:rsid w:val="297C47AE"/>
    <w:rsid w:val="29803AAF"/>
    <w:rsid w:val="29856AEA"/>
    <w:rsid w:val="298967CF"/>
    <w:rsid w:val="29935FC6"/>
    <w:rsid w:val="29950AD8"/>
    <w:rsid w:val="29963158"/>
    <w:rsid w:val="29975217"/>
    <w:rsid w:val="299D3B25"/>
    <w:rsid w:val="29A31F36"/>
    <w:rsid w:val="29A3234A"/>
    <w:rsid w:val="29BE065F"/>
    <w:rsid w:val="29CF350A"/>
    <w:rsid w:val="29CF71B8"/>
    <w:rsid w:val="29D77CD7"/>
    <w:rsid w:val="29E5275F"/>
    <w:rsid w:val="29E771E2"/>
    <w:rsid w:val="29F75BE9"/>
    <w:rsid w:val="2A1772F9"/>
    <w:rsid w:val="2A1C4B4E"/>
    <w:rsid w:val="2A1E0C99"/>
    <w:rsid w:val="2A247545"/>
    <w:rsid w:val="2A2A1FD9"/>
    <w:rsid w:val="2A324BF4"/>
    <w:rsid w:val="2A332DAF"/>
    <w:rsid w:val="2A335B57"/>
    <w:rsid w:val="2A407FBB"/>
    <w:rsid w:val="2A4260FC"/>
    <w:rsid w:val="2A561C8D"/>
    <w:rsid w:val="2A5D3025"/>
    <w:rsid w:val="2A621B97"/>
    <w:rsid w:val="2A705C47"/>
    <w:rsid w:val="2A7F7C03"/>
    <w:rsid w:val="2A8147D1"/>
    <w:rsid w:val="2A845136"/>
    <w:rsid w:val="2A8D34CA"/>
    <w:rsid w:val="2A946151"/>
    <w:rsid w:val="2AA33154"/>
    <w:rsid w:val="2AA9790A"/>
    <w:rsid w:val="2AAB7513"/>
    <w:rsid w:val="2AAC30E9"/>
    <w:rsid w:val="2AB40232"/>
    <w:rsid w:val="2AB87090"/>
    <w:rsid w:val="2ACE2C50"/>
    <w:rsid w:val="2AD0397B"/>
    <w:rsid w:val="2ADE2D18"/>
    <w:rsid w:val="2AE47841"/>
    <w:rsid w:val="2AE810FC"/>
    <w:rsid w:val="2AE90812"/>
    <w:rsid w:val="2AF537AE"/>
    <w:rsid w:val="2AFB592F"/>
    <w:rsid w:val="2AFD155A"/>
    <w:rsid w:val="2B081659"/>
    <w:rsid w:val="2B0D5AA1"/>
    <w:rsid w:val="2B143CA5"/>
    <w:rsid w:val="2B217BA5"/>
    <w:rsid w:val="2B251240"/>
    <w:rsid w:val="2B387DEF"/>
    <w:rsid w:val="2B39703A"/>
    <w:rsid w:val="2B4C1115"/>
    <w:rsid w:val="2B675C16"/>
    <w:rsid w:val="2B8A5411"/>
    <w:rsid w:val="2B90053B"/>
    <w:rsid w:val="2BA75E95"/>
    <w:rsid w:val="2BB538B0"/>
    <w:rsid w:val="2BB64B2C"/>
    <w:rsid w:val="2BC020DC"/>
    <w:rsid w:val="2BCB0AE1"/>
    <w:rsid w:val="2BDB4D37"/>
    <w:rsid w:val="2BE40D53"/>
    <w:rsid w:val="2BE87D75"/>
    <w:rsid w:val="2BF10135"/>
    <w:rsid w:val="2BF35741"/>
    <w:rsid w:val="2BF36CEB"/>
    <w:rsid w:val="2BF459EB"/>
    <w:rsid w:val="2C0F3BEA"/>
    <w:rsid w:val="2C1E763E"/>
    <w:rsid w:val="2C2004CD"/>
    <w:rsid w:val="2C2D4594"/>
    <w:rsid w:val="2C3073E9"/>
    <w:rsid w:val="2C382C34"/>
    <w:rsid w:val="2C401128"/>
    <w:rsid w:val="2C536C69"/>
    <w:rsid w:val="2C617A4D"/>
    <w:rsid w:val="2C652215"/>
    <w:rsid w:val="2C6807F0"/>
    <w:rsid w:val="2C756DEA"/>
    <w:rsid w:val="2C770F4E"/>
    <w:rsid w:val="2C806FB5"/>
    <w:rsid w:val="2C87559E"/>
    <w:rsid w:val="2C8B6C1C"/>
    <w:rsid w:val="2CBA1E54"/>
    <w:rsid w:val="2CC46D97"/>
    <w:rsid w:val="2CC6499F"/>
    <w:rsid w:val="2CC976CA"/>
    <w:rsid w:val="2CDF34EB"/>
    <w:rsid w:val="2CEC274C"/>
    <w:rsid w:val="2CED0D73"/>
    <w:rsid w:val="2CF01BE7"/>
    <w:rsid w:val="2CF306D4"/>
    <w:rsid w:val="2CF7354B"/>
    <w:rsid w:val="2D044988"/>
    <w:rsid w:val="2D075C03"/>
    <w:rsid w:val="2D086D80"/>
    <w:rsid w:val="2D0D6A81"/>
    <w:rsid w:val="2D1170D9"/>
    <w:rsid w:val="2D193BC7"/>
    <w:rsid w:val="2D2649ED"/>
    <w:rsid w:val="2D290BD2"/>
    <w:rsid w:val="2D300CD4"/>
    <w:rsid w:val="2D306BEE"/>
    <w:rsid w:val="2D3E18CD"/>
    <w:rsid w:val="2D4121E5"/>
    <w:rsid w:val="2D43668F"/>
    <w:rsid w:val="2D4A4B7C"/>
    <w:rsid w:val="2D511634"/>
    <w:rsid w:val="2D54655C"/>
    <w:rsid w:val="2D684A45"/>
    <w:rsid w:val="2D722B31"/>
    <w:rsid w:val="2D722C6C"/>
    <w:rsid w:val="2D77018A"/>
    <w:rsid w:val="2D8F594D"/>
    <w:rsid w:val="2D975D04"/>
    <w:rsid w:val="2D976D39"/>
    <w:rsid w:val="2D9A3115"/>
    <w:rsid w:val="2D9E49CB"/>
    <w:rsid w:val="2DC2587C"/>
    <w:rsid w:val="2DC652D0"/>
    <w:rsid w:val="2DE05A9D"/>
    <w:rsid w:val="2DE4330E"/>
    <w:rsid w:val="2DE71FB6"/>
    <w:rsid w:val="2E021C1F"/>
    <w:rsid w:val="2E1F05B0"/>
    <w:rsid w:val="2E273A99"/>
    <w:rsid w:val="2E310DA8"/>
    <w:rsid w:val="2E3A7AD9"/>
    <w:rsid w:val="2E3B4CF8"/>
    <w:rsid w:val="2E3F60DE"/>
    <w:rsid w:val="2E40631B"/>
    <w:rsid w:val="2E425CCC"/>
    <w:rsid w:val="2E4D56DF"/>
    <w:rsid w:val="2E5C0781"/>
    <w:rsid w:val="2E681986"/>
    <w:rsid w:val="2E6A00AA"/>
    <w:rsid w:val="2E6C2CCD"/>
    <w:rsid w:val="2E800178"/>
    <w:rsid w:val="2E84761D"/>
    <w:rsid w:val="2E8A0F0E"/>
    <w:rsid w:val="2E926FBA"/>
    <w:rsid w:val="2E983427"/>
    <w:rsid w:val="2E9D13D3"/>
    <w:rsid w:val="2EA06163"/>
    <w:rsid w:val="2EA32506"/>
    <w:rsid w:val="2EA91E36"/>
    <w:rsid w:val="2EB5671C"/>
    <w:rsid w:val="2ED65A68"/>
    <w:rsid w:val="2EDE37FF"/>
    <w:rsid w:val="2EE12EDE"/>
    <w:rsid w:val="2EEB11AA"/>
    <w:rsid w:val="2EEE548D"/>
    <w:rsid w:val="2EF9530B"/>
    <w:rsid w:val="2F02696C"/>
    <w:rsid w:val="2F0C243B"/>
    <w:rsid w:val="2F1228FD"/>
    <w:rsid w:val="2F12397D"/>
    <w:rsid w:val="2F1E0131"/>
    <w:rsid w:val="2F20128C"/>
    <w:rsid w:val="2F34284F"/>
    <w:rsid w:val="2F347DE0"/>
    <w:rsid w:val="2F495DD7"/>
    <w:rsid w:val="2F5B2C2F"/>
    <w:rsid w:val="2F615964"/>
    <w:rsid w:val="2F7373E2"/>
    <w:rsid w:val="2F765FF3"/>
    <w:rsid w:val="2F7716A4"/>
    <w:rsid w:val="2F855763"/>
    <w:rsid w:val="2F8A6243"/>
    <w:rsid w:val="2FB07AE2"/>
    <w:rsid w:val="2FB36795"/>
    <w:rsid w:val="2FB51FDB"/>
    <w:rsid w:val="2FB86CB3"/>
    <w:rsid w:val="2FD60770"/>
    <w:rsid w:val="2FE626B1"/>
    <w:rsid w:val="2FF103A2"/>
    <w:rsid w:val="300B6270"/>
    <w:rsid w:val="300D4BEB"/>
    <w:rsid w:val="30116183"/>
    <w:rsid w:val="301D5FE0"/>
    <w:rsid w:val="30281BE6"/>
    <w:rsid w:val="30316E1F"/>
    <w:rsid w:val="3035679D"/>
    <w:rsid w:val="30364213"/>
    <w:rsid w:val="303E0040"/>
    <w:rsid w:val="304300DF"/>
    <w:rsid w:val="30560DB2"/>
    <w:rsid w:val="30650648"/>
    <w:rsid w:val="30710508"/>
    <w:rsid w:val="307533D5"/>
    <w:rsid w:val="30767F36"/>
    <w:rsid w:val="307957A2"/>
    <w:rsid w:val="30837AD8"/>
    <w:rsid w:val="3084352B"/>
    <w:rsid w:val="30876226"/>
    <w:rsid w:val="308A486D"/>
    <w:rsid w:val="308B13BB"/>
    <w:rsid w:val="308B1EAF"/>
    <w:rsid w:val="308D4FA9"/>
    <w:rsid w:val="3094258B"/>
    <w:rsid w:val="309557C0"/>
    <w:rsid w:val="309A219B"/>
    <w:rsid w:val="30A13A34"/>
    <w:rsid w:val="30B17EF2"/>
    <w:rsid w:val="30BA58F7"/>
    <w:rsid w:val="30BF70E3"/>
    <w:rsid w:val="30C80126"/>
    <w:rsid w:val="30CB291F"/>
    <w:rsid w:val="30CE2908"/>
    <w:rsid w:val="30D3370F"/>
    <w:rsid w:val="30DB4233"/>
    <w:rsid w:val="30DC5FCD"/>
    <w:rsid w:val="30DD697B"/>
    <w:rsid w:val="30ED531C"/>
    <w:rsid w:val="30F55EC9"/>
    <w:rsid w:val="30FB7420"/>
    <w:rsid w:val="310155A8"/>
    <w:rsid w:val="3105084A"/>
    <w:rsid w:val="31094915"/>
    <w:rsid w:val="31116472"/>
    <w:rsid w:val="31232DD3"/>
    <w:rsid w:val="31241DC1"/>
    <w:rsid w:val="312E609A"/>
    <w:rsid w:val="31354E8B"/>
    <w:rsid w:val="31387F2D"/>
    <w:rsid w:val="314F6D01"/>
    <w:rsid w:val="31531F0D"/>
    <w:rsid w:val="31557120"/>
    <w:rsid w:val="31560AA9"/>
    <w:rsid w:val="315A38DE"/>
    <w:rsid w:val="315C4EE4"/>
    <w:rsid w:val="31607BC3"/>
    <w:rsid w:val="316657CD"/>
    <w:rsid w:val="3173454C"/>
    <w:rsid w:val="317730E8"/>
    <w:rsid w:val="31793F5A"/>
    <w:rsid w:val="317C3171"/>
    <w:rsid w:val="318374A9"/>
    <w:rsid w:val="31A01011"/>
    <w:rsid w:val="31A04156"/>
    <w:rsid w:val="31BA7378"/>
    <w:rsid w:val="31BB0903"/>
    <w:rsid w:val="31BC7E90"/>
    <w:rsid w:val="31C07B00"/>
    <w:rsid w:val="31D124A1"/>
    <w:rsid w:val="31DC19C9"/>
    <w:rsid w:val="31E149EB"/>
    <w:rsid w:val="31E71C60"/>
    <w:rsid w:val="31F1423A"/>
    <w:rsid w:val="31F94FF8"/>
    <w:rsid w:val="31FE4F52"/>
    <w:rsid w:val="3201399E"/>
    <w:rsid w:val="320B5C3E"/>
    <w:rsid w:val="3214519A"/>
    <w:rsid w:val="3217765E"/>
    <w:rsid w:val="321A0BD9"/>
    <w:rsid w:val="322C0A36"/>
    <w:rsid w:val="323347C6"/>
    <w:rsid w:val="32344907"/>
    <w:rsid w:val="323E3A9D"/>
    <w:rsid w:val="3242183E"/>
    <w:rsid w:val="32616E5E"/>
    <w:rsid w:val="32687EE2"/>
    <w:rsid w:val="326B1EA1"/>
    <w:rsid w:val="326D3699"/>
    <w:rsid w:val="326D7D87"/>
    <w:rsid w:val="326E1FE0"/>
    <w:rsid w:val="32796BD1"/>
    <w:rsid w:val="32810BE7"/>
    <w:rsid w:val="32873A01"/>
    <w:rsid w:val="32980D94"/>
    <w:rsid w:val="32A26665"/>
    <w:rsid w:val="32A66A31"/>
    <w:rsid w:val="32C80E24"/>
    <w:rsid w:val="32CA2DBF"/>
    <w:rsid w:val="32CA6E09"/>
    <w:rsid w:val="32CC56B3"/>
    <w:rsid w:val="32CF2F49"/>
    <w:rsid w:val="32D852CF"/>
    <w:rsid w:val="32DA2BFB"/>
    <w:rsid w:val="32E42C6B"/>
    <w:rsid w:val="32EA7AB4"/>
    <w:rsid w:val="32F573F4"/>
    <w:rsid w:val="32FA19FA"/>
    <w:rsid w:val="33034EE7"/>
    <w:rsid w:val="330809E1"/>
    <w:rsid w:val="331617B9"/>
    <w:rsid w:val="33185596"/>
    <w:rsid w:val="331A709C"/>
    <w:rsid w:val="332961A8"/>
    <w:rsid w:val="332A7F49"/>
    <w:rsid w:val="332D6D5D"/>
    <w:rsid w:val="33342C15"/>
    <w:rsid w:val="334E58BF"/>
    <w:rsid w:val="33666F60"/>
    <w:rsid w:val="336E4EC1"/>
    <w:rsid w:val="3385049D"/>
    <w:rsid w:val="338D6A86"/>
    <w:rsid w:val="33A2061F"/>
    <w:rsid w:val="33A46D1A"/>
    <w:rsid w:val="33B8496E"/>
    <w:rsid w:val="33C224FD"/>
    <w:rsid w:val="33C32EC7"/>
    <w:rsid w:val="33C468A6"/>
    <w:rsid w:val="33CA6BC0"/>
    <w:rsid w:val="33CA76F3"/>
    <w:rsid w:val="33D13A20"/>
    <w:rsid w:val="33EC6084"/>
    <w:rsid w:val="33F51A38"/>
    <w:rsid w:val="340D626A"/>
    <w:rsid w:val="34184786"/>
    <w:rsid w:val="3424076F"/>
    <w:rsid w:val="34281E11"/>
    <w:rsid w:val="34285604"/>
    <w:rsid w:val="342D0BE1"/>
    <w:rsid w:val="342E1A49"/>
    <w:rsid w:val="343A72F1"/>
    <w:rsid w:val="34420508"/>
    <w:rsid w:val="345115A8"/>
    <w:rsid w:val="345D6B7F"/>
    <w:rsid w:val="3472744B"/>
    <w:rsid w:val="348078B0"/>
    <w:rsid w:val="348126E9"/>
    <w:rsid w:val="348651BC"/>
    <w:rsid w:val="348C4C1E"/>
    <w:rsid w:val="348F514A"/>
    <w:rsid w:val="3491429F"/>
    <w:rsid w:val="34935D20"/>
    <w:rsid w:val="34952C9D"/>
    <w:rsid w:val="349B1F71"/>
    <w:rsid w:val="349F432A"/>
    <w:rsid w:val="34AA3FDD"/>
    <w:rsid w:val="34B15C01"/>
    <w:rsid w:val="34B9529E"/>
    <w:rsid w:val="34BB171F"/>
    <w:rsid w:val="34C20E8B"/>
    <w:rsid w:val="34C40BED"/>
    <w:rsid w:val="34CE67DF"/>
    <w:rsid w:val="34D3344B"/>
    <w:rsid w:val="34D672BE"/>
    <w:rsid w:val="34DB2ABB"/>
    <w:rsid w:val="34E04320"/>
    <w:rsid w:val="34EB6A4D"/>
    <w:rsid w:val="34ED4990"/>
    <w:rsid w:val="34EF5757"/>
    <w:rsid w:val="34F30289"/>
    <w:rsid w:val="34FA0BBE"/>
    <w:rsid w:val="34FB264B"/>
    <w:rsid w:val="35001896"/>
    <w:rsid w:val="350F39AD"/>
    <w:rsid w:val="351138B9"/>
    <w:rsid w:val="35150CF6"/>
    <w:rsid w:val="35162938"/>
    <w:rsid w:val="352250EF"/>
    <w:rsid w:val="352B3990"/>
    <w:rsid w:val="35350C30"/>
    <w:rsid w:val="35377427"/>
    <w:rsid w:val="354271E8"/>
    <w:rsid w:val="35521B00"/>
    <w:rsid w:val="35540BAF"/>
    <w:rsid w:val="35563422"/>
    <w:rsid w:val="355F3196"/>
    <w:rsid w:val="35801D0B"/>
    <w:rsid w:val="35803529"/>
    <w:rsid w:val="358A3635"/>
    <w:rsid w:val="358D4D9C"/>
    <w:rsid w:val="35952DD3"/>
    <w:rsid w:val="359669C7"/>
    <w:rsid w:val="359775B7"/>
    <w:rsid w:val="35AF617F"/>
    <w:rsid w:val="35C07A3B"/>
    <w:rsid w:val="35C50E74"/>
    <w:rsid w:val="35CA6E49"/>
    <w:rsid w:val="35D13F28"/>
    <w:rsid w:val="35D2594A"/>
    <w:rsid w:val="35D9744B"/>
    <w:rsid w:val="35E009DC"/>
    <w:rsid w:val="35E2509E"/>
    <w:rsid w:val="35E3354A"/>
    <w:rsid w:val="35E770B1"/>
    <w:rsid w:val="35ED5576"/>
    <w:rsid w:val="35F55D16"/>
    <w:rsid w:val="35F828B8"/>
    <w:rsid w:val="35FF07A5"/>
    <w:rsid w:val="360D4A05"/>
    <w:rsid w:val="361B16CA"/>
    <w:rsid w:val="361F6D46"/>
    <w:rsid w:val="3627010F"/>
    <w:rsid w:val="36345037"/>
    <w:rsid w:val="363942BE"/>
    <w:rsid w:val="363C17F1"/>
    <w:rsid w:val="363D21C7"/>
    <w:rsid w:val="363E17BD"/>
    <w:rsid w:val="36432C4D"/>
    <w:rsid w:val="3649353D"/>
    <w:rsid w:val="36536C9E"/>
    <w:rsid w:val="365A4623"/>
    <w:rsid w:val="36637DED"/>
    <w:rsid w:val="36640E31"/>
    <w:rsid w:val="366D1D52"/>
    <w:rsid w:val="366E6E4F"/>
    <w:rsid w:val="367B5D7B"/>
    <w:rsid w:val="36803843"/>
    <w:rsid w:val="368E5759"/>
    <w:rsid w:val="369F41AE"/>
    <w:rsid w:val="36A85748"/>
    <w:rsid w:val="36B966B8"/>
    <w:rsid w:val="36CA60D3"/>
    <w:rsid w:val="36CC1F48"/>
    <w:rsid w:val="36CC5153"/>
    <w:rsid w:val="36DB5F3E"/>
    <w:rsid w:val="36F5781E"/>
    <w:rsid w:val="36F8133C"/>
    <w:rsid w:val="36FB628D"/>
    <w:rsid w:val="36FB73A6"/>
    <w:rsid w:val="3700705B"/>
    <w:rsid w:val="3704646D"/>
    <w:rsid w:val="37161AEC"/>
    <w:rsid w:val="37164D93"/>
    <w:rsid w:val="371F5158"/>
    <w:rsid w:val="37284BBF"/>
    <w:rsid w:val="37382295"/>
    <w:rsid w:val="373B5309"/>
    <w:rsid w:val="374279B4"/>
    <w:rsid w:val="37454090"/>
    <w:rsid w:val="3747368A"/>
    <w:rsid w:val="3748436B"/>
    <w:rsid w:val="374F6DCD"/>
    <w:rsid w:val="376D58B9"/>
    <w:rsid w:val="377A05B0"/>
    <w:rsid w:val="377D441E"/>
    <w:rsid w:val="377F2075"/>
    <w:rsid w:val="37831637"/>
    <w:rsid w:val="3791710D"/>
    <w:rsid w:val="37964796"/>
    <w:rsid w:val="379865FE"/>
    <w:rsid w:val="379B0F9E"/>
    <w:rsid w:val="37A8716F"/>
    <w:rsid w:val="37A903EA"/>
    <w:rsid w:val="37AB7D73"/>
    <w:rsid w:val="37B95722"/>
    <w:rsid w:val="37BD53B3"/>
    <w:rsid w:val="37C56598"/>
    <w:rsid w:val="37CE301F"/>
    <w:rsid w:val="37CE3B6E"/>
    <w:rsid w:val="37D032C8"/>
    <w:rsid w:val="37D76DB8"/>
    <w:rsid w:val="37D93316"/>
    <w:rsid w:val="37E039D1"/>
    <w:rsid w:val="37E340D5"/>
    <w:rsid w:val="37F26B9C"/>
    <w:rsid w:val="37F33444"/>
    <w:rsid w:val="37F60D49"/>
    <w:rsid w:val="37FE6440"/>
    <w:rsid w:val="38022A05"/>
    <w:rsid w:val="3802799C"/>
    <w:rsid w:val="380843B4"/>
    <w:rsid w:val="3810380F"/>
    <w:rsid w:val="38132E3F"/>
    <w:rsid w:val="381956EB"/>
    <w:rsid w:val="3823148F"/>
    <w:rsid w:val="38272192"/>
    <w:rsid w:val="382C6761"/>
    <w:rsid w:val="382F584F"/>
    <w:rsid w:val="38321C52"/>
    <w:rsid w:val="383770A5"/>
    <w:rsid w:val="38377EC9"/>
    <w:rsid w:val="384445C1"/>
    <w:rsid w:val="384D2810"/>
    <w:rsid w:val="38662BA6"/>
    <w:rsid w:val="38881491"/>
    <w:rsid w:val="38885C6C"/>
    <w:rsid w:val="388F547F"/>
    <w:rsid w:val="38902F63"/>
    <w:rsid w:val="3899074D"/>
    <w:rsid w:val="389976C8"/>
    <w:rsid w:val="38A9545E"/>
    <w:rsid w:val="38AC53F9"/>
    <w:rsid w:val="38AE33D1"/>
    <w:rsid w:val="38B15615"/>
    <w:rsid w:val="38C22C79"/>
    <w:rsid w:val="38C2712E"/>
    <w:rsid w:val="38C933D0"/>
    <w:rsid w:val="38E32557"/>
    <w:rsid w:val="38E829C3"/>
    <w:rsid w:val="38E938C8"/>
    <w:rsid w:val="38EC3083"/>
    <w:rsid w:val="38FE3E72"/>
    <w:rsid w:val="38FE4D80"/>
    <w:rsid w:val="39036F99"/>
    <w:rsid w:val="390A7143"/>
    <w:rsid w:val="39145973"/>
    <w:rsid w:val="391874C6"/>
    <w:rsid w:val="391B2FF9"/>
    <w:rsid w:val="39201FB2"/>
    <w:rsid w:val="39293E7D"/>
    <w:rsid w:val="392B5375"/>
    <w:rsid w:val="392C050A"/>
    <w:rsid w:val="393156B6"/>
    <w:rsid w:val="39320F82"/>
    <w:rsid w:val="39382228"/>
    <w:rsid w:val="39393879"/>
    <w:rsid w:val="394133C4"/>
    <w:rsid w:val="39506E05"/>
    <w:rsid w:val="39653972"/>
    <w:rsid w:val="39701147"/>
    <w:rsid w:val="397E01CF"/>
    <w:rsid w:val="398454B2"/>
    <w:rsid w:val="39856837"/>
    <w:rsid w:val="398C5DEE"/>
    <w:rsid w:val="39912E7A"/>
    <w:rsid w:val="399815F2"/>
    <w:rsid w:val="399B6269"/>
    <w:rsid w:val="39A32ECE"/>
    <w:rsid w:val="39A92619"/>
    <w:rsid w:val="39BA189A"/>
    <w:rsid w:val="39C81661"/>
    <w:rsid w:val="39C959B1"/>
    <w:rsid w:val="39D153A2"/>
    <w:rsid w:val="39D67746"/>
    <w:rsid w:val="39D75C90"/>
    <w:rsid w:val="39DC5AE0"/>
    <w:rsid w:val="39E00AD9"/>
    <w:rsid w:val="39E3619E"/>
    <w:rsid w:val="39E560E0"/>
    <w:rsid w:val="39ED5667"/>
    <w:rsid w:val="39F2116B"/>
    <w:rsid w:val="39F47A99"/>
    <w:rsid w:val="39F75081"/>
    <w:rsid w:val="39FE6964"/>
    <w:rsid w:val="3A0B2289"/>
    <w:rsid w:val="3A1170AA"/>
    <w:rsid w:val="3A1734BB"/>
    <w:rsid w:val="3A1E0E3E"/>
    <w:rsid w:val="3A224D06"/>
    <w:rsid w:val="3A303224"/>
    <w:rsid w:val="3A3271D3"/>
    <w:rsid w:val="3A345BC1"/>
    <w:rsid w:val="3A3703F9"/>
    <w:rsid w:val="3A420435"/>
    <w:rsid w:val="3A4A5E8C"/>
    <w:rsid w:val="3A4F584E"/>
    <w:rsid w:val="3A507EF5"/>
    <w:rsid w:val="3A6245F6"/>
    <w:rsid w:val="3A6D6AF4"/>
    <w:rsid w:val="3A792158"/>
    <w:rsid w:val="3A846A6E"/>
    <w:rsid w:val="3A8630A8"/>
    <w:rsid w:val="3A8D4B73"/>
    <w:rsid w:val="3A9B1234"/>
    <w:rsid w:val="3A9E34A5"/>
    <w:rsid w:val="3AA2431F"/>
    <w:rsid w:val="3AAC7BA4"/>
    <w:rsid w:val="3AAD0CEE"/>
    <w:rsid w:val="3AC9063B"/>
    <w:rsid w:val="3AD35F4A"/>
    <w:rsid w:val="3AD62023"/>
    <w:rsid w:val="3ADA4656"/>
    <w:rsid w:val="3ADB5557"/>
    <w:rsid w:val="3ADF3963"/>
    <w:rsid w:val="3AE3037B"/>
    <w:rsid w:val="3AEA7127"/>
    <w:rsid w:val="3AF35889"/>
    <w:rsid w:val="3AF963EA"/>
    <w:rsid w:val="3B025B2A"/>
    <w:rsid w:val="3B072617"/>
    <w:rsid w:val="3B0A4A74"/>
    <w:rsid w:val="3B1D4EED"/>
    <w:rsid w:val="3B370F43"/>
    <w:rsid w:val="3B384E53"/>
    <w:rsid w:val="3B4200BA"/>
    <w:rsid w:val="3B44790A"/>
    <w:rsid w:val="3B4D6D7B"/>
    <w:rsid w:val="3B4E234C"/>
    <w:rsid w:val="3B53733F"/>
    <w:rsid w:val="3B587473"/>
    <w:rsid w:val="3B5C0485"/>
    <w:rsid w:val="3B5D02E3"/>
    <w:rsid w:val="3B6249F4"/>
    <w:rsid w:val="3B6B34A3"/>
    <w:rsid w:val="3B867737"/>
    <w:rsid w:val="3B893DF2"/>
    <w:rsid w:val="3B901C88"/>
    <w:rsid w:val="3B9162A0"/>
    <w:rsid w:val="3B993A35"/>
    <w:rsid w:val="3BBA1318"/>
    <w:rsid w:val="3BBA547C"/>
    <w:rsid w:val="3BBF3AFC"/>
    <w:rsid w:val="3BC25435"/>
    <w:rsid w:val="3BC83301"/>
    <w:rsid w:val="3BCB4D13"/>
    <w:rsid w:val="3BCD3858"/>
    <w:rsid w:val="3BCF4EED"/>
    <w:rsid w:val="3BD20564"/>
    <w:rsid w:val="3BD85078"/>
    <w:rsid w:val="3BE830DE"/>
    <w:rsid w:val="3BEB75A9"/>
    <w:rsid w:val="3BF27176"/>
    <w:rsid w:val="3C0014D4"/>
    <w:rsid w:val="3C020541"/>
    <w:rsid w:val="3C025AD4"/>
    <w:rsid w:val="3C0C59F6"/>
    <w:rsid w:val="3C1027FC"/>
    <w:rsid w:val="3C13549B"/>
    <w:rsid w:val="3C1C7257"/>
    <w:rsid w:val="3C212A8D"/>
    <w:rsid w:val="3C284A57"/>
    <w:rsid w:val="3C2D771F"/>
    <w:rsid w:val="3C500B5F"/>
    <w:rsid w:val="3C541A2E"/>
    <w:rsid w:val="3C5428C6"/>
    <w:rsid w:val="3C576C00"/>
    <w:rsid w:val="3C5C2CB6"/>
    <w:rsid w:val="3C5D1A4F"/>
    <w:rsid w:val="3C6507BF"/>
    <w:rsid w:val="3C773C30"/>
    <w:rsid w:val="3C7C17C0"/>
    <w:rsid w:val="3C7E30C1"/>
    <w:rsid w:val="3C940390"/>
    <w:rsid w:val="3CA264C0"/>
    <w:rsid w:val="3CA578E5"/>
    <w:rsid w:val="3CA63AC4"/>
    <w:rsid w:val="3CA8662A"/>
    <w:rsid w:val="3CB839AD"/>
    <w:rsid w:val="3CCB2497"/>
    <w:rsid w:val="3CCC3B0F"/>
    <w:rsid w:val="3CD86C88"/>
    <w:rsid w:val="3CD906BA"/>
    <w:rsid w:val="3CEA05FB"/>
    <w:rsid w:val="3CEB6843"/>
    <w:rsid w:val="3CF52BC7"/>
    <w:rsid w:val="3D0467C1"/>
    <w:rsid w:val="3D052DF0"/>
    <w:rsid w:val="3D0E035C"/>
    <w:rsid w:val="3D0F76E0"/>
    <w:rsid w:val="3D1A4101"/>
    <w:rsid w:val="3D275F43"/>
    <w:rsid w:val="3D2F498B"/>
    <w:rsid w:val="3D5736B0"/>
    <w:rsid w:val="3D5A63B2"/>
    <w:rsid w:val="3D646729"/>
    <w:rsid w:val="3D67057F"/>
    <w:rsid w:val="3D75267C"/>
    <w:rsid w:val="3D762525"/>
    <w:rsid w:val="3D7F1CBD"/>
    <w:rsid w:val="3D7F34E7"/>
    <w:rsid w:val="3D8575A7"/>
    <w:rsid w:val="3D8876EB"/>
    <w:rsid w:val="3D916060"/>
    <w:rsid w:val="3D98059B"/>
    <w:rsid w:val="3D9A10CD"/>
    <w:rsid w:val="3DA11275"/>
    <w:rsid w:val="3DA34923"/>
    <w:rsid w:val="3DAA05C2"/>
    <w:rsid w:val="3DAC28B0"/>
    <w:rsid w:val="3DBA4D49"/>
    <w:rsid w:val="3DC40E6B"/>
    <w:rsid w:val="3DC53D19"/>
    <w:rsid w:val="3DC70D32"/>
    <w:rsid w:val="3DC8523D"/>
    <w:rsid w:val="3DDA6CB7"/>
    <w:rsid w:val="3DE76D35"/>
    <w:rsid w:val="3DEE6CEE"/>
    <w:rsid w:val="3DF57A6F"/>
    <w:rsid w:val="3DFA733B"/>
    <w:rsid w:val="3E046511"/>
    <w:rsid w:val="3E0B0848"/>
    <w:rsid w:val="3E107561"/>
    <w:rsid w:val="3E116978"/>
    <w:rsid w:val="3E175077"/>
    <w:rsid w:val="3E2578AA"/>
    <w:rsid w:val="3E2A7D48"/>
    <w:rsid w:val="3E355BA1"/>
    <w:rsid w:val="3E386F20"/>
    <w:rsid w:val="3E3D0FAA"/>
    <w:rsid w:val="3E3E6CD2"/>
    <w:rsid w:val="3E406B77"/>
    <w:rsid w:val="3E524B6D"/>
    <w:rsid w:val="3E5458D8"/>
    <w:rsid w:val="3E5C5E7F"/>
    <w:rsid w:val="3E667BAE"/>
    <w:rsid w:val="3E6E2A71"/>
    <w:rsid w:val="3E7B299F"/>
    <w:rsid w:val="3E7C0FC0"/>
    <w:rsid w:val="3E820AA3"/>
    <w:rsid w:val="3E8643DE"/>
    <w:rsid w:val="3E89105F"/>
    <w:rsid w:val="3E921944"/>
    <w:rsid w:val="3E98330C"/>
    <w:rsid w:val="3E996D26"/>
    <w:rsid w:val="3E997816"/>
    <w:rsid w:val="3EA23EF8"/>
    <w:rsid w:val="3EAC23FC"/>
    <w:rsid w:val="3EAE5A93"/>
    <w:rsid w:val="3EB56F92"/>
    <w:rsid w:val="3EBA429F"/>
    <w:rsid w:val="3EC46F5B"/>
    <w:rsid w:val="3EC520A6"/>
    <w:rsid w:val="3EC948BD"/>
    <w:rsid w:val="3ED50B71"/>
    <w:rsid w:val="3ED541F9"/>
    <w:rsid w:val="3ED77EA8"/>
    <w:rsid w:val="3EDF6786"/>
    <w:rsid w:val="3EEA1428"/>
    <w:rsid w:val="3EEB40F6"/>
    <w:rsid w:val="3EFC4682"/>
    <w:rsid w:val="3EFE757A"/>
    <w:rsid w:val="3F015958"/>
    <w:rsid w:val="3F04196D"/>
    <w:rsid w:val="3F0F1CE0"/>
    <w:rsid w:val="3F0F62E6"/>
    <w:rsid w:val="3F1D6F0E"/>
    <w:rsid w:val="3F29567F"/>
    <w:rsid w:val="3F2D5626"/>
    <w:rsid w:val="3F2F3B3C"/>
    <w:rsid w:val="3F3F09D6"/>
    <w:rsid w:val="3F531C0D"/>
    <w:rsid w:val="3F5C5588"/>
    <w:rsid w:val="3F5E797C"/>
    <w:rsid w:val="3F621BAD"/>
    <w:rsid w:val="3F75201B"/>
    <w:rsid w:val="3F8D2FE2"/>
    <w:rsid w:val="3F92005A"/>
    <w:rsid w:val="3FA2114E"/>
    <w:rsid w:val="3FAD58C6"/>
    <w:rsid w:val="3FB0244E"/>
    <w:rsid w:val="3FC9355F"/>
    <w:rsid w:val="3FCC3D09"/>
    <w:rsid w:val="3FD650CE"/>
    <w:rsid w:val="3FD8333A"/>
    <w:rsid w:val="3FDE2E0C"/>
    <w:rsid w:val="3FE04705"/>
    <w:rsid w:val="3FE13654"/>
    <w:rsid w:val="3FF351D2"/>
    <w:rsid w:val="401B6DE4"/>
    <w:rsid w:val="401E2C21"/>
    <w:rsid w:val="40214373"/>
    <w:rsid w:val="40227277"/>
    <w:rsid w:val="403A75E2"/>
    <w:rsid w:val="403D5417"/>
    <w:rsid w:val="40461E7C"/>
    <w:rsid w:val="40463D9B"/>
    <w:rsid w:val="4048145A"/>
    <w:rsid w:val="404F6105"/>
    <w:rsid w:val="4056520F"/>
    <w:rsid w:val="4058732A"/>
    <w:rsid w:val="405D650D"/>
    <w:rsid w:val="40657AAF"/>
    <w:rsid w:val="406A1E77"/>
    <w:rsid w:val="407223D2"/>
    <w:rsid w:val="40786AC3"/>
    <w:rsid w:val="4080563C"/>
    <w:rsid w:val="408D5ADD"/>
    <w:rsid w:val="408E34E1"/>
    <w:rsid w:val="40955B16"/>
    <w:rsid w:val="40961229"/>
    <w:rsid w:val="409B353C"/>
    <w:rsid w:val="409F59A1"/>
    <w:rsid w:val="40A264F8"/>
    <w:rsid w:val="40A27D73"/>
    <w:rsid w:val="40A3659E"/>
    <w:rsid w:val="40A61ED4"/>
    <w:rsid w:val="40A7312D"/>
    <w:rsid w:val="40B01311"/>
    <w:rsid w:val="40B145C5"/>
    <w:rsid w:val="40B24FDC"/>
    <w:rsid w:val="40B86B1D"/>
    <w:rsid w:val="40CC71CF"/>
    <w:rsid w:val="40D16127"/>
    <w:rsid w:val="40D33B61"/>
    <w:rsid w:val="40D67608"/>
    <w:rsid w:val="40D71A65"/>
    <w:rsid w:val="40E25C04"/>
    <w:rsid w:val="40E9501A"/>
    <w:rsid w:val="40F12770"/>
    <w:rsid w:val="40F7718D"/>
    <w:rsid w:val="41047709"/>
    <w:rsid w:val="410B27A3"/>
    <w:rsid w:val="411C7A51"/>
    <w:rsid w:val="41217695"/>
    <w:rsid w:val="41222AEF"/>
    <w:rsid w:val="4125037C"/>
    <w:rsid w:val="412826BB"/>
    <w:rsid w:val="412E094E"/>
    <w:rsid w:val="412E7298"/>
    <w:rsid w:val="41472380"/>
    <w:rsid w:val="415354D1"/>
    <w:rsid w:val="415E195E"/>
    <w:rsid w:val="415E238E"/>
    <w:rsid w:val="415E3148"/>
    <w:rsid w:val="415F132D"/>
    <w:rsid w:val="41631FE2"/>
    <w:rsid w:val="41645C2C"/>
    <w:rsid w:val="41694BC9"/>
    <w:rsid w:val="417D0703"/>
    <w:rsid w:val="418F2040"/>
    <w:rsid w:val="41907C62"/>
    <w:rsid w:val="41930D1A"/>
    <w:rsid w:val="41936DB9"/>
    <w:rsid w:val="419A1C8B"/>
    <w:rsid w:val="419B7663"/>
    <w:rsid w:val="419D5B18"/>
    <w:rsid w:val="41A600A6"/>
    <w:rsid w:val="41AC50F2"/>
    <w:rsid w:val="41B407D4"/>
    <w:rsid w:val="41BE51B2"/>
    <w:rsid w:val="41BF729F"/>
    <w:rsid w:val="41EA5032"/>
    <w:rsid w:val="41FA7928"/>
    <w:rsid w:val="41FC0930"/>
    <w:rsid w:val="420E00E8"/>
    <w:rsid w:val="420E6850"/>
    <w:rsid w:val="421519D5"/>
    <w:rsid w:val="421970CF"/>
    <w:rsid w:val="4224788C"/>
    <w:rsid w:val="42257078"/>
    <w:rsid w:val="422F58F5"/>
    <w:rsid w:val="4232782F"/>
    <w:rsid w:val="42350960"/>
    <w:rsid w:val="42400B36"/>
    <w:rsid w:val="42427570"/>
    <w:rsid w:val="424B0C06"/>
    <w:rsid w:val="424C1040"/>
    <w:rsid w:val="424E0AF9"/>
    <w:rsid w:val="424F2B09"/>
    <w:rsid w:val="426C1611"/>
    <w:rsid w:val="428340F1"/>
    <w:rsid w:val="428716E0"/>
    <w:rsid w:val="428D6D0E"/>
    <w:rsid w:val="429535B9"/>
    <w:rsid w:val="42A93BA3"/>
    <w:rsid w:val="42B235C1"/>
    <w:rsid w:val="42B2702B"/>
    <w:rsid w:val="42B4231C"/>
    <w:rsid w:val="42BA08F1"/>
    <w:rsid w:val="42EB1C44"/>
    <w:rsid w:val="42EF29AF"/>
    <w:rsid w:val="42F06ADE"/>
    <w:rsid w:val="42F614A9"/>
    <w:rsid w:val="431260BD"/>
    <w:rsid w:val="43164A43"/>
    <w:rsid w:val="433A2579"/>
    <w:rsid w:val="433F5A39"/>
    <w:rsid w:val="434315B8"/>
    <w:rsid w:val="43494EF6"/>
    <w:rsid w:val="434A0065"/>
    <w:rsid w:val="435B4E56"/>
    <w:rsid w:val="437124B9"/>
    <w:rsid w:val="437416A8"/>
    <w:rsid w:val="437F2D2C"/>
    <w:rsid w:val="43810CA4"/>
    <w:rsid w:val="438146FA"/>
    <w:rsid w:val="438239CB"/>
    <w:rsid w:val="43863D10"/>
    <w:rsid w:val="438B2464"/>
    <w:rsid w:val="43964DB1"/>
    <w:rsid w:val="43A44A4F"/>
    <w:rsid w:val="43AF6F7B"/>
    <w:rsid w:val="43B7779D"/>
    <w:rsid w:val="43CD546A"/>
    <w:rsid w:val="43D75704"/>
    <w:rsid w:val="43D94BB8"/>
    <w:rsid w:val="43E63495"/>
    <w:rsid w:val="43E81ED4"/>
    <w:rsid w:val="43EB2394"/>
    <w:rsid w:val="43EF5746"/>
    <w:rsid w:val="43FA2FDF"/>
    <w:rsid w:val="43FB21FC"/>
    <w:rsid w:val="44004B5E"/>
    <w:rsid w:val="44065264"/>
    <w:rsid w:val="4408592A"/>
    <w:rsid w:val="440B2BB0"/>
    <w:rsid w:val="440C0A16"/>
    <w:rsid w:val="441C6A32"/>
    <w:rsid w:val="44260613"/>
    <w:rsid w:val="44366F2B"/>
    <w:rsid w:val="443D4503"/>
    <w:rsid w:val="4447712C"/>
    <w:rsid w:val="444C2577"/>
    <w:rsid w:val="44515596"/>
    <w:rsid w:val="44547298"/>
    <w:rsid w:val="44595C7D"/>
    <w:rsid w:val="445B63FE"/>
    <w:rsid w:val="44616FDD"/>
    <w:rsid w:val="446B3DCC"/>
    <w:rsid w:val="44916AFC"/>
    <w:rsid w:val="44AF15E9"/>
    <w:rsid w:val="44BF47CD"/>
    <w:rsid w:val="44CB16C3"/>
    <w:rsid w:val="44CC053B"/>
    <w:rsid w:val="44D24AA0"/>
    <w:rsid w:val="44EB1D8C"/>
    <w:rsid w:val="44EC3C5D"/>
    <w:rsid w:val="44F1566E"/>
    <w:rsid w:val="44F64FEE"/>
    <w:rsid w:val="45004359"/>
    <w:rsid w:val="450771EF"/>
    <w:rsid w:val="450B0FCD"/>
    <w:rsid w:val="45152494"/>
    <w:rsid w:val="451B7ED0"/>
    <w:rsid w:val="45267B40"/>
    <w:rsid w:val="455155CE"/>
    <w:rsid w:val="4552090D"/>
    <w:rsid w:val="45567176"/>
    <w:rsid w:val="45584618"/>
    <w:rsid w:val="455F2DF2"/>
    <w:rsid w:val="456564B5"/>
    <w:rsid w:val="456B7E84"/>
    <w:rsid w:val="45794A65"/>
    <w:rsid w:val="458172EE"/>
    <w:rsid w:val="45A72138"/>
    <w:rsid w:val="45A96964"/>
    <w:rsid w:val="45B1037B"/>
    <w:rsid w:val="45B3074E"/>
    <w:rsid w:val="45B905FD"/>
    <w:rsid w:val="45B92F39"/>
    <w:rsid w:val="45BC5113"/>
    <w:rsid w:val="45BE62AB"/>
    <w:rsid w:val="45D052FE"/>
    <w:rsid w:val="45E22EEB"/>
    <w:rsid w:val="45E55890"/>
    <w:rsid w:val="45E57CF2"/>
    <w:rsid w:val="45F621B4"/>
    <w:rsid w:val="45FA62A5"/>
    <w:rsid w:val="460133E9"/>
    <w:rsid w:val="46120C85"/>
    <w:rsid w:val="46140FFC"/>
    <w:rsid w:val="46162057"/>
    <w:rsid w:val="461A0177"/>
    <w:rsid w:val="46216337"/>
    <w:rsid w:val="46217848"/>
    <w:rsid w:val="46274C08"/>
    <w:rsid w:val="463D5BA2"/>
    <w:rsid w:val="463F6118"/>
    <w:rsid w:val="4641505E"/>
    <w:rsid w:val="46433B6F"/>
    <w:rsid w:val="46595EAB"/>
    <w:rsid w:val="46682FAF"/>
    <w:rsid w:val="466B2588"/>
    <w:rsid w:val="466C454D"/>
    <w:rsid w:val="466F0D58"/>
    <w:rsid w:val="46744C93"/>
    <w:rsid w:val="467546E8"/>
    <w:rsid w:val="468C73DC"/>
    <w:rsid w:val="469F4D11"/>
    <w:rsid w:val="46A34031"/>
    <w:rsid w:val="46A903BB"/>
    <w:rsid w:val="46B0252C"/>
    <w:rsid w:val="46B166BE"/>
    <w:rsid w:val="46B833B6"/>
    <w:rsid w:val="46BF3842"/>
    <w:rsid w:val="46C20CF0"/>
    <w:rsid w:val="46C93454"/>
    <w:rsid w:val="46C93D6D"/>
    <w:rsid w:val="46CE0D4E"/>
    <w:rsid w:val="46DF448E"/>
    <w:rsid w:val="46E51508"/>
    <w:rsid w:val="46E91CAC"/>
    <w:rsid w:val="46EE6DBC"/>
    <w:rsid w:val="46F31815"/>
    <w:rsid w:val="46F4409F"/>
    <w:rsid w:val="46F6488C"/>
    <w:rsid w:val="46FD1D53"/>
    <w:rsid w:val="47001A25"/>
    <w:rsid w:val="47022F79"/>
    <w:rsid w:val="470264A4"/>
    <w:rsid w:val="47081F34"/>
    <w:rsid w:val="47121600"/>
    <w:rsid w:val="471A3247"/>
    <w:rsid w:val="471B55E6"/>
    <w:rsid w:val="471E2345"/>
    <w:rsid w:val="47251654"/>
    <w:rsid w:val="472C2AD0"/>
    <w:rsid w:val="472F0CB0"/>
    <w:rsid w:val="472F69B5"/>
    <w:rsid w:val="473D2620"/>
    <w:rsid w:val="475E380D"/>
    <w:rsid w:val="477B3309"/>
    <w:rsid w:val="477C5A87"/>
    <w:rsid w:val="477F1A13"/>
    <w:rsid w:val="47833E0E"/>
    <w:rsid w:val="47851F39"/>
    <w:rsid w:val="4797144D"/>
    <w:rsid w:val="47A33411"/>
    <w:rsid w:val="47AA3957"/>
    <w:rsid w:val="47AE05AA"/>
    <w:rsid w:val="47B07FDA"/>
    <w:rsid w:val="47BE12F9"/>
    <w:rsid w:val="47C17A67"/>
    <w:rsid w:val="47C94621"/>
    <w:rsid w:val="47D72169"/>
    <w:rsid w:val="47DA6D05"/>
    <w:rsid w:val="47E71434"/>
    <w:rsid w:val="47E930EA"/>
    <w:rsid w:val="47EA7B5F"/>
    <w:rsid w:val="47EB64FF"/>
    <w:rsid w:val="47F935F9"/>
    <w:rsid w:val="47FA5D15"/>
    <w:rsid w:val="47FF43FC"/>
    <w:rsid w:val="48102F19"/>
    <w:rsid w:val="48154B6C"/>
    <w:rsid w:val="48192753"/>
    <w:rsid w:val="4819762F"/>
    <w:rsid w:val="482C7052"/>
    <w:rsid w:val="48323F20"/>
    <w:rsid w:val="483B7F98"/>
    <w:rsid w:val="4842228A"/>
    <w:rsid w:val="48424EB2"/>
    <w:rsid w:val="48452EF8"/>
    <w:rsid w:val="48547669"/>
    <w:rsid w:val="485628B7"/>
    <w:rsid w:val="485A2801"/>
    <w:rsid w:val="485E035D"/>
    <w:rsid w:val="485E0B4E"/>
    <w:rsid w:val="48696CAD"/>
    <w:rsid w:val="48715BD8"/>
    <w:rsid w:val="48723746"/>
    <w:rsid w:val="48795C90"/>
    <w:rsid w:val="48824C9E"/>
    <w:rsid w:val="488C3D84"/>
    <w:rsid w:val="48945CB4"/>
    <w:rsid w:val="489D1562"/>
    <w:rsid w:val="48AB55AB"/>
    <w:rsid w:val="48B36154"/>
    <w:rsid w:val="48BF519E"/>
    <w:rsid w:val="48BF55C6"/>
    <w:rsid w:val="48C5001B"/>
    <w:rsid w:val="48C76FF8"/>
    <w:rsid w:val="48D657BF"/>
    <w:rsid w:val="48DA74C7"/>
    <w:rsid w:val="48DD659F"/>
    <w:rsid w:val="48E641D2"/>
    <w:rsid w:val="48E65D01"/>
    <w:rsid w:val="48EA102A"/>
    <w:rsid w:val="48EA51B6"/>
    <w:rsid w:val="48F702F5"/>
    <w:rsid w:val="49090696"/>
    <w:rsid w:val="490A68AE"/>
    <w:rsid w:val="490E68BC"/>
    <w:rsid w:val="491C1621"/>
    <w:rsid w:val="492A1A6B"/>
    <w:rsid w:val="493422EA"/>
    <w:rsid w:val="49375BF6"/>
    <w:rsid w:val="49377C2F"/>
    <w:rsid w:val="49530568"/>
    <w:rsid w:val="498B5C75"/>
    <w:rsid w:val="49904267"/>
    <w:rsid w:val="499C48D2"/>
    <w:rsid w:val="499D09B0"/>
    <w:rsid w:val="49A4631B"/>
    <w:rsid w:val="49A83E14"/>
    <w:rsid w:val="49B7518A"/>
    <w:rsid w:val="49BA2F35"/>
    <w:rsid w:val="49BC20C8"/>
    <w:rsid w:val="49C15BFB"/>
    <w:rsid w:val="49C4035B"/>
    <w:rsid w:val="49D27ED2"/>
    <w:rsid w:val="49D64B4A"/>
    <w:rsid w:val="49E27860"/>
    <w:rsid w:val="49E33A14"/>
    <w:rsid w:val="49E47831"/>
    <w:rsid w:val="49F70B00"/>
    <w:rsid w:val="4A0205D4"/>
    <w:rsid w:val="4A033F00"/>
    <w:rsid w:val="4A060919"/>
    <w:rsid w:val="4A083262"/>
    <w:rsid w:val="4A49293F"/>
    <w:rsid w:val="4A4C420D"/>
    <w:rsid w:val="4A4E54C0"/>
    <w:rsid w:val="4A500C79"/>
    <w:rsid w:val="4A5B743D"/>
    <w:rsid w:val="4A607F93"/>
    <w:rsid w:val="4A68765F"/>
    <w:rsid w:val="4A8058FC"/>
    <w:rsid w:val="4A8D40D9"/>
    <w:rsid w:val="4A8D4F86"/>
    <w:rsid w:val="4A8E74D9"/>
    <w:rsid w:val="4A960A6D"/>
    <w:rsid w:val="4A967538"/>
    <w:rsid w:val="4AA43A64"/>
    <w:rsid w:val="4AAB73D5"/>
    <w:rsid w:val="4ABB2377"/>
    <w:rsid w:val="4AC12100"/>
    <w:rsid w:val="4AC47DD7"/>
    <w:rsid w:val="4AC7376B"/>
    <w:rsid w:val="4ACA6E6D"/>
    <w:rsid w:val="4ACF5105"/>
    <w:rsid w:val="4AD8448B"/>
    <w:rsid w:val="4AD97CA2"/>
    <w:rsid w:val="4AE15FB4"/>
    <w:rsid w:val="4AE90FA1"/>
    <w:rsid w:val="4AF05D86"/>
    <w:rsid w:val="4AF7197E"/>
    <w:rsid w:val="4B062C81"/>
    <w:rsid w:val="4B087CAF"/>
    <w:rsid w:val="4B0B1D58"/>
    <w:rsid w:val="4B0F063B"/>
    <w:rsid w:val="4B1367B9"/>
    <w:rsid w:val="4B173A60"/>
    <w:rsid w:val="4B1B3D46"/>
    <w:rsid w:val="4B2A759C"/>
    <w:rsid w:val="4B2D1562"/>
    <w:rsid w:val="4B2F6B91"/>
    <w:rsid w:val="4B42641E"/>
    <w:rsid w:val="4B5824F7"/>
    <w:rsid w:val="4B584FF0"/>
    <w:rsid w:val="4B5E117D"/>
    <w:rsid w:val="4B61439C"/>
    <w:rsid w:val="4B723CEB"/>
    <w:rsid w:val="4B7B1C5A"/>
    <w:rsid w:val="4B8362AF"/>
    <w:rsid w:val="4B837490"/>
    <w:rsid w:val="4B855455"/>
    <w:rsid w:val="4B9B0F7B"/>
    <w:rsid w:val="4B9D606D"/>
    <w:rsid w:val="4BAB5768"/>
    <w:rsid w:val="4BB27468"/>
    <w:rsid w:val="4BB84288"/>
    <w:rsid w:val="4BBA3C11"/>
    <w:rsid w:val="4BBF56BF"/>
    <w:rsid w:val="4BC0362D"/>
    <w:rsid w:val="4BC23EAE"/>
    <w:rsid w:val="4BD03B77"/>
    <w:rsid w:val="4BD53282"/>
    <w:rsid w:val="4BD7319D"/>
    <w:rsid w:val="4BDB6157"/>
    <w:rsid w:val="4BDE3F50"/>
    <w:rsid w:val="4BE60E22"/>
    <w:rsid w:val="4BEF33B5"/>
    <w:rsid w:val="4BF1750D"/>
    <w:rsid w:val="4BF668E1"/>
    <w:rsid w:val="4C0C3114"/>
    <w:rsid w:val="4C135DAC"/>
    <w:rsid w:val="4C1B4EF1"/>
    <w:rsid w:val="4C252577"/>
    <w:rsid w:val="4C2E5F34"/>
    <w:rsid w:val="4C34014E"/>
    <w:rsid w:val="4C363442"/>
    <w:rsid w:val="4C366C34"/>
    <w:rsid w:val="4C39659B"/>
    <w:rsid w:val="4C4310A4"/>
    <w:rsid w:val="4C4E110E"/>
    <w:rsid w:val="4C520721"/>
    <w:rsid w:val="4C57562E"/>
    <w:rsid w:val="4C58104F"/>
    <w:rsid w:val="4C5A2964"/>
    <w:rsid w:val="4C5E2B99"/>
    <w:rsid w:val="4C632C63"/>
    <w:rsid w:val="4C653F3A"/>
    <w:rsid w:val="4C6F2039"/>
    <w:rsid w:val="4C8663D7"/>
    <w:rsid w:val="4C880639"/>
    <w:rsid w:val="4C967FA7"/>
    <w:rsid w:val="4C974AC9"/>
    <w:rsid w:val="4CA93EFF"/>
    <w:rsid w:val="4CBF2547"/>
    <w:rsid w:val="4CC43CBD"/>
    <w:rsid w:val="4CC452EF"/>
    <w:rsid w:val="4CC6691C"/>
    <w:rsid w:val="4CC81911"/>
    <w:rsid w:val="4CCB3956"/>
    <w:rsid w:val="4CCD08FB"/>
    <w:rsid w:val="4CD35610"/>
    <w:rsid w:val="4CD407D9"/>
    <w:rsid w:val="4CD5641C"/>
    <w:rsid w:val="4CD64FA3"/>
    <w:rsid w:val="4CE32B30"/>
    <w:rsid w:val="4CEC4955"/>
    <w:rsid w:val="4CF51268"/>
    <w:rsid w:val="4D1A2B89"/>
    <w:rsid w:val="4D231445"/>
    <w:rsid w:val="4D261811"/>
    <w:rsid w:val="4D2A61CB"/>
    <w:rsid w:val="4D2F15C4"/>
    <w:rsid w:val="4D344FAE"/>
    <w:rsid w:val="4D3B37F3"/>
    <w:rsid w:val="4D3E4CAB"/>
    <w:rsid w:val="4D4001B9"/>
    <w:rsid w:val="4D5B5441"/>
    <w:rsid w:val="4D5D1CDF"/>
    <w:rsid w:val="4D5E0F56"/>
    <w:rsid w:val="4D6136F1"/>
    <w:rsid w:val="4D643AAE"/>
    <w:rsid w:val="4D643DA5"/>
    <w:rsid w:val="4D66461C"/>
    <w:rsid w:val="4D6843C5"/>
    <w:rsid w:val="4D907E94"/>
    <w:rsid w:val="4D934492"/>
    <w:rsid w:val="4D971287"/>
    <w:rsid w:val="4D9D4D14"/>
    <w:rsid w:val="4DA16165"/>
    <w:rsid w:val="4DA17573"/>
    <w:rsid w:val="4DBE46E0"/>
    <w:rsid w:val="4DC029ED"/>
    <w:rsid w:val="4DC0794B"/>
    <w:rsid w:val="4DC32B7A"/>
    <w:rsid w:val="4DC41A1C"/>
    <w:rsid w:val="4DCA3625"/>
    <w:rsid w:val="4DD756B6"/>
    <w:rsid w:val="4DE40BE8"/>
    <w:rsid w:val="4DEA3418"/>
    <w:rsid w:val="4DFD4034"/>
    <w:rsid w:val="4E037CCA"/>
    <w:rsid w:val="4E064D8C"/>
    <w:rsid w:val="4E1D1220"/>
    <w:rsid w:val="4E212451"/>
    <w:rsid w:val="4E2A287E"/>
    <w:rsid w:val="4E360BCC"/>
    <w:rsid w:val="4E3A1E55"/>
    <w:rsid w:val="4E4542A6"/>
    <w:rsid w:val="4E49359F"/>
    <w:rsid w:val="4E4A05ED"/>
    <w:rsid w:val="4E5208F6"/>
    <w:rsid w:val="4E592383"/>
    <w:rsid w:val="4E641105"/>
    <w:rsid w:val="4E911408"/>
    <w:rsid w:val="4E932643"/>
    <w:rsid w:val="4E946449"/>
    <w:rsid w:val="4E9C4752"/>
    <w:rsid w:val="4E9D5C4A"/>
    <w:rsid w:val="4EA0597F"/>
    <w:rsid w:val="4EA11767"/>
    <w:rsid w:val="4EA53307"/>
    <w:rsid w:val="4EAA0530"/>
    <w:rsid w:val="4EAC315C"/>
    <w:rsid w:val="4EB73A02"/>
    <w:rsid w:val="4EBB090C"/>
    <w:rsid w:val="4EC004B7"/>
    <w:rsid w:val="4EC30E6E"/>
    <w:rsid w:val="4ECC0F13"/>
    <w:rsid w:val="4ECF1D1E"/>
    <w:rsid w:val="4ED65A3A"/>
    <w:rsid w:val="4EE0753F"/>
    <w:rsid w:val="4EE7226C"/>
    <w:rsid w:val="4EF522CC"/>
    <w:rsid w:val="4EFB0218"/>
    <w:rsid w:val="4F0C7CF7"/>
    <w:rsid w:val="4F0E3064"/>
    <w:rsid w:val="4F1D41D9"/>
    <w:rsid w:val="4F264972"/>
    <w:rsid w:val="4F285EB0"/>
    <w:rsid w:val="4F303477"/>
    <w:rsid w:val="4F322162"/>
    <w:rsid w:val="4F32611D"/>
    <w:rsid w:val="4F4801A6"/>
    <w:rsid w:val="4F4B2660"/>
    <w:rsid w:val="4F5E15E3"/>
    <w:rsid w:val="4F751B93"/>
    <w:rsid w:val="4F7E704B"/>
    <w:rsid w:val="4F810427"/>
    <w:rsid w:val="4F892DE3"/>
    <w:rsid w:val="4F954C43"/>
    <w:rsid w:val="4F966257"/>
    <w:rsid w:val="4FAA1259"/>
    <w:rsid w:val="4FB211EC"/>
    <w:rsid w:val="4FB52290"/>
    <w:rsid w:val="4FB82A0A"/>
    <w:rsid w:val="4FBC6258"/>
    <w:rsid w:val="4FCC1D4D"/>
    <w:rsid w:val="4FD43E44"/>
    <w:rsid w:val="4FD65CDF"/>
    <w:rsid w:val="4FE70DC0"/>
    <w:rsid w:val="4FF921A2"/>
    <w:rsid w:val="500B27B5"/>
    <w:rsid w:val="5014646B"/>
    <w:rsid w:val="501806BC"/>
    <w:rsid w:val="501A7335"/>
    <w:rsid w:val="501B6B48"/>
    <w:rsid w:val="501F75F3"/>
    <w:rsid w:val="50207BD8"/>
    <w:rsid w:val="50237389"/>
    <w:rsid w:val="5024701E"/>
    <w:rsid w:val="5025627F"/>
    <w:rsid w:val="502B0A62"/>
    <w:rsid w:val="5036031C"/>
    <w:rsid w:val="50415FE7"/>
    <w:rsid w:val="50581B43"/>
    <w:rsid w:val="505C5ACF"/>
    <w:rsid w:val="505C637E"/>
    <w:rsid w:val="505D46BB"/>
    <w:rsid w:val="505E63D8"/>
    <w:rsid w:val="505F5E5A"/>
    <w:rsid w:val="50666FD5"/>
    <w:rsid w:val="507037CC"/>
    <w:rsid w:val="50716D0E"/>
    <w:rsid w:val="507A60B8"/>
    <w:rsid w:val="507C2B30"/>
    <w:rsid w:val="507F18C4"/>
    <w:rsid w:val="50833911"/>
    <w:rsid w:val="509D5B4A"/>
    <w:rsid w:val="50A15C6E"/>
    <w:rsid w:val="50B0315A"/>
    <w:rsid w:val="50B11820"/>
    <w:rsid w:val="50B85B01"/>
    <w:rsid w:val="50C42FB9"/>
    <w:rsid w:val="50D66EAF"/>
    <w:rsid w:val="50DE0FD4"/>
    <w:rsid w:val="50E65A2D"/>
    <w:rsid w:val="50EC0CEE"/>
    <w:rsid w:val="50EE45CA"/>
    <w:rsid w:val="51070650"/>
    <w:rsid w:val="5110402C"/>
    <w:rsid w:val="511453A1"/>
    <w:rsid w:val="511E31A9"/>
    <w:rsid w:val="512771B8"/>
    <w:rsid w:val="512C614B"/>
    <w:rsid w:val="51422C08"/>
    <w:rsid w:val="514E236C"/>
    <w:rsid w:val="515A6B65"/>
    <w:rsid w:val="51640797"/>
    <w:rsid w:val="51641EAB"/>
    <w:rsid w:val="51727503"/>
    <w:rsid w:val="51745405"/>
    <w:rsid w:val="517E6E33"/>
    <w:rsid w:val="5186431B"/>
    <w:rsid w:val="519408D5"/>
    <w:rsid w:val="51976829"/>
    <w:rsid w:val="519A4C8F"/>
    <w:rsid w:val="51A77580"/>
    <w:rsid w:val="51A9659B"/>
    <w:rsid w:val="51AD103E"/>
    <w:rsid w:val="51E22AF4"/>
    <w:rsid w:val="51FD6BFC"/>
    <w:rsid w:val="52056B60"/>
    <w:rsid w:val="52067F48"/>
    <w:rsid w:val="52281C2F"/>
    <w:rsid w:val="52282E0A"/>
    <w:rsid w:val="522906FA"/>
    <w:rsid w:val="523205D6"/>
    <w:rsid w:val="523D6804"/>
    <w:rsid w:val="52414450"/>
    <w:rsid w:val="52427063"/>
    <w:rsid w:val="5243753B"/>
    <w:rsid w:val="5245158C"/>
    <w:rsid w:val="524A2ACB"/>
    <w:rsid w:val="526873F0"/>
    <w:rsid w:val="527A752D"/>
    <w:rsid w:val="528E19D1"/>
    <w:rsid w:val="528E54B2"/>
    <w:rsid w:val="52940F87"/>
    <w:rsid w:val="52AA3EAC"/>
    <w:rsid w:val="52B71F75"/>
    <w:rsid w:val="52D11F6C"/>
    <w:rsid w:val="52E86FCB"/>
    <w:rsid w:val="52F039DE"/>
    <w:rsid w:val="53087FA6"/>
    <w:rsid w:val="530B1DCC"/>
    <w:rsid w:val="530D53EB"/>
    <w:rsid w:val="5321790D"/>
    <w:rsid w:val="532A6F86"/>
    <w:rsid w:val="532F5069"/>
    <w:rsid w:val="533037BD"/>
    <w:rsid w:val="533A28B8"/>
    <w:rsid w:val="53411A3C"/>
    <w:rsid w:val="53431A54"/>
    <w:rsid w:val="534872CF"/>
    <w:rsid w:val="53524615"/>
    <w:rsid w:val="53585B8A"/>
    <w:rsid w:val="535E1032"/>
    <w:rsid w:val="5360478E"/>
    <w:rsid w:val="536702CC"/>
    <w:rsid w:val="53690196"/>
    <w:rsid w:val="537C28A6"/>
    <w:rsid w:val="537D0B6A"/>
    <w:rsid w:val="538B3D1F"/>
    <w:rsid w:val="538E7FD3"/>
    <w:rsid w:val="539711E6"/>
    <w:rsid w:val="539F5C2D"/>
    <w:rsid w:val="53B04A22"/>
    <w:rsid w:val="53C14008"/>
    <w:rsid w:val="53D72180"/>
    <w:rsid w:val="53E15D54"/>
    <w:rsid w:val="53F56CFD"/>
    <w:rsid w:val="54004C52"/>
    <w:rsid w:val="5406470F"/>
    <w:rsid w:val="54077394"/>
    <w:rsid w:val="540A6D51"/>
    <w:rsid w:val="54113878"/>
    <w:rsid w:val="54130054"/>
    <w:rsid w:val="542760CC"/>
    <w:rsid w:val="5433256F"/>
    <w:rsid w:val="54367E87"/>
    <w:rsid w:val="54372E53"/>
    <w:rsid w:val="543B144C"/>
    <w:rsid w:val="543B2B4E"/>
    <w:rsid w:val="54411EB4"/>
    <w:rsid w:val="54455E3C"/>
    <w:rsid w:val="544D0625"/>
    <w:rsid w:val="5451331B"/>
    <w:rsid w:val="54606172"/>
    <w:rsid w:val="54656561"/>
    <w:rsid w:val="547528A2"/>
    <w:rsid w:val="547A563B"/>
    <w:rsid w:val="54820A2E"/>
    <w:rsid w:val="5484624C"/>
    <w:rsid w:val="548A5184"/>
    <w:rsid w:val="549121E2"/>
    <w:rsid w:val="54995F4B"/>
    <w:rsid w:val="54A74053"/>
    <w:rsid w:val="54B41223"/>
    <w:rsid w:val="54C61C25"/>
    <w:rsid w:val="54CA53C2"/>
    <w:rsid w:val="54CB246C"/>
    <w:rsid w:val="54D051E8"/>
    <w:rsid w:val="54D200D4"/>
    <w:rsid w:val="54D45B9B"/>
    <w:rsid w:val="54E53A83"/>
    <w:rsid w:val="54EB78D3"/>
    <w:rsid w:val="54F11CBF"/>
    <w:rsid w:val="54FD7AEB"/>
    <w:rsid w:val="551413D4"/>
    <w:rsid w:val="551E2BE8"/>
    <w:rsid w:val="552208E3"/>
    <w:rsid w:val="55227FA8"/>
    <w:rsid w:val="55376C2D"/>
    <w:rsid w:val="55462A3D"/>
    <w:rsid w:val="55607D9E"/>
    <w:rsid w:val="556336B9"/>
    <w:rsid w:val="556C5D6C"/>
    <w:rsid w:val="556F6A19"/>
    <w:rsid w:val="557A4C99"/>
    <w:rsid w:val="557D0678"/>
    <w:rsid w:val="557D5F69"/>
    <w:rsid w:val="557F2904"/>
    <w:rsid w:val="557F631E"/>
    <w:rsid w:val="558673C3"/>
    <w:rsid w:val="55890D81"/>
    <w:rsid w:val="55A34D56"/>
    <w:rsid w:val="55B20452"/>
    <w:rsid w:val="55B53B70"/>
    <w:rsid w:val="55C26707"/>
    <w:rsid w:val="55C5200A"/>
    <w:rsid w:val="55CC31D4"/>
    <w:rsid w:val="55D3507F"/>
    <w:rsid w:val="55E13750"/>
    <w:rsid w:val="55E9132B"/>
    <w:rsid w:val="55EB581D"/>
    <w:rsid w:val="55FA2E72"/>
    <w:rsid w:val="55FD3292"/>
    <w:rsid w:val="55FE1201"/>
    <w:rsid w:val="560B191B"/>
    <w:rsid w:val="560C43D2"/>
    <w:rsid w:val="560E5CED"/>
    <w:rsid w:val="5614215D"/>
    <w:rsid w:val="5616552B"/>
    <w:rsid w:val="56190462"/>
    <w:rsid w:val="561C7810"/>
    <w:rsid w:val="562D0E76"/>
    <w:rsid w:val="562F3BF3"/>
    <w:rsid w:val="56354701"/>
    <w:rsid w:val="56356EA3"/>
    <w:rsid w:val="563D0636"/>
    <w:rsid w:val="56466259"/>
    <w:rsid w:val="56481358"/>
    <w:rsid w:val="564B2351"/>
    <w:rsid w:val="564B2D41"/>
    <w:rsid w:val="56615868"/>
    <w:rsid w:val="566B1F8E"/>
    <w:rsid w:val="5672726E"/>
    <w:rsid w:val="56745753"/>
    <w:rsid w:val="56781690"/>
    <w:rsid w:val="568E40F7"/>
    <w:rsid w:val="56920627"/>
    <w:rsid w:val="56930229"/>
    <w:rsid w:val="569852F3"/>
    <w:rsid w:val="569C11A9"/>
    <w:rsid w:val="56A22DED"/>
    <w:rsid w:val="56A3671C"/>
    <w:rsid w:val="56A8340C"/>
    <w:rsid w:val="56A91CED"/>
    <w:rsid w:val="56B12640"/>
    <w:rsid w:val="56BB016B"/>
    <w:rsid w:val="56C41723"/>
    <w:rsid w:val="56CB6A8B"/>
    <w:rsid w:val="56CE4BFD"/>
    <w:rsid w:val="56E50891"/>
    <w:rsid w:val="56E65A76"/>
    <w:rsid w:val="56E72F91"/>
    <w:rsid w:val="56EB5BDA"/>
    <w:rsid w:val="56EF2A27"/>
    <w:rsid w:val="56F74190"/>
    <w:rsid w:val="56FA3DA6"/>
    <w:rsid w:val="56FB17C9"/>
    <w:rsid w:val="57081164"/>
    <w:rsid w:val="571647C5"/>
    <w:rsid w:val="57210648"/>
    <w:rsid w:val="572D0332"/>
    <w:rsid w:val="57342061"/>
    <w:rsid w:val="57347244"/>
    <w:rsid w:val="574A3DD8"/>
    <w:rsid w:val="5753218C"/>
    <w:rsid w:val="57746489"/>
    <w:rsid w:val="577F481A"/>
    <w:rsid w:val="578111A0"/>
    <w:rsid w:val="5783407C"/>
    <w:rsid w:val="578626A6"/>
    <w:rsid w:val="57874FA4"/>
    <w:rsid w:val="578F29A7"/>
    <w:rsid w:val="579A6F39"/>
    <w:rsid w:val="579F151F"/>
    <w:rsid w:val="57AA1C33"/>
    <w:rsid w:val="57AB7D0B"/>
    <w:rsid w:val="57B1468F"/>
    <w:rsid w:val="57B92A28"/>
    <w:rsid w:val="57C32400"/>
    <w:rsid w:val="57CC5AB2"/>
    <w:rsid w:val="57E27F32"/>
    <w:rsid w:val="57ED2758"/>
    <w:rsid w:val="57ED584B"/>
    <w:rsid w:val="580022D5"/>
    <w:rsid w:val="58050F29"/>
    <w:rsid w:val="58126C90"/>
    <w:rsid w:val="58154FCB"/>
    <w:rsid w:val="581A5723"/>
    <w:rsid w:val="581B220D"/>
    <w:rsid w:val="581C1237"/>
    <w:rsid w:val="58247627"/>
    <w:rsid w:val="582628F7"/>
    <w:rsid w:val="583A3B01"/>
    <w:rsid w:val="5841391F"/>
    <w:rsid w:val="58434D92"/>
    <w:rsid w:val="58622F88"/>
    <w:rsid w:val="58660D01"/>
    <w:rsid w:val="58780E10"/>
    <w:rsid w:val="588524BF"/>
    <w:rsid w:val="58861E73"/>
    <w:rsid w:val="588A6DE9"/>
    <w:rsid w:val="588E356F"/>
    <w:rsid w:val="5895761A"/>
    <w:rsid w:val="58A4787A"/>
    <w:rsid w:val="58AE71E3"/>
    <w:rsid w:val="58B31658"/>
    <w:rsid w:val="58B32637"/>
    <w:rsid w:val="58BB5C34"/>
    <w:rsid w:val="58CF297B"/>
    <w:rsid w:val="58D33D79"/>
    <w:rsid w:val="58D738D2"/>
    <w:rsid w:val="58E61A23"/>
    <w:rsid w:val="58EB2793"/>
    <w:rsid w:val="58EC0FDF"/>
    <w:rsid w:val="58ED0BEF"/>
    <w:rsid w:val="58F11142"/>
    <w:rsid w:val="58F20BE4"/>
    <w:rsid w:val="58F400D8"/>
    <w:rsid w:val="58F90596"/>
    <w:rsid w:val="58FB1BB4"/>
    <w:rsid w:val="59014C2E"/>
    <w:rsid w:val="590150CE"/>
    <w:rsid w:val="59083AE0"/>
    <w:rsid w:val="5910046D"/>
    <w:rsid w:val="591207B3"/>
    <w:rsid w:val="59157D0E"/>
    <w:rsid w:val="59160DEC"/>
    <w:rsid w:val="59192B20"/>
    <w:rsid w:val="591A55A7"/>
    <w:rsid w:val="59212569"/>
    <w:rsid w:val="592C7F0C"/>
    <w:rsid w:val="592F0C30"/>
    <w:rsid w:val="593B0C8A"/>
    <w:rsid w:val="59445483"/>
    <w:rsid w:val="59475C44"/>
    <w:rsid w:val="59515443"/>
    <w:rsid w:val="595A5102"/>
    <w:rsid w:val="595C3A4A"/>
    <w:rsid w:val="595F0C2D"/>
    <w:rsid w:val="596250A0"/>
    <w:rsid w:val="59671B46"/>
    <w:rsid w:val="596D0C3C"/>
    <w:rsid w:val="5970332C"/>
    <w:rsid w:val="597666AF"/>
    <w:rsid w:val="597C40C7"/>
    <w:rsid w:val="597F201A"/>
    <w:rsid w:val="59855196"/>
    <w:rsid w:val="598B4286"/>
    <w:rsid w:val="59971DCC"/>
    <w:rsid w:val="59981B81"/>
    <w:rsid w:val="599F59D4"/>
    <w:rsid w:val="59A07AC0"/>
    <w:rsid w:val="59A27851"/>
    <w:rsid w:val="59A50611"/>
    <w:rsid w:val="59B36264"/>
    <w:rsid w:val="59C80261"/>
    <w:rsid w:val="59E61814"/>
    <w:rsid w:val="59F10F23"/>
    <w:rsid w:val="59F67C1B"/>
    <w:rsid w:val="5A180BA8"/>
    <w:rsid w:val="5A18400F"/>
    <w:rsid w:val="5A1C5D7B"/>
    <w:rsid w:val="5A266078"/>
    <w:rsid w:val="5A275F63"/>
    <w:rsid w:val="5A385532"/>
    <w:rsid w:val="5A3874C2"/>
    <w:rsid w:val="5A3E572A"/>
    <w:rsid w:val="5A4B5B5D"/>
    <w:rsid w:val="5A4D47CC"/>
    <w:rsid w:val="5A4D5202"/>
    <w:rsid w:val="5A4F4825"/>
    <w:rsid w:val="5A590379"/>
    <w:rsid w:val="5A623365"/>
    <w:rsid w:val="5A690B60"/>
    <w:rsid w:val="5A6C6901"/>
    <w:rsid w:val="5A6D3470"/>
    <w:rsid w:val="5A6E5882"/>
    <w:rsid w:val="5A76350B"/>
    <w:rsid w:val="5A853463"/>
    <w:rsid w:val="5A853C63"/>
    <w:rsid w:val="5A8B0928"/>
    <w:rsid w:val="5A8B713C"/>
    <w:rsid w:val="5A9033E9"/>
    <w:rsid w:val="5A987A99"/>
    <w:rsid w:val="5AA339B1"/>
    <w:rsid w:val="5AA574F9"/>
    <w:rsid w:val="5AB00CF5"/>
    <w:rsid w:val="5AC31C14"/>
    <w:rsid w:val="5AC37F2F"/>
    <w:rsid w:val="5AD20873"/>
    <w:rsid w:val="5AE10EC8"/>
    <w:rsid w:val="5B030D07"/>
    <w:rsid w:val="5B03272C"/>
    <w:rsid w:val="5B092BBB"/>
    <w:rsid w:val="5B2D1B35"/>
    <w:rsid w:val="5B3C1167"/>
    <w:rsid w:val="5B3C6463"/>
    <w:rsid w:val="5B3E70E2"/>
    <w:rsid w:val="5B415DCC"/>
    <w:rsid w:val="5B532C04"/>
    <w:rsid w:val="5B5848CE"/>
    <w:rsid w:val="5B59490E"/>
    <w:rsid w:val="5B602484"/>
    <w:rsid w:val="5B6309E6"/>
    <w:rsid w:val="5B665E56"/>
    <w:rsid w:val="5B784424"/>
    <w:rsid w:val="5B7B4D50"/>
    <w:rsid w:val="5B834C9A"/>
    <w:rsid w:val="5B870966"/>
    <w:rsid w:val="5B8965FF"/>
    <w:rsid w:val="5B913D4A"/>
    <w:rsid w:val="5B937A18"/>
    <w:rsid w:val="5B9E3A7E"/>
    <w:rsid w:val="5B9F7251"/>
    <w:rsid w:val="5BA1796C"/>
    <w:rsid w:val="5BAE4D8A"/>
    <w:rsid w:val="5BB7461C"/>
    <w:rsid w:val="5BB943D0"/>
    <w:rsid w:val="5BC66729"/>
    <w:rsid w:val="5BCC2D2D"/>
    <w:rsid w:val="5BCE0BBE"/>
    <w:rsid w:val="5BE51E35"/>
    <w:rsid w:val="5BEB5285"/>
    <w:rsid w:val="5BF84988"/>
    <w:rsid w:val="5BF855AA"/>
    <w:rsid w:val="5C033066"/>
    <w:rsid w:val="5C041A21"/>
    <w:rsid w:val="5C04522A"/>
    <w:rsid w:val="5C0F5504"/>
    <w:rsid w:val="5C1211C7"/>
    <w:rsid w:val="5C301B0D"/>
    <w:rsid w:val="5C336254"/>
    <w:rsid w:val="5C3D18BF"/>
    <w:rsid w:val="5C440275"/>
    <w:rsid w:val="5C490318"/>
    <w:rsid w:val="5C695AEC"/>
    <w:rsid w:val="5C745B1B"/>
    <w:rsid w:val="5C871033"/>
    <w:rsid w:val="5C8B4AAF"/>
    <w:rsid w:val="5C954242"/>
    <w:rsid w:val="5C9E3EFC"/>
    <w:rsid w:val="5C9F25E8"/>
    <w:rsid w:val="5CAA3100"/>
    <w:rsid w:val="5CC0254E"/>
    <w:rsid w:val="5CC1261E"/>
    <w:rsid w:val="5CD471F9"/>
    <w:rsid w:val="5CDA39E1"/>
    <w:rsid w:val="5CDE7244"/>
    <w:rsid w:val="5CDF6B87"/>
    <w:rsid w:val="5CE67DEB"/>
    <w:rsid w:val="5CE7304F"/>
    <w:rsid w:val="5CEE6BD2"/>
    <w:rsid w:val="5CEF3C4C"/>
    <w:rsid w:val="5CF26F8A"/>
    <w:rsid w:val="5CF44A92"/>
    <w:rsid w:val="5CF51643"/>
    <w:rsid w:val="5CFC4DD1"/>
    <w:rsid w:val="5CFF5C9E"/>
    <w:rsid w:val="5D00424E"/>
    <w:rsid w:val="5D0100B3"/>
    <w:rsid w:val="5D082CA8"/>
    <w:rsid w:val="5D180872"/>
    <w:rsid w:val="5D2B11A5"/>
    <w:rsid w:val="5D340A57"/>
    <w:rsid w:val="5D3B1D9D"/>
    <w:rsid w:val="5D3B5465"/>
    <w:rsid w:val="5D4414DA"/>
    <w:rsid w:val="5D4445EC"/>
    <w:rsid w:val="5D463814"/>
    <w:rsid w:val="5D53144F"/>
    <w:rsid w:val="5D55084D"/>
    <w:rsid w:val="5D563578"/>
    <w:rsid w:val="5D747C21"/>
    <w:rsid w:val="5D867D7F"/>
    <w:rsid w:val="5D8D4592"/>
    <w:rsid w:val="5DA33FDE"/>
    <w:rsid w:val="5DB004C1"/>
    <w:rsid w:val="5DB436D7"/>
    <w:rsid w:val="5DB96925"/>
    <w:rsid w:val="5DC125A3"/>
    <w:rsid w:val="5DCB7281"/>
    <w:rsid w:val="5DD7263D"/>
    <w:rsid w:val="5E06500F"/>
    <w:rsid w:val="5E095650"/>
    <w:rsid w:val="5E0D09FE"/>
    <w:rsid w:val="5E1422A4"/>
    <w:rsid w:val="5E236F88"/>
    <w:rsid w:val="5E2D275A"/>
    <w:rsid w:val="5E3109B4"/>
    <w:rsid w:val="5E32282A"/>
    <w:rsid w:val="5E42342D"/>
    <w:rsid w:val="5E4B0227"/>
    <w:rsid w:val="5E4C4506"/>
    <w:rsid w:val="5E5011F1"/>
    <w:rsid w:val="5E517C58"/>
    <w:rsid w:val="5E536BEB"/>
    <w:rsid w:val="5E5B1502"/>
    <w:rsid w:val="5E695F12"/>
    <w:rsid w:val="5E6C23B1"/>
    <w:rsid w:val="5E742035"/>
    <w:rsid w:val="5E77529C"/>
    <w:rsid w:val="5E787B9F"/>
    <w:rsid w:val="5E7B041E"/>
    <w:rsid w:val="5E7E36E2"/>
    <w:rsid w:val="5E82401C"/>
    <w:rsid w:val="5E8417B2"/>
    <w:rsid w:val="5E871DB4"/>
    <w:rsid w:val="5E8F5718"/>
    <w:rsid w:val="5E906ED0"/>
    <w:rsid w:val="5E9C2A1D"/>
    <w:rsid w:val="5EA364A9"/>
    <w:rsid w:val="5EA45B6C"/>
    <w:rsid w:val="5EA55837"/>
    <w:rsid w:val="5EB47AB5"/>
    <w:rsid w:val="5EB47F7F"/>
    <w:rsid w:val="5EB76614"/>
    <w:rsid w:val="5EB91A43"/>
    <w:rsid w:val="5EC65907"/>
    <w:rsid w:val="5ECF33BE"/>
    <w:rsid w:val="5ED432A4"/>
    <w:rsid w:val="5EE87BA5"/>
    <w:rsid w:val="5EEE3070"/>
    <w:rsid w:val="5F02012D"/>
    <w:rsid w:val="5F0F3CA2"/>
    <w:rsid w:val="5F1E3BE0"/>
    <w:rsid w:val="5F2069B1"/>
    <w:rsid w:val="5F25668B"/>
    <w:rsid w:val="5F2723A4"/>
    <w:rsid w:val="5F2A2081"/>
    <w:rsid w:val="5F3C6B7D"/>
    <w:rsid w:val="5F452AF3"/>
    <w:rsid w:val="5F597CB5"/>
    <w:rsid w:val="5F653F40"/>
    <w:rsid w:val="5F6B64B9"/>
    <w:rsid w:val="5F841BF9"/>
    <w:rsid w:val="5F845203"/>
    <w:rsid w:val="5F8D4F3C"/>
    <w:rsid w:val="5F923E61"/>
    <w:rsid w:val="5F9D0F43"/>
    <w:rsid w:val="5FA05821"/>
    <w:rsid w:val="5FA5708F"/>
    <w:rsid w:val="5FA57823"/>
    <w:rsid w:val="5FAB6499"/>
    <w:rsid w:val="5FAD5C0B"/>
    <w:rsid w:val="5FAE2164"/>
    <w:rsid w:val="5FB02724"/>
    <w:rsid w:val="5FB713A2"/>
    <w:rsid w:val="5FC62EE6"/>
    <w:rsid w:val="5FD412B8"/>
    <w:rsid w:val="5FD52860"/>
    <w:rsid w:val="5FD611AF"/>
    <w:rsid w:val="5FE94798"/>
    <w:rsid w:val="5FF356A9"/>
    <w:rsid w:val="5FF45B68"/>
    <w:rsid w:val="601C1EAF"/>
    <w:rsid w:val="601C7BB2"/>
    <w:rsid w:val="60276841"/>
    <w:rsid w:val="602924EB"/>
    <w:rsid w:val="60390303"/>
    <w:rsid w:val="603A11F0"/>
    <w:rsid w:val="60456C21"/>
    <w:rsid w:val="604E0F01"/>
    <w:rsid w:val="60553A57"/>
    <w:rsid w:val="605A381E"/>
    <w:rsid w:val="605B0C60"/>
    <w:rsid w:val="605D5C4F"/>
    <w:rsid w:val="605D6260"/>
    <w:rsid w:val="6064371F"/>
    <w:rsid w:val="606448A9"/>
    <w:rsid w:val="60684388"/>
    <w:rsid w:val="606E3C10"/>
    <w:rsid w:val="606F0754"/>
    <w:rsid w:val="60843093"/>
    <w:rsid w:val="609805E0"/>
    <w:rsid w:val="609F0817"/>
    <w:rsid w:val="60A158E8"/>
    <w:rsid w:val="60A71781"/>
    <w:rsid w:val="60A719A3"/>
    <w:rsid w:val="60AD04D0"/>
    <w:rsid w:val="60B74A93"/>
    <w:rsid w:val="60BE192C"/>
    <w:rsid w:val="60D05C4E"/>
    <w:rsid w:val="60D6069A"/>
    <w:rsid w:val="60D87B78"/>
    <w:rsid w:val="60DB3D65"/>
    <w:rsid w:val="60DD29B7"/>
    <w:rsid w:val="60DD4F76"/>
    <w:rsid w:val="60E01D5A"/>
    <w:rsid w:val="60EB1859"/>
    <w:rsid w:val="60FE4448"/>
    <w:rsid w:val="61005EB0"/>
    <w:rsid w:val="61073BA1"/>
    <w:rsid w:val="611108BB"/>
    <w:rsid w:val="611F397F"/>
    <w:rsid w:val="61262C31"/>
    <w:rsid w:val="61275EDF"/>
    <w:rsid w:val="612A499D"/>
    <w:rsid w:val="612B681D"/>
    <w:rsid w:val="61315C23"/>
    <w:rsid w:val="61323CA3"/>
    <w:rsid w:val="613755A8"/>
    <w:rsid w:val="6143750E"/>
    <w:rsid w:val="6145561E"/>
    <w:rsid w:val="61572720"/>
    <w:rsid w:val="61581C02"/>
    <w:rsid w:val="6163252D"/>
    <w:rsid w:val="61654D49"/>
    <w:rsid w:val="6166067E"/>
    <w:rsid w:val="61697DE1"/>
    <w:rsid w:val="616A65EE"/>
    <w:rsid w:val="616C4044"/>
    <w:rsid w:val="616F75AA"/>
    <w:rsid w:val="61700EFA"/>
    <w:rsid w:val="6176640E"/>
    <w:rsid w:val="617C0C48"/>
    <w:rsid w:val="61801F71"/>
    <w:rsid w:val="618759E7"/>
    <w:rsid w:val="618C4F52"/>
    <w:rsid w:val="618D3A2E"/>
    <w:rsid w:val="619C627B"/>
    <w:rsid w:val="61A30D3C"/>
    <w:rsid w:val="61AC4FBD"/>
    <w:rsid w:val="61AF2B5A"/>
    <w:rsid w:val="61C30572"/>
    <w:rsid w:val="61D13DEF"/>
    <w:rsid w:val="61D84114"/>
    <w:rsid w:val="61DF10D7"/>
    <w:rsid w:val="61E87FCE"/>
    <w:rsid w:val="61EB4661"/>
    <w:rsid w:val="62070B36"/>
    <w:rsid w:val="62094845"/>
    <w:rsid w:val="621068F5"/>
    <w:rsid w:val="62165768"/>
    <w:rsid w:val="6218237D"/>
    <w:rsid w:val="62292442"/>
    <w:rsid w:val="6230255F"/>
    <w:rsid w:val="6232170F"/>
    <w:rsid w:val="62327AE7"/>
    <w:rsid w:val="62334F52"/>
    <w:rsid w:val="62384557"/>
    <w:rsid w:val="623A26B9"/>
    <w:rsid w:val="62406132"/>
    <w:rsid w:val="62416193"/>
    <w:rsid w:val="624A27D1"/>
    <w:rsid w:val="624A5567"/>
    <w:rsid w:val="625478EE"/>
    <w:rsid w:val="6256080E"/>
    <w:rsid w:val="625664DD"/>
    <w:rsid w:val="62581FE7"/>
    <w:rsid w:val="625C431E"/>
    <w:rsid w:val="626128F7"/>
    <w:rsid w:val="62631F33"/>
    <w:rsid w:val="62661729"/>
    <w:rsid w:val="6267053C"/>
    <w:rsid w:val="62672F64"/>
    <w:rsid w:val="6276296A"/>
    <w:rsid w:val="629E5CF2"/>
    <w:rsid w:val="62A00842"/>
    <w:rsid w:val="62A91509"/>
    <w:rsid w:val="62BF0D4F"/>
    <w:rsid w:val="62DE53EF"/>
    <w:rsid w:val="62E266F6"/>
    <w:rsid w:val="62FB188C"/>
    <w:rsid w:val="63017A29"/>
    <w:rsid w:val="63062796"/>
    <w:rsid w:val="630C0C08"/>
    <w:rsid w:val="630E70A5"/>
    <w:rsid w:val="631665E6"/>
    <w:rsid w:val="632905BE"/>
    <w:rsid w:val="632919C3"/>
    <w:rsid w:val="63340102"/>
    <w:rsid w:val="6334591A"/>
    <w:rsid w:val="633A53B8"/>
    <w:rsid w:val="634D4668"/>
    <w:rsid w:val="635034EB"/>
    <w:rsid w:val="636546C4"/>
    <w:rsid w:val="63676388"/>
    <w:rsid w:val="636B587B"/>
    <w:rsid w:val="63726B82"/>
    <w:rsid w:val="63741BF9"/>
    <w:rsid w:val="63754CCA"/>
    <w:rsid w:val="63762F19"/>
    <w:rsid w:val="6388419D"/>
    <w:rsid w:val="638A2872"/>
    <w:rsid w:val="638F6BD2"/>
    <w:rsid w:val="63B17213"/>
    <w:rsid w:val="63B93E09"/>
    <w:rsid w:val="63D01574"/>
    <w:rsid w:val="63D22032"/>
    <w:rsid w:val="63D6116A"/>
    <w:rsid w:val="63D626B9"/>
    <w:rsid w:val="63D66CEF"/>
    <w:rsid w:val="63E6164D"/>
    <w:rsid w:val="63E86A03"/>
    <w:rsid w:val="63F42678"/>
    <w:rsid w:val="63F50413"/>
    <w:rsid w:val="63F54659"/>
    <w:rsid w:val="63F947C1"/>
    <w:rsid w:val="64030CAF"/>
    <w:rsid w:val="640C18FE"/>
    <w:rsid w:val="640E1EED"/>
    <w:rsid w:val="641076F1"/>
    <w:rsid w:val="6420321A"/>
    <w:rsid w:val="64204008"/>
    <w:rsid w:val="643327E8"/>
    <w:rsid w:val="64357CD7"/>
    <w:rsid w:val="64374EF8"/>
    <w:rsid w:val="64474AEE"/>
    <w:rsid w:val="64481237"/>
    <w:rsid w:val="644C3C10"/>
    <w:rsid w:val="644F6E50"/>
    <w:rsid w:val="64527253"/>
    <w:rsid w:val="64601085"/>
    <w:rsid w:val="646329F7"/>
    <w:rsid w:val="64636AD3"/>
    <w:rsid w:val="64642EBF"/>
    <w:rsid w:val="64677987"/>
    <w:rsid w:val="64687BF8"/>
    <w:rsid w:val="646D5832"/>
    <w:rsid w:val="64803C7C"/>
    <w:rsid w:val="64831903"/>
    <w:rsid w:val="6486289B"/>
    <w:rsid w:val="64866B71"/>
    <w:rsid w:val="648E2C7C"/>
    <w:rsid w:val="649429C1"/>
    <w:rsid w:val="64A061C0"/>
    <w:rsid w:val="64A13A57"/>
    <w:rsid w:val="64B72BF3"/>
    <w:rsid w:val="64B96D49"/>
    <w:rsid w:val="64BC3FC5"/>
    <w:rsid w:val="64BC51D3"/>
    <w:rsid w:val="64BD7BE4"/>
    <w:rsid w:val="64D23D5E"/>
    <w:rsid w:val="64D3455A"/>
    <w:rsid w:val="64E500E3"/>
    <w:rsid w:val="64E751BB"/>
    <w:rsid w:val="64F362F3"/>
    <w:rsid w:val="64FD70B2"/>
    <w:rsid w:val="65004F80"/>
    <w:rsid w:val="65225348"/>
    <w:rsid w:val="65243DD4"/>
    <w:rsid w:val="652C1B75"/>
    <w:rsid w:val="652D641A"/>
    <w:rsid w:val="65380690"/>
    <w:rsid w:val="65402560"/>
    <w:rsid w:val="654366C6"/>
    <w:rsid w:val="654632FB"/>
    <w:rsid w:val="65497784"/>
    <w:rsid w:val="655B7556"/>
    <w:rsid w:val="656960F3"/>
    <w:rsid w:val="65707E5D"/>
    <w:rsid w:val="65717590"/>
    <w:rsid w:val="65756EA6"/>
    <w:rsid w:val="6579184A"/>
    <w:rsid w:val="65807D8D"/>
    <w:rsid w:val="658307A8"/>
    <w:rsid w:val="65851C45"/>
    <w:rsid w:val="658713A2"/>
    <w:rsid w:val="658D290D"/>
    <w:rsid w:val="659E4FC3"/>
    <w:rsid w:val="65A12061"/>
    <w:rsid w:val="65A20196"/>
    <w:rsid w:val="65A312C8"/>
    <w:rsid w:val="65A84C4F"/>
    <w:rsid w:val="65C81BBA"/>
    <w:rsid w:val="65CF1894"/>
    <w:rsid w:val="65D371EE"/>
    <w:rsid w:val="65D521D5"/>
    <w:rsid w:val="65D54375"/>
    <w:rsid w:val="65D624EA"/>
    <w:rsid w:val="65D66307"/>
    <w:rsid w:val="65D96F2C"/>
    <w:rsid w:val="65EC0101"/>
    <w:rsid w:val="65ED2582"/>
    <w:rsid w:val="65EF6019"/>
    <w:rsid w:val="65F40F6A"/>
    <w:rsid w:val="65FC0B92"/>
    <w:rsid w:val="65FE30BB"/>
    <w:rsid w:val="6602691C"/>
    <w:rsid w:val="66136325"/>
    <w:rsid w:val="66176072"/>
    <w:rsid w:val="661D6003"/>
    <w:rsid w:val="661F3982"/>
    <w:rsid w:val="6620673A"/>
    <w:rsid w:val="662226BE"/>
    <w:rsid w:val="662240B7"/>
    <w:rsid w:val="66257DAB"/>
    <w:rsid w:val="66386E4A"/>
    <w:rsid w:val="663C766A"/>
    <w:rsid w:val="664107D0"/>
    <w:rsid w:val="664115D3"/>
    <w:rsid w:val="66496C3C"/>
    <w:rsid w:val="6654041C"/>
    <w:rsid w:val="66544034"/>
    <w:rsid w:val="66561A74"/>
    <w:rsid w:val="665808AE"/>
    <w:rsid w:val="66772417"/>
    <w:rsid w:val="66782E16"/>
    <w:rsid w:val="667F06A5"/>
    <w:rsid w:val="667F6025"/>
    <w:rsid w:val="668176E7"/>
    <w:rsid w:val="668429AB"/>
    <w:rsid w:val="66885530"/>
    <w:rsid w:val="66936D8A"/>
    <w:rsid w:val="66AA7FC4"/>
    <w:rsid w:val="66AC6DC1"/>
    <w:rsid w:val="66B33504"/>
    <w:rsid w:val="66B44865"/>
    <w:rsid w:val="66B83C92"/>
    <w:rsid w:val="66DD71B5"/>
    <w:rsid w:val="66DE53B2"/>
    <w:rsid w:val="66E0375F"/>
    <w:rsid w:val="66E3630B"/>
    <w:rsid w:val="66F20CAA"/>
    <w:rsid w:val="66FD0D69"/>
    <w:rsid w:val="6705576F"/>
    <w:rsid w:val="67131B7D"/>
    <w:rsid w:val="6719113D"/>
    <w:rsid w:val="671A0917"/>
    <w:rsid w:val="671D39A2"/>
    <w:rsid w:val="672101D8"/>
    <w:rsid w:val="67232A17"/>
    <w:rsid w:val="6727331E"/>
    <w:rsid w:val="673C004F"/>
    <w:rsid w:val="673C08CB"/>
    <w:rsid w:val="673E08B0"/>
    <w:rsid w:val="674733B0"/>
    <w:rsid w:val="674B6F7A"/>
    <w:rsid w:val="674D4C39"/>
    <w:rsid w:val="67520B66"/>
    <w:rsid w:val="67576376"/>
    <w:rsid w:val="676174A8"/>
    <w:rsid w:val="676B7668"/>
    <w:rsid w:val="6776651F"/>
    <w:rsid w:val="67862545"/>
    <w:rsid w:val="67874F0A"/>
    <w:rsid w:val="678A4A87"/>
    <w:rsid w:val="678B0723"/>
    <w:rsid w:val="678C3485"/>
    <w:rsid w:val="67944638"/>
    <w:rsid w:val="679A240F"/>
    <w:rsid w:val="679B2B5D"/>
    <w:rsid w:val="67A75692"/>
    <w:rsid w:val="67B0451E"/>
    <w:rsid w:val="67B216A6"/>
    <w:rsid w:val="67B76669"/>
    <w:rsid w:val="67BB72C9"/>
    <w:rsid w:val="67CB5722"/>
    <w:rsid w:val="67D2277E"/>
    <w:rsid w:val="67E75180"/>
    <w:rsid w:val="67EC0C4E"/>
    <w:rsid w:val="67F12C3F"/>
    <w:rsid w:val="67F27DFF"/>
    <w:rsid w:val="67F56BF6"/>
    <w:rsid w:val="67F72431"/>
    <w:rsid w:val="68037CBD"/>
    <w:rsid w:val="680E6333"/>
    <w:rsid w:val="68164DEB"/>
    <w:rsid w:val="68170FF1"/>
    <w:rsid w:val="68190577"/>
    <w:rsid w:val="681C4C4B"/>
    <w:rsid w:val="682A4360"/>
    <w:rsid w:val="682C4DB5"/>
    <w:rsid w:val="683048BC"/>
    <w:rsid w:val="683D7490"/>
    <w:rsid w:val="684D3E2B"/>
    <w:rsid w:val="685C630B"/>
    <w:rsid w:val="686A3EAC"/>
    <w:rsid w:val="686D724D"/>
    <w:rsid w:val="68790FAE"/>
    <w:rsid w:val="68794959"/>
    <w:rsid w:val="6884136F"/>
    <w:rsid w:val="68842D54"/>
    <w:rsid w:val="6886232D"/>
    <w:rsid w:val="688B085B"/>
    <w:rsid w:val="688C3295"/>
    <w:rsid w:val="689175CE"/>
    <w:rsid w:val="6892453C"/>
    <w:rsid w:val="689C3ECD"/>
    <w:rsid w:val="689D6E92"/>
    <w:rsid w:val="689E332D"/>
    <w:rsid w:val="689E7138"/>
    <w:rsid w:val="68AB7C29"/>
    <w:rsid w:val="68AC67AA"/>
    <w:rsid w:val="68B07E63"/>
    <w:rsid w:val="68B27DFC"/>
    <w:rsid w:val="68BC28CF"/>
    <w:rsid w:val="68CA206B"/>
    <w:rsid w:val="68CE3996"/>
    <w:rsid w:val="68D404A2"/>
    <w:rsid w:val="68D816DA"/>
    <w:rsid w:val="68DE2657"/>
    <w:rsid w:val="68F203FD"/>
    <w:rsid w:val="69012829"/>
    <w:rsid w:val="69140E9B"/>
    <w:rsid w:val="691702F9"/>
    <w:rsid w:val="6924248A"/>
    <w:rsid w:val="6938033D"/>
    <w:rsid w:val="693D5000"/>
    <w:rsid w:val="69473BCF"/>
    <w:rsid w:val="694C6518"/>
    <w:rsid w:val="694D006E"/>
    <w:rsid w:val="696A42AA"/>
    <w:rsid w:val="696D226F"/>
    <w:rsid w:val="69776374"/>
    <w:rsid w:val="69785197"/>
    <w:rsid w:val="698733C7"/>
    <w:rsid w:val="698B6A6E"/>
    <w:rsid w:val="699053D3"/>
    <w:rsid w:val="699343FB"/>
    <w:rsid w:val="69944454"/>
    <w:rsid w:val="699715DC"/>
    <w:rsid w:val="69983E74"/>
    <w:rsid w:val="699C2A96"/>
    <w:rsid w:val="69AE0A96"/>
    <w:rsid w:val="69AE16AF"/>
    <w:rsid w:val="69AE5F93"/>
    <w:rsid w:val="69B26750"/>
    <w:rsid w:val="69B82AF8"/>
    <w:rsid w:val="69BF211A"/>
    <w:rsid w:val="69C00A49"/>
    <w:rsid w:val="69CA7B1B"/>
    <w:rsid w:val="69CC4A74"/>
    <w:rsid w:val="69D125E1"/>
    <w:rsid w:val="69D4610A"/>
    <w:rsid w:val="69F12186"/>
    <w:rsid w:val="69F95DD9"/>
    <w:rsid w:val="6A022596"/>
    <w:rsid w:val="6A0A3C46"/>
    <w:rsid w:val="6A0A709A"/>
    <w:rsid w:val="6A0D2A7D"/>
    <w:rsid w:val="6A0D4A68"/>
    <w:rsid w:val="6A0E1B2F"/>
    <w:rsid w:val="6A21505A"/>
    <w:rsid w:val="6A250D04"/>
    <w:rsid w:val="6A2A1A82"/>
    <w:rsid w:val="6A2D2596"/>
    <w:rsid w:val="6A2E1887"/>
    <w:rsid w:val="6A36479D"/>
    <w:rsid w:val="6A371C52"/>
    <w:rsid w:val="6A4209EB"/>
    <w:rsid w:val="6A460807"/>
    <w:rsid w:val="6A5D78C5"/>
    <w:rsid w:val="6A756AF8"/>
    <w:rsid w:val="6A905229"/>
    <w:rsid w:val="6A921906"/>
    <w:rsid w:val="6AA21B58"/>
    <w:rsid w:val="6AAE5A0D"/>
    <w:rsid w:val="6AB634A4"/>
    <w:rsid w:val="6AB637CD"/>
    <w:rsid w:val="6AE818E2"/>
    <w:rsid w:val="6AEE2A69"/>
    <w:rsid w:val="6AF146AC"/>
    <w:rsid w:val="6AF24CE7"/>
    <w:rsid w:val="6AF76E5B"/>
    <w:rsid w:val="6B065E03"/>
    <w:rsid w:val="6B0F5701"/>
    <w:rsid w:val="6B115A56"/>
    <w:rsid w:val="6B2C2F00"/>
    <w:rsid w:val="6B2E3737"/>
    <w:rsid w:val="6B342E6D"/>
    <w:rsid w:val="6B376693"/>
    <w:rsid w:val="6B3B4759"/>
    <w:rsid w:val="6B4042D6"/>
    <w:rsid w:val="6B4515C7"/>
    <w:rsid w:val="6B4B121B"/>
    <w:rsid w:val="6B4C7489"/>
    <w:rsid w:val="6B521295"/>
    <w:rsid w:val="6B573802"/>
    <w:rsid w:val="6B647C2F"/>
    <w:rsid w:val="6B6E035F"/>
    <w:rsid w:val="6B770D5D"/>
    <w:rsid w:val="6B773232"/>
    <w:rsid w:val="6B7E743A"/>
    <w:rsid w:val="6B7F54E2"/>
    <w:rsid w:val="6B7F73EC"/>
    <w:rsid w:val="6B80102A"/>
    <w:rsid w:val="6B852EAC"/>
    <w:rsid w:val="6B873E81"/>
    <w:rsid w:val="6B8C05BC"/>
    <w:rsid w:val="6B9B7315"/>
    <w:rsid w:val="6BA27F31"/>
    <w:rsid w:val="6BA82F01"/>
    <w:rsid w:val="6BAE3B6F"/>
    <w:rsid w:val="6BC07441"/>
    <w:rsid w:val="6BC37093"/>
    <w:rsid w:val="6BC51BAB"/>
    <w:rsid w:val="6BC623F9"/>
    <w:rsid w:val="6BCA3551"/>
    <w:rsid w:val="6BD4041C"/>
    <w:rsid w:val="6BD414E4"/>
    <w:rsid w:val="6BD53134"/>
    <w:rsid w:val="6BD94B15"/>
    <w:rsid w:val="6BDE4977"/>
    <w:rsid w:val="6BDF3B33"/>
    <w:rsid w:val="6BF208EB"/>
    <w:rsid w:val="6C031C2C"/>
    <w:rsid w:val="6C0D0ADB"/>
    <w:rsid w:val="6C115461"/>
    <w:rsid w:val="6C2B23BB"/>
    <w:rsid w:val="6C304F87"/>
    <w:rsid w:val="6C3918BD"/>
    <w:rsid w:val="6C4177E3"/>
    <w:rsid w:val="6C456C53"/>
    <w:rsid w:val="6C4F65AD"/>
    <w:rsid w:val="6C6452B9"/>
    <w:rsid w:val="6C6E3AA9"/>
    <w:rsid w:val="6C796D14"/>
    <w:rsid w:val="6C8D2C67"/>
    <w:rsid w:val="6C8E25EB"/>
    <w:rsid w:val="6C993F5F"/>
    <w:rsid w:val="6C9E192F"/>
    <w:rsid w:val="6C9E6FB7"/>
    <w:rsid w:val="6CA15B4F"/>
    <w:rsid w:val="6CA32051"/>
    <w:rsid w:val="6CA3799F"/>
    <w:rsid w:val="6CA430DD"/>
    <w:rsid w:val="6CA6347D"/>
    <w:rsid w:val="6CAA49E7"/>
    <w:rsid w:val="6CAC714F"/>
    <w:rsid w:val="6CAF7517"/>
    <w:rsid w:val="6CB4482C"/>
    <w:rsid w:val="6CBE7235"/>
    <w:rsid w:val="6CF473C1"/>
    <w:rsid w:val="6D095C70"/>
    <w:rsid w:val="6D0D2DA3"/>
    <w:rsid w:val="6D1108A0"/>
    <w:rsid w:val="6D173408"/>
    <w:rsid w:val="6D210A2B"/>
    <w:rsid w:val="6D273349"/>
    <w:rsid w:val="6D285054"/>
    <w:rsid w:val="6D4120D4"/>
    <w:rsid w:val="6D4151EB"/>
    <w:rsid w:val="6D4D2A26"/>
    <w:rsid w:val="6D4E6180"/>
    <w:rsid w:val="6D605E36"/>
    <w:rsid w:val="6D666E54"/>
    <w:rsid w:val="6D6A5877"/>
    <w:rsid w:val="6D6B0293"/>
    <w:rsid w:val="6D7B668A"/>
    <w:rsid w:val="6D7F37D9"/>
    <w:rsid w:val="6D861554"/>
    <w:rsid w:val="6D891756"/>
    <w:rsid w:val="6D8B378E"/>
    <w:rsid w:val="6D8D0A2A"/>
    <w:rsid w:val="6D8E2973"/>
    <w:rsid w:val="6D8F53CA"/>
    <w:rsid w:val="6DA1296C"/>
    <w:rsid w:val="6DB27660"/>
    <w:rsid w:val="6DBA0C23"/>
    <w:rsid w:val="6DBB22C9"/>
    <w:rsid w:val="6DBF60A3"/>
    <w:rsid w:val="6DC926C6"/>
    <w:rsid w:val="6DCC02D6"/>
    <w:rsid w:val="6DD36D1F"/>
    <w:rsid w:val="6DD71F00"/>
    <w:rsid w:val="6DD91726"/>
    <w:rsid w:val="6DE62894"/>
    <w:rsid w:val="6DE63451"/>
    <w:rsid w:val="6DF06347"/>
    <w:rsid w:val="6DF123ED"/>
    <w:rsid w:val="6DF25E93"/>
    <w:rsid w:val="6DF63916"/>
    <w:rsid w:val="6DFE1D39"/>
    <w:rsid w:val="6E095D3C"/>
    <w:rsid w:val="6E254273"/>
    <w:rsid w:val="6E277B43"/>
    <w:rsid w:val="6E2808E1"/>
    <w:rsid w:val="6E293C57"/>
    <w:rsid w:val="6E2A25B6"/>
    <w:rsid w:val="6E2C5640"/>
    <w:rsid w:val="6E3157FE"/>
    <w:rsid w:val="6E3A784B"/>
    <w:rsid w:val="6E4348E2"/>
    <w:rsid w:val="6E463426"/>
    <w:rsid w:val="6E4C1202"/>
    <w:rsid w:val="6E4D7CAA"/>
    <w:rsid w:val="6E5B59F1"/>
    <w:rsid w:val="6E614F20"/>
    <w:rsid w:val="6E623D40"/>
    <w:rsid w:val="6E7330EA"/>
    <w:rsid w:val="6E8A325F"/>
    <w:rsid w:val="6E8D58D0"/>
    <w:rsid w:val="6E924529"/>
    <w:rsid w:val="6E930B05"/>
    <w:rsid w:val="6E9522BC"/>
    <w:rsid w:val="6EAA35F1"/>
    <w:rsid w:val="6EAE4F9F"/>
    <w:rsid w:val="6EB11C8E"/>
    <w:rsid w:val="6EB91009"/>
    <w:rsid w:val="6EBD1552"/>
    <w:rsid w:val="6EBE6862"/>
    <w:rsid w:val="6EC17941"/>
    <w:rsid w:val="6ED05AF2"/>
    <w:rsid w:val="6ED6527B"/>
    <w:rsid w:val="6ED90EB8"/>
    <w:rsid w:val="6ED96BE5"/>
    <w:rsid w:val="6EE65C0B"/>
    <w:rsid w:val="6EED7B5E"/>
    <w:rsid w:val="6EFA06AA"/>
    <w:rsid w:val="6F0110FF"/>
    <w:rsid w:val="6F0D52C5"/>
    <w:rsid w:val="6F0F7908"/>
    <w:rsid w:val="6F133456"/>
    <w:rsid w:val="6F2359DE"/>
    <w:rsid w:val="6F32563C"/>
    <w:rsid w:val="6F330CC5"/>
    <w:rsid w:val="6F472E88"/>
    <w:rsid w:val="6F487128"/>
    <w:rsid w:val="6F4C2442"/>
    <w:rsid w:val="6F5D0713"/>
    <w:rsid w:val="6F603072"/>
    <w:rsid w:val="6F8257FF"/>
    <w:rsid w:val="6FA3523A"/>
    <w:rsid w:val="6FA646DC"/>
    <w:rsid w:val="6FAB0240"/>
    <w:rsid w:val="6FAD7955"/>
    <w:rsid w:val="6FB124BC"/>
    <w:rsid w:val="6FE01EA1"/>
    <w:rsid w:val="6FE37A15"/>
    <w:rsid w:val="6FFA69A3"/>
    <w:rsid w:val="70057710"/>
    <w:rsid w:val="700A3BDB"/>
    <w:rsid w:val="700C47ED"/>
    <w:rsid w:val="70155AD8"/>
    <w:rsid w:val="70157C21"/>
    <w:rsid w:val="70174142"/>
    <w:rsid w:val="70213A33"/>
    <w:rsid w:val="7023080C"/>
    <w:rsid w:val="70292379"/>
    <w:rsid w:val="702E6D96"/>
    <w:rsid w:val="703A7312"/>
    <w:rsid w:val="703C426A"/>
    <w:rsid w:val="703E2519"/>
    <w:rsid w:val="704D1A10"/>
    <w:rsid w:val="704E56CD"/>
    <w:rsid w:val="704F329F"/>
    <w:rsid w:val="704F6733"/>
    <w:rsid w:val="7054311F"/>
    <w:rsid w:val="70575B67"/>
    <w:rsid w:val="70586D4C"/>
    <w:rsid w:val="706C39AE"/>
    <w:rsid w:val="706D6681"/>
    <w:rsid w:val="70736794"/>
    <w:rsid w:val="70774397"/>
    <w:rsid w:val="707A6A02"/>
    <w:rsid w:val="70870CED"/>
    <w:rsid w:val="70924268"/>
    <w:rsid w:val="70984BC8"/>
    <w:rsid w:val="70A02B61"/>
    <w:rsid w:val="70AD6B74"/>
    <w:rsid w:val="70B25B48"/>
    <w:rsid w:val="70B55A65"/>
    <w:rsid w:val="70B77E7F"/>
    <w:rsid w:val="70B81518"/>
    <w:rsid w:val="70CC56DC"/>
    <w:rsid w:val="70DA4F31"/>
    <w:rsid w:val="70E310BD"/>
    <w:rsid w:val="70E61366"/>
    <w:rsid w:val="70EF5AB4"/>
    <w:rsid w:val="70F312AB"/>
    <w:rsid w:val="70F76CAF"/>
    <w:rsid w:val="70F83445"/>
    <w:rsid w:val="70FD505E"/>
    <w:rsid w:val="71110F39"/>
    <w:rsid w:val="711134FE"/>
    <w:rsid w:val="71121875"/>
    <w:rsid w:val="71124E24"/>
    <w:rsid w:val="712676F2"/>
    <w:rsid w:val="712760CC"/>
    <w:rsid w:val="7137279A"/>
    <w:rsid w:val="713C31D9"/>
    <w:rsid w:val="713E266D"/>
    <w:rsid w:val="71407D4F"/>
    <w:rsid w:val="714820BC"/>
    <w:rsid w:val="71490FA8"/>
    <w:rsid w:val="714942AA"/>
    <w:rsid w:val="714A2FBE"/>
    <w:rsid w:val="71512087"/>
    <w:rsid w:val="71542C73"/>
    <w:rsid w:val="71550A68"/>
    <w:rsid w:val="716102E7"/>
    <w:rsid w:val="716303CF"/>
    <w:rsid w:val="716626E5"/>
    <w:rsid w:val="71671825"/>
    <w:rsid w:val="716A0803"/>
    <w:rsid w:val="717A3AD5"/>
    <w:rsid w:val="71826030"/>
    <w:rsid w:val="7187112E"/>
    <w:rsid w:val="718D3F98"/>
    <w:rsid w:val="71972803"/>
    <w:rsid w:val="719E2AA8"/>
    <w:rsid w:val="719F1F69"/>
    <w:rsid w:val="71A37735"/>
    <w:rsid w:val="71B620B3"/>
    <w:rsid w:val="71B80CE6"/>
    <w:rsid w:val="71C1346B"/>
    <w:rsid w:val="71D05DE5"/>
    <w:rsid w:val="71D82D77"/>
    <w:rsid w:val="71E1106D"/>
    <w:rsid w:val="71FB4BC4"/>
    <w:rsid w:val="71FC3FF7"/>
    <w:rsid w:val="72014FE5"/>
    <w:rsid w:val="720D3EC1"/>
    <w:rsid w:val="721C0A42"/>
    <w:rsid w:val="72207884"/>
    <w:rsid w:val="72242572"/>
    <w:rsid w:val="723257FB"/>
    <w:rsid w:val="7237292B"/>
    <w:rsid w:val="723761CF"/>
    <w:rsid w:val="723B41A3"/>
    <w:rsid w:val="72487FDE"/>
    <w:rsid w:val="7254124D"/>
    <w:rsid w:val="72555AED"/>
    <w:rsid w:val="72571DFC"/>
    <w:rsid w:val="725C1D3C"/>
    <w:rsid w:val="725F4AE6"/>
    <w:rsid w:val="72645516"/>
    <w:rsid w:val="72890794"/>
    <w:rsid w:val="728C158B"/>
    <w:rsid w:val="72A122C0"/>
    <w:rsid w:val="72A848C3"/>
    <w:rsid w:val="72AB25C8"/>
    <w:rsid w:val="72C748EF"/>
    <w:rsid w:val="72E4234F"/>
    <w:rsid w:val="72EA148C"/>
    <w:rsid w:val="72EC6871"/>
    <w:rsid w:val="72EF5096"/>
    <w:rsid w:val="72F90EAF"/>
    <w:rsid w:val="72FB1895"/>
    <w:rsid w:val="72FF231D"/>
    <w:rsid w:val="73150997"/>
    <w:rsid w:val="7316547C"/>
    <w:rsid w:val="7318774A"/>
    <w:rsid w:val="73276E31"/>
    <w:rsid w:val="732A3697"/>
    <w:rsid w:val="732D04A2"/>
    <w:rsid w:val="732D65AE"/>
    <w:rsid w:val="733F4B17"/>
    <w:rsid w:val="73413BCF"/>
    <w:rsid w:val="734D75AB"/>
    <w:rsid w:val="735A056A"/>
    <w:rsid w:val="7360060C"/>
    <w:rsid w:val="73651863"/>
    <w:rsid w:val="736F1B58"/>
    <w:rsid w:val="73757817"/>
    <w:rsid w:val="739170A1"/>
    <w:rsid w:val="73961591"/>
    <w:rsid w:val="739639A2"/>
    <w:rsid w:val="73965C20"/>
    <w:rsid w:val="73AB7D37"/>
    <w:rsid w:val="73BA7459"/>
    <w:rsid w:val="73BC3944"/>
    <w:rsid w:val="73C111E7"/>
    <w:rsid w:val="73C44B15"/>
    <w:rsid w:val="73C62B17"/>
    <w:rsid w:val="73C67F99"/>
    <w:rsid w:val="73C90CCE"/>
    <w:rsid w:val="73D0454F"/>
    <w:rsid w:val="73D26CB2"/>
    <w:rsid w:val="73D86360"/>
    <w:rsid w:val="73DD77BE"/>
    <w:rsid w:val="73E17E12"/>
    <w:rsid w:val="73EF63F7"/>
    <w:rsid w:val="73F443C3"/>
    <w:rsid w:val="73F53DE3"/>
    <w:rsid w:val="74024C8F"/>
    <w:rsid w:val="741607F4"/>
    <w:rsid w:val="74273885"/>
    <w:rsid w:val="742A41C3"/>
    <w:rsid w:val="74396DE8"/>
    <w:rsid w:val="743D20CA"/>
    <w:rsid w:val="74405E58"/>
    <w:rsid w:val="74426413"/>
    <w:rsid w:val="74451D35"/>
    <w:rsid w:val="744824A3"/>
    <w:rsid w:val="7455107B"/>
    <w:rsid w:val="74582272"/>
    <w:rsid w:val="74586FD0"/>
    <w:rsid w:val="745B3A8B"/>
    <w:rsid w:val="746234E8"/>
    <w:rsid w:val="746B107D"/>
    <w:rsid w:val="74717FAD"/>
    <w:rsid w:val="747867A2"/>
    <w:rsid w:val="7479137C"/>
    <w:rsid w:val="747A673C"/>
    <w:rsid w:val="747B1730"/>
    <w:rsid w:val="74812611"/>
    <w:rsid w:val="74952604"/>
    <w:rsid w:val="749B6F68"/>
    <w:rsid w:val="74A57EA0"/>
    <w:rsid w:val="74A959E9"/>
    <w:rsid w:val="74C30D17"/>
    <w:rsid w:val="74C52C1A"/>
    <w:rsid w:val="74C84B11"/>
    <w:rsid w:val="74CC18B8"/>
    <w:rsid w:val="74D05274"/>
    <w:rsid w:val="74E157EF"/>
    <w:rsid w:val="74F361A1"/>
    <w:rsid w:val="74FB76FB"/>
    <w:rsid w:val="75066D48"/>
    <w:rsid w:val="75072079"/>
    <w:rsid w:val="75073F78"/>
    <w:rsid w:val="75077C90"/>
    <w:rsid w:val="750C1820"/>
    <w:rsid w:val="751D11F1"/>
    <w:rsid w:val="751F0617"/>
    <w:rsid w:val="753F08CD"/>
    <w:rsid w:val="75433664"/>
    <w:rsid w:val="75434336"/>
    <w:rsid w:val="75445561"/>
    <w:rsid w:val="754755B0"/>
    <w:rsid w:val="75517642"/>
    <w:rsid w:val="755545E8"/>
    <w:rsid w:val="755B5CCC"/>
    <w:rsid w:val="755F09FD"/>
    <w:rsid w:val="75750C36"/>
    <w:rsid w:val="757C53FA"/>
    <w:rsid w:val="75824122"/>
    <w:rsid w:val="759846FE"/>
    <w:rsid w:val="759E6050"/>
    <w:rsid w:val="75B41312"/>
    <w:rsid w:val="75B52929"/>
    <w:rsid w:val="75C33862"/>
    <w:rsid w:val="75C46D9E"/>
    <w:rsid w:val="75CF1A48"/>
    <w:rsid w:val="75DA0FA8"/>
    <w:rsid w:val="75E83D18"/>
    <w:rsid w:val="75EE2B01"/>
    <w:rsid w:val="75EF5E81"/>
    <w:rsid w:val="75F70EAE"/>
    <w:rsid w:val="75F81D25"/>
    <w:rsid w:val="75F96B33"/>
    <w:rsid w:val="76072D30"/>
    <w:rsid w:val="76085D47"/>
    <w:rsid w:val="76096376"/>
    <w:rsid w:val="7614205F"/>
    <w:rsid w:val="761562FB"/>
    <w:rsid w:val="761A228A"/>
    <w:rsid w:val="761C6D25"/>
    <w:rsid w:val="761E39C0"/>
    <w:rsid w:val="76222DAB"/>
    <w:rsid w:val="76227C1B"/>
    <w:rsid w:val="76337308"/>
    <w:rsid w:val="7638135D"/>
    <w:rsid w:val="767633AA"/>
    <w:rsid w:val="76766F2E"/>
    <w:rsid w:val="767A1B45"/>
    <w:rsid w:val="76807551"/>
    <w:rsid w:val="768919E5"/>
    <w:rsid w:val="768B0C69"/>
    <w:rsid w:val="7690575B"/>
    <w:rsid w:val="769574B9"/>
    <w:rsid w:val="769B01D8"/>
    <w:rsid w:val="76A86FB9"/>
    <w:rsid w:val="76BF38C2"/>
    <w:rsid w:val="76C16A00"/>
    <w:rsid w:val="76C53BB5"/>
    <w:rsid w:val="76D0329D"/>
    <w:rsid w:val="76F1727B"/>
    <w:rsid w:val="76F9470B"/>
    <w:rsid w:val="76FE38CE"/>
    <w:rsid w:val="76FE5B90"/>
    <w:rsid w:val="77283367"/>
    <w:rsid w:val="772C470B"/>
    <w:rsid w:val="772F3A69"/>
    <w:rsid w:val="77361223"/>
    <w:rsid w:val="773D0319"/>
    <w:rsid w:val="77466791"/>
    <w:rsid w:val="775A361F"/>
    <w:rsid w:val="776648E6"/>
    <w:rsid w:val="776B31DD"/>
    <w:rsid w:val="77730EB1"/>
    <w:rsid w:val="777B30C5"/>
    <w:rsid w:val="777B68E5"/>
    <w:rsid w:val="777E2833"/>
    <w:rsid w:val="77956F8E"/>
    <w:rsid w:val="77A30037"/>
    <w:rsid w:val="77A44215"/>
    <w:rsid w:val="77A8207B"/>
    <w:rsid w:val="77BD1AB2"/>
    <w:rsid w:val="77C05E64"/>
    <w:rsid w:val="77D07E3E"/>
    <w:rsid w:val="77D62BCB"/>
    <w:rsid w:val="77E217A1"/>
    <w:rsid w:val="77E71C59"/>
    <w:rsid w:val="77F20FC8"/>
    <w:rsid w:val="78041FF4"/>
    <w:rsid w:val="780A68B1"/>
    <w:rsid w:val="7819510E"/>
    <w:rsid w:val="781E7B5C"/>
    <w:rsid w:val="78205388"/>
    <w:rsid w:val="78225AC0"/>
    <w:rsid w:val="7829153D"/>
    <w:rsid w:val="782F60D0"/>
    <w:rsid w:val="78311E46"/>
    <w:rsid w:val="78370184"/>
    <w:rsid w:val="78483199"/>
    <w:rsid w:val="784A6D2E"/>
    <w:rsid w:val="784C3424"/>
    <w:rsid w:val="78553813"/>
    <w:rsid w:val="785744A0"/>
    <w:rsid w:val="785946AD"/>
    <w:rsid w:val="786205A3"/>
    <w:rsid w:val="786E6AD5"/>
    <w:rsid w:val="78746ADB"/>
    <w:rsid w:val="7878592A"/>
    <w:rsid w:val="788538A6"/>
    <w:rsid w:val="788A55EA"/>
    <w:rsid w:val="788B1BF1"/>
    <w:rsid w:val="78926EA9"/>
    <w:rsid w:val="78A422B0"/>
    <w:rsid w:val="78AD2707"/>
    <w:rsid w:val="78AF73B7"/>
    <w:rsid w:val="78B1650D"/>
    <w:rsid w:val="78C010A2"/>
    <w:rsid w:val="78CA1C71"/>
    <w:rsid w:val="78CB714C"/>
    <w:rsid w:val="78D356BB"/>
    <w:rsid w:val="78D477DA"/>
    <w:rsid w:val="78DF3ADE"/>
    <w:rsid w:val="78E832A7"/>
    <w:rsid w:val="78F256F2"/>
    <w:rsid w:val="78F51BEA"/>
    <w:rsid w:val="78FA1EE1"/>
    <w:rsid w:val="79110372"/>
    <w:rsid w:val="791C42B7"/>
    <w:rsid w:val="79243507"/>
    <w:rsid w:val="79243CC5"/>
    <w:rsid w:val="792450F9"/>
    <w:rsid w:val="792B5C99"/>
    <w:rsid w:val="792E33BA"/>
    <w:rsid w:val="792F07C5"/>
    <w:rsid w:val="7933335F"/>
    <w:rsid w:val="79344804"/>
    <w:rsid w:val="79356CFF"/>
    <w:rsid w:val="79387D27"/>
    <w:rsid w:val="79401EF3"/>
    <w:rsid w:val="794553E5"/>
    <w:rsid w:val="79493F66"/>
    <w:rsid w:val="794B38FE"/>
    <w:rsid w:val="79544332"/>
    <w:rsid w:val="795D0587"/>
    <w:rsid w:val="79621677"/>
    <w:rsid w:val="796E6812"/>
    <w:rsid w:val="797A00BE"/>
    <w:rsid w:val="798E4478"/>
    <w:rsid w:val="79986666"/>
    <w:rsid w:val="79987397"/>
    <w:rsid w:val="799B6432"/>
    <w:rsid w:val="799E7555"/>
    <w:rsid w:val="79A668C8"/>
    <w:rsid w:val="79C726DC"/>
    <w:rsid w:val="79CD540C"/>
    <w:rsid w:val="79D01358"/>
    <w:rsid w:val="79DA1682"/>
    <w:rsid w:val="79DA250B"/>
    <w:rsid w:val="79DC0EA9"/>
    <w:rsid w:val="79F47CE9"/>
    <w:rsid w:val="79FA7460"/>
    <w:rsid w:val="7A043333"/>
    <w:rsid w:val="7A0C08A5"/>
    <w:rsid w:val="7A1704F6"/>
    <w:rsid w:val="7A17687B"/>
    <w:rsid w:val="7A1B386A"/>
    <w:rsid w:val="7A22532D"/>
    <w:rsid w:val="7A292907"/>
    <w:rsid w:val="7A2A0F00"/>
    <w:rsid w:val="7A2B22F4"/>
    <w:rsid w:val="7A316B40"/>
    <w:rsid w:val="7A4675B0"/>
    <w:rsid w:val="7A6F4903"/>
    <w:rsid w:val="7A6F776C"/>
    <w:rsid w:val="7A71319F"/>
    <w:rsid w:val="7A78663C"/>
    <w:rsid w:val="7A7B25E1"/>
    <w:rsid w:val="7A84326F"/>
    <w:rsid w:val="7A96377C"/>
    <w:rsid w:val="7AA22FFA"/>
    <w:rsid w:val="7AB26667"/>
    <w:rsid w:val="7ABA7E06"/>
    <w:rsid w:val="7ABD3582"/>
    <w:rsid w:val="7ABE65BA"/>
    <w:rsid w:val="7AC002C1"/>
    <w:rsid w:val="7AC11A26"/>
    <w:rsid w:val="7AC6646E"/>
    <w:rsid w:val="7AC75F5C"/>
    <w:rsid w:val="7ACB45FF"/>
    <w:rsid w:val="7AD35AF8"/>
    <w:rsid w:val="7AD62068"/>
    <w:rsid w:val="7AD85A3A"/>
    <w:rsid w:val="7ADC573A"/>
    <w:rsid w:val="7AE15D4C"/>
    <w:rsid w:val="7AE168D1"/>
    <w:rsid w:val="7AE3112C"/>
    <w:rsid w:val="7B074467"/>
    <w:rsid w:val="7B102203"/>
    <w:rsid w:val="7B116D74"/>
    <w:rsid w:val="7B206860"/>
    <w:rsid w:val="7B222F60"/>
    <w:rsid w:val="7B271D12"/>
    <w:rsid w:val="7B284C07"/>
    <w:rsid w:val="7B2A1176"/>
    <w:rsid w:val="7B2C6FDE"/>
    <w:rsid w:val="7B304607"/>
    <w:rsid w:val="7B3C282E"/>
    <w:rsid w:val="7B4069F3"/>
    <w:rsid w:val="7B46014A"/>
    <w:rsid w:val="7B4968D4"/>
    <w:rsid w:val="7B5B0E87"/>
    <w:rsid w:val="7B5E3F9F"/>
    <w:rsid w:val="7B661BD3"/>
    <w:rsid w:val="7B68000C"/>
    <w:rsid w:val="7B684C37"/>
    <w:rsid w:val="7B6C19BC"/>
    <w:rsid w:val="7B9056E4"/>
    <w:rsid w:val="7B9F5DC2"/>
    <w:rsid w:val="7BA45C07"/>
    <w:rsid w:val="7BAB4237"/>
    <w:rsid w:val="7BAF5023"/>
    <w:rsid w:val="7BB36DFA"/>
    <w:rsid w:val="7BBE269F"/>
    <w:rsid w:val="7BBF3C16"/>
    <w:rsid w:val="7BCD6162"/>
    <w:rsid w:val="7BDB0F72"/>
    <w:rsid w:val="7BEA5118"/>
    <w:rsid w:val="7BF42599"/>
    <w:rsid w:val="7BF501E6"/>
    <w:rsid w:val="7BF95883"/>
    <w:rsid w:val="7BFB5FAB"/>
    <w:rsid w:val="7C0A19B7"/>
    <w:rsid w:val="7C1249D9"/>
    <w:rsid w:val="7C186905"/>
    <w:rsid w:val="7C19552D"/>
    <w:rsid w:val="7C201BB7"/>
    <w:rsid w:val="7C224277"/>
    <w:rsid w:val="7C3934BE"/>
    <w:rsid w:val="7C495A40"/>
    <w:rsid w:val="7C4C46BE"/>
    <w:rsid w:val="7C4E194F"/>
    <w:rsid w:val="7C597DF4"/>
    <w:rsid w:val="7C5B7F8D"/>
    <w:rsid w:val="7C671D4D"/>
    <w:rsid w:val="7C6A48E3"/>
    <w:rsid w:val="7C73385B"/>
    <w:rsid w:val="7C741010"/>
    <w:rsid w:val="7C743354"/>
    <w:rsid w:val="7C775374"/>
    <w:rsid w:val="7C792E7A"/>
    <w:rsid w:val="7C941DE2"/>
    <w:rsid w:val="7CA665EE"/>
    <w:rsid w:val="7CB57C22"/>
    <w:rsid w:val="7CB6539B"/>
    <w:rsid w:val="7CB66240"/>
    <w:rsid w:val="7CBB7DD3"/>
    <w:rsid w:val="7CBF704E"/>
    <w:rsid w:val="7CC06DBF"/>
    <w:rsid w:val="7CC62DE7"/>
    <w:rsid w:val="7CCB7ABB"/>
    <w:rsid w:val="7CE021AF"/>
    <w:rsid w:val="7CE07FE2"/>
    <w:rsid w:val="7CE85D77"/>
    <w:rsid w:val="7CE91C8F"/>
    <w:rsid w:val="7CEF1CC9"/>
    <w:rsid w:val="7CF249D8"/>
    <w:rsid w:val="7CF3538A"/>
    <w:rsid w:val="7CFA342B"/>
    <w:rsid w:val="7CFC14F5"/>
    <w:rsid w:val="7CFE23DE"/>
    <w:rsid w:val="7D03404E"/>
    <w:rsid w:val="7D0F1429"/>
    <w:rsid w:val="7D186B6B"/>
    <w:rsid w:val="7D1B02B1"/>
    <w:rsid w:val="7D1C55E1"/>
    <w:rsid w:val="7D25138B"/>
    <w:rsid w:val="7D2730F5"/>
    <w:rsid w:val="7D2C4B0F"/>
    <w:rsid w:val="7D307119"/>
    <w:rsid w:val="7D4D3FF8"/>
    <w:rsid w:val="7D535AC1"/>
    <w:rsid w:val="7D570C95"/>
    <w:rsid w:val="7D581049"/>
    <w:rsid w:val="7D5844EC"/>
    <w:rsid w:val="7D5F66CB"/>
    <w:rsid w:val="7D623473"/>
    <w:rsid w:val="7D633FB4"/>
    <w:rsid w:val="7D661037"/>
    <w:rsid w:val="7D674EEF"/>
    <w:rsid w:val="7D715D15"/>
    <w:rsid w:val="7D790A33"/>
    <w:rsid w:val="7D7D01F5"/>
    <w:rsid w:val="7D8036DC"/>
    <w:rsid w:val="7D824BD3"/>
    <w:rsid w:val="7D973CED"/>
    <w:rsid w:val="7DA62539"/>
    <w:rsid w:val="7DBB0E79"/>
    <w:rsid w:val="7DBB6877"/>
    <w:rsid w:val="7DDC1894"/>
    <w:rsid w:val="7DDD7882"/>
    <w:rsid w:val="7DE72EF5"/>
    <w:rsid w:val="7DED0DAF"/>
    <w:rsid w:val="7DF42C6F"/>
    <w:rsid w:val="7E0E75E3"/>
    <w:rsid w:val="7E11460B"/>
    <w:rsid w:val="7E1620A0"/>
    <w:rsid w:val="7E1672EC"/>
    <w:rsid w:val="7E19314D"/>
    <w:rsid w:val="7E1B4A9A"/>
    <w:rsid w:val="7E217D89"/>
    <w:rsid w:val="7E236C24"/>
    <w:rsid w:val="7E260F5B"/>
    <w:rsid w:val="7E332266"/>
    <w:rsid w:val="7E377990"/>
    <w:rsid w:val="7E3C32A3"/>
    <w:rsid w:val="7E4B6D00"/>
    <w:rsid w:val="7E5723A5"/>
    <w:rsid w:val="7E5D18E9"/>
    <w:rsid w:val="7E6720E6"/>
    <w:rsid w:val="7E7E22BC"/>
    <w:rsid w:val="7E8B1082"/>
    <w:rsid w:val="7E8C1F98"/>
    <w:rsid w:val="7E90141E"/>
    <w:rsid w:val="7E951596"/>
    <w:rsid w:val="7EA023D2"/>
    <w:rsid w:val="7EA11750"/>
    <w:rsid w:val="7EA14F37"/>
    <w:rsid w:val="7EAD2019"/>
    <w:rsid w:val="7EB974B8"/>
    <w:rsid w:val="7EBB5CDD"/>
    <w:rsid w:val="7EBD7FBB"/>
    <w:rsid w:val="7EC55A09"/>
    <w:rsid w:val="7ECC4F64"/>
    <w:rsid w:val="7ED518D6"/>
    <w:rsid w:val="7EDE507E"/>
    <w:rsid w:val="7EE86583"/>
    <w:rsid w:val="7EE90E58"/>
    <w:rsid w:val="7EF72A9A"/>
    <w:rsid w:val="7EFA045F"/>
    <w:rsid w:val="7EFE1896"/>
    <w:rsid w:val="7F0D1D7E"/>
    <w:rsid w:val="7F0F1C74"/>
    <w:rsid w:val="7F1218C6"/>
    <w:rsid w:val="7F1B5A1E"/>
    <w:rsid w:val="7F2850DE"/>
    <w:rsid w:val="7F303C03"/>
    <w:rsid w:val="7F304FFA"/>
    <w:rsid w:val="7F394144"/>
    <w:rsid w:val="7F397DA6"/>
    <w:rsid w:val="7F3F078E"/>
    <w:rsid w:val="7F403D64"/>
    <w:rsid w:val="7F4238FD"/>
    <w:rsid w:val="7F455F26"/>
    <w:rsid w:val="7F49761D"/>
    <w:rsid w:val="7F4B4F9D"/>
    <w:rsid w:val="7F4C4AA1"/>
    <w:rsid w:val="7F507707"/>
    <w:rsid w:val="7F507A8E"/>
    <w:rsid w:val="7F521DBB"/>
    <w:rsid w:val="7F5519A4"/>
    <w:rsid w:val="7F591989"/>
    <w:rsid w:val="7F642AD3"/>
    <w:rsid w:val="7F79005E"/>
    <w:rsid w:val="7F7F5798"/>
    <w:rsid w:val="7F821AD6"/>
    <w:rsid w:val="7F826669"/>
    <w:rsid w:val="7F95001B"/>
    <w:rsid w:val="7FC67AED"/>
    <w:rsid w:val="7FCA4B18"/>
    <w:rsid w:val="7FCB09AB"/>
    <w:rsid w:val="7FD90E29"/>
    <w:rsid w:val="7FEB19C9"/>
    <w:rsid w:val="7FEB2590"/>
    <w:rsid w:val="7FFC580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qFormat="1" w:unhideWhenUsed="0" w:uiPriority="99" w:semiHidden="0" w:name="envelope address"/>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qFormat="1" w:unhideWhenUsed="0" w:uiPriority="99" w:semiHidden="0" w:name="endnote text"/>
    <w:lsdException w:qFormat="1" w:unhideWhenUsed="0" w:uiPriority="99" w:semiHidden="0" w:name="table of authorities"/>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qFormat="1" w:unhideWhenUsed="0" w:uiPriority="99" w:semiHidden="0" w:name="List Bullet 3"/>
    <w:lsdException w:qFormat="1" w:unhideWhenUsed="0" w:uiPriority="99" w:semiHidden="0" w:name="List Bullet 4"/>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99"/>
    <w:pPr>
      <w:keepNext/>
      <w:keepLines/>
      <w:widowControl/>
      <w:spacing w:before="340" w:after="330" w:line="576" w:lineRule="auto"/>
      <w:jc w:val="left"/>
      <w:outlineLvl w:val="0"/>
    </w:pPr>
    <w:rPr>
      <w:b/>
      <w:bCs/>
      <w:kern w:val="44"/>
      <w:sz w:val="44"/>
      <w:szCs w:val="44"/>
    </w:rPr>
  </w:style>
  <w:style w:type="paragraph" w:styleId="4">
    <w:name w:val="heading 2"/>
    <w:basedOn w:val="1"/>
    <w:next w:val="1"/>
    <w:link w:val="68"/>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69"/>
    <w:qFormat/>
    <w:uiPriority w:val="99"/>
    <w:pPr>
      <w:keepNext/>
      <w:keepLines/>
      <w:spacing w:before="260" w:after="260" w:line="415" w:lineRule="auto"/>
      <w:outlineLvl w:val="2"/>
    </w:pPr>
    <w:rPr>
      <w:b/>
      <w:bCs/>
      <w:kern w:val="0"/>
      <w:sz w:val="32"/>
      <w:szCs w:val="32"/>
    </w:rPr>
  </w:style>
  <w:style w:type="paragraph" w:styleId="6">
    <w:name w:val="heading 4"/>
    <w:basedOn w:val="1"/>
    <w:next w:val="1"/>
    <w:link w:val="70"/>
    <w:qFormat/>
    <w:uiPriority w:val="99"/>
    <w:pPr>
      <w:keepNext/>
      <w:keepLines/>
      <w:spacing w:before="280" w:after="290" w:line="374" w:lineRule="auto"/>
      <w:outlineLvl w:val="3"/>
    </w:pPr>
    <w:rPr>
      <w:rFonts w:ascii="Arial" w:hAnsi="Arial" w:eastAsia="黑体"/>
      <w:b/>
      <w:bCs/>
      <w:kern w:val="0"/>
      <w:sz w:val="28"/>
      <w:szCs w:val="28"/>
    </w:rPr>
  </w:style>
  <w:style w:type="paragraph" w:styleId="7">
    <w:name w:val="heading 5"/>
    <w:basedOn w:val="1"/>
    <w:next w:val="1"/>
    <w:link w:val="71"/>
    <w:qFormat/>
    <w:uiPriority w:val="99"/>
    <w:pPr>
      <w:keepNext/>
      <w:keepLines/>
      <w:spacing w:before="280" w:after="290" w:line="376" w:lineRule="auto"/>
      <w:outlineLvl w:val="4"/>
    </w:pPr>
    <w:rPr>
      <w:rFonts w:ascii="Calibri" w:hAnsi="Calibri"/>
      <w:b/>
      <w:bCs/>
      <w:sz w:val="28"/>
      <w:szCs w:val="28"/>
    </w:rPr>
  </w:style>
  <w:style w:type="paragraph" w:styleId="8">
    <w:name w:val="heading 6"/>
    <w:basedOn w:val="1"/>
    <w:next w:val="1"/>
    <w:link w:val="72"/>
    <w:qFormat/>
    <w:uiPriority w:val="99"/>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73"/>
    <w:qFormat/>
    <w:uiPriority w:val="99"/>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74"/>
    <w:qFormat/>
    <w:uiPriority w:val="99"/>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75"/>
    <w:qFormat/>
    <w:uiPriority w:val="99"/>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0">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8"/>
    <w:qFormat/>
    <w:uiPriority w:val="99"/>
    <w:pPr>
      <w:widowControl/>
      <w:jc w:val="left"/>
    </w:pPr>
    <w:rPr>
      <w:kern w:val="0"/>
      <w:sz w:val="24"/>
      <w:szCs w:val="20"/>
    </w:rPr>
  </w:style>
  <w:style w:type="paragraph" w:styleId="12">
    <w:name w:val="List 3"/>
    <w:basedOn w:val="1"/>
    <w:qFormat/>
    <w:uiPriority w:val="99"/>
    <w:pPr>
      <w:ind w:left="100" w:leftChars="400" w:hanging="200" w:hangingChars="200"/>
    </w:pPr>
  </w:style>
  <w:style w:type="paragraph" w:styleId="13">
    <w:name w:val="toc 7"/>
    <w:basedOn w:val="1"/>
    <w:next w:val="1"/>
    <w:qFormat/>
    <w:uiPriority w:val="99"/>
    <w:pPr>
      <w:ind w:left="1260"/>
      <w:jc w:val="left"/>
    </w:pPr>
    <w:rPr>
      <w:sz w:val="18"/>
      <w:szCs w:val="18"/>
    </w:rPr>
  </w:style>
  <w:style w:type="paragraph" w:styleId="14">
    <w:name w:val="table of authorities"/>
    <w:basedOn w:val="1"/>
    <w:next w:val="1"/>
    <w:qFormat/>
    <w:uiPriority w:val="99"/>
    <w:pPr>
      <w:ind w:left="420" w:leftChars="200"/>
    </w:pPr>
    <w:rPr>
      <w:szCs w:val="20"/>
    </w:rPr>
  </w:style>
  <w:style w:type="paragraph" w:styleId="15">
    <w:name w:val="List Bullet 4"/>
    <w:basedOn w:val="1"/>
    <w:qFormat/>
    <w:uiPriority w:val="99"/>
    <w:pPr>
      <w:tabs>
        <w:tab w:val="left" w:pos="980"/>
      </w:tabs>
      <w:spacing w:beforeLines="50" w:afterLines="50" w:line="360" w:lineRule="auto"/>
      <w:ind w:left="980" w:hanging="420"/>
    </w:pPr>
    <w:rPr>
      <w:sz w:val="24"/>
    </w:rPr>
  </w:style>
  <w:style w:type="paragraph" w:styleId="16">
    <w:name w:val="List Number"/>
    <w:basedOn w:val="1"/>
    <w:qFormat/>
    <w:uiPriority w:val="99"/>
    <w:pPr>
      <w:tabs>
        <w:tab w:val="left" w:pos="360"/>
        <w:tab w:val="left" w:pos="567"/>
        <w:tab w:val="left" w:pos="840"/>
      </w:tabs>
      <w:ind w:left="567" w:hanging="567"/>
    </w:pPr>
    <w:rPr>
      <w:rFonts w:ascii="Calibri" w:hAnsi="Calibri"/>
      <w:sz w:val="28"/>
      <w:szCs w:val="22"/>
    </w:rPr>
  </w:style>
  <w:style w:type="paragraph" w:styleId="17">
    <w:name w:val="Normal Indent"/>
    <w:basedOn w:val="1"/>
    <w:link w:val="98"/>
    <w:qFormat/>
    <w:uiPriority w:val="99"/>
    <w:pPr>
      <w:widowControl/>
      <w:ind w:firstLine="420"/>
      <w:jc w:val="left"/>
    </w:pPr>
    <w:rPr>
      <w:rFonts w:ascii="Calibri" w:hAnsi="Calibri" w:cs="黑体"/>
      <w:szCs w:val="22"/>
    </w:rPr>
  </w:style>
  <w:style w:type="paragraph" w:styleId="18">
    <w:name w:val="caption"/>
    <w:basedOn w:val="1"/>
    <w:next w:val="1"/>
    <w:qFormat/>
    <w:uiPriority w:val="99"/>
    <w:pPr>
      <w:spacing w:before="152" w:after="160"/>
    </w:pPr>
    <w:rPr>
      <w:rFonts w:ascii="Arial" w:hAnsi="Arial" w:eastAsia="黑体" w:cs="Arial"/>
      <w:sz w:val="20"/>
      <w:szCs w:val="20"/>
    </w:rPr>
  </w:style>
  <w:style w:type="paragraph" w:styleId="19">
    <w:name w:val="List Bullet"/>
    <w:basedOn w:val="1"/>
    <w:qFormat/>
    <w:uiPriority w:val="99"/>
    <w:pPr>
      <w:spacing w:beforeLines="50" w:afterLines="50" w:line="360" w:lineRule="auto"/>
      <w:ind w:firstLine="482" w:firstLineChars="200"/>
    </w:pPr>
    <w:rPr>
      <w:rFonts w:ascii="宋体" w:hAnsi="宋体"/>
      <w:b/>
      <w:kern w:val="0"/>
      <w:sz w:val="24"/>
    </w:rPr>
  </w:style>
  <w:style w:type="paragraph" w:styleId="20">
    <w:name w:val="envelope address"/>
    <w:basedOn w:val="1"/>
    <w:qFormat/>
    <w:uiPriority w:val="99"/>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80"/>
    <w:qFormat/>
    <w:uiPriority w:val="99"/>
    <w:pPr>
      <w:shd w:val="clear" w:color="auto" w:fill="000080"/>
    </w:pPr>
  </w:style>
  <w:style w:type="paragraph" w:styleId="22">
    <w:name w:val="annotation text"/>
    <w:basedOn w:val="1"/>
    <w:link w:val="76"/>
    <w:qFormat/>
    <w:uiPriority w:val="99"/>
    <w:pPr>
      <w:jc w:val="left"/>
    </w:pPr>
  </w:style>
  <w:style w:type="paragraph" w:styleId="23">
    <w:name w:val="Salutation"/>
    <w:basedOn w:val="1"/>
    <w:next w:val="1"/>
    <w:link w:val="81"/>
    <w:qFormat/>
    <w:uiPriority w:val="99"/>
    <w:rPr>
      <w:kern w:val="0"/>
      <w:sz w:val="20"/>
    </w:rPr>
  </w:style>
  <w:style w:type="paragraph" w:styleId="24">
    <w:name w:val="Body Text 3"/>
    <w:basedOn w:val="1"/>
    <w:link w:val="82"/>
    <w:qFormat/>
    <w:uiPriority w:val="99"/>
    <w:pPr>
      <w:spacing w:beforeLines="50" w:afterLines="50" w:line="360" w:lineRule="auto"/>
    </w:pPr>
    <w:rPr>
      <w:kern w:val="0"/>
      <w:sz w:val="16"/>
      <w:szCs w:val="16"/>
    </w:rPr>
  </w:style>
  <w:style w:type="paragraph" w:styleId="25">
    <w:name w:val="Closing"/>
    <w:basedOn w:val="1"/>
    <w:link w:val="83"/>
    <w:qFormat/>
    <w:uiPriority w:val="99"/>
    <w:pPr>
      <w:ind w:left="100" w:leftChars="2100"/>
    </w:pPr>
    <w:rPr>
      <w:kern w:val="0"/>
      <w:sz w:val="20"/>
    </w:rPr>
  </w:style>
  <w:style w:type="paragraph" w:styleId="26">
    <w:name w:val="List Bullet 3"/>
    <w:basedOn w:val="1"/>
    <w:qFormat/>
    <w:uiPriority w:val="99"/>
    <w:pPr>
      <w:tabs>
        <w:tab w:val="left" w:pos="1200"/>
      </w:tabs>
      <w:ind w:left="1200" w:leftChars="400" w:hanging="360" w:hangingChars="200"/>
      <w:contextualSpacing/>
    </w:pPr>
    <w:rPr>
      <w:szCs w:val="20"/>
    </w:rPr>
  </w:style>
  <w:style w:type="paragraph" w:styleId="27">
    <w:name w:val="Body Text Indent"/>
    <w:basedOn w:val="1"/>
    <w:link w:val="84"/>
    <w:qFormat/>
    <w:uiPriority w:val="99"/>
    <w:pPr>
      <w:spacing w:after="120"/>
      <w:ind w:left="420" w:leftChars="200"/>
    </w:pPr>
    <w:rPr>
      <w:kern w:val="0"/>
      <w:sz w:val="20"/>
    </w:rPr>
  </w:style>
  <w:style w:type="paragraph" w:styleId="28">
    <w:name w:val="List 2"/>
    <w:basedOn w:val="1"/>
    <w:qFormat/>
    <w:uiPriority w:val="99"/>
    <w:pPr>
      <w:spacing w:beforeLines="50" w:afterLines="50" w:line="360" w:lineRule="auto"/>
      <w:ind w:left="100" w:leftChars="200" w:hanging="200" w:hangingChars="200"/>
    </w:pPr>
    <w:rPr>
      <w:sz w:val="24"/>
    </w:rPr>
  </w:style>
  <w:style w:type="paragraph" w:styleId="29">
    <w:name w:val="Block Text"/>
    <w:basedOn w:val="1"/>
    <w:qFormat/>
    <w:uiPriority w:val="99"/>
    <w:pPr>
      <w:autoSpaceDE w:val="0"/>
      <w:autoSpaceDN w:val="0"/>
      <w:adjustRightInd w:val="0"/>
      <w:spacing w:line="360" w:lineRule="atLeast"/>
      <w:ind w:left="1418" w:right="1800" w:rightChars="857" w:firstLine="540"/>
    </w:pPr>
    <w:rPr>
      <w:rFonts w:ascii="宋体"/>
      <w:color w:val="000000"/>
      <w:kern w:val="0"/>
      <w:sz w:val="24"/>
    </w:rPr>
  </w:style>
  <w:style w:type="paragraph" w:styleId="30">
    <w:name w:val="toc 5"/>
    <w:basedOn w:val="1"/>
    <w:next w:val="1"/>
    <w:qFormat/>
    <w:uiPriority w:val="99"/>
    <w:pPr>
      <w:ind w:left="840"/>
      <w:jc w:val="left"/>
    </w:pPr>
    <w:rPr>
      <w:sz w:val="18"/>
      <w:szCs w:val="18"/>
    </w:rPr>
  </w:style>
  <w:style w:type="paragraph" w:styleId="31">
    <w:name w:val="toc 3"/>
    <w:basedOn w:val="1"/>
    <w:next w:val="1"/>
    <w:qFormat/>
    <w:uiPriority w:val="99"/>
    <w:pPr>
      <w:ind w:left="420"/>
      <w:jc w:val="left"/>
    </w:pPr>
    <w:rPr>
      <w:i/>
      <w:iCs/>
      <w:sz w:val="20"/>
      <w:szCs w:val="20"/>
    </w:rPr>
  </w:style>
  <w:style w:type="paragraph" w:styleId="32">
    <w:name w:val="Plain Text"/>
    <w:basedOn w:val="1"/>
    <w:link w:val="85"/>
    <w:qFormat/>
    <w:uiPriority w:val="0"/>
    <w:rPr>
      <w:rFonts w:ascii="宋体" w:hAnsi="Courier New"/>
      <w:kern w:val="0"/>
      <w:sz w:val="20"/>
      <w:szCs w:val="20"/>
    </w:rPr>
  </w:style>
  <w:style w:type="paragraph" w:styleId="33">
    <w:name w:val="toc 8"/>
    <w:basedOn w:val="1"/>
    <w:next w:val="1"/>
    <w:qFormat/>
    <w:uiPriority w:val="99"/>
    <w:pPr>
      <w:ind w:left="1470"/>
      <w:jc w:val="left"/>
    </w:pPr>
    <w:rPr>
      <w:sz w:val="18"/>
      <w:szCs w:val="18"/>
    </w:rPr>
  </w:style>
  <w:style w:type="paragraph" w:styleId="34">
    <w:name w:val="Date"/>
    <w:basedOn w:val="1"/>
    <w:next w:val="1"/>
    <w:link w:val="86"/>
    <w:qFormat/>
    <w:uiPriority w:val="99"/>
    <w:pPr>
      <w:ind w:left="100" w:leftChars="2500"/>
    </w:pPr>
    <w:rPr>
      <w:kern w:val="0"/>
      <w:sz w:val="20"/>
    </w:rPr>
  </w:style>
  <w:style w:type="paragraph" w:styleId="35">
    <w:name w:val="Body Text Indent 2"/>
    <w:basedOn w:val="1"/>
    <w:link w:val="87"/>
    <w:qFormat/>
    <w:uiPriority w:val="0"/>
    <w:pPr>
      <w:spacing w:line="360" w:lineRule="auto"/>
      <w:ind w:left="839" w:hanging="839" w:hangingChars="355"/>
    </w:pPr>
    <w:rPr>
      <w:b/>
      <w:kern w:val="0"/>
      <w:sz w:val="24"/>
    </w:rPr>
  </w:style>
  <w:style w:type="paragraph" w:styleId="36">
    <w:name w:val="endnote text"/>
    <w:basedOn w:val="1"/>
    <w:link w:val="176"/>
    <w:qFormat/>
    <w:uiPriority w:val="99"/>
    <w:pPr>
      <w:snapToGrid w:val="0"/>
      <w:jc w:val="left"/>
    </w:pPr>
    <w:rPr>
      <w:kern w:val="0"/>
      <w:sz w:val="20"/>
      <w:szCs w:val="20"/>
    </w:rPr>
  </w:style>
  <w:style w:type="paragraph" w:styleId="37">
    <w:name w:val="Balloon Text"/>
    <w:basedOn w:val="1"/>
    <w:link w:val="89"/>
    <w:qFormat/>
    <w:uiPriority w:val="99"/>
    <w:rPr>
      <w:kern w:val="0"/>
      <w:sz w:val="18"/>
      <w:szCs w:val="18"/>
    </w:rPr>
  </w:style>
  <w:style w:type="paragraph" w:styleId="38">
    <w:name w:val="footer"/>
    <w:basedOn w:val="1"/>
    <w:link w:val="90"/>
    <w:qFormat/>
    <w:uiPriority w:val="99"/>
    <w:pPr>
      <w:tabs>
        <w:tab w:val="center" w:pos="4153"/>
        <w:tab w:val="right" w:pos="8306"/>
      </w:tabs>
      <w:snapToGrid w:val="0"/>
      <w:jc w:val="left"/>
    </w:pPr>
    <w:rPr>
      <w:kern w:val="0"/>
      <w:sz w:val="18"/>
      <w:szCs w:val="18"/>
    </w:rPr>
  </w:style>
  <w:style w:type="paragraph" w:styleId="39">
    <w:name w:val="header"/>
    <w:basedOn w:val="1"/>
    <w:link w:val="92"/>
    <w:qFormat/>
    <w:uiPriority w:val="99"/>
    <w:pPr>
      <w:pBdr>
        <w:bottom w:val="single" w:color="auto" w:sz="6" w:space="1"/>
      </w:pBdr>
      <w:tabs>
        <w:tab w:val="center" w:pos="4153"/>
        <w:tab w:val="right" w:pos="8306"/>
      </w:tabs>
      <w:snapToGrid w:val="0"/>
      <w:jc w:val="center"/>
    </w:pPr>
    <w:rPr>
      <w:kern w:val="0"/>
      <w:sz w:val="18"/>
      <w:szCs w:val="18"/>
    </w:rPr>
  </w:style>
  <w:style w:type="paragraph" w:styleId="40">
    <w:name w:val="toc 1"/>
    <w:basedOn w:val="1"/>
    <w:next w:val="1"/>
    <w:qFormat/>
    <w:uiPriority w:val="99"/>
    <w:pPr>
      <w:tabs>
        <w:tab w:val="left" w:pos="840"/>
        <w:tab w:val="right" w:leader="dot" w:pos="8210"/>
      </w:tabs>
      <w:jc w:val="left"/>
    </w:pPr>
    <w:rPr>
      <w:rFonts w:ascii="仿宋_GB2312" w:hAnsi="宋体" w:eastAsia="仿宋_GB2312"/>
      <w:b/>
      <w:bCs/>
      <w:caps/>
      <w:sz w:val="32"/>
      <w:szCs w:val="32"/>
    </w:rPr>
  </w:style>
  <w:style w:type="paragraph" w:styleId="41">
    <w:name w:val="toc 4"/>
    <w:basedOn w:val="1"/>
    <w:next w:val="1"/>
    <w:qFormat/>
    <w:uiPriority w:val="99"/>
    <w:pPr>
      <w:ind w:left="630"/>
      <w:jc w:val="left"/>
    </w:pPr>
    <w:rPr>
      <w:sz w:val="18"/>
      <w:szCs w:val="18"/>
    </w:rPr>
  </w:style>
  <w:style w:type="paragraph" w:styleId="42">
    <w:name w:val="Subtitle"/>
    <w:basedOn w:val="1"/>
    <w:next w:val="1"/>
    <w:link w:val="93"/>
    <w:qFormat/>
    <w:uiPriority w:val="99"/>
    <w:pPr>
      <w:spacing w:before="240" w:after="60" w:line="312" w:lineRule="auto"/>
      <w:jc w:val="center"/>
      <w:outlineLvl w:val="1"/>
    </w:pPr>
    <w:rPr>
      <w:rFonts w:ascii="Cambria" w:hAnsi="Cambria"/>
      <w:b/>
      <w:bCs/>
      <w:kern w:val="28"/>
      <w:sz w:val="32"/>
      <w:szCs w:val="32"/>
    </w:rPr>
  </w:style>
  <w:style w:type="paragraph" w:styleId="43">
    <w:name w:val="List"/>
    <w:basedOn w:val="1"/>
    <w:qFormat/>
    <w:uiPriority w:val="99"/>
    <w:pPr>
      <w:ind w:left="420" w:hanging="420"/>
    </w:pPr>
    <w:rPr>
      <w:sz w:val="24"/>
      <w:szCs w:val="20"/>
    </w:rPr>
  </w:style>
  <w:style w:type="paragraph" w:styleId="44">
    <w:name w:val="toc 6"/>
    <w:basedOn w:val="1"/>
    <w:next w:val="1"/>
    <w:qFormat/>
    <w:uiPriority w:val="99"/>
    <w:pPr>
      <w:ind w:left="1050"/>
      <w:jc w:val="left"/>
    </w:pPr>
    <w:rPr>
      <w:sz w:val="18"/>
      <w:szCs w:val="18"/>
    </w:rPr>
  </w:style>
  <w:style w:type="paragraph" w:styleId="45">
    <w:name w:val="Body Text Indent 3"/>
    <w:basedOn w:val="1"/>
    <w:link w:val="94"/>
    <w:qFormat/>
    <w:uiPriority w:val="99"/>
    <w:pPr>
      <w:ind w:firstLine="480" w:firstLineChars="200"/>
    </w:pPr>
    <w:rPr>
      <w:rFonts w:ascii="幼圆" w:eastAsia="幼圆"/>
      <w:sz w:val="24"/>
      <w:szCs w:val="32"/>
    </w:rPr>
  </w:style>
  <w:style w:type="paragraph" w:styleId="46">
    <w:name w:val="table of figures"/>
    <w:basedOn w:val="1"/>
    <w:next w:val="1"/>
    <w:qFormat/>
    <w:uiPriority w:val="99"/>
    <w:pPr>
      <w:adjustRightInd w:val="0"/>
      <w:ind w:left="420" w:hanging="420"/>
      <w:jc w:val="left"/>
      <w:textAlignment w:val="baseline"/>
    </w:pPr>
    <w:rPr>
      <w:rFonts w:eastAsia="楷体_GB2312"/>
      <w:smallCaps/>
      <w:sz w:val="24"/>
      <w:szCs w:val="20"/>
    </w:rPr>
  </w:style>
  <w:style w:type="paragraph" w:styleId="47">
    <w:name w:val="toc 2"/>
    <w:basedOn w:val="1"/>
    <w:next w:val="1"/>
    <w:qFormat/>
    <w:uiPriority w:val="99"/>
    <w:pPr>
      <w:ind w:left="210"/>
      <w:jc w:val="left"/>
    </w:pPr>
    <w:rPr>
      <w:smallCaps/>
      <w:sz w:val="20"/>
      <w:szCs w:val="20"/>
    </w:rPr>
  </w:style>
  <w:style w:type="paragraph" w:styleId="48">
    <w:name w:val="toc 9"/>
    <w:basedOn w:val="1"/>
    <w:next w:val="1"/>
    <w:qFormat/>
    <w:uiPriority w:val="99"/>
    <w:pPr>
      <w:ind w:left="1680"/>
      <w:jc w:val="left"/>
    </w:pPr>
    <w:rPr>
      <w:sz w:val="18"/>
      <w:szCs w:val="18"/>
    </w:rPr>
  </w:style>
  <w:style w:type="paragraph" w:styleId="49">
    <w:name w:val="Body Text 2"/>
    <w:basedOn w:val="1"/>
    <w:link w:val="95"/>
    <w:qFormat/>
    <w:uiPriority w:val="99"/>
    <w:pPr>
      <w:jc w:val="center"/>
    </w:pPr>
    <w:rPr>
      <w:rFonts w:ascii="宋体" w:hAnsi="宋体"/>
      <w:sz w:val="24"/>
    </w:rPr>
  </w:style>
  <w:style w:type="paragraph" w:styleId="50">
    <w:name w:val="HTML Preformatted"/>
    <w:basedOn w:val="1"/>
    <w:link w:val="9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1">
    <w:name w:val="Normal (Web)"/>
    <w:basedOn w:val="1"/>
    <w:link w:val="128"/>
    <w:qFormat/>
    <w:uiPriority w:val="99"/>
    <w:pPr>
      <w:widowControl/>
      <w:spacing w:before="100" w:beforeAutospacing="1" w:after="100" w:afterAutospacing="1"/>
      <w:jc w:val="left"/>
    </w:pPr>
    <w:rPr>
      <w:rFonts w:ascii="宋体" w:hAnsi="宋体"/>
      <w:kern w:val="0"/>
      <w:sz w:val="24"/>
    </w:rPr>
  </w:style>
  <w:style w:type="paragraph" w:styleId="52">
    <w:name w:val="index 1"/>
    <w:basedOn w:val="1"/>
    <w:next w:val="1"/>
    <w:qFormat/>
    <w:uiPriority w:val="99"/>
  </w:style>
  <w:style w:type="paragraph" w:styleId="53">
    <w:name w:val="Title"/>
    <w:basedOn w:val="1"/>
    <w:next w:val="1"/>
    <w:link w:val="97"/>
    <w:qFormat/>
    <w:uiPriority w:val="99"/>
    <w:pPr>
      <w:spacing w:before="240" w:after="60"/>
      <w:jc w:val="center"/>
      <w:outlineLvl w:val="0"/>
    </w:pPr>
    <w:rPr>
      <w:rFonts w:ascii="Arial" w:hAnsi="Arial"/>
      <w:b/>
      <w:bCs/>
      <w:kern w:val="0"/>
      <w:sz w:val="32"/>
      <w:szCs w:val="32"/>
    </w:rPr>
  </w:style>
  <w:style w:type="paragraph" w:styleId="54">
    <w:name w:val="annotation subject"/>
    <w:basedOn w:val="22"/>
    <w:next w:val="22"/>
    <w:link w:val="77"/>
    <w:qFormat/>
    <w:uiPriority w:val="99"/>
    <w:rPr>
      <w:b/>
      <w:bCs/>
    </w:rPr>
  </w:style>
  <w:style w:type="paragraph" w:styleId="55">
    <w:name w:val="Body Text First Indent"/>
    <w:basedOn w:val="2"/>
    <w:link w:val="79"/>
    <w:qFormat/>
    <w:uiPriority w:val="0"/>
    <w:pPr>
      <w:widowControl w:val="0"/>
      <w:spacing w:after="120"/>
      <w:ind w:firstLine="420" w:firstLineChars="100"/>
      <w:jc w:val="both"/>
    </w:pPr>
    <w:rPr>
      <w:rFonts w:ascii="宋体"/>
      <w:color w:val="000000"/>
      <w:kern w:val="2"/>
      <w:sz w:val="21"/>
      <w:szCs w:val="32"/>
    </w:rPr>
  </w:style>
  <w:style w:type="paragraph" w:styleId="56">
    <w:name w:val="Body Text First Indent 2"/>
    <w:basedOn w:val="27"/>
    <w:link w:val="91"/>
    <w:qFormat/>
    <w:uiPriority w:val="99"/>
    <w:pPr>
      <w:ind w:firstLine="420" w:firstLineChars="200"/>
    </w:pPr>
    <w:rPr>
      <w:rFonts w:ascii="仿宋_GB2312" w:eastAsia="仿宋_GB2312"/>
      <w:color w:val="000000"/>
      <w:sz w:val="24"/>
    </w:rPr>
  </w:style>
  <w:style w:type="table" w:styleId="58">
    <w:name w:val="Table Grid"/>
    <w:basedOn w:val="5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9">
    <w:name w:val="Table Theme"/>
    <w:basedOn w:val="5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basedOn w:val="60"/>
    <w:qFormat/>
    <w:uiPriority w:val="22"/>
    <w:rPr>
      <w:rFonts w:cs="Times New Roman"/>
      <w:b/>
    </w:rPr>
  </w:style>
  <w:style w:type="character" w:styleId="62">
    <w:name w:val="page number"/>
    <w:basedOn w:val="60"/>
    <w:qFormat/>
    <w:uiPriority w:val="99"/>
    <w:rPr>
      <w:rFonts w:cs="Times New Roman"/>
    </w:rPr>
  </w:style>
  <w:style w:type="character" w:styleId="63">
    <w:name w:val="FollowedHyperlink"/>
    <w:basedOn w:val="60"/>
    <w:semiHidden/>
    <w:qFormat/>
    <w:uiPriority w:val="99"/>
    <w:rPr>
      <w:rFonts w:cs="Times New Roman"/>
      <w:color w:val="800080"/>
      <w:u w:val="single"/>
    </w:rPr>
  </w:style>
  <w:style w:type="character" w:styleId="64">
    <w:name w:val="Emphasis"/>
    <w:basedOn w:val="60"/>
    <w:qFormat/>
    <w:uiPriority w:val="99"/>
    <w:rPr>
      <w:rFonts w:cs="Times New Roman"/>
      <w:i/>
    </w:rPr>
  </w:style>
  <w:style w:type="character" w:styleId="65">
    <w:name w:val="Hyperlink"/>
    <w:basedOn w:val="60"/>
    <w:qFormat/>
    <w:uiPriority w:val="99"/>
    <w:rPr>
      <w:rFonts w:cs="Times New Roman"/>
      <w:color w:val="0000FF"/>
      <w:u w:val="single"/>
    </w:rPr>
  </w:style>
  <w:style w:type="character" w:styleId="66">
    <w:name w:val="annotation reference"/>
    <w:basedOn w:val="60"/>
    <w:qFormat/>
    <w:uiPriority w:val="99"/>
    <w:rPr>
      <w:rFonts w:cs="Times New Roman"/>
      <w:sz w:val="21"/>
    </w:rPr>
  </w:style>
  <w:style w:type="character" w:customStyle="1" w:styleId="67">
    <w:name w:val="标题 1 Char"/>
    <w:basedOn w:val="60"/>
    <w:link w:val="3"/>
    <w:qFormat/>
    <w:locked/>
    <w:uiPriority w:val="99"/>
    <w:rPr>
      <w:rFonts w:ascii="Times New Roman" w:hAnsi="Times New Roman" w:eastAsia="宋体"/>
      <w:b/>
      <w:kern w:val="44"/>
      <w:sz w:val="44"/>
    </w:rPr>
  </w:style>
  <w:style w:type="character" w:customStyle="1" w:styleId="68">
    <w:name w:val="标题 2 Char"/>
    <w:basedOn w:val="60"/>
    <w:link w:val="4"/>
    <w:qFormat/>
    <w:locked/>
    <w:uiPriority w:val="0"/>
    <w:rPr>
      <w:rFonts w:ascii="Arial" w:hAnsi="Arial" w:eastAsia="黑体"/>
      <w:b/>
      <w:sz w:val="32"/>
    </w:rPr>
  </w:style>
  <w:style w:type="character" w:customStyle="1" w:styleId="69">
    <w:name w:val="标题 3 Char"/>
    <w:basedOn w:val="60"/>
    <w:link w:val="5"/>
    <w:qFormat/>
    <w:locked/>
    <w:uiPriority w:val="99"/>
    <w:rPr>
      <w:rFonts w:ascii="Times New Roman" w:hAnsi="Times New Roman" w:eastAsia="宋体"/>
      <w:b/>
      <w:sz w:val="32"/>
    </w:rPr>
  </w:style>
  <w:style w:type="character" w:customStyle="1" w:styleId="70">
    <w:name w:val="标题 4 Char"/>
    <w:basedOn w:val="60"/>
    <w:link w:val="6"/>
    <w:qFormat/>
    <w:locked/>
    <w:uiPriority w:val="99"/>
    <w:rPr>
      <w:rFonts w:ascii="Arial" w:hAnsi="Arial" w:eastAsia="黑体"/>
      <w:b/>
      <w:sz w:val="28"/>
    </w:rPr>
  </w:style>
  <w:style w:type="character" w:customStyle="1" w:styleId="71">
    <w:name w:val="标题 5 Char"/>
    <w:basedOn w:val="60"/>
    <w:link w:val="7"/>
    <w:qFormat/>
    <w:locked/>
    <w:uiPriority w:val="99"/>
    <w:rPr>
      <w:rFonts w:ascii="Calibri" w:hAnsi="Calibri" w:cs="Times New Roman"/>
      <w:b/>
      <w:bCs/>
      <w:kern w:val="2"/>
      <w:sz w:val="28"/>
      <w:szCs w:val="28"/>
    </w:rPr>
  </w:style>
  <w:style w:type="character" w:customStyle="1" w:styleId="72">
    <w:name w:val="标题 6 Char"/>
    <w:basedOn w:val="60"/>
    <w:link w:val="8"/>
    <w:qFormat/>
    <w:locked/>
    <w:uiPriority w:val="99"/>
    <w:rPr>
      <w:rFonts w:ascii="Arial" w:hAnsi="Arial" w:eastAsia="黑体" w:cs="Times New Roman"/>
      <w:b/>
      <w:bCs/>
      <w:sz w:val="24"/>
      <w:szCs w:val="24"/>
    </w:rPr>
  </w:style>
  <w:style w:type="character" w:customStyle="1" w:styleId="73">
    <w:name w:val="标题 7 Char"/>
    <w:basedOn w:val="60"/>
    <w:link w:val="9"/>
    <w:qFormat/>
    <w:locked/>
    <w:uiPriority w:val="99"/>
    <w:rPr>
      <w:rFonts w:cs="Times New Roman"/>
      <w:b/>
      <w:bCs/>
      <w:sz w:val="24"/>
      <w:szCs w:val="24"/>
    </w:rPr>
  </w:style>
  <w:style w:type="character" w:customStyle="1" w:styleId="74">
    <w:name w:val="标题 8 Char"/>
    <w:basedOn w:val="60"/>
    <w:link w:val="10"/>
    <w:qFormat/>
    <w:locked/>
    <w:uiPriority w:val="99"/>
    <w:rPr>
      <w:rFonts w:ascii="Arial" w:hAnsi="Arial" w:eastAsia="黑体" w:cs="Times New Roman"/>
      <w:sz w:val="24"/>
      <w:szCs w:val="24"/>
    </w:rPr>
  </w:style>
  <w:style w:type="character" w:customStyle="1" w:styleId="75">
    <w:name w:val="标题 9 Char"/>
    <w:basedOn w:val="60"/>
    <w:link w:val="11"/>
    <w:qFormat/>
    <w:locked/>
    <w:uiPriority w:val="99"/>
    <w:rPr>
      <w:rFonts w:ascii="Arial" w:hAnsi="Arial" w:eastAsia="黑体" w:cs="Times New Roman"/>
      <w:sz w:val="21"/>
      <w:szCs w:val="21"/>
    </w:rPr>
  </w:style>
  <w:style w:type="character" w:customStyle="1" w:styleId="76">
    <w:name w:val="批注文字 Char"/>
    <w:basedOn w:val="60"/>
    <w:link w:val="22"/>
    <w:qFormat/>
    <w:locked/>
    <w:uiPriority w:val="99"/>
    <w:rPr>
      <w:kern w:val="2"/>
      <w:sz w:val="24"/>
    </w:rPr>
  </w:style>
  <w:style w:type="character" w:customStyle="1" w:styleId="77">
    <w:name w:val="批注主题 Char"/>
    <w:basedOn w:val="76"/>
    <w:link w:val="54"/>
    <w:qFormat/>
    <w:locked/>
    <w:uiPriority w:val="99"/>
    <w:rPr>
      <w:b/>
    </w:rPr>
  </w:style>
  <w:style w:type="character" w:customStyle="1" w:styleId="78">
    <w:name w:val="正文文本 Char"/>
    <w:basedOn w:val="60"/>
    <w:link w:val="2"/>
    <w:qFormat/>
    <w:locked/>
    <w:uiPriority w:val="99"/>
    <w:rPr>
      <w:rFonts w:ascii="Times New Roman" w:hAnsi="Times New Roman" w:eastAsia="宋体"/>
      <w:kern w:val="0"/>
      <w:sz w:val="20"/>
    </w:rPr>
  </w:style>
  <w:style w:type="character" w:customStyle="1" w:styleId="79">
    <w:name w:val="正文首行缩进 Char1"/>
    <w:basedOn w:val="78"/>
    <w:link w:val="55"/>
    <w:semiHidden/>
    <w:qFormat/>
    <w:locked/>
    <w:uiPriority w:val="0"/>
    <w:rPr>
      <w:rFonts w:cs="Times New Roman"/>
      <w:kern w:val="2"/>
      <w:sz w:val="24"/>
      <w:szCs w:val="24"/>
    </w:rPr>
  </w:style>
  <w:style w:type="character" w:customStyle="1" w:styleId="80">
    <w:name w:val="文档结构图 Char1"/>
    <w:basedOn w:val="60"/>
    <w:link w:val="21"/>
    <w:semiHidden/>
    <w:qFormat/>
    <w:locked/>
    <w:uiPriority w:val="99"/>
    <w:rPr>
      <w:rFonts w:ascii="宋体" w:cs="Times New Roman"/>
      <w:kern w:val="2"/>
      <w:sz w:val="18"/>
      <w:szCs w:val="18"/>
    </w:rPr>
  </w:style>
  <w:style w:type="character" w:customStyle="1" w:styleId="81">
    <w:name w:val="称呼 Char"/>
    <w:basedOn w:val="60"/>
    <w:link w:val="23"/>
    <w:qFormat/>
    <w:locked/>
    <w:uiPriority w:val="99"/>
    <w:rPr>
      <w:rFonts w:ascii="Times New Roman" w:hAnsi="Times New Roman" w:eastAsia="宋体"/>
      <w:sz w:val="24"/>
    </w:rPr>
  </w:style>
  <w:style w:type="character" w:customStyle="1" w:styleId="82">
    <w:name w:val="正文文本 3 Char2"/>
    <w:basedOn w:val="60"/>
    <w:link w:val="24"/>
    <w:semiHidden/>
    <w:qFormat/>
    <w:locked/>
    <w:uiPriority w:val="99"/>
    <w:rPr>
      <w:rFonts w:cs="Times New Roman"/>
      <w:kern w:val="2"/>
      <w:sz w:val="16"/>
      <w:szCs w:val="16"/>
    </w:rPr>
  </w:style>
  <w:style w:type="character" w:customStyle="1" w:styleId="83">
    <w:name w:val="结束语 Char"/>
    <w:basedOn w:val="60"/>
    <w:link w:val="25"/>
    <w:qFormat/>
    <w:locked/>
    <w:uiPriority w:val="99"/>
    <w:rPr>
      <w:rFonts w:ascii="Times New Roman" w:hAnsi="Times New Roman" w:eastAsia="宋体"/>
      <w:sz w:val="24"/>
    </w:rPr>
  </w:style>
  <w:style w:type="character" w:customStyle="1" w:styleId="84">
    <w:name w:val="正文文本缩进 Char"/>
    <w:basedOn w:val="60"/>
    <w:link w:val="27"/>
    <w:qFormat/>
    <w:locked/>
    <w:uiPriority w:val="99"/>
    <w:rPr>
      <w:sz w:val="24"/>
    </w:rPr>
  </w:style>
  <w:style w:type="character" w:customStyle="1" w:styleId="85">
    <w:name w:val="纯文本 Char2"/>
    <w:basedOn w:val="60"/>
    <w:link w:val="32"/>
    <w:qFormat/>
    <w:locked/>
    <w:uiPriority w:val="0"/>
    <w:rPr>
      <w:rFonts w:ascii="宋体" w:hAnsi="Courier New"/>
    </w:rPr>
  </w:style>
  <w:style w:type="character" w:customStyle="1" w:styleId="86">
    <w:name w:val="日期 Char2"/>
    <w:basedOn w:val="60"/>
    <w:link w:val="34"/>
    <w:qFormat/>
    <w:locked/>
    <w:uiPriority w:val="99"/>
    <w:rPr>
      <w:sz w:val="24"/>
    </w:rPr>
  </w:style>
  <w:style w:type="character" w:customStyle="1" w:styleId="87">
    <w:name w:val="正文文本缩进 2 Char"/>
    <w:basedOn w:val="60"/>
    <w:link w:val="35"/>
    <w:qFormat/>
    <w:locked/>
    <w:uiPriority w:val="0"/>
    <w:rPr>
      <w:rFonts w:ascii="Times New Roman" w:hAnsi="Times New Roman" w:eastAsia="宋体"/>
      <w:b/>
      <w:sz w:val="24"/>
    </w:rPr>
  </w:style>
  <w:style w:type="character" w:customStyle="1" w:styleId="88">
    <w:name w:val="尾注文本 Char2"/>
    <w:basedOn w:val="60"/>
    <w:link w:val="36"/>
    <w:semiHidden/>
    <w:qFormat/>
    <w:locked/>
    <w:uiPriority w:val="99"/>
    <w:rPr>
      <w:rFonts w:cs="Times New Roman"/>
      <w:kern w:val="2"/>
      <w:sz w:val="24"/>
      <w:szCs w:val="24"/>
    </w:rPr>
  </w:style>
  <w:style w:type="character" w:customStyle="1" w:styleId="89">
    <w:name w:val="批注框文本 Char"/>
    <w:basedOn w:val="60"/>
    <w:link w:val="37"/>
    <w:qFormat/>
    <w:locked/>
    <w:uiPriority w:val="99"/>
    <w:rPr>
      <w:rFonts w:ascii="Times New Roman" w:hAnsi="Times New Roman" w:eastAsia="宋体"/>
      <w:sz w:val="18"/>
    </w:rPr>
  </w:style>
  <w:style w:type="character" w:customStyle="1" w:styleId="90">
    <w:name w:val="页脚 Char"/>
    <w:basedOn w:val="60"/>
    <w:link w:val="38"/>
    <w:qFormat/>
    <w:locked/>
    <w:uiPriority w:val="99"/>
    <w:rPr>
      <w:sz w:val="18"/>
    </w:rPr>
  </w:style>
  <w:style w:type="character" w:customStyle="1" w:styleId="91">
    <w:name w:val="正文首行缩进 2 Char2"/>
    <w:basedOn w:val="84"/>
    <w:link w:val="56"/>
    <w:semiHidden/>
    <w:qFormat/>
    <w:locked/>
    <w:uiPriority w:val="99"/>
    <w:rPr>
      <w:rFonts w:cs="Times New Roman"/>
      <w:kern w:val="2"/>
      <w:szCs w:val="24"/>
    </w:rPr>
  </w:style>
  <w:style w:type="character" w:customStyle="1" w:styleId="92">
    <w:name w:val="页眉 Char"/>
    <w:basedOn w:val="60"/>
    <w:link w:val="39"/>
    <w:qFormat/>
    <w:locked/>
    <w:uiPriority w:val="99"/>
    <w:rPr>
      <w:sz w:val="18"/>
    </w:rPr>
  </w:style>
  <w:style w:type="character" w:customStyle="1" w:styleId="93">
    <w:name w:val="副标题 Char2"/>
    <w:basedOn w:val="60"/>
    <w:link w:val="42"/>
    <w:qFormat/>
    <w:locked/>
    <w:uiPriority w:val="99"/>
    <w:rPr>
      <w:rFonts w:ascii="Cambria" w:hAnsi="Cambria" w:cs="Times New Roman"/>
      <w:b/>
      <w:bCs/>
      <w:kern w:val="28"/>
      <w:sz w:val="32"/>
      <w:szCs w:val="32"/>
    </w:rPr>
  </w:style>
  <w:style w:type="character" w:customStyle="1" w:styleId="94">
    <w:name w:val="正文文本缩进 3 Char1"/>
    <w:basedOn w:val="60"/>
    <w:link w:val="45"/>
    <w:semiHidden/>
    <w:qFormat/>
    <w:locked/>
    <w:uiPriority w:val="99"/>
    <w:rPr>
      <w:rFonts w:cs="Times New Roman"/>
      <w:kern w:val="2"/>
      <w:sz w:val="16"/>
      <w:szCs w:val="16"/>
    </w:rPr>
  </w:style>
  <w:style w:type="character" w:customStyle="1" w:styleId="95">
    <w:name w:val="正文文本 2 Char1"/>
    <w:basedOn w:val="60"/>
    <w:link w:val="49"/>
    <w:semiHidden/>
    <w:qFormat/>
    <w:locked/>
    <w:uiPriority w:val="99"/>
    <w:rPr>
      <w:rFonts w:cs="Times New Roman"/>
      <w:kern w:val="2"/>
      <w:sz w:val="24"/>
      <w:szCs w:val="24"/>
    </w:rPr>
  </w:style>
  <w:style w:type="character" w:customStyle="1" w:styleId="96">
    <w:name w:val="HTML 预设格式 Char"/>
    <w:basedOn w:val="60"/>
    <w:link w:val="50"/>
    <w:qFormat/>
    <w:locked/>
    <w:uiPriority w:val="99"/>
    <w:rPr>
      <w:rFonts w:ascii="宋体" w:hAnsi="宋体" w:eastAsia="宋体"/>
      <w:kern w:val="0"/>
      <w:sz w:val="24"/>
    </w:rPr>
  </w:style>
  <w:style w:type="character" w:customStyle="1" w:styleId="97">
    <w:name w:val="标题 Char2"/>
    <w:basedOn w:val="60"/>
    <w:link w:val="53"/>
    <w:qFormat/>
    <w:locked/>
    <w:uiPriority w:val="99"/>
    <w:rPr>
      <w:rFonts w:ascii="Cambria" w:hAnsi="Cambria" w:cs="Times New Roman"/>
      <w:b/>
      <w:bCs/>
      <w:kern w:val="2"/>
      <w:sz w:val="32"/>
      <w:szCs w:val="32"/>
    </w:rPr>
  </w:style>
  <w:style w:type="character" w:customStyle="1" w:styleId="98">
    <w:name w:val="正文缩进 Char"/>
    <w:basedOn w:val="60"/>
    <w:link w:val="17"/>
    <w:qFormat/>
    <w:locked/>
    <w:uiPriority w:val="99"/>
    <w:rPr>
      <w:rFonts w:cs="Times New Roman"/>
    </w:rPr>
  </w:style>
  <w:style w:type="character" w:customStyle="1" w:styleId="99">
    <w:name w:val="纯文本 Char1"/>
    <w:qFormat/>
    <w:uiPriority w:val="99"/>
    <w:rPr>
      <w:rFonts w:ascii="宋体" w:hAnsi="Courier New" w:eastAsia="宋体"/>
      <w:sz w:val="21"/>
    </w:rPr>
  </w:style>
  <w:style w:type="character" w:customStyle="1" w:styleId="100">
    <w:name w:val="日期 Char"/>
    <w:qFormat/>
    <w:uiPriority w:val="99"/>
    <w:rPr>
      <w:rFonts w:ascii="仿宋体" w:eastAsia="仿宋体"/>
      <w:kern w:val="2"/>
      <w:sz w:val="24"/>
    </w:rPr>
  </w:style>
  <w:style w:type="character" w:customStyle="1" w:styleId="101">
    <w:name w:val="正文文本缩进 Char1"/>
    <w:qFormat/>
    <w:uiPriority w:val="99"/>
    <w:rPr>
      <w:rFonts w:ascii="Times New Roman" w:hAnsi="Times New Roman" w:eastAsia="宋体"/>
      <w:sz w:val="24"/>
    </w:rPr>
  </w:style>
  <w:style w:type="character" w:customStyle="1" w:styleId="102">
    <w:name w:val="font11"/>
    <w:qFormat/>
    <w:uiPriority w:val="99"/>
    <w:rPr>
      <w:rFonts w:ascii="仿宋_GB2312" w:eastAsia="仿宋_GB2312"/>
      <w:color w:val="000000"/>
      <w:sz w:val="22"/>
      <w:u w:val="none"/>
    </w:rPr>
  </w:style>
  <w:style w:type="character" w:customStyle="1" w:styleId="103">
    <w:name w:val="正文缩进 Char1"/>
    <w:qFormat/>
    <w:uiPriority w:val="99"/>
    <w:rPr>
      <w:rFonts w:eastAsia="宋体"/>
      <w:kern w:val="2"/>
      <w:sz w:val="24"/>
      <w:lang w:val="en-US" w:eastAsia="zh-CN"/>
    </w:rPr>
  </w:style>
  <w:style w:type="character" w:customStyle="1" w:styleId="104">
    <w:name w:val="p31"/>
    <w:qFormat/>
    <w:uiPriority w:val="99"/>
    <w:rPr>
      <w:sz w:val="20"/>
    </w:rPr>
  </w:style>
  <w:style w:type="character" w:customStyle="1" w:styleId="105">
    <w:name w:val="日期 Char1"/>
    <w:semiHidden/>
    <w:qFormat/>
    <w:uiPriority w:val="99"/>
    <w:rPr>
      <w:rFonts w:ascii="Times New Roman" w:hAnsi="Times New Roman" w:eastAsia="宋体"/>
      <w:sz w:val="24"/>
    </w:rPr>
  </w:style>
  <w:style w:type="character" w:customStyle="1" w:styleId="106">
    <w:name w:val="apple-converted-space"/>
    <w:qFormat/>
    <w:uiPriority w:val="99"/>
  </w:style>
  <w:style w:type="character" w:customStyle="1" w:styleId="107">
    <w:name w:val="纯文本 Char"/>
    <w:qFormat/>
    <w:uiPriority w:val="0"/>
    <w:rPr>
      <w:rFonts w:ascii="宋体" w:hAnsi="Courier New" w:eastAsia="宋体"/>
      <w:kern w:val="2"/>
      <w:sz w:val="21"/>
      <w:lang w:val="en-US" w:eastAsia="zh-CN"/>
    </w:rPr>
  </w:style>
  <w:style w:type="character" w:customStyle="1" w:styleId="108">
    <w:name w:val="hei"/>
    <w:basedOn w:val="60"/>
    <w:qFormat/>
    <w:uiPriority w:val="99"/>
    <w:rPr>
      <w:rFonts w:cs="Times New Roman"/>
    </w:rPr>
  </w:style>
  <w:style w:type="character" w:customStyle="1" w:styleId="109">
    <w:name w:val="列出段落 Char"/>
    <w:link w:val="110"/>
    <w:qFormat/>
    <w:locked/>
    <w:uiPriority w:val="99"/>
    <w:rPr>
      <w:kern w:val="2"/>
      <w:sz w:val="24"/>
    </w:rPr>
  </w:style>
  <w:style w:type="paragraph" w:customStyle="1" w:styleId="110">
    <w:name w:val="列出段落1"/>
    <w:basedOn w:val="1"/>
    <w:link w:val="109"/>
    <w:qFormat/>
    <w:uiPriority w:val="99"/>
    <w:pPr>
      <w:ind w:firstLine="420" w:firstLineChars="200"/>
    </w:pPr>
  </w:style>
  <w:style w:type="paragraph" w:customStyle="1" w:styleId="111">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2">
    <w:name w:val="0"/>
    <w:basedOn w:val="1"/>
    <w:qFormat/>
    <w:uiPriority w:val="99"/>
    <w:pPr>
      <w:widowControl/>
      <w:snapToGrid w:val="0"/>
    </w:pPr>
    <w:rPr>
      <w:kern w:val="0"/>
      <w:szCs w:val="21"/>
    </w:rPr>
  </w:style>
  <w:style w:type="paragraph" w:customStyle="1" w:styleId="113">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4">
    <w:name w:val="纯文本1"/>
    <w:basedOn w:val="1"/>
    <w:qFormat/>
    <w:uiPriority w:val="99"/>
    <w:pPr>
      <w:adjustRightInd w:val="0"/>
      <w:textAlignment w:val="baseline"/>
    </w:pPr>
    <w:rPr>
      <w:rFonts w:ascii="宋体" w:hAnsi="Courier New" w:eastAsia="楷体_GB2312"/>
      <w:sz w:val="26"/>
      <w:szCs w:val="20"/>
    </w:rPr>
  </w:style>
  <w:style w:type="paragraph" w:customStyle="1" w:styleId="115">
    <w:name w:val="xl83"/>
    <w:basedOn w:val="1"/>
    <w:qFormat/>
    <w:uiPriority w:val="99"/>
    <w:pPr>
      <w:widowControl/>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116">
    <w:name w:val="封面标准名称"/>
    <w:qFormat/>
    <w:uiPriority w:val="99"/>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8">
    <w:name w:val="默认段落字体 Para Char"/>
    <w:basedOn w:val="1"/>
    <w:qFormat/>
    <w:uiPriority w:val="99"/>
    <w:pPr>
      <w:adjustRightInd w:val="0"/>
      <w:spacing w:line="360" w:lineRule="auto"/>
    </w:pPr>
    <w:rPr>
      <w:rFonts w:ascii="宋体" w:hAnsi="宋体" w:cs="宋体"/>
      <w:kern w:val="0"/>
      <w:sz w:val="24"/>
      <w:szCs w:val="20"/>
    </w:rPr>
  </w:style>
  <w:style w:type="paragraph" w:customStyle="1" w:styleId="119">
    <w:name w:val="默认段落字体 Para Char Char Char Char"/>
    <w:basedOn w:val="1"/>
    <w:qFormat/>
    <w:uiPriority w:val="99"/>
  </w:style>
  <w:style w:type="paragraph" w:customStyle="1" w:styleId="120">
    <w:name w:val="text9"/>
    <w:basedOn w:val="1"/>
    <w:qFormat/>
    <w:uiPriority w:val="99"/>
    <w:pPr>
      <w:widowControl/>
      <w:spacing w:before="100" w:beforeAutospacing="1" w:after="100" w:afterAutospacing="1"/>
      <w:jc w:val="left"/>
    </w:pPr>
    <w:rPr>
      <w:rFonts w:ascii="宋体" w:hAnsi="宋体"/>
      <w:kern w:val="0"/>
      <w:sz w:val="24"/>
    </w:rPr>
  </w:style>
  <w:style w:type="paragraph" w:customStyle="1" w:styleId="121">
    <w:name w:val="正文无缩进"/>
    <w:basedOn w:val="1"/>
    <w:qFormat/>
    <w:uiPriority w:val="99"/>
    <w:pPr>
      <w:widowControl/>
      <w:autoSpaceDE w:val="0"/>
      <w:autoSpaceDN w:val="0"/>
      <w:spacing w:line="300" w:lineRule="auto"/>
      <w:textAlignment w:val="bottom"/>
    </w:pPr>
    <w:rPr>
      <w:rFonts w:eastAsia="楷体_GB2312"/>
      <w:szCs w:val="20"/>
    </w:rPr>
  </w:style>
  <w:style w:type="paragraph" w:customStyle="1" w:styleId="122">
    <w:name w:val="封面字体4"/>
    <w:basedOn w:val="1"/>
    <w:qFormat/>
    <w:uiPriority w:val="99"/>
    <w:pPr>
      <w:spacing w:line="240" w:lineRule="atLeast"/>
    </w:pPr>
    <w:rPr>
      <w:rFonts w:ascii="黑体" w:hAnsi="华文细黑" w:eastAsia="黑体" w:cs="Arial"/>
      <w:b/>
      <w:bCs/>
      <w:spacing w:val="100"/>
      <w:kern w:val="0"/>
      <w:sz w:val="44"/>
      <w:szCs w:val="28"/>
    </w:rPr>
  </w:style>
  <w:style w:type="paragraph" w:customStyle="1" w:styleId="123">
    <w:name w:val="Default Text:1"/>
    <w:basedOn w:val="1"/>
    <w:qFormat/>
    <w:uiPriority w:val="99"/>
    <w:pPr>
      <w:widowControl/>
      <w:overflowPunct w:val="0"/>
      <w:autoSpaceDE w:val="0"/>
      <w:autoSpaceDN w:val="0"/>
      <w:adjustRightInd w:val="0"/>
      <w:jc w:val="left"/>
      <w:textAlignment w:val="baseline"/>
    </w:pPr>
    <w:rPr>
      <w:kern w:val="0"/>
      <w:sz w:val="24"/>
      <w:szCs w:val="20"/>
    </w:rPr>
  </w:style>
  <w:style w:type="paragraph" w:customStyle="1" w:styleId="124">
    <w:name w:val="纯文本2"/>
    <w:basedOn w:val="1"/>
    <w:qFormat/>
    <w:uiPriority w:val="99"/>
    <w:pPr>
      <w:adjustRightInd w:val="0"/>
      <w:textAlignment w:val="baseline"/>
    </w:pPr>
    <w:rPr>
      <w:rFonts w:ascii="宋体" w:hAnsi="Courier New" w:eastAsia="楷体_GB2312"/>
      <w:sz w:val="26"/>
      <w:szCs w:val="20"/>
    </w:rPr>
  </w:style>
  <w:style w:type="paragraph" w:customStyle="1" w:styleId="125">
    <w:name w:val="列出段落11"/>
    <w:basedOn w:val="1"/>
    <w:qFormat/>
    <w:uiPriority w:val="99"/>
    <w:pPr>
      <w:ind w:firstLine="420" w:firstLineChars="200"/>
    </w:pPr>
    <w:rPr>
      <w:rFonts w:ascii="Calibri" w:hAnsi="Calibri"/>
      <w:szCs w:val="22"/>
    </w:rPr>
  </w:style>
  <w:style w:type="paragraph" w:customStyle="1" w:styleId="126">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7">
    <w:name w:val="xl36"/>
    <w:basedOn w:val="1"/>
    <w:qFormat/>
    <w:uiPriority w:val="99"/>
    <w:pPr>
      <w:widowControl/>
      <w:spacing w:before="100" w:after="100"/>
      <w:jc w:val="center"/>
    </w:pPr>
    <w:rPr>
      <w:rFonts w:ascii="宋体" w:hAnsi="宋体"/>
      <w:kern w:val="0"/>
      <w:sz w:val="24"/>
      <w:szCs w:val="20"/>
    </w:rPr>
  </w:style>
  <w:style w:type="character" w:customStyle="1" w:styleId="128">
    <w:name w:val="普通(网站) Char"/>
    <w:link w:val="51"/>
    <w:qFormat/>
    <w:locked/>
    <w:uiPriority w:val="99"/>
    <w:rPr>
      <w:rFonts w:ascii="宋体" w:eastAsia="宋体"/>
      <w:sz w:val="24"/>
    </w:rPr>
  </w:style>
  <w:style w:type="paragraph" w:customStyle="1" w:styleId="129">
    <w:name w:val="封面字体3"/>
    <w:basedOn w:val="1"/>
    <w:qFormat/>
    <w:uiPriority w:val="99"/>
    <w:pPr>
      <w:spacing w:line="240" w:lineRule="atLeast"/>
    </w:pPr>
    <w:rPr>
      <w:rFonts w:ascii="黑体" w:hAnsi="华文细黑" w:eastAsia="黑体" w:cs="Arial"/>
      <w:bCs/>
      <w:spacing w:val="100"/>
      <w:kern w:val="0"/>
      <w:sz w:val="44"/>
      <w:szCs w:val="28"/>
    </w:rPr>
  </w:style>
  <w:style w:type="paragraph" w:customStyle="1" w:styleId="130">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131">
    <w:name w:val="修订1"/>
    <w:qFormat/>
    <w:uiPriority w:val="99"/>
    <w:rPr>
      <w:rFonts w:ascii="Times New Roman" w:hAnsi="Times New Roman" w:eastAsia="宋体" w:cs="Times New Roman"/>
      <w:kern w:val="2"/>
      <w:sz w:val="21"/>
      <w:szCs w:val="24"/>
      <w:lang w:val="en-US" w:eastAsia="zh-CN" w:bidi="ar-SA"/>
    </w:rPr>
  </w:style>
  <w:style w:type="paragraph" w:customStyle="1" w:styleId="132">
    <w:name w:val="2"/>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33">
    <w:name w:val="line14pj"/>
    <w:basedOn w:val="60"/>
    <w:qFormat/>
    <w:uiPriority w:val="99"/>
    <w:rPr>
      <w:rFonts w:cs="Times New Roman"/>
    </w:rPr>
  </w:style>
  <w:style w:type="character" w:customStyle="1" w:styleId="134">
    <w:name w:val="正文文本 2 Char"/>
    <w:qFormat/>
    <w:uiPriority w:val="99"/>
    <w:rPr>
      <w:rFonts w:ascii="宋体" w:eastAsia="宋体"/>
      <w:kern w:val="2"/>
      <w:sz w:val="24"/>
    </w:rPr>
  </w:style>
  <w:style w:type="character" w:customStyle="1" w:styleId="135">
    <w:name w:val="正文文本缩进 Char2"/>
    <w:qFormat/>
    <w:uiPriority w:val="99"/>
    <w:rPr>
      <w:rFonts w:ascii="宋体"/>
      <w:color w:val="000000"/>
      <w:sz w:val="32"/>
    </w:rPr>
  </w:style>
  <w:style w:type="character" w:customStyle="1" w:styleId="136">
    <w:name w:val="3zw1"/>
    <w:qFormat/>
    <w:uiPriority w:val="99"/>
    <w:rPr>
      <w:color w:val="000000"/>
      <w:sz w:val="21"/>
    </w:rPr>
  </w:style>
  <w:style w:type="character" w:customStyle="1" w:styleId="137">
    <w:name w:val="font101"/>
    <w:qFormat/>
    <w:uiPriority w:val="99"/>
    <w:rPr>
      <w:rFonts w:ascii="宋体" w:hAnsi="宋体" w:eastAsia="宋体"/>
      <w:color w:val="000000"/>
      <w:sz w:val="20"/>
      <w:u w:val="none"/>
    </w:rPr>
  </w:style>
  <w:style w:type="character" w:customStyle="1" w:styleId="138">
    <w:name w:val="批注框文本 Char1"/>
    <w:qFormat/>
    <w:locked/>
    <w:uiPriority w:val="99"/>
    <w:rPr>
      <w:kern w:val="2"/>
      <w:sz w:val="18"/>
    </w:rPr>
  </w:style>
  <w:style w:type="character" w:customStyle="1" w:styleId="139">
    <w:name w:val="正文首行缩进 2 Char"/>
    <w:qFormat/>
    <w:uiPriority w:val="99"/>
    <w:rPr>
      <w:rFonts w:ascii="仿宋_GB2312" w:eastAsia="仿宋_GB2312"/>
      <w:color w:val="000000"/>
      <w:sz w:val="24"/>
    </w:rPr>
  </w:style>
  <w:style w:type="character" w:customStyle="1" w:styleId="140">
    <w:name w:val="hang1"/>
    <w:basedOn w:val="60"/>
    <w:qFormat/>
    <w:uiPriority w:val="99"/>
    <w:rPr>
      <w:rFonts w:cs="Times New Roman"/>
    </w:rPr>
  </w:style>
  <w:style w:type="character" w:customStyle="1" w:styleId="141">
    <w:name w:val="param-name"/>
    <w:qFormat/>
    <w:uiPriority w:val="99"/>
  </w:style>
  <w:style w:type="character" w:customStyle="1" w:styleId="142">
    <w:name w:val="font21"/>
    <w:basedOn w:val="60"/>
    <w:qFormat/>
    <w:uiPriority w:val="99"/>
    <w:rPr>
      <w:rFonts w:ascii="宋体" w:hAnsi="宋体" w:eastAsia="宋体"/>
      <w:color w:val="000000"/>
      <w:sz w:val="24"/>
      <w:u w:val="none"/>
    </w:rPr>
  </w:style>
  <w:style w:type="character" w:customStyle="1" w:styleId="143">
    <w:name w:val="正文文本 Char2"/>
    <w:qFormat/>
    <w:uiPriority w:val="99"/>
    <w:rPr>
      <w:rFonts w:ascii="宋体"/>
      <w:color w:val="000000"/>
      <w:sz w:val="32"/>
    </w:rPr>
  </w:style>
  <w:style w:type="character" w:customStyle="1" w:styleId="144">
    <w:name w:val="段 Char"/>
    <w:link w:val="145"/>
    <w:qFormat/>
    <w:locked/>
    <w:uiPriority w:val="99"/>
    <w:rPr>
      <w:rFonts w:ascii="宋体" w:eastAsia="宋体"/>
      <w:kern w:val="2"/>
      <w:sz w:val="22"/>
      <w:lang w:val="en-US" w:eastAsia="zh-CN"/>
    </w:rPr>
  </w:style>
  <w:style w:type="paragraph" w:customStyle="1" w:styleId="145">
    <w:name w:val="段"/>
    <w:link w:val="144"/>
    <w:qFormat/>
    <w:uiPriority w:val="99"/>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character" w:customStyle="1" w:styleId="146">
    <w:name w:val="正文首行缩进 2 Char1"/>
    <w:basedOn w:val="101"/>
    <w:qFormat/>
    <w:uiPriority w:val="99"/>
    <w:rPr>
      <w:rFonts w:ascii="楷体_GB2312" w:eastAsia="楷体_GB2312" w:cs="Times New Roman"/>
      <w:kern w:val="2"/>
      <w:sz w:val="31"/>
      <w:szCs w:val="31"/>
    </w:rPr>
  </w:style>
  <w:style w:type="character" w:customStyle="1" w:styleId="147">
    <w:name w:val="正文文本 Char1"/>
    <w:qFormat/>
    <w:uiPriority w:val="99"/>
    <w:rPr>
      <w:rFonts w:ascii="楷体_GB2312" w:eastAsia="楷体_GB2312"/>
      <w:kern w:val="2"/>
      <w:sz w:val="28"/>
    </w:rPr>
  </w:style>
  <w:style w:type="character" w:customStyle="1" w:styleId="148">
    <w:name w:val="contentheaderrev1"/>
    <w:qFormat/>
    <w:uiPriority w:val="99"/>
    <w:rPr>
      <w:rFonts w:ascii="Arial" w:hAnsi="Arial"/>
      <w:b/>
      <w:color w:val="FFFFFF"/>
      <w:sz w:val="18"/>
      <w:u w:val="none"/>
    </w:rPr>
  </w:style>
  <w:style w:type="character" w:customStyle="1" w:styleId="149">
    <w:name w:val="text_12_black1"/>
    <w:qFormat/>
    <w:uiPriority w:val="99"/>
    <w:rPr>
      <w:rFonts w:ascii="??" w:hAnsi="??"/>
      <w:color w:val="333333"/>
      <w:sz w:val="18"/>
      <w:u w:val="none"/>
    </w:rPr>
  </w:style>
  <w:style w:type="character" w:customStyle="1" w:styleId="150">
    <w:name w:val="font51"/>
    <w:qFormat/>
    <w:uiPriority w:val="99"/>
    <w:rPr>
      <w:rFonts w:ascii="宋体" w:hAnsi="宋体" w:eastAsia="宋体"/>
      <w:b/>
      <w:color w:val="000000"/>
      <w:sz w:val="18"/>
      <w:u w:val="none"/>
    </w:rPr>
  </w:style>
  <w:style w:type="character" w:customStyle="1" w:styleId="151">
    <w:name w:val="副标题 Char1"/>
    <w:qFormat/>
    <w:uiPriority w:val="99"/>
    <w:rPr>
      <w:rFonts w:ascii="Cambria" w:hAnsi="Cambria"/>
      <w:b/>
      <w:kern w:val="28"/>
      <w:sz w:val="32"/>
    </w:rPr>
  </w:style>
  <w:style w:type="character" w:customStyle="1" w:styleId="152">
    <w:name w:val="unnamed11"/>
    <w:qFormat/>
    <w:uiPriority w:val="99"/>
    <w:rPr>
      <w:sz w:val="20"/>
    </w:rPr>
  </w:style>
  <w:style w:type="character" w:customStyle="1" w:styleId="153">
    <w:name w:val="ca-131"/>
    <w:qFormat/>
    <w:uiPriority w:val="99"/>
    <w:rPr>
      <w:rFonts w:ascii="Times New Roman" w:hAnsi="Times New Roman"/>
      <w:sz w:val="21"/>
    </w:rPr>
  </w:style>
  <w:style w:type="character" w:customStyle="1" w:styleId="154">
    <w:name w:val="正文文本 3 Char"/>
    <w:qFormat/>
    <w:uiPriority w:val="99"/>
    <w:rPr>
      <w:sz w:val="16"/>
    </w:rPr>
  </w:style>
  <w:style w:type="character" w:customStyle="1" w:styleId="155">
    <w:name w:val="z71"/>
    <w:qFormat/>
    <w:uiPriority w:val="99"/>
    <w:rPr>
      <w:spacing w:val="300"/>
      <w:sz w:val="18"/>
    </w:rPr>
  </w:style>
  <w:style w:type="character" w:customStyle="1" w:styleId="156">
    <w:name w:val="副标题 Char"/>
    <w:qFormat/>
    <w:uiPriority w:val="99"/>
    <w:rPr>
      <w:rFonts w:ascii="Cambria" w:hAnsi="Cambria"/>
      <w:b/>
      <w:kern w:val="28"/>
      <w:sz w:val="32"/>
    </w:rPr>
  </w:style>
  <w:style w:type="character" w:customStyle="1" w:styleId="157">
    <w:name w:val="ca-231"/>
    <w:qFormat/>
    <w:uiPriority w:val="99"/>
    <w:rPr>
      <w:rFonts w:ascii="宋体" w:hAnsi="宋体" w:eastAsia="宋体"/>
      <w:sz w:val="24"/>
    </w:rPr>
  </w:style>
  <w:style w:type="character" w:customStyle="1" w:styleId="158">
    <w:name w:val="ca-251"/>
    <w:qFormat/>
    <w:uiPriority w:val="99"/>
    <w:rPr>
      <w:rFonts w:ascii="Times New Roman" w:hAnsi="Times New Roman"/>
      <w:sz w:val="24"/>
    </w:rPr>
  </w:style>
  <w:style w:type="character" w:customStyle="1" w:styleId="159">
    <w:name w:val="正文文本 3 Char1"/>
    <w:qFormat/>
    <w:uiPriority w:val="99"/>
    <w:rPr>
      <w:kern w:val="2"/>
      <w:sz w:val="16"/>
    </w:rPr>
  </w:style>
  <w:style w:type="character" w:customStyle="1" w:styleId="160">
    <w:name w:val="标题 3 Char1"/>
    <w:qFormat/>
    <w:uiPriority w:val="99"/>
    <w:rPr>
      <w:b/>
      <w:kern w:val="2"/>
      <w:sz w:val="32"/>
    </w:rPr>
  </w:style>
  <w:style w:type="character" w:customStyle="1" w:styleId="161">
    <w:name w:val="本级3 Char"/>
    <w:link w:val="162"/>
    <w:qFormat/>
    <w:locked/>
    <w:uiPriority w:val="99"/>
    <w:rPr>
      <w:rFonts w:ascii="仿宋_GB2312" w:hAnsi="仿宋" w:eastAsia="仿宋_GB2312"/>
      <w:b/>
      <w:kern w:val="2"/>
      <w:sz w:val="24"/>
    </w:rPr>
  </w:style>
  <w:style w:type="paragraph" w:customStyle="1" w:styleId="162">
    <w:name w:val="本级3"/>
    <w:basedOn w:val="1"/>
    <w:next w:val="1"/>
    <w:link w:val="161"/>
    <w:qFormat/>
    <w:uiPriority w:val="99"/>
    <w:pPr>
      <w:keepNext/>
      <w:keepLines/>
      <w:tabs>
        <w:tab w:val="left" w:pos="567"/>
      </w:tabs>
      <w:spacing w:line="360" w:lineRule="auto"/>
      <w:ind w:left="1827" w:leftChars="100" w:right="100" w:rightChars="100" w:hanging="567"/>
      <w:outlineLvl w:val="2"/>
    </w:pPr>
    <w:rPr>
      <w:rFonts w:ascii="仿宋_GB2312" w:hAnsi="仿宋" w:eastAsia="仿宋_GB2312"/>
      <w:b/>
      <w:bCs/>
      <w:sz w:val="32"/>
    </w:rPr>
  </w:style>
  <w:style w:type="character" w:customStyle="1" w:styleId="163">
    <w:name w:val="正文文本缩进 3 Char"/>
    <w:qFormat/>
    <w:locked/>
    <w:uiPriority w:val="99"/>
    <w:rPr>
      <w:rFonts w:ascii="幼圆" w:eastAsia="幼圆"/>
      <w:kern w:val="2"/>
      <w:sz w:val="32"/>
    </w:rPr>
  </w:style>
  <w:style w:type="character" w:customStyle="1" w:styleId="164">
    <w:name w:val="首行缩进 Char Char1"/>
    <w:link w:val="165"/>
    <w:qFormat/>
    <w:locked/>
    <w:uiPriority w:val="99"/>
    <w:rPr>
      <w:sz w:val="24"/>
    </w:rPr>
  </w:style>
  <w:style w:type="paragraph" w:customStyle="1" w:styleId="165">
    <w:name w:val="首行缩进 Char"/>
    <w:basedOn w:val="1"/>
    <w:next w:val="17"/>
    <w:link w:val="164"/>
    <w:qFormat/>
    <w:uiPriority w:val="99"/>
    <w:pPr>
      <w:spacing w:line="300" w:lineRule="auto"/>
      <w:ind w:firstLine="420"/>
    </w:pPr>
    <w:rPr>
      <w:kern w:val="0"/>
      <w:sz w:val="24"/>
    </w:rPr>
  </w:style>
  <w:style w:type="character" w:customStyle="1" w:styleId="166">
    <w:name w:val="text_12_subject1"/>
    <w:qFormat/>
    <w:uiPriority w:val="99"/>
    <w:rPr>
      <w:rFonts w:ascii="??" w:hAnsi="??"/>
      <w:b/>
      <w:color w:val="006699"/>
      <w:sz w:val="18"/>
      <w:u w:val="none"/>
    </w:rPr>
  </w:style>
  <w:style w:type="character" w:customStyle="1" w:styleId="167">
    <w:name w:val="标题 Char1"/>
    <w:qFormat/>
    <w:uiPriority w:val="99"/>
    <w:rPr>
      <w:rFonts w:ascii="Cambria" w:hAnsi="Cambria"/>
      <w:b/>
      <w:kern w:val="2"/>
      <w:sz w:val="32"/>
    </w:rPr>
  </w:style>
  <w:style w:type="character" w:customStyle="1" w:styleId="168">
    <w:name w:val="常规 Char"/>
    <w:link w:val="169"/>
    <w:qFormat/>
    <w:locked/>
    <w:uiPriority w:val="99"/>
    <w:rPr>
      <w:rFonts w:ascii="Tahoma" w:hAnsi="Tahoma"/>
      <w:color w:val="000000"/>
      <w:kern w:val="2"/>
      <w:sz w:val="21"/>
    </w:rPr>
  </w:style>
  <w:style w:type="paragraph" w:customStyle="1" w:styleId="169">
    <w:name w:val="常规"/>
    <w:basedOn w:val="1"/>
    <w:link w:val="168"/>
    <w:qFormat/>
    <w:uiPriority w:val="99"/>
    <w:pPr>
      <w:spacing w:beforeLines="100" w:afterLines="100" w:line="360" w:lineRule="auto"/>
      <w:ind w:firstLine="560" w:firstLineChars="200"/>
      <w:jc w:val="center"/>
    </w:pPr>
    <w:rPr>
      <w:rFonts w:ascii="Tahoma" w:hAnsi="Tahoma"/>
      <w:color w:val="000000"/>
      <w:sz w:val="28"/>
      <w:szCs w:val="21"/>
    </w:rPr>
  </w:style>
  <w:style w:type="character" w:customStyle="1" w:styleId="170">
    <w:name w:val="文档结构图 Char"/>
    <w:qFormat/>
    <w:uiPriority w:val="99"/>
    <w:rPr>
      <w:kern w:val="2"/>
      <w:sz w:val="24"/>
      <w:shd w:val="clear" w:color="auto" w:fill="000080"/>
    </w:rPr>
  </w:style>
  <w:style w:type="character" w:customStyle="1" w:styleId="171">
    <w:name w:val="正文新 Char"/>
    <w:link w:val="172"/>
    <w:qFormat/>
    <w:locked/>
    <w:uiPriority w:val="99"/>
    <w:rPr>
      <w:rFonts w:ascii="宋体" w:eastAsia="宋体"/>
      <w:sz w:val="28"/>
    </w:rPr>
  </w:style>
  <w:style w:type="paragraph" w:customStyle="1" w:styleId="172">
    <w:name w:val="正文新"/>
    <w:basedOn w:val="1"/>
    <w:link w:val="171"/>
    <w:qFormat/>
    <w:uiPriority w:val="99"/>
    <w:pPr>
      <w:spacing w:line="360" w:lineRule="auto"/>
      <w:ind w:firstLine="200" w:firstLineChars="200"/>
      <w:jc w:val="left"/>
    </w:pPr>
    <w:rPr>
      <w:rFonts w:ascii="宋体" w:hAnsi="宋体"/>
      <w:kern w:val="0"/>
      <w:sz w:val="28"/>
      <w:szCs w:val="20"/>
    </w:rPr>
  </w:style>
  <w:style w:type="character" w:customStyle="1" w:styleId="173">
    <w:name w:val="font41"/>
    <w:qFormat/>
    <w:uiPriority w:val="99"/>
    <w:rPr>
      <w:rFonts w:ascii="宋体" w:hAnsi="宋体" w:eastAsia="宋体"/>
      <w:b/>
      <w:color w:val="000000"/>
      <w:sz w:val="20"/>
      <w:u w:val="none"/>
    </w:rPr>
  </w:style>
  <w:style w:type="character" w:customStyle="1" w:styleId="174">
    <w:name w:val="myp1111"/>
    <w:qFormat/>
    <w:uiPriority w:val="99"/>
    <w:rPr>
      <w:rFonts w:ascii="??" w:hAnsi="??"/>
      <w:color w:val="000000"/>
      <w:sz w:val="15"/>
      <w:u w:val="none"/>
    </w:rPr>
  </w:style>
  <w:style w:type="character" w:customStyle="1" w:styleId="175">
    <w:name w:val="尾注文本 Char1"/>
    <w:qFormat/>
    <w:uiPriority w:val="99"/>
    <w:rPr>
      <w:kern w:val="2"/>
      <w:sz w:val="24"/>
    </w:rPr>
  </w:style>
  <w:style w:type="character" w:customStyle="1" w:styleId="176">
    <w:name w:val="尾注文本 Char"/>
    <w:basedOn w:val="60"/>
    <w:link w:val="36"/>
    <w:qFormat/>
    <w:locked/>
    <w:uiPriority w:val="99"/>
    <w:rPr>
      <w:rFonts w:cs="Times New Roman"/>
    </w:rPr>
  </w:style>
  <w:style w:type="character" w:customStyle="1" w:styleId="177">
    <w:name w:val="font01"/>
    <w:basedOn w:val="60"/>
    <w:qFormat/>
    <w:uiPriority w:val="99"/>
    <w:rPr>
      <w:rFonts w:ascii="宋体" w:hAnsi="宋体" w:eastAsia="宋体" w:cs="宋体"/>
      <w:color w:val="000000"/>
      <w:sz w:val="24"/>
      <w:szCs w:val="24"/>
      <w:u w:val="none"/>
      <w:vertAlign w:val="superscript"/>
    </w:rPr>
  </w:style>
  <w:style w:type="character" w:customStyle="1" w:styleId="178">
    <w:name w:val="font61"/>
    <w:qFormat/>
    <w:uiPriority w:val="0"/>
    <w:rPr>
      <w:rFonts w:ascii="宋体" w:hAnsi="宋体" w:eastAsia="宋体"/>
      <w:b/>
      <w:color w:val="000000"/>
      <w:sz w:val="20"/>
      <w:u w:val="none"/>
    </w:rPr>
  </w:style>
  <w:style w:type="character" w:customStyle="1" w:styleId="179">
    <w:name w:val="正文缩进2格 Char"/>
    <w:link w:val="180"/>
    <w:qFormat/>
    <w:locked/>
    <w:uiPriority w:val="99"/>
    <w:rPr>
      <w:rFonts w:ascii="仿宋_GB2312" w:hAnsi="宋体" w:eastAsia="仿宋_GB2312"/>
      <w:kern w:val="2"/>
      <w:sz w:val="31"/>
    </w:rPr>
  </w:style>
  <w:style w:type="paragraph" w:customStyle="1" w:styleId="180">
    <w:name w:val="正文缩进2格"/>
    <w:basedOn w:val="1"/>
    <w:link w:val="179"/>
    <w:qFormat/>
    <w:uiPriority w:val="99"/>
    <w:pPr>
      <w:spacing w:line="600" w:lineRule="exact"/>
      <w:ind w:firstLine="639" w:firstLineChars="206"/>
    </w:pPr>
    <w:rPr>
      <w:rFonts w:ascii="仿宋_GB2312" w:hAnsi="宋体" w:eastAsia="仿宋_GB2312"/>
      <w:sz w:val="31"/>
      <w:szCs w:val="20"/>
    </w:rPr>
  </w:style>
  <w:style w:type="character" w:customStyle="1" w:styleId="181">
    <w:name w:val="word21"/>
    <w:qFormat/>
    <w:uiPriority w:val="99"/>
    <w:rPr>
      <w:b/>
      <w:color w:val="194D7C"/>
      <w:spacing w:val="400"/>
      <w:sz w:val="24"/>
    </w:rPr>
  </w:style>
  <w:style w:type="character" w:customStyle="1" w:styleId="182">
    <w:name w:val="content021"/>
    <w:qFormat/>
    <w:uiPriority w:val="99"/>
    <w:rPr>
      <w:color w:val="444444"/>
      <w:spacing w:val="330"/>
      <w:sz w:val="21"/>
      <w:u w:val="none"/>
    </w:rPr>
  </w:style>
  <w:style w:type="character" w:customStyle="1" w:styleId="183">
    <w:name w:val="Char Char5"/>
    <w:qFormat/>
    <w:uiPriority w:val="99"/>
    <w:rPr>
      <w:rFonts w:ascii="Times New Roman" w:hAnsi="Times New Roman" w:eastAsia="宋体"/>
      <w:sz w:val="18"/>
    </w:rPr>
  </w:style>
  <w:style w:type="character" w:customStyle="1" w:styleId="184">
    <w:name w:val="正文首行缩进 Char"/>
    <w:qFormat/>
    <w:uiPriority w:val="99"/>
    <w:rPr>
      <w:rFonts w:ascii="宋体"/>
      <w:color w:val="000000"/>
      <w:kern w:val="2"/>
      <w:sz w:val="32"/>
    </w:rPr>
  </w:style>
  <w:style w:type="character" w:customStyle="1" w:styleId="185">
    <w:name w:val="hei12"/>
    <w:basedOn w:val="60"/>
    <w:qFormat/>
    <w:uiPriority w:val="99"/>
    <w:rPr>
      <w:rFonts w:cs="Times New Roman"/>
    </w:rPr>
  </w:style>
  <w:style w:type="character" w:customStyle="1" w:styleId="186">
    <w:name w:val="ca-121"/>
    <w:qFormat/>
    <w:uiPriority w:val="0"/>
    <w:rPr>
      <w:rFonts w:ascii="宋体" w:hAnsi="宋体" w:eastAsia="宋体"/>
      <w:sz w:val="21"/>
    </w:rPr>
  </w:style>
  <w:style w:type="character" w:customStyle="1" w:styleId="187">
    <w:name w:val="font31"/>
    <w:qFormat/>
    <w:uiPriority w:val="99"/>
    <w:rPr>
      <w:rFonts w:ascii="宋体" w:hAnsi="宋体" w:eastAsia="宋体"/>
      <w:color w:val="000000"/>
      <w:sz w:val="18"/>
      <w:u w:val="none"/>
    </w:rPr>
  </w:style>
  <w:style w:type="character" w:customStyle="1" w:styleId="188">
    <w:name w:val="z21"/>
    <w:qFormat/>
    <w:uiPriority w:val="99"/>
    <w:rPr>
      <w:color w:val="000000"/>
      <w:spacing w:val="255"/>
      <w:sz w:val="18"/>
    </w:rPr>
  </w:style>
  <w:style w:type="character" w:customStyle="1" w:styleId="189">
    <w:name w:val="标题 Char"/>
    <w:qFormat/>
    <w:uiPriority w:val="99"/>
    <w:rPr>
      <w:rFonts w:ascii="Arial" w:hAnsi="Arial"/>
      <w:b/>
      <w:sz w:val="32"/>
    </w:rPr>
  </w:style>
  <w:style w:type="character" w:customStyle="1" w:styleId="190">
    <w:name w:val="样式 目录 2 + 宋体 Char"/>
    <w:link w:val="191"/>
    <w:qFormat/>
    <w:locked/>
    <w:uiPriority w:val="99"/>
    <w:rPr>
      <w:rFonts w:ascii="宋体" w:eastAsia="宋体"/>
      <w:sz w:val="28"/>
    </w:rPr>
  </w:style>
  <w:style w:type="paragraph" w:customStyle="1" w:styleId="191">
    <w:name w:val="样式 目录 2 + 宋体"/>
    <w:basedOn w:val="2"/>
    <w:next w:val="2"/>
    <w:link w:val="190"/>
    <w:qFormat/>
    <w:uiPriority w:val="99"/>
    <w:pPr>
      <w:widowControl w:val="0"/>
      <w:spacing w:after="120"/>
      <w:jc w:val="both"/>
    </w:pPr>
    <w:rPr>
      <w:rFonts w:ascii="宋体" w:hAnsi="宋体"/>
      <w:sz w:val="28"/>
    </w:rPr>
  </w:style>
  <w:style w:type="character" w:customStyle="1" w:styleId="192">
    <w:name w:val="abcde1"/>
    <w:qFormat/>
    <w:uiPriority w:val="99"/>
    <w:rPr>
      <w:spacing w:val="400"/>
      <w:sz w:val="26"/>
    </w:rPr>
  </w:style>
  <w:style w:type="paragraph" w:customStyle="1" w:styleId="193">
    <w:name w:val="Char1"/>
    <w:basedOn w:val="1"/>
    <w:qFormat/>
    <w:uiPriority w:val="99"/>
    <w:rPr>
      <w:rFonts w:ascii="Tahoma" w:hAnsi="Tahoma"/>
      <w:sz w:val="24"/>
      <w:szCs w:val="20"/>
    </w:rPr>
  </w:style>
  <w:style w:type="paragraph" w:customStyle="1" w:styleId="194">
    <w:name w:val="xl11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95">
    <w:name w:val="Char Char1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96">
    <w:name w:val="正文 New New"/>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97">
    <w:name w:val="样式3"/>
    <w:qFormat/>
    <w:uiPriority w:val="99"/>
    <w:pPr>
      <w:spacing w:line="300" w:lineRule="auto"/>
    </w:pPr>
    <w:rPr>
      <w:rFonts w:ascii="Times New Roman" w:hAnsi="Times New Roman" w:eastAsia="宋体" w:cs="Times New Roman"/>
      <w:lang w:val="en-US" w:eastAsia="zh-CN" w:bidi="ar-SA"/>
    </w:rPr>
  </w:style>
  <w:style w:type="paragraph" w:customStyle="1" w:styleId="198">
    <w:name w:val="xl90"/>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199">
    <w:name w:val="表项"/>
    <w:next w:val="200"/>
    <w:qFormat/>
    <w:uiPriority w:val="99"/>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200">
    <w:name w:val="表身（左）"/>
    <w:qFormat/>
    <w:uiPriority w:val="99"/>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01">
    <w:name w:val="xl43"/>
    <w:basedOn w:val="1"/>
    <w:qFormat/>
    <w:uiPriority w:val="99"/>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02">
    <w:name w:val="Block"/>
    <w:basedOn w:val="1"/>
    <w:next w:val="169"/>
    <w:qFormat/>
    <w:uiPriority w:val="99"/>
    <w:pPr>
      <w:tabs>
        <w:tab w:val="left" w:pos="0"/>
      </w:tabs>
    </w:pPr>
    <w:rPr>
      <w:rFonts w:ascii="Arial" w:hAnsi="Arial" w:eastAsia="楷体_GB2312"/>
      <w:color w:val="000080"/>
      <w:sz w:val="28"/>
      <w:szCs w:val="28"/>
    </w:rPr>
  </w:style>
  <w:style w:type="paragraph" w:customStyle="1" w:styleId="203">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4">
    <w:name w:val="样式 标题 5 + 段前: 0.5 行 段后: 0.5 行"/>
    <w:basedOn w:val="7"/>
    <w:qFormat/>
    <w:uiPriority w:val="99"/>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205">
    <w:name w:val="样式5"/>
    <w:basedOn w:val="165"/>
    <w:qFormat/>
    <w:uiPriority w:val="99"/>
    <w:pPr>
      <w:snapToGrid w:val="0"/>
      <w:spacing w:line="360" w:lineRule="auto"/>
      <w:ind w:firstLine="456" w:firstLineChars="200"/>
      <w:jc w:val="left"/>
    </w:pPr>
    <w:rPr>
      <w:rFonts w:ascii="楷体_GB2312" w:hAnsi="楷体_GB2312" w:eastAsia="楷体_GB2312" w:cs="宋体"/>
      <w:b/>
      <w:spacing w:val="-6"/>
    </w:rPr>
  </w:style>
  <w:style w:type="paragraph" w:customStyle="1" w:styleId="206">
    <w:name w:val="样式 标题 3H3h3h31第二层条3Bold Headbh章标题1小标题level_3PIM 3Lev...2"/>
    <w:basedOn w:val="5"/>
    <w:qFormat/>
    <w:uiPriority w:val="99"/>
    <w:pPr>
      <w:tabs>
        <w:tab w:val="left" w:pos="1740"/>
      </w:tabs>
      <w:spacing w:beforeLines="50" w:afterLines="50" w:line="540" w:lineRule="auto"/>
      <w:ind w:left="1740" w:hanging="420"/>
    </w:pPr>
    <w:rPr>
      <w:rFonts w:ascii="宋体" w:hAnsi="宋体" w:eastAsia="黑体" w:cs="宋体"/>
      <w:b w:val="0"/>
      <w:szCs w:val="20"/>
    </w:rPr>
  </w:style>
  <w:style w:type="paragraph" w:customStyle="1" w:styleId="207">
    <w:name w:val="_Style 56"/>
    <w:basedOn w:val="1"/>
    <w:qFormat/>
    <w:uiPriority w:val="99"/>
    <w:pPr>
      <w:ind w:firstLine="420" w:firstLineChars="200"/>
    </w:pPr>
    <w:rPr>
      <w:rFonts w:ascii="Calibri" w:hAnsi="Calibri"/>
      <w:szCs w:val="22"/>
    </w:rPr>
  </w:style>
  <w:style w:type="paragraph" w:customStyle="1" w:styleId="208">
    <w:name w:val="列出段落2"/>
    <w:basedOn w:val="1"/>
    <w:qFormat/>
    <w:uiPriority w:val="99"/>
    <w:pPr>
      <w:ind w:firstLine="420" w:firstLineChars="200"/>
    </w:pPr>
  </w:style>
  <w:style w:type="paragraph" w:customStyle="1" w:styleId="209">
    <w:name w:val="样式 样式 标题 3H3h3h31Heading 3 - old3Heading 3 hidden2hh32Sect... + ..."/>
    <w:basedOn w:val="1"/>
    <w:qFormat/>
    <w:uiPriority w:val="99"/>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210">
    <w:name w:val="xl51"/>
    <w:basedOn w:val="1"/>
    <w:qFormat/>
    <w:uiPriority w:val="99"/>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11">
    <w:name w:val="CM2"/>
    <w:basedOn w:val="126"/>
    <w:next w:val="126"/>
    <w:qFormat/>
    <w:uiPriority w:val="99"/>
    <w:pPr>
      <w:spacing w:line="623" w:lineRule="atLeast"/>
    </w:pPr>
    <w:rPr>
      <w:rFonts w:ascii=".a..DD.." w:hAnsi="Times New Roman" w:eastAsia=".a..DD.." w:cs="Times New Roman"/>
      <w:color w:val="auto"/>
    </w:rPr>
  </w:style>
  <w:style w:type="paragraph" w:customStyle="1" w:styleId="212">
    <w:name w:val="Char1 Char Char Char"/>
    <w:basedOn w:val="1"/>
    <w:qFormat/>
    <w:uiPriority w:val="99"/>
    <w:rPr>
      <w:rFonts w:ascii="Tahoma" w:hAnsi="Tahoma"/>
      <w:sz w:val="24"/>
      <w:szCs w:val="20"/>
    </w:rPr>
  </w:style>
  <w:style w:type="paragraph" w:customStyle="1" w:styleId="213">
    <w:name w:val="zw_12_25"/>
    <w:basedOn w:val="1"/>
    <w:qFormat/>
    <w:uiPriority w:val="99"/>
    <w:pPr>
      <w:widowControl/>
      <w:spacing w:before="100" w:beforeAutospacing="1" w:after="100" w:afterAutospacing="1" w:line="300" w:lineRule="atLeast"/>
      <w:jc w:val="left"/>
    </w:pPr>
    <w:rPr>
      <w:color w:val="333399"/>
      <w:kern w:val="0"/>
      <w:sz w:val="23"/>
      <w:szCs w:val="23"/>
    </w:rPr>
  </w:style>
  <w:style w:type="paragraph" w:customStyle="1" w:styleId="214">
    <w:name w:val="样式 标题 4 + 段前: 0.5 行 段后: 0.5 行 行距: 多倍行距 1.57 字行"/>
    <w:basedOn w:val="6"/>
    <w:qFormat/>
    <w:uiPriority w:val="99"/>
    <w:pPr>
      <w:tabs>
        <w:tab w:val="left" w:pos="2160"/>
      </w:tabs>
      <w:spacing w:beforeLines="50" w:afterLines="50"/>
      <w:ind w:left="2160" w:hanging="420"/>
    </w:pPr>
    <w:rPr>
      <w:rFonts w:cs="宋体"/>
      <w:b w:val="0"/>
      <w:sz w:val="30"/>
      <w:szCs w:val="30"/>
    </w:rPr>
  </w:style>
  <w:style w:type="paragraph" w:customStyle="1" w:styleId="215">
    <w:name w:val="xl10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6">
    <w:name w:val="正文缩进2"/>
    <w:basedOn w:val="1"/>
    <w:qFormat/>
    <w:uiPriority w:val="99"/>
    <w:pPr>
      <w:spacing w:line="360" w:lineRule="auto"/>
      <w:ind w:firstLine="200" w:firstLineChars="200"/>
    </w:pPr>
  </w:style>
  <w:style w:type="paragraph" w:customStyle="1" w:styleId="217">
    <w:name w:val="打印正文1"/>
    <w:basedOn w:val="1"/>
    <w:qFormat/>
    <w:uiPriority w:val="99"/>
    <w:pPr>
      <w:tabs>
        <w:tab w:val="left" w:pos="705"/>
        <w:tab w:val="left" w:pos="1440"/>
      </w:tabs>
      <w:spacing w:line="480" w:lineRule="atLeast"/>
      <w:ind w:left="1440" w:hanging="360"/>
    </w:pPr>
    <w:rPr>
      <w:rFonts w:ascii="宋体" w:hAnsi="宋体"/>
      <w:bCs/>
      <w:spacing w:val="10"/>
      <w:kern w:val="28"/>
      <w:szCs w:val="21"/>
    </w:rPr>
  </w:style>
  <w:style w:type="paragraph" w:customStyle="1" w:styleId="218">
    <w:name w:val="表身（中）"/>
    <w:basedOn w:val="200"/>
    <w:qFormat/>
    <w:uiPriority w:val="99"/>
    <w:pPr>
      <w:jc w:val="center"/>
    </w:pPr>
  </w:style>
  <w:style w:type="paragraph" w:customStyle="1" w:styleId="219">
    <w:name w:val="项目编号1级"/>
    <w:basedOn w:val="216"/>
    <w:qFormat/>
    <w:uiPriority w:val="99"/>
    <w:pPr>
      <w:tabs>
        <w:tab w:val="left" w:pos="840"/>
      </w:tabs>
      <w:ind w:left="840" w:hanging="420" w:firstLineChars="0"/>
    </w:pPr>
  </w:style>
  <w:style w:type="paragraph" w:customStyle="1" w:styleId="220">
    <w:name w:val="一级无"/>
    <w:basedOn w:val="221"/>
    <w:qFormat/>
    <w:uiPriority w:val="99"/>
    <w:pPr>
      <w:spacing w:beforeLines="0" w:afterLines="0"/>
    </w:pPr>
    <w:rPr>
      <w:rFonts w:ascii="宋体" w:eastAsia="宋体"/>
    </w:rPr>
  </w:style>
  <w:style w:type="paragraph" w:customStyle="1" w:styleId="221">
    <w:name w:val="一级条标题"/>
    <w:next w:val="1"/>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222">
    <w:name w:val="fou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23">
    <w:name w:val="text_12_black"/>
    <w:basedOn w:val="1"/>
    <w:qFormat/>
    <w:uiPriority w:val="99"/>
    <w:pPr>
      <w:widowControl/>
      <w:spacing w:before="100" w:beforeAutospacing="1" w:after="100" w:afterAutospacing="1" w:line="300" w:lineRule="atLeast"/>
      <w:jc w:val="left"/>
    </w:pPr>
    <w:rPr>
      <w:rFonts w:ascii="??" w:hAnsi="??" w:cs="宋体"/>
      <w:color w:val="333333"/>
      <w:kern w:val="0"/>
      <w:sz w:val="18"/>
      <w:szCs w:val="18"/>
    </w:rPr>
  </w:style>
  <w:style w:type="paragraph" w:customStyle="1" w:styleId="224">
    <w:name w:val="正"/>
    <w:basedOn w:val="1"/>
    <w:qFormat/>
    <w:uiPriority w:val="99"/>
    <w:pPr>
      <w:ind w:firstLine="525"/>
    </w:pPr>
    <w:rPr>
      <w:spacing w:val="20"/>
      <w:szCs w:val="20"/>
    </w:rPr>
  </w:style>
  <w:style w:type="paragraph" w:customStyle="1" w:styleId="225">
    <w:name w:val="公司名称"/>
    <w:basedOn w:val="1"/>
    <w:qFormat/>
    <w:uiPriority w:val="99"/>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226">
    <w:name w:val="样式11"/>
    <w:basedOn w:val="1"/>
    <w:qFormat/>
    <w:uiPriority w:val="99"/>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227">
    <w:name w:val="不缩进"/>
    <w:basedOn w:val="1"/>
    <w:qFormat/>
    <w:uiPriority w:val="99"/>
    <w:pPr>
      <w:spacing w:line="360" w:lineRule="auto"/>
      <w:jc w:val="center"/>
    </w:pPr>
    <w:rPr>
      <w:b/>
      <w:bCs/>
      <w:sz w:val="28"/>
      <w:szCs w:val="21"/>
    </w:rPr>
  </w:style>
  <w:style w:type="paragraph" w:customStyle="1" w:styleId="228">
    <w:name w:val="font6"/>
    <w:basedOn w:val="1"/>
    <w:qFormat/>
    <w:uiPriority w:val="99"/>
    <w:pPr>
      <w:widowControl/>
      <w:spacing w:before="100" w:beforeAutospacing="1" w:after="100" w:afterAutospacing="1"/>
      <w:jc w:val="left"/>
    </w:pPr>
    <w:rPr>
      <w:rFonts w:eastAsia="Arial Unicode MS"/>
      <w:kern w:val="0"/>
      <w:sz w:val="24"/>
    </w:rPr>
  </w:style>
  <w:style w:type="paragraph" w:customStyle="1" w:styleId="229">
    <w:name w:val="小标"/>
    <w:basedOn w:val="1"/>
    <w:qFormat/>
    <w:uiPriority w:val="99"/>
    <w:rPr>
      <w:rFonts w:ascii="黑体" w:eastAsia="黑体"/>
      <w:spacing w:val="20"/>
      <w:szCs w:val="20"/>
    </w:rPr>
  </w:style>
  <w:style w:type="paragraph" w:customStyle="1" w:styleId="230">
    <w:name w:val="xl1062"/>
    <w:basedOn w:val="1"/>
    <w:qFormat/>
    <w:uiPriority w:val="99"/>
    <w:pPr>
      <w:widowControl/>
      <w:spacing w:before="100" w:beforeAutospacing="1" w:after="100" w:afterAutospacing="1"/>
      <w:jc w:val="center"/>
    </w:pPr>
    <w:rPr>
      <w:rFonts w:ascii="宋体" w:hAnsi="宋体" w:cs="宋体"/>
      <w:b/>
      <w:bCs/>
      <w:kern w:val="0"/>
      <w:sz w:val="32"/>
      <w:szCs w:val="32"/>
    </w:rPr>
  </w:style>
  <w:style w:type="paragraph" w:customStyle="1" w:styleId="231">
    <w:name w:val="正文悬挂缩进4"/>
    <w:basedOn w:val="1"/>
    <w:qFormat/>
    <w:uiPriority w:val="99"/>
    <w:pPr>
      <w:spacing w:line="360" w:lineRule="auto"/>
      <w:ind w:left="839"/>
    </w:pPr>
  </w:style>
  <w:style w:type="paragraph" w:customStyle="1" w:styleId="232">
    <w:name w:val="xl10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233">
    <w:name w:val="警告"/>
    <w:basedOn w:val="1"/>
    <w:next w:val="169"/>
    <w:qFormat/>
    <w:uiPriority w:val="99"/>
    <w:pPr>
      <w:shd w:val="clear" w:color="auto" w:fill="FFD1D1"/>
      <w:tabs>
        <w:tab w:val="left" w:pos="360"/>
        <w:tab w:val="left" w:pos="1800"/>
      </w:tabs>
      <w:spacing w:beforeLines="100" w:afterLines="100"/>
      <w:ind w:left="425" w:hanging="425" w:firstLineChars="200"/>
      <w:jc w:val="left"/>
    </w:pPr>
    <w:rPr>
      <w:rFonts w:ascii="Tahoma" w:hAnsi="Tahoma" w:eastAsia="楷体_GB2312"/>
      <w:color w:val="000000"/>
      <w:sz w:val="28"/>
      <w:szCs w:val="21"/>
    </w:rPr>
  </w:style>
  <w:style w:type="paragraph" w:customStyle="1" w:styleId="234">
    <w:name w:val="样式 标题 1 + 非加粗 段前: 0.5 行 段后: 0.5 行"/>
    <w:basedOn w:val="3"/>
    <w:qFormat/>
    <w:uiPriority w:val="99"/>
    <w:pPr>
      <w:pageBreakBefore/>
      <w:widowControl w:val="0"/>
      <w:tabs>
        <w:tab w:val="left" w:pos="840"/>
      </w:tabs>
      <w:spacing w:beforeLines="50" w:afterLines="50" w:line="480" w:lineRule="auto"/>
      <w:ind w:left="840" w:hanging="360"/>
    </w:pPr>
    <w:rPr>
      <w:rFonts w:eastAsia="黑体" w:cs="宋体"/>
      <w:b w:val="0"/>
      <w:bCs w:val="0"/>
      <w:szCs w:val="20"/>
    </w:rPr>
  </w:style>
  <w:style w:type="paragraph" w:customStyle="1" w:styleId="235">
    <w:name w:val="xl106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36">
    <w:name w:val="样式 标题 1章节标题b1 + 段前: 6 磅"/>
    <w:basedOn w:val="3"/>
    <w:qFormat/>
    <w:uiPriority w:val="99"/>
    <w:pPr>
      <w:widowControl w:val="0"/>
      <w:tabs>
        <w:tab w:val="left" w:pos="1320"/>
        <w:tab w:val="left" w:pos="1740"/>
      </w:tabs>
      <w:spacing w:before="0" w:after="0" w:line="360" w:lineRule="auto"/>
      <w:jc w:val="both"/>
    </w:pPr>
    <w:rPr>
      <w:rFonts w:ascii="宋体" w:hAnsi="宋体" w:cs="宋体"/>
      <w:color w:val="000000"/>
      <w:kern w:val="2"/>
      <w:sz w:val="28"/>
      <w:szCs w:val="21"/>
    </w:rPr>
  </w:style>
  <w:style w:type="paragraph" w:customStyle="1" w:styleId="237">
    <w:name w:val="xl65"/>
    <w:basedOn w:val="1"/>
    <w:qFormat/>
    <w:uiPriority w:val="99"/>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238">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9">
    <w:name w:val="样式 标题 + 段前: 0.5 行 段后: 0.5 行"/>
    <w:basedOn w:val="53"/>
    <w:qFormat/>
    <w:uiPriority w:val="99"/>
  </w:style>
  <w:style w:type="paragraph" w:customStyle="1" w:styleId="240">
    <w:name w:val="数字编号列项（二级）"/>
    <w:qFormat/>
    <w:uiPriority w:val="99"/>
    <w:pPr>
      <w:tabs>
        <w:tab w:val="left" w:pos="1260"/>
      </w:tabs>
      <w:ind w:left="1259" w:hanging="419"/>
      <w:jc w:val="both"/>
    </w:pPr>
    <w:rPr>
      <w:rFonts w:ascii="宋体" w:hAnsi="Times New Roman" w:eastAsia="宋体" w:cs="Times New Roman"/>
      <w:sz w:val="21"/>
      <w:lang w:val="en-US" w:eastAsia="zh-CN" w:bidi="ar-SA"/>
    </w:rPr>
  </w:style>
  <w:style w:type="paragraph" w:customStyle="1" w:styleId="241">
    <w:name w:val="xl8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42">
    <w:name w:val="xl10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43">
    <w:name w:val="表格标题1"/>
    <w:basedOn w:val="244"/>
    <w:qFormat/>
    <w:uiPriority w:val="99"/>
    <w:pPr>
      <w:tabs>
        <w:tab w:val="left" w:pos="1620"/>
      </w:tabs>
      <w:ind w:left="1620" w:leftChars="600" w:hanging="360" w:hangingChars="200"/>
      <w:jc w:val="both"/>
      <w:textAlignment w:val="bottom"/>
    </w:pPr>
    <w:rPr>
      <w:rFonts w:ascii="Times New Roman"/>
      <w:sz w:val="21"/>
      <w:szCs w:val="21"/>
    </w:rPr>
  </w:style>
  <w:style w:type="paragraph" w:customStyle="1" w:styleId="244">
    <w:name w:val="表格"/>
    <w:basedOn w:val="1"/>
    <w:qFormat/>
    <w:uiPriority w:val="99"/>
    <w:pPr>
      <w:adjustRightInd w:val="0"/>
      <w:spacing w:before="60" w:after="60"/>
      <w:jc w:val="center"/>
      <w:textAlignment w:val="baseline"/>
    </w:pPr>
    <w:rPr>
      <w:rFonts w:ascii="宋体"/>
      <w:kern w:val="0"/>
      <w:sz w:val="24"/>
      <w:szCs w:val="20"/>
    </w:rPr>
  </w:style>
  <w:style w:type="paragraph" w:customStyle="1" w:styleId="245">
    <w:name w:val="xl100"/>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6">
    <w:name w:val="xl29"/>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47">
    <w:name w:val="样式2"/>
    <w:basedOn w:val="1"/>
    <w:qFormat/>
    <w:uiPriority w:val="99"/>
    <w:pPr>
      <w:tabs>
        <w:tab w:val="left" w:pos="360"/>
      </w:tabs>
      <w:spacing w:line="360" w:lineRule="auto"/>
      <w:ind w:firstLine="174" w:firstLineChars="174"/>
      <w:jc w:val="left"/>
    </w:pPr>
    <w:rPr>
      <w:rFonts w:eastAsia="楷体_GB2312"/>
      <w:sz w:val="24"/>
      <w:szCs w:val="28"/>
    </w:rPr>
  </w:style>
  <w:style w:type="paragraph" w:customStyle="1" w:styleId="248">
    <w:name w:val="xl94"/>
    <w:basedOn w:val="1"/>
    <w:qFormat/>
    <w:uiPriority w:val="99"/>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249">
    <w:name w:val="样式 标题 2 + 段前: 0.5 行 段后: 0.5 行"/>
    <w:basedOn w:val="4"/>
    <w:qFormat/>
    <w:uiPriority w:val="99"/>
    <w:pPr>
      <w:tabs>
        <w:tab w:val="left" w:pos="1320"/>
      </w:tabs>
      <w:spacing w:beforeLines="50" w:afterLines="50" w:line="360" w:lineRule="auto"/>
      <w:jc w:val="left"/>
    </w:pPr>
    <w:rPr>
      <w:rFonts w:cs="宋体"/>
      <w:b w:val="0"/>
      <w:szCs w:val="20"/>
    </w:rPr>
  </w:style>
  <w:style w:type="paragraph" w:customStyle="1" w:styleId="250">
    <w:name w:val="正文1"/>
    <w:basedOn w:val="1"/>
    <w:qFormat/>
    <w:uiPriority w:val="99"/>
    <w:pPr>
      <w:spacing w:line="360" w:lineRule="auto"/>
      <w:ind w:firstLine="200" w:firstLineChars="200"/>
    </w:pPr>
  </w:style>
  <w:style w:type="paragraph" w:customStyle="1" w:styleId="251">
    <w:name w:val="xl41"/>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52">
    <w:name w:val="xl50"/>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53">
    <w:name w:val="小标题 1"/>
    <w:basedOn w:val="1"/>
    <w:qFormat/>
    <w:uiPriority w:val="99"/>
    <w:pPr>
      <w:autoSpaceDE w:val="0"/>
      <w:autoSpaceDN w:val="0"/>
      <w:adjustRightInd w:val="0"/>
      <w:spacing w:line="360" w:lineRule="atLeast"/>
    </w:pPr>
    <w:rPr>
      <w:rFonts w:ascii="文鼎粗黑" w:eastAsia="文鼎粗黑"/>
      <w:kern w:val="0"/>
      <w:sz w:val="22"/>
      <w:szCs w:val="20"/>
    </w:rPr>
  </w:style>
  <w:style w:type="paragraph" w:customStyle="1" w:styleId="254">
    <w:name w:val="xl119"/>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55">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56">
    <w:name w:val="xl39"/>
    <w:basedOn w:val="1"/>
    <w:qFormat/>
    <w:uiPriority w:val="99"/>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57">
    <w:name w:val="样式 标题 6 + 段前: 0.5 行 段后: 0.5 行"/>
    <w:basedOn w:val="8"/>
    <w:qFormat/>
    <w:uiPriority w:val="99"/>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258">
    <w:name w:val="xl98"/>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9">
    <w:name w:val="标准"/>
    <w:basedOn w:val="1"/>
    <w:qFormat/>
    <w:uiPriority w:val="99"/>
    <w:pPr>
      <w:autoSpaceDE w:val="0"/>
      <w:autoSpaceDN w:val="0"/>
      <w:adjustRightInd w:val="0"/>
      <w:ind w:firstLine="600"/>
      <w:textAlignment w:val="baseline"/>
    </w:pPr>
    <w:rPr>
      <w:kern w:val="0"/>
      <w:sz w:val="28"/>
      <w:szCs w:val="20"/>
    </w:rPr>
  </w:style>
  <w:style w:type="paragraph" w:customStyle="1" w:styleId="260">
    <w:name w:val="项目编号2级"/>
    <w:basedOn w:val="219"/>
    <w:qFormat/>
    <w:uiPriority w:val="99"/>
  </w:style>
  <w:style w:type="paragraph" w:customStyle="1" w:styleId="261">
    <w:name w:val="标题3"/>
    <w:basedOn w:val="1"/>
    <w:qFormat/>
    <w:uiPriority w:val="99"/>
    <w:pPr>
      <w:spacing w:beforeLines="50" w:afterLines="50" w:line="300" w:lineRule="exact"/>
    </w:pPr>
    <w:rPr>
      <w:b/>
      <w:bCs/>
    </w:rPr>
  </w:style>
  <w:style w:type="paragraph" w:customStyle="1" w:styleId="262">
    <w:name w:val="xl11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3">
    <w:name w:val="书目1"/>
    <w:basedOn w:val="1"/>
    <w:next w:val="1"/>
    <w:qFormat/>
    <w:uiPriority w:val="99"/>
    <w:pPr>
      <w:spacing w:line="360" w:lineRule="auto"/>
      <w:ind w:firstLine="200" w:firstLineChars="200"/>
      <w:jc w:val="left"/>
    </w:pPr>
    <w:rPr>
      <w:sz w:val="24"/>
    </w:rPr>
  </w:style>
  <w:style w:type="paragraph" w:customStyle="1" w:styleId="264">
    <w:name w:val="正文居中小5"/>
    <w:basedOn w:val="1"/>
    <w:qFormat/>
    <w:uiPriority w:val="99"/>
    <w:pPr>
      <w:spacing w:line="360" w:lineRule="auto"/>
      <w:jc w:val="center"/>
    </w:pPr>
    <w:rPr>
      <w:rFonts w:ascii="Arial" w:hAnsi="Arial"/>
      <w:sz w:val="18"/>
    </w:rPr>
  </w:style>
  <w:style w:type="paragraph" w:customStyle="1" w:styleId="265">
    <w:name w:val="样式 样式 标题 + 段前: 0.5 行 段后: 0.5 行 + 段前: 0.5 行 段后: 0.5 行"/>
    <w:basedOn w:val="239"/>
    <w:qFormat/>
    <w:uiPriority w:val="99"/>
    <w:pPr>
      <w:spacing w:beforeLines="50" w:afterLines="50" w:line="360" w:lineRule="auto"/>
    </w:pPr>
    <w:rPr>
      <w:rFonts w:eastAsia="黑体" w:cs="宋体"/>
      <w:sz w:val="72"/>
      <w:szCs w:val="20"/>
      <w:u w:val="double"/>
    </w:rPr>
  </w:style>
  <w:style w:type="paragraph" w:customStyle="1" w:styleId="266">
    <w:name w:val="Char111"/>
    <w:basedOn w:val="1"/>
    <w:qFormat/>
    <w:uiPriority w:val="99"/>
  </w:style>
  <w:style w:type="paragraph" w:customStyle="1" w:styleId="267">
    <w:name w:val="xl10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68">
    <w:name w:val="xl97"/>
    <w:basedOn w:val="1"/>
    <w:qFormat/>
    <w:uiPriority w:val="99"/>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269">
    <w:name w:val="Figure Description"/>
    <w:basedOn w:val="1"/>
    <w:next w:val="169"/>
    <w:qFormat/>
    <w:uiPriority w:val="99"/>
    <w:pPr>
      <w:keepNext/>
      <w:keepLines/>
      <w:spacing w:afterLines="100" w:line="360" w:lineRule="auto"/>
      <w:jc w:val="center"/>
    </w:pPr>
    <w:rPr>
      <w:rFonts w:ascii="Tahoma" w:hAnsi="Tahoma"/>
      <w:sz w:val="24"/>
    </w:rPr>
  </w:style>
  <w:style w:type="paragraph" w:customStyle="1" w:styleId="270">
    <w:name w:val="lgh排序1"/>
    <w:basedOn w:val="32"/>
    <w:qFormat/>
    <w:uiPriority w:val="99"/>
    <w:pPr>
      <w:tabs>
        <w:tab w:val="left" w:pos="360"/>
      </w:tabs>
      <w:spacing w:line="360" w:lineRule="auto"/>
      <w:ind w:firstLine="480" w:firstLineChars="200"/>
    </w:pPr>
    <w:rPr>
      <w:rFonts w:hAnsi="宋体"/>
      <w:sz w:val="24"/>
    </w:rPr>
  </w:style>
  <w:style w:type="paragraph" w:customStyle="1" w:styleId="271">
    <w:name w:val="Char21"/>
    <w:basedOn w:val="1"/>
    <w:qFormat/>
    <w:uiPriority w:val="99"/>
  </w:style>
  <w:style w:type="paragraph" w:customStyle="1" w:styleId="272">
    <w:name w:val="xl10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73">
    <w:name w:val="biaoti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4">
    <w:name w:val="xl76"/>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5">
    <w:name w:val="text_12_subject"/>
    <w:basedOn w:val="1"/>
    <w:qFormat/>
    <w:uiPriority w:val="99"/>
    <w:pPr>
      <w:widowControl/>
      <w:spacing w:before="100" w:beforeAutospacing="1" w:after="100" w:afterAutospacing="1"/>
      <w:jc w:val="left"/>
    </w:pPr>
    <w:rPr>
      <w:rFonts w:ascii="??" w:hAnsi="??" w:cs="宋体"/>
      <w:b/>
      <w:bCs/>
      <w:color w:val="006699"/>
      <w:kern w:val="0"/>
      <w:sz w:val="18"/>
      <w:szCs w:val="18"/>
    </w:rPr>
  </w:style>
  <w:style w:type="paragraph" w:customStyle="1" w:styleId="276">
    <w:name w:val="xl8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77">
    <w:name w:val="style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8">
    <w:name w:val="正文居中"/>
    <w:basedOn w:val="1"/>
    <w:next w:val="35"/>
    <w:qFormat/>
    <w:uiPriority w:val="99"/>
    <w:pPr>
      <w:adjustRightInd w:val="0"/>
      <w:snapToGrid w:val="0"/>
      <w:ind w:firstLine="480" w:firstLineChars="200"/>
    </w:pPr>
    <w:rPr>
      <w:rFonts w:ascii="宋体" w:hAnsi="宋体"/>
      <w:sz w:val="24"/>
    </w:rPr>
  </w:style>
  <w:style w:type="paragraph" w:customStyle="1" w:styleId="279">
    <w:name w:val="表格正文2"/>
    <w:basedOn w:val="1"/>
    <w:qFormat/>
    <w:uiPriority w:val="99"/>
    <w:pPr>
      <w:adjustRightInd w:val="0"/>
      <w:snapToGrid w:val="0"/>
      <w:spacing w:line="400" w:lineRule="atLeast"/>
      <w:jc w:val="left"/>
    </w:pPr>
    <w:rPr>
      <w:sz w:val="24"/>
      <w:szCs w:val="20"/>
    </w:rPr>
  </w:style>
  <w:style w:type="paragraph" w:customStyle="1" w:styleId="280">
    <w:name w:val="复选框1"/>
    <w:basedOn w:val="1"/>
    <w:qFormat/>
    <w:uiPriority w:val="99"/>
    <w:pPr>
      <w:widowControl/>
      <w:spacing w:before="360" w:after="360"/>
      <w:jc w:val="left"/>
    </w:pPr>
    <w:rPr>
      <w:kern w:val="0"/>
      <w:sz w:val="20"/>
      <w:szCs w:val="20"/>
    </w:rPr>
  </w:style>
  <w:style w:type="paragraph" w:customStyle="1" w:styleId="281">
    <w:name w:val="xl1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2">
    <w:name w:val="xl47"/>
    <w:basedOn w:val="1"/>
    <w:qFormat/>
    <w:uiPriority w:val="99"/>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283">
    <w:name w:val="样式4"/>
    <w:basedOn w:val="1"/>
    <w:qFormat/>
    <w:uiPriority w:val="99"/>
    <w:pPr>
      <w:tabs>
        <w:tab w:val="left" w:pos="420"/>
      </w:tabs>
      <w:spacing w:line="440" w:lineRule="exact"/>
      <w:ind w:left="420" w:hanging="420"/>
      <w:jc w:val="left"/>
    </w:pPr>
    <w:rPr>
      <w:rFonts w:eastAsia="楷体_GB2312"/>
      <w:b/>
      <w:sz w:val="24"/>
    </w:rPr>
  </w:style>
  <w:style w:type="paragraph" w:customStyle="1" w:styleId="284">
    <w:name w:val="样式 标题 1 + 段前: 0.5 行 段后: 0.5 行"/>
    <w:basedOn w:val="3"/>
    <w:qFormat/>
    <w:uiPriority w:val="99"/>
    <w:pPr>
      <w:pageBreakBefore/>
      <w:widowControl w:val="0"/>
      <w:tabs>
        <w:tab w:val="left" w:pos="840"/>
      </w:tabs>
      <w:spacing w:beforeLines="50" w:afterLines="50" w:line="480" w:lineRule="auto"/>
      <w:ind w:left="840" w:hanging="360"/>
    </w:pPr>
    <w:rPr>
      <w:rFonts w:eastAsia="黑体" w:cs="宋体"/>
      <w:b w:val="0"/>
      <w:szCs w:val="20"/>
    </w:rPr>
  </w:style>
  <w:style w:type="paragraph" w:customStyle="1" w:styleId="285">
    <w:name w:val="xl1065"/>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86">
    <w:name w:val="font9"/>
    <w:basedOn w:val="1"/>
    <w:qFormat/>
    <w:uiPriority w:val="99"/>
    <w:pPr>
      <w:widowControl/>
      <w:spacing w:before="100" w:beforeAutospacing="1" w:after="100" w:afterAutospacing="1"/>
      <w:jc w:val="left"/>
    </w:pPr>
    <w:rPr>
      <w:rFonts w:eastAsia="Arial Unicode MS"/>
      <w:b/>
      <w:bCs/>
      <w:kern w:val="0"/>
      <w:sz w:val="32"/>
      <w:szCs w:val="32"/>
    </w:rPr>
  </w:style>
  <w:style w:type="paragraph" w:customStyle="1" w:styleId="287">
    <w:name w:val="文档结构图1"/>
    <w:basedOn w:val="1"/>
    <w:qFormat/>
    <w:uiPriority w:val="99"/>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88">
    <w:name w:val="xl31"/>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289">
    <w:name w:val="Char Char Char1 Char"/>
    <w:basedOn w:val="21"/>
    <w:qFormat/>
    <w:uiPriority w:val="99"/>
    <w:pPr>
      <w:adjustRightInd w:val="0"/>
      <w:spacing w:line="436" w:lineRule="exact"/>
      <w:ind w:left="357"/>
      <w:jc w:val="left"/>
      <w:outlineLvl w:val="3"/>
    </w:pPr>
    <w:rPr>
      <w:kern w:val="0"/>
      <w:sz w:val="20"/>
      <w:szCs w:val="20"/>
    </w:rPr>
  </w:style>
  <w:style w:type="paragraph" w:customStyle="1" w:styleId="290">
    <w:name w:val="Body Text 21"/>
    <w:basedOn w:val="1"/>
    <w:qFormat/>
    <w:uiPriority w:val="99"/>
    <w:pPr>
      <w:adjustRightInd w:val="0"/>
      <w:spacing w:line="240" w:lineRule="exact"/>
      <w:textAlignment w:val="baseline"/>
    </w:pPr>
    <w:rPr>
      <w:rFonts w:ascii="宋体"/>
      <w:kern w:val="0"/>
      <w:sz w:val="18"/>
      <w:szCs w:val="20"/>
    </w:rPr>
  </w:style>
  <w:style w:type="paragraph" w:customStyle="1" w:styleId="291">
    <w:name w:val="xl109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2">
    <w:name w:val="样式 样式 标题 2 + 段前: 0.5 行 段后: 0.5 行2 + 段前: 0.5 行 段后: 0.5 行"/>
    <w:basedOn w:val="293"/>
    <w:qFormat/>
    <w:uiPriority w:val="99"/>
    <w:pPr>
      <w:tabs>
        <w:tab w:val="left" w:pos="1320"/>
      </w:tabs>
    </w:pPr>
    <w:rPr>
      <w:b w:val="0"/>
    </w:rPr>
  </w:style>
  <w:style w:type="paragraph" w:customStyle="1" w:styleId="293">
    <w:name w:val="样式 标题 2 + 段前: 0.5 行 段后: 0.5 行2"/>
    <w:basedOn w:val="4"/>
    <w:qFormat/>
    <w:uiPriority w:val="99"/>
    <w:pPr>
      <w:tabs>
        <w:tab w:val="left" w:pos="1320"/>
      </w:tabs>
      <w:spacing w:beforeLines="50" w:afterLines="50" w:line="360" w:lineRule="auto"/>
      <w:jc w:val="left"/>
    </w:pPr>
    <w:rPr>
      <w:rFonts w:cs="宋体"/>
      <w:sz w:val="36"/>
      <w:szCs w:val="20"/>
    </w:rPr>
  </w:style>
  <w:style w:type="paragraph" w:customStyle="1" w:styleId="294">
    <w:name w:val="正文文本 21"/>
    <w:basedOn w:val="1"/>
    <w:qFormat/>
    <w:uiPriority w:val="99"/>
    <w:pPr>
      <w:adjustRightInd w:val="0"/>
      <w:spacing w:line="312" w:lineRule="atLeast"/>
      <w:ind w:firstLine="600"/>
      <w:textAlignment w:val="baseline"/>
    </w:pPr>
    <w:rPr>
      <w:rFonts w:ascii="宋体"/>
      <w:kern w:val="0"/>
      <w:sz w:val="28"/>
      <w:szCs w:val="20"/>
    </w:rPr>
  </w:style>
  <w:style w:type="paragraph" w:customStyle="1" w:styleId="295">
    <w:name w:val="Char2"/>
    <w:basedOn w:val="1"/>
    <w:qFormat/>
    <w:uiPriority w:val="99"/>
    <w:pPr>
      <w:jc w:val="center"/>
    </w:pPr>
    <w:rPr>
      <w:rFonts w:ascii="宋体" w:hAnsi="宋体"/>
      <w:b/>
      <w:szCs w:val="21"/>
    </w:rPr>
  </w:style>
  <w:style w:type="paragraph" w:customStyle="1" w:styleId="296">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7">
    <w:name w:val="英文标号正文"/>
    <w:basedOn w:val="1"/>
    <w:qFormat/>
    <w:uiPriority w:val="99"/>
    <w:pPr>
      <w:widowControl/>
      <w:tabs>
        <w:tab w:val="left" w:pos="425"/>
        <w:tab w:val="left" w:pos="1620"/>
      </w:tabs>
      <w:autoSpaceDE w:val="0"/>
      <w:autoSpaceDN w:val="0"/>
      <w:ind w:left="1620" w:leftChars="600" w:hanging="360" w:hangingChars="200"/>
    </w:pPr>
    <w:rPr>
      <w:kern w:val="0"/>
      <w:sz w:val="24"/>
      <w:szCs w:val="20"/>
    </w:rPr>
  </w:style>
  <w:style w:type="paragraph" w:customStyle="1" w:styleId="298">
    <w:name w:val="xl91"/>
    <w:basedOn w:val="1"/>
    <w:qFormat/>
    <w:uiPriority w:val="99"/>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99">
    <w:name w:val="font0"/>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300">
    <w:name w:val="xl10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1">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2">
    <w:name w:val="xl103"/>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3">
    <w:name w:val="样式 标题 3H3h3h31第二层条3Bold Headbh章标题1小标题level_3PIM 3Lev..."/>
    <w:basedOn w:val="5"/>
    <w:qFormat/>
    <w:uiPriority w:val="99"/>
    <w:pPr>
      <w:tabs>
        <w:tab w:val="left" w:pos="1931"/>
      </w:tabs>
      <w:spacing w:before="156" w:after="156" w:line="360" w:lineRule="auto"/>
      <w:ind w:left="1418" w:hanging="567"/>
    </w:pPr>
    <w:rPr>
      <w:rFonts w:eastAsia="楷体_GB2312" w:cs="宋体"/>
      <w:sz w:val="44"/>
      <w:szCs w:val="20"/>
    </w:rPr>
  </w:style>
  <w:style w:type="paragraph" w:customStyle="1" w:styleId="304">
    <w:name w:val="样式 标题 4 + 段前: 0.5 行 段后: 0.5 行1"/>
    <w:basedOn w:val="6"/>
    <w:qFormat/>
    <w:uiPriority w:val="99"/>
    <w:pPr>
      <w:tabs>
        <w:tab w:val="left" w:pos="864"/>
      </w:tabs>
      <w:autoSpaceDE w:val="0"/>
      <w:spacing w:beforeLines="50" w:afterLines="50" w:line="360" w:lineRule="auto"/>
      <w:ind w:left="864" w:hanging="864"/>
    </w:pPr>
    <w:rPr>
      <w:rFonts w:ascii="仿宋_GB2312" w:eastAsia="仿宋_GB2312" w:cs="宋体"/>
      <w:sz w:val="30"/>
      <w:szCs w:val="20"/>
    </w:rPr>
  </w:style>
  <w:style w:type="paragraph" w:customStyle="1" w:styleId="305">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30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307">
    <w:name w:val="font7"/>
    <w:basedOn w:val="1"/>
    <w:qFormat/>
    <w:uiPriority w:val="99"/>
    <w:pPr>
      <w:widowControl/>
      <w:spacing w:before="100" w:beforeAutospacing="1" w:after="100" w:afterAutospacing="1"/>
      <w:jc w:val="left"/>
    </w:pPr>
    <w:rPr>
      <w:rFonts w:ascii="宋体" w:hAnsi="宋体" w:cs="Arial Unicode MS"/>
      <w:kern w:val="0"/>
      <w:sz w:val="28"/>
      <w:szCs w:val="28"/>
    </w:rPr>
  </w:style>
  <w:style w:type="paragraph" w:customStyle="1" w:styleId="308">
    <w:name w:val="样式 标题 1H1Header1h1标题4L1bocLevel 1 Topic Heading标书1Secti..."/>
    <w:basedOn w:val="3"/>
    <w:qFormat/>
    <w:uiPriority w:val="99"/>
    <w:pPr>
      <w:pageBreakBefore/>
      <w:widowControl w:val="0"/>
      <w:tabs>
        <w:tab w:val="left" w:pos="425"/>
      </w:tabs>
      <w:spacing w:before="100" w:beforeAutospacing="1" w:afterLines="100" w:line="360" w:lineRule="auto"/>
      <w:ind w:left="425" w:hanging="425"/>
    </w:pPr>
    <w:rPr>
      <w:rFonts w:eastAsia="黑体" w:cs="宋体"/>
      <w:szCs w:val="20"/>
    </w:rPr>
  </w:style>
  <w:style w:type="paragraph" w:customStyle="1" w:styleId="309">
    <w:name w:val="Table Description"/>
    <w:next w:val="1"/>
    <w:qFormat/>
    <w:uiPriority w:val="99"/>
    <w:pPr>
      <w:keepNext/>
      <w:snapToGrid w:val="0"/>
      <w:spacing w:before="160" w:after="80"/>
      <w:ind w:left="1038"/>
      <w:jc w:val="center"/>
    </w:pPr>
    <w:rPr>
      <w:rFonts w:ascii="Arial" w:hAnsi="Arial" w:eastAsia="黑体" w:cs="Times New Roman"/>
      <w:sz w:val="18"/>
      <w:lang w:val="en-US" w:eastAsia="zh-CN" w:bidi="ar-SA"/>
    </w:rPr>
  </w:style>
  <w:style w:type="paragraph" w:customStyle="1" w:styleId="310">
    <w:name w:val="注×："/>
    <w:qFormat/>
    <w:uiPriority w:val="99"/>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311">
    <w:name w:val="xl1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2">
    <w:name w:val="小四 段落 宋体 Char Char Char"/>
    <w:basedOn w:val="16"/>
    <w:qFormat/>
    <w:uiPriority w:val="99"/>
    <w:pPr>
      <w:tabs>
        <w:tab w:val="clear" w:pos="567"/>
      </w:tabs>
      <w:spacing w:line="360" w:lineRule="auto"/>
      <w:ind w:left="0" w:right="-33" w:firstLine="480" w:firstLineChars="200"/>
      <w:jc w:val="left"/>
    </w:pPr>
    <w:rPr>
      <w:rFonts w:ascii="Times New Roman" w:hAnsi="Times New Roman"/>
      <w:sz w:val="24"/>
      <w:szCs w:val="20"/>
    </w:rPr>
  </w:style>
  <w:style w:type="paragraph" w:customStyle="1" w:styleId="313">
    <w:name w:val="xl40"/>
    <w:basedOn w:val="1"/>
    <w:qFormat/>
    <w:uiPriority w:val="99"/>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1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5">
    <w:name w:val="xl8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6">
    <w:name w:val="size12"/>
    <w:basedOn w:val="1"/>
    <w:qFormat/>
    <w:uiPriority w:val="99"/>
    <w:pPr>
      <w:widowControl/>
      <w:spacing w:before="100" w:beforeAutospacing="1" w:after="100" w:afterAutospacing="1" w:line="360" w:lineRule="auto"/>
      <w:jc w:val="left"/>
    </w:pPr>
    <w:rPr>
      <w:color w:val="000000"/>
      <w:kern w:val="0"/>
      <w:sz w:val="20"/>
      <w:szCs w:val="20"/>
    </w:rPr>
  </w:style>
  <w:style w:type="paragraph" w:customStyle="1" w:styleId="317">
    <w:name w:val="xl57"/>
    <w:basedOn w:val="1"/>
    <w:qFormat/>
    <w:uiPriority w:val="99"/>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18">
    <w:name w:val="xl10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19">
    <w:name w:val="È¡ÀÊ¡ÎÄ¡À¾"/>
    <w:basedOn w:val="1"/>
    <w:qFormat/>
    <w:uiPriority w:val="99"/>
    <w:pPr>
      <w:widowControl/>
      <w:overflowPunct w:val="0"/>
      <w:autoSpaceDE w:val="0"/>
      <w:autoSpaceDN w:val="0"/>
      <w:adjustRightInd w:val="0"/>
      <w:jc w:val="left"/>
      <w:textAlignment w:val="baseline"/>
    </w:pPr>
    <w:rPr>
      <w:kern w:val="0"/>
      <w:sz w:val="24"/>
      <w:szCs w:val="20"/>
    </w:rPr>
  </w:style>
  <w:style w:type="paragraph" w:customStyle="1" w:styleId="320">
    <w:name w:val="正文2"/>
    <w:qFormat/>
    <w:uiPriority w:val="99"/>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21">
    <w:name w:val="xl10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22">
    <w:name w:val="xl61"/>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323">
    <w:name w:val="样式 标题 2（x.x）节二级标题H2h2h212Header 2l2Level 2 HeadH2norm..."/>
    <w:basedOn w:val="4"/>
    <w:qFormat/>
    <w:uiPriority w:val="99"/>
    <w:pPr>
      <w:tabs>
        <w:tab w:val="left" w:pos="992"/>
      </w:tabs>
      <w:spacing w:before="100" w:beforeAutospacing="1"/>
      <w:ind w:left="992" w:hanging="567"/>
      <w:jc w:val="left"/>
    </w:pPr>
    <w:rPr>
      <w:rFonts w:eastAsia="楷体_GB2312" w:cs="宋体"/>
      <w:sz w:val="36"/>
      <w:szCs w:val="20"/>
    </w:rPr>
  </w:style>
  <w:style w:type="paragraph" w:customStyle="1" w:styleId="324">
    <w:name w:val="Document Map1"/>
    <w:basedOn w:val="1"/>
    <w:qFormat/>
    <w:uiPriority w:val="99"/>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25">
    <w:name w:val="xl1090"/>
    <w:basedOn w:val="1"/>
    <w:qFormat/>
    <w:uiPriority w:val="99"/>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26">
    <w:name w:val="xl86"/>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7">
    <w:name w:val="xl11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8">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329">
    <w:name w:val="Absatz2AL"/>
    <w:basedOn w:val="2"/>
    <w:next w:val="1"/>
    <w:qFormat/>
    <w:uiPriority w:val="99"/>
    <w:pPr>
      <w:overflowPunct w:val="0"/>
      <w:autoSpaceDE w:val="0"/>
      <w:autoSpaceDN w:val="0"/>
      <w:adjustRightInd w:val="0"/>
      <w:jc w:val="both"/>
      <w:textAlignment w:val="baseline"/>
    </w:pPr>
    <w:rPr>
      <w:rFonts w:eastAsia="楷体_GB2312"/>
    </w:rPr>
  </w:style>
  <w:style w:type="paragraph" w:customStyle="1" w:styleId="330">
    <w:name w:val="Item Step in Table"/>
    <w:basedOn w:val="1"/>
    <w:qFormat/>
    <w:uiPriority w:val="99"/>
    <w:pPr>
      <w:tabs>
        <w:tab w:val="left" w:pos="420"/>
      </w:tabs>
      <w:ind w:left="420" w:hanging="420"/>
      <w:jc w:val="left"/>
    </w:pPr>
    <w:rPr>
      <w:rFonts w:ascii="Tahoma" w:hAnsi="Tahoma"/>
      <w:sz w:val="28"/>
      <w:szCs w:val="21"/>
    </w:rPr>
  </w:style>
  <w:style w:type="paragraph" w:customStyle="1" w:styleId="331">
    <w:name w:val="WPS Plain"/>
    <w:qFormat/>
    <w:uiPriority w:val="99"/>
    <w:rPr>
      <w:rFonts w:ascii="Times New Roman" w:hAnsi="Times New Roman" w:eastAsia="宋体" w:cs="Times New Roman"/>
      <w:lang w:val="en-US" w:eastAsia="zh-CN" w:bidi="ar-SA"/>
    </w:rPr>
  </w:style>
  <w:style w:type="paragraph" w:customStyle="1" w:styleId="332">
    <w:name w:val="xl120"/>
    <w:basedOn w:val="1"/>
    <w:qFormat/>
    <w:uiPriority w:val="99"/>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33">
    <w:name w:val="Char Char Char Char1"/>
    <w:basedOn w:val="1"/>
    <w:qFormat/>
    <w:uiPriority w:val="99"/>
    <w:rPr>
      <w:rFonts w:ascii="仿宋_GB2312" w:eastAsia="仿宋_GB2312"/>
      <w:b/>
      <w:sz w:val="32"/>
      <w:szCs w:val="32"/>
    </w:rPr>
  </w:style>
  <w:style w:type="paragraph" w:customStyle="1" w:styleId="334">
    <w:name w:val="样式 标题 3 + 段前: 0.5 行 段后: 0.5 行"/>
    <w:basedOn w:val="5"/>
    <w:qFormat/>
    <w:uiPriority w:val="99"/>
    <w:pPr>
      <w:tabs>
        <w:tab w:val="left" w:pos="720"/>
      </w:tabs>
      <w:spacing w:before="100" w:beforeAutospacing="1" w:after="100" w:afterAutospacing="1" w:line="360" w:lineRule="auto"/>
    </w:pPr>
    <w:rPr>
      <w:rFonts w:ascii="Arial" w:hAnsi="Arial" w:eastAsia="黑体" w:cs="宋体"/>
      <w:b w:val="0"/>
      <w:sz w:val="28"/>
      <w:szCs w:val="20"/>
    </w:rPr>
  </w:style>
  <w:style w:type="paragraph" w:customStyle="1" w:styleId="335">
    <w:name w:val="xl10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36">
    <w:name w:val="xl64"/>
    <w:basedOn w:val="1"/>
    <w:qFormat/>
    <w:uiPriority w:val="99"/>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337">
    <w:name w:val="xl1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38">
    <w:name w:val="xl23"/>
    <w:basedOn w:val="1"/>
    <w:qFormat/>
    <w:uiPriority w:val="99"/>
    <w:pPr>
      <w:widowControl/>
      <w:spacing w:before="100" w:beforeAutospacing="1" w:after="100" w:afterAutospacing="1"/>
      <w:jc w:val="center"/>
    </w:pPr>
    <w:rPr>
      <w:rFonts w:eastAsia="Arial Unicode MS"/>
      <w:kern w:val="0"/>
      <w:szCs w:val="21"/>
    </w:rPr>
  </w:style>
  <w:style w:type="paragraph" w:customStyle="1" w:styleId="339">
    <w:name w:val="首行缩进:  2 字符2"/>
    <w:basedOn w:val="1"/>
    <w:qFormat/>
    <w:uiPriority w:val="99"/>
    <w:pPr>
      <w:adjustRightInd w:val="0"/>
      <w:snapToGrid w:val="0"/>
      <w:spacing w:line="360" w:lineRule="auto"/>
      <w:ind w:firstLine="480" w:firstLineChars="200"/>
    </w:pPr>
    <w:rPr>
      <w:rFonts w:ascii="宋体" w:hAnsi="宋体" w:cs="宋体"/>
      <w:sz w:val="24"/>
    </w:rPr>
  </w:style>
  <w:style w:type="paragraph" w:customStyle="1" w:styleId="340">
    <w:name w:val="CM3"/>
    <w:basedOn w:val="126"/>
    <w:next w:val="126"/>
    <w:qFormat/>
    <w:uiPriority w:val="99"/>
    <w:pPr>
      <w:spacing w:line="626" w:lineRule="atLeast"/>
    </w:pPr>
    <w:rPr>
      <w:rFonts w:ascii=".a..DD.." w:hAnsi="Times New Roman" w:eastAsia=".a..DD.." w:cs="Times New Roman"/>
      <w:color w:val="auto"/>
    </w:rPr>
  </w:style>
  <w:style w:type="paragraph" w:customStyle="1" w:styleId="341">
    <w:name w:val="xl1085"/>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2">
    <w:name w:val="Figure"/>
    <w:basedOn w:val="1"/>
    <w:next w:val="269"/>
    <w:qFormat/>
    <w:uiPriority w:val="99"/>
    <w:pPr>
      <w:keepNext/>
      <w:ind w:left="1701"/>
    </w:pPr>
  </w:style>
  <w:style w:type="paragraph" w:customStyle="1" w:styleId="343">
    <w:name w:val="项目编号一级"/>
    <w:basedOn w:val="1"/>
    <w:qFormat/>
    <w:uiPriority w:val="99"/>
    <w:pPr>
      <w:tabs>
        <w:tab w:val="left" w:pos="900"/>
      </w:tabs>
      <w:spacing w:line="360" w:lineRule="auto"/>
      <w:ind w:left="900" w:hanging="420"/>
    </w:pPr>
  </w:style>
  <w:style w:type="paragraph" w:customStyle="1" w:styleId="344">
    <w:name w:val="xl1097"/>
    <w:basedOn w:val="1"/>
    <w:qFormat/>
    <w:uiPriority w:val="99"/>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45">
    <w:name w:val="四级条标题"/>
    <w:basedOn w:val="346"/>
    <w:next w:val="1"/>
    <w:qFormat/>
    <w:uiPriority w:val="99"/>
    <w:pPr>
      <w:outlineLvl w:val="5"/>
    </w:pPr>
  </w:style>
  <w:style w:type="paragraph" w:customStyle="1" w:styleId="346">
    <w:name w:val="三级条标题"/>
    <w:basedOn w:val="347"/>
    <w:next w:val="1"/>
    <w:qFormat/>
    <w:uiPriority w:val="99"/>
    <w:pPr>
      <w:outlineLvl w:val="4"/>
    </w:pPr>
  </w:style>
  <w:style w:type="paragraph" w:customStyle="1" w:styleId="347">
    <w:name w:val="二级条标题"/>
    <w:basedOn w:val="221"/>
    <w:next w:val="1"/>
    <w:qFormat/>
    <w:uiPriority w:val="99"/>
    <w:pPr>
      <w:outlineLvl w:val="3"/>
    </w:pPr>
  </w:style>
  <w:style w:type="paragraph" w:customStyle="1" w:styleId="348">
    <w:name w:val="Char"/>
    <w:basedOn w:val="1"/>
    <w:qFormat/>
    <w:uiPriority w:val="99"/>
    <w:rPr>
      <w:rFonts w:ascii="Tahoma" w:hAnsi="Tahoma" w:cs="仿宋_GB2312"/>
      <w:sz w:val="24"/>
      <w:szCs w:val="28"/>
    </w:rPr>
  </w:style>
  <w:style w:type="paragraph" w:customStyle="1" w:styleId="349">
    <w:name w:val="样式 标题 4 + 段前: 0.5 行 段后: 0.5 行"/>
    <w:basedOn w:val="6"/>
    <w:qFormat/>
    <w:uiPriority w:val="99"/>
    <w:pPr>
      <w:tabs>
        <w:tab w:val="left" w:pos="360"/>
        <w:tab w:val="left" w:pos="1620"/>
      </w:tabs>
      <w:spacing w:before="100" w:beforeAutospacing="1" w:after="100" w:afterAutospacing="1" w:line="360" w:lineRule="auto"/>
      <w:ind w:left="1620" w:leftChars="600" w:hanging="360" w:hangingChars="200"/>
    </w:pPr>
    <w:rPr>
      <w:rFonts w:cs="宋体"/>
      <w:b w:val="0"/>
      <w:sz w:val="24"/>
      <w:szCs w:val="20"/>
    </w:rPr>
  </w:style>
  <w:style w:type="paragraph" w:customStyle="1" w:styleId="350">
    <w:name w:val="font5"/>
    <w:basedOn w:val="1"/>
    <w:qFormat/>
    <w:uiPriority w:val="99"/>
    <w:pPr>
      <w:widowControl/>
      <w:spacing w:before="100" w:beforeAutospacing="1" w:after="100" w:afterAutospacing="1"/>
      <w:jc w:val="left"/>
    </w:pPr>
    <w:rPr>
      <w:rFonts w:ascii="宋体" w:hAnsi="宋体" w:cs="Arial Unicode MS"/>
      <w:kern w:val="0"/>
      <w:sz w:val="18"/>
      <w:szCs w:val="18"/>
    </w:rPr>
  </w:style>
  <w:style w:type="paragraph" w:customStyle="1" w:styleId="351">
    <w:name w:val="正文(单倍行距)"/>
    <w:basedOn w:val="1"/>
    <w:qFormat/>
    <w:uiPriority w:val="99"/>
    <w:pPr>
      <w:adjustRightInd w:val="0"/>
      <w:snapToGrid w:val="0"/>
      <w:jc w:val="center"/>
    </w:pPr>
  </w:style>
  <w:style w:type="paragraph" w:customStyle="1" w:styleId="352">
    <w:name w:val="xl44"/>
    <w:basedOn w:val="1"/>
    <w:qFormat/>
    <w:uiPriority w:val="99"/>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53">
    <w:name w:val="xl68"/>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354">
    <w:name w:val="样式 首行缩进:  0.85 厘米 段前: 2.5 磅 段后: 6 磅 行距: 1.5 倍行距"/>
    <w:basedOn w:val="1"/>
    <w:qFormat/>
    <w:uiPriority w:val="99"/>
    <w:pPr>
      <w:spacing w:before="50" w:after="120" w:line="360" w:lineRule="auto"/>
      <w:ind w:firstLine="480"/>
    </w:pPr>
    <w:rPr>
      <w:rFonts w:cs="宋体"/>
      <w:sz w:val="24"/>
      <w:szCs w:val="20"/>
    </w:rPr>
  </w:style>
  <w:style w:type="paragraph" w:customStyle="1" w:styleId="35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356">
    <w:name w:val="编号列项（三级）"/>
    <w:qFormat/>
    <w:uiPriority w:val="99"/>
    <w:pPr>
      <w:tabs>
        <w:tab w:val="left" w:pos="0"/>
      </w:tabs>
      <w:ind w:left="1679" w:hanging="420"/>
    </w:pPr>
    <w:rPr>
      <w:rFonts w:ascii="宋体" w:hAnsi="Times New Roman" w:eastAsia="宋体" w:cs="Times New Roman"/>
      <w:sz w:val="21"/>
      <w:lang w:val="en-US" w:eastAsia="zh-CN" w:bidi="ar-SA"/>
    </w:rPr>
  </w:style>
  <w:style w:type="paragraph" w:customStyle="1" w:styleId="357">
    <w:name w:val="Item Step"/>
    <w:basedOn w:val="1"/>
    <w:qFormat/>
    <w:uiPriority w:val="99"/>
    <w:pPr>
      <w:widowControl/>
      <w:tabs>
        <w:tab w:val="left" w:pos="567"/>
      </w:tabs>
      <w:spacing w:afterLines="50"/>
      <w:ind w:left="987" w:hanging="420"/>
      <w:jc w:val="left"/>
    </w:pPr>
    <w:rPr>
      <w:rFonts w:ascii="Tahoma" w:hAnsi="Tahoma"/>
      <w:sz w:val="28"/>
      <w:szCs w:val="21"/>
    </w:rPr>
  </w:style>
  <w:style w:type="paragraph" w:customStyle="1" w:styleId="358">
    <w:name w:val="xl77"/>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9">
    <w:name w:val="xl10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0">
    <w:name w:val="large"/>
    <w:basedOn w:val="1"/>
    <w:qFormat/>
    <w:uiPriority w:val="99"/>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61">
    <w:name w:val="xl1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362">
    <w:name w:val="章标题"/>
    <w:next w:val="1"/>
    <w:qFormat/>
    <w:uiPriority w:val="99"/>
    <w:pPr>
      <w:spacing w:beforeLines="100" w:afterLines="100"/>
      <w:jc w:val="both"/>
      <w:outlineLvl w:val="1"/>
    </w:pPr>
    <w:rPr>
      <w:rFonts w:ascii="黑体" w:hAnsi="Times New Roman" w:eastAsia="黑体" w:cs="Times New Roman"/>
      <w:sz w:val="21"/>
      <w:lang w:val="en-US" w:eastAsia="zh-CN" w:bidi="ar-SA"/>
    </w:rPr>
  </w:style>
  <w:style w:type="paragraph" w:customStyle="1" w:styleId="363">
    <w:name w:val="xl96"/>
    <w:basedOn w:val="1"/>
    <w:qFormat/>
    <w:uiPriority w:val="99"/>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64">
    <w:name w:val="Char Char Char Char2"/>
    <w:basedOn w:val="1"/>
    <w:qFormat/>
    <w:uiPriority w:val="99"/>
    <w:pPr>
      <w:spacing w:line="360" w:lineRule="auto"/>
      <w:ind w:firstLine="200" w:firstLineChars="200"/>
      <w:jc w:val="left"/>
    </w:pPr>
    <w:rPr>
      <w:rFonts w:ascii="仿宋_GB2312" w:eastAsia="仿宋_GB2312"/>
      <w:b/>
      <w:sz w:val="32"/>
      <w:szCs w:val="32"/>
    </w:rPr>
  </w:style>
  <w:style w:type="paragraph" w:customStyle="1" w:styleId="365">
    <w:name w:val="Char11"/>
    <w:basedOn w:val="1"/>
    <w:qFormat/>
    <w:uiPriority w:val="99"/>
  </w:style>
  <w:style w:type="paragraph" w:customStyle="1" w:styleId="36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67">
    <w:name w:val="列表 21"/>
    <w:basedOn w:val="1"/>
    <w:qFormat/>
    <w:uiPriority w:val="99"/>
    <w:pPr>
      <w:ind w:left="100" w:leftChars="200" w:hanging="200" w:hangingChars="200"/>
    </w:pPr>
  </w:style>
  <w:style w:type="paragraph" w:customStyle="1" w:styleId="368">
    <w:name w:val="正文悬挂缩进6"/>
    <w:basedOn w:val="231"/>
    <w:qFormat/>
    <w:uiPriority w:val="99"/>
    <w:pPr>
      <w:tabs>
        <w:tab w:val="left" w:pos="1259"/>
      </w:tabs>
      <w:ind w:left="600" w:leftChars="600"/>
    </w:pPr>
  </w:style>
  <w:style w:type="paragraph" w:customStyle="1" w:styleId="369">
    <w:name w:val="xl8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0">
    <w:name w:val="xl93"/>
    <w:basedOn w:val="1"/>
    <w:qFormat/>
    <w:uiPriority w:val="99"/>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1">
    <w:name w:val="1"/>
    <w:basedOn w:val="39"/>
    <w:qFormat/>
    <w:uiPriority w:val="99"/>
    <w:pPr>
      <w:pBdr>
        <w:bottom w:val="none" w:color="auto" w:sz="0" w:space="0"/>
      </w:pBdr>
    </w:pPr>
    <w:rPr>
      <w:rFonts w:ascii="Calibri" w:hAnsi="Calibri" w:eastAsia="华文新魏"/>
      <w:sz w:val="21"/>
      <w:szCs w:val="20"/>
    </w:rPr>
  </w:style>
  <w:style w:type="paragraph" w:customStyle="1" w:styleId="372">
    <w:name w:val="我的正文格式"/>
    <w:basedOn w:val="1"/>
    <w:next w:val="1"/>
    <w:qFormat/>
    <w:uiPriority w:val="99"/>
    <w:pPr>
      <w:snapToGrid w:val="0"/>
      <w:spacing w:line="288" w:lineRule="auto"/>
      <w:ind w:left="540" w:hanging="540" w:hangingChars="225"/>
    </w:pPr>
    <w:rPr>
      <w:sz w:val="24"/>
    </w:rPr>
  </w:style>
  <w:style w:type="paragraph" w:customStyle="1" w:styleId="373">
    <w:name w:val="版权所有"/>
    <w:basedOn w:val="1"/>
    <w:qFormat/>
    <w:uiPriority w:val="99"/>
    <w:pPr>
      <w:spacing w:beforeLines="100" w:afterLines="100" w:line="360" w:lineRule="auto"/>
    </w:pPr>
    <w:rPr>
      <w:rFonts w:ascii="Arial" w:hAnsi="Arial" w:eastAsia="黑体"/>
      <w:b/>
      <w:sz w:val="30"/>
      <w:u w:val="single"/>
    </w:rPr>
  </w:style>
  <w:style w:type="paragraph" w:customStyle="1" w:styleId="374">
    <w:name w:val="xl58"/>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375">
    <w:name w:val="样式 标题 2 + 段前: 0.5 行 段后: 0.5 行1"/>
    <w:basedOn w:val="4"/>
    <w:qFormat/>
    <w:uiPriority w:val="99"/>
    <w:pPr>
      <w:tabs>
        <w:tab w:val="left" w:pos="576"/>
      </w:tabs>
      <w:spacing w:beforeLines="50" w:afterLines="50" w:line="360" w:lineRule="auto"/>
      <w:ind w:left="576" w:hanging="576"/>
      <w:jc w:val="left"/>
    </w:pPr>
    <w:rPr>
      <w:rFonts w:ascii="仿宋_GB2312" w:eastAsia="仿宋_GB2312" w:cs="宋体"/>
      <w:sz w:val="36"/>
      <w:szCs w:val="20"/>
    </w:rPr>
  </w:style>
  <w:style w:type="paragraph" w:customStyle="1" w:styleId="376">
    <w:name w:val="xl10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7">
    <w:name w:val="xl10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78">
    <w:name w:val="日期1"/>
    <w:basedOn w:val="1"/>
    <w:next w:val="1"/>
    <w:qFormat/>
    <w:uiPriority w:val="99"/>
    <w:pPr>
      <w:adjustRightInd w:val="0"/>
      <w:spacing w:line="360" w:lineRule="atLeast"/>
      <w:textAlignment w:val="baseline"/>
    </w:pPr>
    <w:rPr>
      <w:rFonts w:ascii="宋体"/>
      <w:kern w:val="0"/>
      <w:sz w:val="28"/>
      <w:szCs w:val="20"/>
    </w:rPr>
  </w:style>
  <w:style w:type="paragraph" w:customStyle="1" w:styleId="379">
    <w:name w:val="xl46"/>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80">
    <w:name w:val="xl106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1">
    <w:name w:val="CM20"/>
    <w:basedOn w:val="126"/>
    <w:next w:val="126"/>
    <w:qFormat/>
    <w:uiPriority w:val="99"/>
    <w:pPr>
      <w:spacing w:after="115"/>
    </w:pPr>
    <w:rPr>
      <w:rFonts w:ascii=".a..DD.." w:hAnsi="Times New Roman" w:eastAsia=".a..DD.." w:cs="Times New Roman"/>
      <w:color w:val="auto"/>
    </w:rPr>
  </w:style>
  <w:style w:type="paragraph" w:customStyle="1" w:styleId="382">
    <w:name w:val="xl33"/>
    <w:basedOn w:val="1"/>
    <w:qFormat/>
    <w:uiPriority w:val="99"/>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83">
    <w:name w:val="样式 样式 标题 2 + 段前: 0.5 行 段后: 0.5 行 + 段前: 0.5 行 段后: 0.5 行"/>
    <w:basedOn w:val="249"/>
    <w:qFormat/>
    <w:uiPriority w:val="99"/>
    <w:pPr>
      <w:spacing w:beforeLines="0" w:beforeAutospacing="1" w:afterLines="0" w:afterAutospacing="1"/>
      <w:ind w:left="576" w:hanging="576"/>
    </w:pPr>
    <w:rPr>
      <w:bCs w:val="0"/>
    </w:rPr>
  </w:style>
  <w:style w:type="paragraph" w:customStyle="1" w:styleId="384">
    <w:name w:val="xl1078"/>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85">
    <w:name w:val="表格标题2"/>
    <w:basedOn w:val="1"/>
    <w:qFormat/>
    <w:uiPriority w:val="99"/>
    <w:pPr>
      <w:tabs>
        <w:tab w:val="left" w:pos="1620"/>
      </w:tabs>
      <w:adjustRightInd w:val="0"/>
      <w:spacing w:before="60" w:after="60"/>
      <w:ind w:left="1620" w:leftChars="600" w:hanging="360" w:hangingChars="200"/>
      <w:textAlignment w:val="bottom"/>
    </w:pPr>
    <w:rPr>
      <w:kern w:val="0"/>
      <w:szCs w:val="21"/>
    </w:rPr>
  </w:style>
  <w:style w:type="paragraph" w:customStyle="1" w:styleId="386">
    <w:name w:val="表文"/>
    <w:basedOn w:val="1"/>
    <w:qFormat/>
    <w:uiPriority w:val="99"/>
    <w:pPr>
      <w:spacing w:line="300" w:lineRule="auto"/>
      <w:jc w:val="center"/>
      <w:textAlignment w:val="baseline"/>
    </w:pPr>
    <w:rPr>
      <w:kern w:val="0"/>
      <w:szCs w:val="20"/>
    </w:rPr>
  </w:style>
  <w:style w:type="paragraph" w:customStyle="1" w:styleId="387">
    <w:name w:val="xl53"/>
    <w:basedOn w:val="1"/>
    <w:qFormat/>
    <w:uiPriority w:val="99"/>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88">
    <w:name w:val="Paragraphe 3"/>
    <w:qFormat/>
    <w:uiPriority w:val="99"/>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89">
    <w:name w:val="样式1"/>
    <w:basedOn w:val="1"/>
    <w:qFormat/>
    <w:uiPriority w:val="99"/>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90">
    <w:name w:val="xl109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1">
    <w:name w:val="样式 样式 标题 5 + 段前: 0.5 行 段后: 0.5 行 + 段前: 0.5 行 段后: 0.5 行"/>
    <w:basedOn w:val="204"/>
    <w:qFormat/>
    <w:uiPriority w:val="99"/>
    <w:rPr>
      <w:bCs w:val="0"/>
    </w:rPr>
  </w:style>
  <w:style w:type="paragraph" w:customStyle="1" w:styleId="392">
    <w:name w:val="样式 标题 3H3h3h31第二层条3Bold Headbh章标题1小标题level_3PIM 3Lev...1"/>
    <w:basedOn w:val="5"/>
    <w:qFormat/>
    <w:uiPriority w:val="99"/>
    <w:pPr>
      <w:tabs>
        <w:tab w:val="left" w:pos="1740"/>
      </w:tabs>
      <w:spacing w:beforeLines="50" w:afterLines="50" w:line="360" w:lineRule="auto"/>
      <w:ind w:left="1740" w:hanging="420"/>
    </w:pPr>
    <w:rPr>
      <w:rFonts w:ascii="Arial" w:hAnsi="Arial" w:eastAsia="黑体" w:cs="宋体"/>
      <w:b w:val="0"/>
      <w:szCs w:val="20"/>
    </w:rPr>
  </w:style>
  <w:style w:type="paragraph" w:customStyle="1" w:styleId="393">
    <w:name w:val="xl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4">
    <w:name w:val="xl7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5">
    <w:name w:val="_Style 385"/>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xl11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97">
    <w:name w:val="表格2"/>
    <w:basedOn w:val="1"/>
    <w:qFormat/>
    <w:uiPriority w:val="99"/>
    <w:pPr>
      <w:snapToGrid w:val="0"/>
      <w:jc w:val="center"/>
    </w:pPr>
    <w:rPr>
      <w:rFonts w:ascii="Arial" w:hAnsi="Arial" w:cs="Arial"/>
      <w:kern w:val="0"/>
      <w:sz w:val="24"/>
    </w:rPr>
  </w:style>
  <w:style w:type="paragraph" w:customStyle="1" w:styleId="398">
    <w:name w:val="xl49"/>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9">
    <w:name w:val="xl105"/>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0">
    <w:name w:val="标题2"/>
    <w:basedOn w:val="1"/>
    <w:qFormat/>
    <w:uiPriority w:val="99"/>
    <w:pPr>
      <w:spacing w:beforeLines="50" w:afterLines="50" w:line="300" w:lineRule="exact"/>
    </w:pPr>
    <w:rPr>
      <w:b/>
      <w:bCs/>
    </w:rPr>
  </w:style>
  <w:style w:type="paragraph" w:customStyle="1" w:styleId="401">
    <w:name w:val="xl10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02">
    <w:name w:val="Normal1"/>
    <w:next w:val="1"/>
    <w:qFormat/>
    <w:uiPriority w:val="99"/>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03">
    <w:name w:val="xl45"/>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4">
    <w:name w:val="xl109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5">
    <w:name w:val="xl35"/>
    <w:basedOn w:val="1"/>
    <w:qFormat/>
    <w:uiPriority w:val="99"/>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6">
    <w:name w:val="xl60"/>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7">
    <w:name w:val="小四 段落 宋体 Char Char"/>
    <w:basedOn w:val="312"/>
    <w:qFormat/>
    <w:uiPriority w:val="99"/>
  </w:style>
  <w:style w:type="paragraph" w:customStyle="1" w:styleId="408">
    <w:name w:val="标书正文"/>
    <w:basedOn w:val="1"/>
    <w:qFormat/>
    <w:uiPriority w:val="99"/>
    <w:pPr>
      <w:spacing w:line="360" w:lineRule="auto"/>
      <w:ind w:firstLine="497" w:firstLineChars="207"/>
    </w:pPr>
    <w:rPr>
      <w:sz w:val="24"/>
      <w:szCs w:val="20"/>
    </w:rPr>
  </w:style>
  <w:style w:type="paragraph" w:customStyle="1" w:styleId="409">
    <w:name w:val="_Style 20"/>
    <w:basedOn w:val="1"/>
    <w:qFormat/>
    <w:uiPriority w:val="99"/>
    <w:rPr>
      <w:rFonts w:ascii="Tahoma" w:hAnsi="Tahoma"/>
      <w:sz w:val="24"/>
      <w:szCs w:val="20"/>
    </w:rPr>
  </w:style>
  <w:style w:type="paragraph" w:customStyle="1" w:styleId="410">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11">
    <w:name w:val="四级无"/>
    <w:basedOn w:val="345"/>
    <w:qFormat/>
    <w:uiPriority w:val="99"/>
    <w:pPr>
      <w:tabs>
        <w:tab w:val="left" w:pos="360"/>
      </w:tabs>
      <w:spacing w:beforeLines="0" w:afterLines="0"/>
    </w:pPr>
    <w:rPr>
      <w:rFonts w:ascii="宋体" w:eastAsia="宋体"/>
    </w:rPr>
  </w:style>
  <w:style w:type="paragraph" w:customStyle="1" w:styleId="412">
    <w:name w:val="Char Char1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13">
    <w:name w:val="Char3"/>
    <w:basedOn w:val="1"/>
    <w:qFormat/>
    <w:uiPriority w:val="99"/>
    <w:rPr>
      <w:rFonts w:ascii="Tahoma" w:hAnsi="Tahoma" w:cs="仿宋_GB2312"/>
      <w:sz w:val="24"/>
      <w:szCs w:val="28"/>
    </w:rPr>
  </w:style>
  <w:style w:type="paragraph" w:customStyle="1" w:styleId="414">
    <w:name w:val="xl10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15">
    <w:name w:val="xl30"/>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6">
    <w:name w:val="xl10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17">
    <w:name w:val="xl67"/>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418">
    <w:name w:val="样式 首行缩进:  2 字符2 + 居中"/>
    <w:basedOn w:val="339"/>
    <w:qFormat/>
    <w:uiPriority w:val="99"/>
    <w:pPr>
      <w:adjustRightInd/>
      <w:snapToGrid/>
      <w:ind w:firstLine="0" w:firstLineChars="0"/>
      <w:jc w:val="center"/>
    </w:pPr>
    <w:rPr>
      <w:sz w:val="28"/>
      <w:szCs w:val="20"/>
    </w:rPr>
  </w:style>
  <w:style w:type="paragraph" w:customStyle="1" w:styleId="419">
    <w:name w:val="xl118"/>
    <w:basedOn w:val="1"/>
    <w:qFormat/>
    <w:uiPriority w:val="99"/>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20">
    <w:name w:val="xl106"/>
    <w:basedOn w:val="1"/>
    <w:qFormat/>
    <w:uiPriority w:val="99"/>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21">
    <w:name w:val="xl9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2">
    <w:name w:val="±í????¸ñÎ"/>
    <w:basedOn w:val="1"/>
    <w:qFormat/>
    <w:uiPriority w:val="99"/>
    <w:pPr>
      <w:widowControl/>
      <w:tabs>
        <w:tab w:val="decimal" w:pos="0"/>
      </w:tabs>
      <w:overflowPunct w:val="0"/>
      <w:autoSpaceDE w:val="0"/>
      <w:autoSpaceDN w:val="0"/>
      <w:adjustRightInd w:val="0"/>
      <w:textAlignment w:val="baseline"/>
    </w:pPr>
    <w:rPr>
      <w:kern w:val="0"/>
      <w:sz w:val="24"/>
      <w:szCs w:val="20"/>
    </w:rPr>
  </w:style>
  <w:style w:type="paragraph" w:customStyle="1" w:styleId="423">
    <w:name w:val="Char Char Char Char Char Char Char1"/>
    <w:basedOn w:val="1"/>
    <w:qFormat/>
    <w:uiPriority w:val="99"/>
  </w:style>
  <w:style w:type="paragraph" w:customStyle="1" w:styleId="424">
    <w:name w:val="pa-13"/>
    <w:basedOn w:val="1"/>
    <w:qFormat/>
    <w:uiPriority w:val="99"/>
    <w:pPr>
      <w:widowControl/>
      <w:spacing w:line="240" w:lineRule="atLeast"/>
    </w:pPr>
    <w:rPr>
      <w:rFonts w:ascii="宋体" w:hAnsi="宋体" w:cs="宋体"/>
      <w:kern w:val="0"/>
      <w:sz w:val="24"/>
    </w:rPr>
  </w:style>
  <w:style w:type="paragraph" w:customStyle="1" w:styleId="425">
    <w:name w:val="xl1063"/>
    <w:basedOn w:val="1"/>
    <w:qFormat/>
    <w:uiPriority w:val="99"/>
    <w:pPr>
      <w:widowControl/>
      <w:spacing w:before="100" w:beforeAutospacing="1" w:after="100" w:afterAutospacing="1"/>
      <w:jc w:val="center"/>
    </w:pPr>
    <w:rPr>
      <w:rFonts w:ascii="宋体" w:hAnsi="宋体" w:cs="宋体"/>
      <w:b/>
      <w:bCs/>
      <w:kern w:val="0"/>
      <w:sz w:val="24"/>
    </w:rPr>
  </w:style>
  <w:style w:type="paragraph" w:customStyle="1" w:styleId="426">
    <w:name w:val="xl55"/>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7">
    <w:name w:val="列出段落3"/>
    <w:basedOn w:val="1"/>
    <w:qFormat/>
    <w:uiPriority w:val="99"/>
    <w:pPr>
      <w:ind w:firstLine="420" w:firstLineChars="200"/>
    </w:pPr>
    <w:rPr>
      <w:szCs w:val="20"/>
    </w:rPr>
  </w:style>
  <w:style w:type="paragraph" w:customStyle="1" w:styleId="428">
    <w:name w:val="(1)"/>
    <w:basedOn w:val="1"/>
    <w:qFormat/>
    <w:uiPriority w:val="99"/>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429">
    <w:name w:val="目录"/>
    <w:basedOn w:val="1"/>
    <w:qFormat/>
    <w:uiPriority w:val="99"/>
    <w:pPr>
      <w:widowControl/>
      <w:jc w:val="center"/>
    </w:pPr>
    <w:rPr>
      <w:rFonts w:ascii="宋体"/>
      <w:b/>
      <w:kern w:val="0"/>
      <w:sz w:val="36"/>
      <w:szCs w:val="20"/>
    </w:rPr>
  </w:style>
  <w:style w:type="paragraph" w:customStyle="1" w:styleId="430">
    <w:name w:val="xl37"/>
    <w:basedOn w:val="1"/>
    <w:qFormat/>
    <w:uiPriority w:val="99"/>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31">
    <w:name w:val="xl1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2">
    <w:name w:val="xl114"/>
    <w:basedOn w:val="1"/>
    <w:qFormat/>
    <w:uiPriority w:val="99"/>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433">
    <w:name w:val="xl52"/>
    <w:basedOn w:val="1"/>
    <w:qFormat/>
    <w:uiPriority w:val="99"/>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34">
    <w:name w:val="三级无"/>
    <w:basedOn w:val="346"/>
    <w:qFormat/>
    <w:uiPriority w:val="99"/>
    <w:pPr>
      <w:spacing w:beforeLines="0" w:afterLines="0"/>
    </w:pPr>
    <w:rPr>
      <w:rFonts w:ascii="宋体" w:eastAsia="宋体"/>
    </w:rPr>
  </w:style>
  <w:style w:type="paragraph" w:customStyle="1" w:styleId="435">
    <w:name w:val="xl10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6">
    <w:name w:val="xl10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37">
    <w:name w:val="xl127"/>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8">
    <w:name w:val="xl10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9">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40">
    <w:name w:val="xl63"/>
    <w:basedOn w:val="1"/>
    <w:qFormat/>
    <w:uiPriority w:val="99"/>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441">
    <w:name w:val="xl27"/>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42">
    <w:name w:val="表格1"/>
    <w:basedOn w:val="1"/>
    <w:qFormat/>
    <w:uiPriority w:val="99"/>
    <w:pPr>
      <w:tabs>
        <w:tab w:val="left" w:pos="203"/>
      </w:tabs>
      <w:spacing w:before="40" w:after="40"/>
      <w:jc w:val="center"/>
    </w:pPr>
    <w:rPr>
      <w:b/>
      <w:sz w:val="28"/>
      <w:szCs w:val="20"/>
    </w:rPr>
  </w:style>
  <w:style w:type="paragraph" w:customStyle="1" w:styleId="443">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444">
    <w:name w:val="xl123"/>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45">
    <w:name w:val="font8"/>
    <w:basedOn w:val="1"/>
    <w:qFormat/>
    <w:uiPriority w:val="99"/>
    <w:pPr>
      <w:widowControl/>
      <w:spacing w:before="100" w:beforeAutospacing="1" w:after="100" w:afterAutospacing="1"/>
      <w:jc w:val="left"/>
    </w:pPr>
    <w:rPr>
      <w:rFonts w:ascii="宋体" w:hAnsi="宋体" w:cs="Arial Unicode MS"/>
      <w:b/>
      <w:bCs/>
      <w:kern w:val="0"/>
      <w:sz w:val="32"/>
      <w:szCs w:val="32"/>
    </w:rPr>
  </w:style>
  <w:style w:type="paragraph" w:styleId="446">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447">
    <w:name w:val="xl1105"/>
    <w:basedOn w:val="1"/>
    <w:qFormat/>
    <w:uiPriority w:val="99"/>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48">
    <w:name w:val="xl1075"/>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49">
    <w:name w:val="Char Char Char"/>
    <w:basedOn w:val="1"/>
    <w:qFormat/>
    <w:uiPriority w:val="99"/>
    <w:rPr>
      <w:rFonts w:ascii="Tahoma" w:hAnsi="Tahoma" w:cs="Angsana New"/>
      <w:sz w:val="24"/>
      <w:szCs w:val="20"/>
    </w:rPr>
  </w:style>
  <w:style w:type="paragraph" w:customStyle="1" w:styleId="450">
    <w:name w:val="xl10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51">
    <w:name w:val="文档控制号等"/>
    <w:basedOn w:val="1"/>
    <w:qFormat/>
    <w:uiPriority w:val="99"/>
    <w:pPr>
      <w:spacing w:line="360" w:lineRule="auto"/>
      <w:jc w:val="left"/>
    </w:pPr>
  </w:style>
  <w:style w:type="paragraph" w:customStyle="1" w:styleId="452">
    <w:name w:val="xl2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53">
    <w:name w:val="xl62"/>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454">
    <w:name w:val="书目11"/>
    <w:basedOn w:val="1"/>
    <w:next w:val="1"/>
    <w:qFormat/>
    <w:uiPriority w:val="99"/>
    <w:pPr>
      <w:spacing w:line="360" w:lineRule="auto"/>
      <w:ind w:firstLine="200" w:firstLineChars="200"/>
      <w:jc w:val="left"/>
    </w:pPr>
    <w:rPr>
      <w:sz w:val="24"/>
    </w:rPr>
  </w:style>
  <w:style w:type="paragraph" w:customStyle="1" w:styleId="455">
    <w:name w:val="模版正文"/>
    <w:basedOn w:val="1"/>
    <w:qFormat/>
    <w:uiPriority w:val="99"/>
    <w:pPr>
      <w:widowControl/>
      <w:adjustRightInd w:val="0"/>
      <w:snapToGrid w:val="0"/>
      <w:spacing w:line="440" w:lineRule="exact"/>
      <w:ind w:firstLine="200" w:firstLineChars="200"/>
      <w:jc w:val="left"/>
    </w:pPr>
    <w:rPr>
      <w:rFonts w:ascii="仿宋" w:hAnsi="仿宋" w:cs="宋体"/>
      <w:sz w:val="28"/>
      <w:szCs w:val="20"/>
    </w:rPr>
  </w:style>
  <w:style w:type="paragraph" w:customStyle="1" w:styleId="456">
    <w:name w:val="xl121"/>
    <w:basedOn w:val="1"/>
    <w:qFormat/>
    <w:uiPriority w:val="99"/>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57">
    <w:name w:val="样式 左  4 字符 首行缩进:  2 字符"/>
    <w:basedOn w:val="1"/>
    <w:qFormat/>
    <w:uiPriority w:val="99"/>
    <w:pPr>
      <w:spacing w:beforeLines="50" w:afterLines="50"/>
      <w:ind w:left="400" w:leftChars="400" w:firstLine="200" w:firstLineChars="200"/>
    </w:pPr>
    <w:rPr>
      <w:rFonts w:cs="宋体"/>
      <w:szCs w:val="20"/>
    </w:rPr>
  </w:style>
  <w:style w:type="paragraph" w:customStyle="1" w:styleId="458">
    <w:name w:val="xl88"/>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459">
    <w:name w:val="xl38"/>
    <w:basedOn w:val="1"/>
    <w:qFormat/>
    <w:uiPriority w:val="99"/>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0">
    <w:name w:val="xl84"/>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1">
    <w:name w:val="xl10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2">
    <w:name w:val="表格侧编号"/>
    <w:next w:val="1"/>
    <w:qFormat/>
    <w:uiPriority w:val="99"/>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463">
    <w:name w:val="default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464">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65">
    <w:name w:val="xl101"/>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6">
    <w:name w:val="Item List Char"/>
    <w:qFormat/>
    <w:uiPriority w:val="99"/>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467">
    <w:name w:val="xl104"/>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8">
    <w:name w:val="xl1076"/>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69">
    <w:name w:val="xl56"/>
    <w:basedOn w:val="1"/>
    <w:qFormat/>
    <w:uiPriority w:val="99"/>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70">
    <w:name w:val="Char Char Char Char1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71">
    <w:name w:val="内文"/>
    <w:qFormat/>
    <w:uiPriority w:val="99"/>
    <w:pPr>
      <w:widowControl w:val="0"/>
      <w:autoSpaceDE w:val="0"/>
      <w:autoSpaceDN w:val="0"/>
      <w:adjustRightInd w:val="0"/>
      <w:jc w:val="both"/>
    </w:pPr>
    <w:rPr>
      <w:rFonts w:ascii="宋体" w:hAnsi="Times New Roman" w:eastAsia="宋体" w:cs="Times New Roman"/>
      <w:color w:val="000000"/>
      <w:sz w:val="24"/>
      <w:lang w:val="en-US" w:eastAsia="zh-CN" w:bidi="ar-SA"/>
    </w:rPr>
  </w:style>
  <w:style w:type="paragraph" w:customStyle="1" w:styleId="472">
    <w:name w:val="标题1"/>
    <w:basedOn w:val="3"/>
    <w:qFormat/>
    <w:uiPriority w:val="99"/>
    <w:pPr>
      <w:widowControl w:val="0"/>
      <w:tabs>
        <w:tab w:val="left" w:pos="839"/>
      </w:tabs>
      <w:adjustRightInd w:val="0"/>
      <w:spacing w:before="0" w:after="0" w:line="360" w:lineRule="auto"/>
      <w:ind w:left="1276" w:hanging="425"/>
      <w:textAlignment w:val="baseline"/>
    </w:pPr>
    <w:rPr>
      <w:rFonts w:ascii="黑体" w:hAnsi="宋体" w:eastAsia="黑体"/>
      <w:bCs w:val="0"/>
      <w:kern w:val="11"/>
      <w:sz w:val="28"/>
      <w:szCs w:val="20"/>
    </w:rPr>
  </w:style>
  <w:style w:type="paragraph" w:customStyle="1" w:styleId="473">
    <w:name w:val="五级条标题"/>
    <w:basedOn w:val="345"/>
    <w:next w:val="1"/>
    <w:qFormat/>
    <w:uiPriority w:val="99"/>
    <w:pPr>
      <w:outlineLvl w:val="6"/>
    </w:pPr>
  </w:style>
  <w:style w:type="paragraph" w:customStyle="1" w:styleId="474">
    <w:name w:val="xl10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75">
    <w:name w:val="xl10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76">
    <w:name w:val="font10"/>
    <w:basedOn w:val="1"/>
    <w:qFormat/>
    <w:uiPriority w:val="99"/>
    <w:pPr>
      <w:widowControl/>
      <w:spacing w:before="100" w:beforeAutospacing="1" w:after="100" w:afterAutospacing="1"/>
      <w:jc w:val="left"/>
    </w:pPr>
    <w:rPr>
      <w:rFonts w:eastAsia="Arial Unicode MS"/>
      <w:kern w:val="0"/>
      <w:sz w:val="28"/>
      <w:szCs w:val="28"/>
    </w:rPr>
  </w:style>
  <w:style w:type="paragraph" w:customStyle="1" w:styleId="477">
    <w:name w:val="tll"/>
    <w:basedOn w:val="1"/>
    <w:qFormat/>
    <w:uiPriority w:val="99"/>
    <w:pPr>
      <w:autoSpaceDE w:val="0"/>
      <w:autoSpaceDN w:val="0"/>
      <w:adjustRightInd w:val="0"/>
      <w:jc w:val="left"/>
      <w:textAlignment w:val="baseline"/>
    </w:pPr>
    <w:rPr>
      <w:rFonts w:ascii="仿宋_GB2312" w:hAnsi="Arial" w:eastAsia="仿宋_GB2312"/>
      <w:kern w:val="0"/>
      <w:szCs w:val="21"/>
    </w:rPr>
  </w:style>
  <w:style w:type="paragraph" w:customStyle="1" w:styleId="478">
    <w:name w:val="xl115"/>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47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480">
    <w:name w:val="xl92"/>
    <w:basedOn w:val="1"/>
    <w:qFormat/>
    <w:uiPriority w:val="99"/>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8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482">
    <w:name w:val="pa-10"/>
    <w:basedOn w:val="1"/>
    <w:qFormat/>
    <w:uiPriority w:val="99"/>
    <w:pPr>
      <w:widowControl/>
      <w:spacing w:line="280" w:lineRule="atLeast"/>
    </w:pPr>
    <w:rPr>
      <w:rFonts w:ascii="宋体" w:hAnsi="宋体" w:cs="宋体"/>
      <w:kern w:val="0"/>
      <w:sz w:val="24"/>
    </w:rPr>
  </w:style>
  <w:style w:type="paragraph" w:customStyle="1" w:styleId="483">
    <w:name w:val="TOC 标题1"/>
    <w:basedOn w:val="3"/>
    <w:next w:val="1"/>
    <w:qFormat/>
    <w:uiPriority w:val="99"/>
    <w:pPr>
      <w:tabs>
        <w:tab w:val="left" w:pos="1320"/>
        <w:tab w:val="left" w:pos="1740"/>
      </w:tabs>
      <w:spacing w:before="480" w:after="0" w:line="276" w:lineRule="auto"/>
      <w:outlineLvl w:val="9"/>
    </w:pPr>
    <w:rPr>
      <w:rFonts w:ascii="Cambria" w:hAnsi="Cambria"/>
      <w:color w:val="365F91"/>
      <w:kern w:val="0"/>
      <w:sz w:val="28"/>
      <w:szCs w:val="28"/>
    </w:rPr>
  </w:style>
  <w:style w:type="paragraph" w:customStyle="1" w:styleId="484">
    <w:name w:val="xl85"/>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5">
    <w:name w:val="xl110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86">
    <w:name w:val="xl111"/>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7">
    <w:name w:val="表格标题3"/>
    <w:basedOn w:val="385"/>
    <w:qFormat/>
    <w:uiPriority w:val="99"/>
    <w:pPr>
      <w:tabs>
        <w:tab w:val="left" w:pos="570"/>
        <w:tab w:val="left" w:pos="720"/>
        <w:tab w:val="clear" w:pos="1620"/>
      </w:tabs>
      <w:ind w:left="570" w:hanging="570"/>
    </w:pPr>
  </w:style>
  <w:style w:type="paragraph" w:customStyle="1" w:styleId="488">
    <w:name w:val="xl110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89">
    <w:name w:val="xl1089"/>
    <w:basedOn w:val="1"/>
    <w:qFormat/>
    <w:uiPriority w:val="99"/>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90">
    <w:name w:val="xl12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1">
    <w:name w:val="xl32"/>
    <w:basedOn w:val="1"/>
    <w:qFormat/>
    <w:uiPriority w:val="99"/>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92">
    <w:name w:val="xl70"/>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93">
    <w:name w:val="二级无"/>
    <w:basedOn w:val="347"/>
    <w:qFormat/>
    <w:uiPriority w:val="99"/>
    <w:pPr>
      <w:spacing w:beforeLines="0" w:afterLines="0"/>
    </w:pPr>
    <w:rPr>
      <w:rFonts w:ascii="宋体" w:eastAsia="宋体"/>
    </w:rPr>
  </w:style>
  <w:style w:type="paragraph" w:customStyle="1" w:styleId="494">
    <w:name w:val="xl99"/>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5">
    <w:name w:val="xl34"/>
    <w:basedOn w:val="1"/>
    <w:qFormat/>
    <w:uiPriority w:val="99"/>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96">
    <w:name w:val="xl109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97">
    <w:name w:val="xl110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98">
    <w:name w:val="xl10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99">
    <w:name w:val="节标题"/>
    <w:basedOn w:val="1"/>
    <w:qFormat/>
    <w:uiPriority w:val="99"/>
    <w:pPr>
      <w:widowControl/>
      <w:spacing w:line="289" w:lineRule="atLeast"/>
      <w:jc w:val="center"/>
      <w:textAlignment w:val="baseline"/>
    </w:pPr>
    <w:rPr>
      <w:color w:val="000000"/>
      <w:kern w:val="0"/>
      <w:sz w:val="28"/>
      <w:szCs w:val="20"/>
      <w:u w:color="000000"/>
    </w:rPr>
  </w:style>
  <w:style w:type="paragraph" w:customStyle="1" w:styleId="500">
    <w:name w:val="xl7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01">
    <w:name w:val="xl109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2">
    <w:name w:val="xl48"/>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03">
    <w:name w:val="Char Char Char Char Char Char Char"/>
    <w:basedOn w:val="1"/>
    <w:qFormat/>
    <w:uiPriority w:val="99"/>
  </w:style>
  <w:style w:type="paragraph" w:customStyle="1" w:styleId="504">
    <w:name w:val="字母编号列项（一级）"/>
    <w:qFormat/>
    <w:uiPriority w:val="99"/>
    <w:pPr>
      <w:tabs>
        <w:tab w:val="left" w:pos="840"/>
      </w:tabs>
      <w:ind w:left="839" w:hanging="419"/>
      <w:jc w:val="both"/>
    </w:pPr>
    <w:rPr>
      <w:rFonts w:ascii="宋体" w:hAnsi="Times New Roman" w:eastAsia="宋体" w:cs="Times New Roman"/>
      <w:sz w:val="21"/>
      <w:lang w:val="en-US" w:eastAsia="zh-CN" w:bidi="ar-SA"/>
    </w:rPr>
  </w:style>
  <w:style w:type="paragraph" w:customStyle="1" w:styleId="505">
    <w:name w:val="Bullet 1"/>
    <w:qFormat/>
    <w:uiPriority w:val="99"/>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506">
    <w:name w:val="xl59"/>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507">
    <w:name w:val="xl54"/>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08">
    <w:name w:val="xl107"/>
    <w:basedOn w:val="1"/>
    <w:qFormat/>
    <w:uiPriority w:val="99"/>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9">
    <w:name w:val="正文3号仿宋"/>
    <w:basedOn w:val="1"/>
    <w:link w:val="510"/>
    <w:qFormat/>
    <w:uiPriority w:val="99"/>
    <w:pPr>
      <w:adjustRightInd w:val="0"/>
      <w:spacing w:line="360" w:lineRule="auto"/>
      <w:ind w:firstLine="480" w:firstLineChars="200"/>
      <w:textAlignment w:val="baseline"/>
    </w:pPr>
    <w:rPr>
      <w:rFonts w:ascii="宋体" w:hAnsi="宋体"/>
      <w:kern w:val="0"/>
      <w:sz w:val="24"/>
    </w:rPr>
  </w:style>
  <w:style w:type="character" w:customStyle="1" w:styleId="510">
    <w:name w:val="正文3号仿宋 Char"/>
    <w:link w:val="509"/>
    <w:qFormat/>
    <w:locked/>
    <w:uiPriority w:val="99"/>
    <w:rPr>
      <w:rFonts w:ascii="宋体" w:eastAsia="宋体"/>
      <w:sz w:val="24"/>
    </w:rPr>
  </w:style>
  <w:style w:type="paragraph" w:customStyle="1" w:styleId="511">
    <w:name w:val="段落小标题"/>
    <w:basedOn w:val="1"/>
    <w:link w:val="512"/>
    <w:qFormat/>
    <w:uiPriority w:val="99"/>
    <w:pPr>
      <w:adjustRightInd w:val="0"/>
      <w:spacing w:line="360" w:lineRule="auto"/>
      <w:ind w:firstLine="510"/>
      <w:jc w:val="left"/>
      <w:textAlignment w:val="baseline"/>
    </w:pPr>
    <w:rPr>
      <w:rFonts w:ascii="仿宋" w:hAnsi="仿宋" w:eastAsia="仿宋"/>
      <w:b/>
      <w:kern w:val="0"/>
      <w:sz w:val="32"/>
      <w:szCs w:val="32"/>
    </w:rPr>
  </w:style>
  <w:style w:type="character" w:customStyle="1" w:styleId="512">
    <w:name w:val="段落小标题 Char"/>
    <w:link w:val="511"/>
    <w:qFormat/>
    <w:locked/>
    <w:uiPriority w:val="99"/>
    <w:rPr>
      <w:rFonts w:ascii="仿宋" w:hAnsi="仿宋" w:eastAsia="仿宋"/>
      <w:b/>
      <w:sz w:val="32"/>
    </w:rPr>
  </w:style>
  <w:style w:type="character" w:customStyle="1" w:styleId="513">
    <w:name w:val="正文（缩进） Char"/>
    <w:link w:val="514"/>
    <w:qFormat/>
    <w:locked/>
    <w:uiPriority w:val="99"/>
    <w:rPr>
      <w:rFonts w:ascii="宋体" w:eastAsia="宋体"/>
      <w:sz w:val="24"/>
    </w:rPr>
  </w:style>
  <w:style w:type="paragraph" w:customStyle="1" w:styleId="514">
    <w:name w:val="正文（缩进）"/>
    <w:basedOn w:val="1"/>
    <w:link w:val="513"/>
    <w:qFormat/>
    <w:uiPriority w:val="99"/>
    <w:pPr>
      <w:widowControl/>
      <w:spacing w:beforeLines="50" w:afterLines="50" w:line="360" w:lineRule="auto"/>
      <w:ind w:firstLine="480" w:firstLineChars="200"/>
      <w:jc w:val="left"/>
    </w:pPr>
    <w:rPr>
      <w:rFonts w:ascii="宋体" w:hAnsi="宋体"/>
      <w:kern w:val="0"/>
      <w:sz w:val="24"/>
    </w:rPr>
  </w:style>
  <w:style w:type="paragraph" w:customStyle="1" w:styleId="515">
    <w:name w:val="采购内容"/>
    <w:basedOn w:val="1"/>
    <w:qFormat/>
    <w:uiPriority w:val="99"/>
    <w:rPr>
      <w:rFonts w:ascii="仿宋" w:hAnsi="仿宋" w:eastAsia="仿宋"/>
    </w:rPr>
  </w:style>
  <w:style w:type="character" w:customStyle="1" w:styleId="516">
    <w:name w:val="font71"/>
    <w:basedOn w:val="60"/>
    <w:qFormat/>
    <w:uiPriority w:val="0"/>
    <w:rPr>
      <w:rFonts w:hint="default" w:ascii="楷体" w:hAnsi="楷体" w:eastAsia="楷体" w:cs="楷体"/>
      <w:color w:val="000000"/>
      <w:sz w:val="20"/>
      <w:szCs w:val="20"/>
      <w:u w:val="none"/>
    </w:rPr>
  </w:style>
  <w:style w:type="character" w:customStyle="1" w:styleId="517">
    <w:name w:val="bookmark-item"/>
    <w:basedOn w:val="60"/>
    <w:qFormat/>
    <w:uiPriority w:val="0"/>
  </w:style>
  <w:style w:type="character" w:customStyle="1" w:styleId="518">
    <w:name w:val="sub"/>
    <w:basedOn w:val="60"/>
    <w:qFormat/>
    <w:uiPriority w:val="0"/>
  </w:style>
  <w:style w:type="paragraph" w:customStyle="1" w:styleId="519">
    <w:name w:val="采购正文"/>
    <w:basedOn w:val="1"/>
    <w:link w:val="522"/>
    <w:qFormat/>
    <w:uiPriority w:val="0"/>
    <w:pPr>
      <w:snapToGrid w:val="0"/>
      <w:spacing w:line="560" w:lineRule="exact"/>
      <w:ind w:firstLine="480" w:firstLineChars="200"/>
    </w:pPr>
    <w:rPr>
      <w:rFonts w:ascii="仿宋" w:hAnsi="仿宋" w:eastAsia="仿宋"/>
      <w:sz w:val="24"/>
    </w:rPr>
  </w:style>
  <w:style w:type="paragraph" w:customStyle="1" w:styleId="520">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21">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22">
    <w:name w:val="采购正文 Char"/>
    <w:basedOn w:val="60"/>
    <w:link w:val="519"/>
    <w:qFormat/>
    <w:uiPriority w:val="0"/>
    <w:rPr>
      <w:rFonts w:ascii="仿宋" w:hAnsi="仿宋" w:eastAsia="仿宋"/>
      <w:kern w:val="2"/>
      <w:sz w:val="24"/>
      <w:szCs w:val="24"/>
    </w:rPr>
  </w:style>
  <w:style w:type="paragraph" w:customStyle="1" w:styleId="523">
    <w:name w:val="WG标题2"/>
    <w:basedOn w:val="1"/>
    <w:qFormat/>
    <w:uiPriority w:val="0"/>
    <w:pPr>
      <w:autoSpaceDE w:val="0"/>
      <w:autoSpaceDN w:val="0"/>
      <w:adjustRightInd w:val="0"/>
      <w:spacing w:before="60" w:after="60" w:line="360" w:lineRule="exact"/>
      <w:textAlignment w:val="baseline"/>
      <w:outlineLvl w:val="1"/>
    </w:pPr>
    <w:rPr>
      <w:rFonts w:eastAsia="黑体" w:cs="宋体"/>
      <w:color w:val="000000"/>
      <w:kern w:val="20"/>
      <w:sz w:val="28"/>
      <w:szCs w:val="20"/>
    </w:rPr>
  </w:style>
  <w:style w:type="paragraph" w:customStyle="1" w:styleId="524">
    <w:name w:val="List Paragraph1"/>
    <w:basedOn w:val="1"/>
    <w:qFormat/>
    <w:uiPriority w:val="99"/>
    <w:pPr>
      <w:ind w:firstLine="420" w:firstLineChars="200"/>
    </w:pPr>
  </w:style>
  <w:style w:type="paragraph" w:customStyle="1" w:styleId="525">
    <w:name w:val="采购二级"/>
    <w:basedOn w:val="1"/>
    <w:qFormat/>
    <w:uiPriority w:val="0"/>
    <w:pPr>
      <w:snapToGrid w:val="0"/>
      <w:spacing w:line="560" w:lineRule="exact"/>
      <w:ind w:firstLine="480" w:firstLineChars="200"/>
      <w:outlineLvl w:val="1"/>
    </w:pPr>
    <w:rPr>
      <w:rFonts w:ascii="仿宋" w:hAnsi="仿宋" w:eastAsia="仿宋"/>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342C8A-963F-4A39-80D8-9ABA029E618C}">
  <ds:schemaRefs/>
</ds:datastoreItem>
</file>

<file path=docProps/app.xml><?xml version="1.0" encoding="utf-8"?>
<Properties xmlns="http://schemas.openxmlformats.org/officeDocument/2006/extended-properties" xmlns:vt="http://schemas.openxmlformats.org/officeDocument/2006/docPropsVTypes">
  <Template>Normal</Template>
  <Company>注册单位=China</Company>
  <Pages>49</Pages>
  <Words>4505</Words>
  <Characters>25683</Characters>
  <Lines>214</Lines>
  <Paragraphs>60</Paragraphs>
  <TotalTime>12</TotalTime>
  <ScaleCrop>false</ScaleCrop>
  <LinksUpToDate>false</LinksUpToDate>
  <CharactersWithSpaces>30128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2020-03-20T11:28:00Z</dcterms:created>
  <dc:creator>微软用户</dc:creator>
  <cp:lastModifiedBy>Administrator</cp:lastModifiedBy>
  <cp:lastPrinted>2020-06-03T03:59:00Z</cp:lastPrinted>
  <dcterms:modified xsi:type="dcterms:W3CDTF">2021-11-09T04:53:54Z</dcterms:modified>
  <dc:title>_</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0C8EF8A829F44793AF777D38F5F6EF72</vt:lpwstr>
  </property>
</Properties>
</file>