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240"/>
        </w:tabs>
        <w:jc w:val="right"/>
        <w:rPr>
          <w:rFonts w:ascii="宋体" w:hAnsi="宋体" w:cs="宋体"/>
        </w:rPr>
      </w:pPr>
    </w:p>
    <w:p>
      <w:pPr>
        <w:spacing w:line="360" w:lineRule="auto"/>
        <w:jc w:val="center"/>
        <w:rPr>
          <w:rFonts w:ascii="宋体" w:hAnsi="宋体" w:cs="宋体"/>
          <w:b/>
          <w:sz w:val="52"/>
          <w:szCs w:val="52"/>
        </w:rPr>
      </w:pPr>
    </w:p>
    <w:p>
      <w:pPr>
        <w:pStyle w:val="10"/>
        <w:rPr>
          <w:rFonts w:ascii="宋体" w:hAnsi="宋体" w:cs="宋体"/>
        </w:rPr>
      </w:pPr>
    </w:p>
    <w:p>
      <w:pPr>
        <w:spacing w:line="720" w:lineRule="auto"/>
        <w:jc w:val="center"/>
        <w:rPr>
          <w:rFonts w:ascii="宋体" w:hAnsi="宋体" w:cs="宋体"/>
          <w:b/>
          <w:bCs/>
          <w:sz w:val="52"/>
          <w:szCs w:val="52"/>
        </w:rPr>
      </w:pPr>
      <w:r>
        <w:rPr>
          <w:rFonts w:hint="eastAsia" w:ascii="宋体" w:hAnsi="宋体" w:cs="宋体"/>
          <w:b/>
          <w:sz w:val="52"/>
          <w:szCs w:val="52"/>
        </w:rPr>
        <w:t>克拉玛依市教育局及直属学校安保服务项目</w:t>
      </w:r>
    </w:p>
    <w:p>
      <w:pPr>
        <w:spacing w:line="360" w:lineRule="auto"/>
        <w:rPr>
          <w:rFonts w:ascii="宋体" w:hAnsi="宋体" w:cs="宋体"/>
          <w:b/>
          <w:sz w:val="72"/>
          <w:szCs w:val="72"/>
        </w:rPr>
      </w:pPr>
    </w:p>
    <w:p>
      <w:pPr>
        <w:spacing w:line="360" w:lineRule="auto"/>
        <w:jc w:val="center"/>
        <w:rPr>
          <w:rFonts w:ascii="宋体" w:hAnsi="宋体" w:cs="宋体"/>
          <w:b/>
          <w:sz w:val="72"/>
          <w:szCs w:val="72"/>
        </w:rPr>
      </w:pPr>
      <w:r>
        <w:rPr>
          <w:rFonts w:hint="eastAsia" w:ascii="宋体" w:hAnsi="宋体" w:cs="宋体"/>
          <w:b/>
          <w:sz w:val="72"/>
          <w:szCs w:val="72"/>
        </w:rPr>
        <w:t>招 标 文 件</w:t>
      </w:r>
    </w:p>
    <w:p>
      <w:pPr>
        <w:overflowPunct w:val="0"/>
        <w:spacing w:line="500" w:lineRule="exact"/>
        <w:jc w:val="center"/>
        <w:rPr>
          <w:rFonts w:ascii="宋体" w:hAnsi="宋体" w:cs="宋体"/>
          <w:b/>
          <w:kern w:val="0"/>
          <w:sz w:val="24"/>
        </w:rPr>
      </w:pPr>
    </w:p>
    <w:p>
      <w:pPr>
        <w:pStyle w:val="10"/>
        <w:rPr>
          <w:rFonts w:ascii="宋体" w:hAnsi="宋体" w:cs="宋体"/>
        </w:rPr>
      </w:pPr>
    </w:p>
    <w:p>
      <w:pPr>
        <w:spacing w:line="360" w:lineRule="auto"/>
        <w:jc w:val="center"/>
        <w:rPr>
          <w:rFonts w:ascii="宋体" w:hAnsi="宋体" w:cs="宋体"/>
          <w:b/>
          <w:sz w:val="28"/>
          <w:szCs w:val="28"/>
        </w:rPr>
      </w:pPr>
      <w:r>
        <w:rPr>
          <w:rFonts w:hint="eastAsia" w:ascii="宋体" w:hAnsi="宋体" w:cs="宋体"/>
          <w:b/>
          <w:sz w:val="28"/>
          <w:szCs w:val="28"/>
        </w:rPr>
        <w:t>（招标文件编号：AZH[ZC]2021-17）</w:t>
      </w:r>
    </w:p>
    <w:p>
      <w:pPr>
        <w:overflowPunct w:val="0"/>
        <w:spacing w:line="500" w:lineRule="exact"/>
        <w:jc w:val="center"/>
        <w:rPr>
          <w:rFonts w:ascii="宋体" w:hAnsi="宋体" w:cs="宋体"/>
          <w:b/>
          <w:bCs/>
          <w:sz w:val="32"/>
          <w:szCs w:val="32"/>
        </w:rPr>
      </w:pPr>
    </w:p>
    <w:p>
      <w:pPr>
        <w:overflowPunct w:val="0"/>
        <w:spacing w:line="500" w:lineRule="exact"/>
        <w:rPr>
          <w:rFonts w:ascii="宋体" w:hAnsi="宋体" w:cs="宋体"/>
          <w:sz w:val="32"/>
          <w:szCs w:val="32"/>
        </w:rPr>
      </w:pPr>
    </w:p>
    <w:p>
      <w:pPr>
        <w:pStyle w:val="10"/>
        <w:rPr>
          <w:rFonts w:ascii="宋体" w:hAnsi="宋体" w:cs="宋体"/>
        </w:rPr>
      </w:pPr>
    </w:p>
    <w:p>
      <w:pPr>
        <w:overflowPunct w:val="0"/>
        <w:spacing w:line="500" w:lineRule="exact"/>
        <w:rPr>
          <w:rFonts w:ascii="宋体" w:hAnsi="宋体" w:cs="宋体"/>
          <w:sz w:val="32"/>
          <w:szCs w:val="32"/>
        </w:rPr>
      </w:pPr>
    </w:p>
    <w:p>
      <w:pPr>
        <w:overflowPunct w:val="0"/>
        <w:spacing w:line="500" w:lineRule="exact"/>
        <w:ind w:firstLine="301" w:firstLineChars="100"/>
        <w:rPr>
          <w:rFonts w:ascii="宋体" w:hAnsi="宋体" w:cs="宋体"/>
          <w:b/>
          <w:sz w:val="30"/>
          <w:szCs w:val="30"/>
        </w:rPr>
      </w:pPr>
      <w:r>
        <w:rPr>
          <w:rFonts w:hint="eastAsia" w:ascii="宋体" w:hAnsi="宋体" w:cs="宋体"/>
          <w:b/>
          <w:sz w:val="30"/>
          <w:szCs w:val="30"/>
        </w:rPr>
        <w:t>采购人：克拉玛依市教育局</w:t>
      </w:r>
    </w:p>
    <w:p>
      <w:pPr>
        <w:overflowPunct w:val="0"/>
        <w:spacing w:line="500" w:lineRule="exact"/>
        <w:ind w:firstLine="301" w:firstLineChars="100"/>
        <w:rPr>
          <w:rFonts w:ascii="宋体" w:hAnsi="宋体" w:cs="宋体"/>
          <w:b/>
          <w:sz w:val="30"/>
          <w:szCs w:val="30"/>
        </w:rPr>
      </w:pPr>
      <w:r>
        <w:rPr>
          <w:rFonts w:hint="eastAsia" w:ascii="宋体" w:hAnsi="宋体" w:cs="宋体"/>
          <w:b/>
          <w:sz w:val="30"/>
          <w:szCs w:val="30"/>
        </w:rPr>
        <w:t>  </w:t>
      </w:r>
    </w:p>
    <w:p>
      <w:pPr>
        <w:overflowPunct w:val="0"/>
        <w:spacing w:line="500" w:lineRule="exact"/>
        <w:rPr>
          <w:rFonts w:ascii="宋体" w:hAnsi="宋体" w:cs="宋体"/>
          <w:b/>
          <w:sz w:val="30"/>
          <w:szCs w:val="30"/>
        </w:rPr>
      </w:pPr>
    </w:p>
    <w:p>
      <w:pPr>
        <w:overflowPunct w:val="0"/>
        <w:spacing w:line="500" w:lineRule="exact"/>
        <w:ind w:firstLine="301" w:firstLineChars="100"/>
        <w:rPr>
          <w:rFonts w:ascii="宋体" w:hAnsi="宋体" w:cs="宋体"/>
          <w:b/>
          <w:sz w:val="30"/>
          <w:szCs w:val="30"/>
        </w:rPr>
      </w:pPr>
      <w:r>
        <w:rPr>
          <w:rFonts w:hint="eastAsia" w:ascii="宋体" w:hAnsi="宋体" w:cs="宋体"/>
          <w:b/>
          <w:sz w:val="30"/>
          <w:szCs w:val="30"/>
        </w:rPr>
        <w:t>采购代理机构：新疆安致恒工程项目管理有限公司</w:t>
      </w:r>
    </w:p>
    <w:p>
      <w:pPr>
        <w:overflowPunct w:val="0"/>
        <w:spacing w:line="500" w:lineRule="exact"/>
        <w:rPr>
          <w:rFonts w:ascii="宋体" w:hAnsi="宋体" w:cs="宋体"/>
          <w:sz w:val="36"/>
          <w:szCs w:val="36"/>
        </w:rPr>
      </w:pPr>
    </w:p>
    <w:p>
      <w:pPr>
        <w:overflowPunct w:val="0"/>
        <w:spacing w:line="500" w:lineRule="exact"/>
        <w:rPr>
          <w:rFonts w:ascii="宋体" w:hAnsi="宋体" w:cs="宋体"/>
          <w:sz w:val="36"/>
          <w:szCs w:val="36"/>
        </w:rPr>
      </w:pPr>
    </w:p>
    <w:p>
      <w:pPr>
        <w:overflowPunct w:val="0"/>
        <w:spacing w:line="500" w:lineRule="exact"/>
        <w:jc w:val="center"/>
        <w:rPr>
          <w:rFonts w:ascii="宋体" w:hAnsi="宋体" w:cs="宋体"/>
          <w:b/>
          <w:sz w:val="32"/>
          <w:szCs w:val="32"/>
        </w:rPr>
      </w:pPr>
    </w:p>
    <w:p>
      <w:pPr>
        <w:overflowPunct w:val="0"/>
        <w:spacing w:line="500" w:lineRule="exact"/>
        <w:jc w:val="center"/>
        <w:rPr>
          <w:rFonts w:ascii="宋体" w:hAnsi="宋体" w:cs="宋体"/>
          <w:spacing w:val="40"/>
          <w:sz w:val="32"/>
          <w:szCs w:val="32"/>
        </w:rPr>
        <w:sectPr>
          <w:headerReference r:id="rId4" w:type="first"/>
          <w:footerReference r:id="rId7" w:type="first"/>
          <w:headerReference r:id="rId3" w:type="default"/>
          <w:footerReference r:id="rId5" w:type="default"/>
          <w:footerReference r:id="rId6" w:type="even"/>
          <w:pgSz w:w="11906" w:h="16838"/>
          <w:pgMar w:top="1418" w:right="1418" w:bottom="1418" w:left="1418" w:header="1134" w:footer="1134" w:gutter="0"/>
          <w:pgNumType w:start="1"/>
          <w:cols w:space="720" w:num="1"/>
          <w:docGrid w:type="lines" w:linePitch="312" w:charSpace="0"/>
        </w:sectPr>
      </w:pPr>
      <w:r>
        <w:rPr>
          <w:rFonts w:hint="eastAsia" w:ascii="宋体" w:hAnsi="宋体" w:cs="宋体"/>
          <w:b/>
          <w:sz w:val="32"/>
          <w:szCs w:val="32"/>
        </w:rPr>
        <w:t>二零二一年十一月</w:t>
      </w:r>
    </w:p>
    <w:p>
      <w:pPr>
        <w:rPr>
          <w:rFonts w:ascii="宋体" w:hAnsi="宋体" w:cs="宋体"/>
          <w:b/>
          <w:sz w:val="44"/>
          <w:szCs w:val="44"/>
        </w:rPr>
      </w:pPr>
    </w:p>
    <w:p>
      <w:pPr>
        <w:jc w:val="center"/>
        <w:rPr>
          <w:rFonts w:ascii="宋体" w:hAnsi="宋体" w:cs="宋体"/>
          <w:b/>
          <w:sz w:val="44"/>
          <w:szCs w:val="44"/>
        </w:rPr>
      </w:pPr>
      <w:r>
        <w:rPr>
          <w:rFonts w:hint="eastAsia" w:ascii="宋体" w:hAnsi="宋体" w:cs="宋体"/>
          <w:b/>
          <w:sz w:val="44"/>
          <w:szCs w:val="44"/>
        </w:rPr>
        <w:t>总目录</w:t>
      </w:r>
    </w:p>
    <w:p>
      <w:pPr>
        <w:spacing w:line="720" w:lineRule="auto"/>
        <w:rPr>
          <w:rFonts w:ascii="宋体" w:hAnsi="宋体" w:cs="宋体"/>
          <w:sz w:val="28"/>
          <w:szCs w:val="28"/>
        </w:rPr>
      </w:pPr>
    </w:p>
    <w:p>
      <w:pPr>
        <w:spacing w:line="720" w:lineRule="auto"/>
        <w:ind w:firstLine="560" w:firstLineChars="200"/>
        <w:rPr>
          <w:rFonts w:ascii="宋体" w:hAnsi="宋体" w:cs="宋体"/>
          <w:sz w:val="28"/>
          <w:szCs w:val="28"/>
        </w:rPr>
      </w:pPr>
      <w:r>
        <w:rPr>
          <w:rFonts w:hint="eastAsia" w:ascii="宋体" w:hAnsi="宋体" w:cs="宋体"/>
          <w:sz w:val="28"/>
          <w:szCs w:val="28"/>
        </w:rPr>
        <w:t>第一章 招标公告.......................................第3页</w:t>
      </w:r>
    </w:p>
    <w:p>
      <w:pPr>
        <w:spacing w:line="720" w:lineRule="auto"/>
        <w:ind w:firstLine="560" w:firstLineChars="200"/>
        <w:rPr>
          <w:rFonts w:ascii="宋体" w:hAnsi="宋体" w:cs="宋体"/>
          <w:sz w:val="28"/>
          <w:szCs w:val="28"/>
        </w:rPr>
      </w:pPr>
      <w:r>
        <w:rPr>
          <w:rFonts w:hint="eastAsia" w:ascii="宋体" w:hAnsi="宋体" w:cs="宋体"/>
          <w:sz w:val="28"/>
          <w:szCs w:val="28"/>
        </w:rPr>
        <w:t>第二章 供应商须知.....................................第5页</w:t>
      </w:r>
    </w:p>
    <w:p>
      <w:pPr>
        <w:spacing w:line="720" w:lineRule="auto"/>
        <w:ind w:firstLine="560" w:firstLineChars="200"/>
        <w:rPr>
          <w:rFonts w:ascii="宋体" w:hAnsi="宋体" w:cs="宋体"/>
          <w:sz w:val="28"/>
          <w:szCs w:val="28"/>
        </w:rPr>
      </w:pPr>
      <w:r>
        <w:rPr>
          <w:rFonts w:hint="eastAsia" w:ascii="宋体" w:hAnsi="宋体" w:cs="宋体"/>
          <w:sz w:val="28"/>
          <w:szCs w:val="28"/>
        </w:rPr>
        <w:t>第三章 项目采购需求...................................第24页</w:t>
      </w:r>
    </w:p>
    <w:p>
      <w:pPr>
        <w:spacing w:line="720" w:lineRule="auto"/>
        <w:ind w:firstLine="560" w:firstLineChars="200"/>
        <w:rPr>
          <w:rFonts w:ascii="宋体" w:hAnsi="宋体" w:cs="宋体"/>
        </w:rPr>
      </w:pPr>
      <w:r>
        <w:rPr>
          <w:rFonts w:hint="eastAsia" w:ascii="宋体" w:hAnsi="宋体" w:cs="宋体"/>
          <w:sz w:val="28"/>
          <w:szCs w:val="28"/>
        </w:rPr>
        <w:t>第四章 拟签订的合同文本...............................第26页</w:t>
      </w:r>
    </w:p>
    <w:p>
      <w:pPr>
        <w:spacing w:line="720" w:lineRule="auto"/>
        <w:ind w:firstLine="560" w:firstLineChars="200"/>
        <w:rPr>
          <w:rFonts w:ascii="宋体" w:hAnsi="宋体" w:cs="宋体"/>
          <w:sz w:val="28"/>
          <w:szCs w:val="28"/>
        </w:rPr>
      </w:pPr>
      <w:r>
        <w:rPr>
          <w:rFonts w:hint="eastAsia" w:ascii="宋体" w:hAnsi="宋体" w:cs="宋体"/>
          <w:sz w:val="28"/>
          <w:szCs w:val="28"/>
        </w:rPr>
        <w:t>第五章 响应文件格式...................................第30页</w:t>
      </w:r>
    </w:p>
    <w:p>
      <w:pPr>
        <w:spacing w:line="720" w:lineRule="auto"/>
        <w:ind w:firstLine="560" w:firstLineChars="200"/>
        <w:rPr>
          <w:rFonts w:ascii="宋体" w:hAnsi="宋体" w:cs="宋体"/>
          <w:sz w:val="28"/>
          <w:szCs w:val="28"/>
        </w:rPr>
      </w:pPr>
      <w:r>
        <w:rPr>
          <w:rFonts w:hint="eastAsia" w:ascii="宋体" w:hAnsi="宋体" w:cs="宋体"/>
          <w:sz w:val="28"/>
          <w:szCs w:val="28"/>
        </w:rPr>
        <w:t>第六章 评审标准（综合评分法）.........................第44页</w:t>
      </w:r>
    </w:p>
    <w:p>
      <w:pPr>
        <w:spacing w:line="720" w:lineRule="auto"/>
        <w:rPr>
          <w:rFonts w:ascii="宋体" w:hAnsi="宋体" w:cs="宋体"/>
          <w:sz w:val="28"/>
          <w:szCs w:val="28"/>
        </w:rPr>
      </w:pPr>
    </w:p>
    <w:p>
      <w:pPr>
        <w:spacing w:line="72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rPr>
          <w:rFonts w:ascii="宋体" w:hAnsi="宋体" w:cs="宋体"/>
          <w:sz w:val="32"/>
          <w:szCs w:val="32"/>
        </w:rPr>
      </w:pPr>
    </w:p>
    <w:p>
      <w:pPr>
        <w:spacing w:line="360" w:lineRule="auto"/>
        <w:rPr>
          <w:rFonts w:ascii="宋体" w:hAnsi="宋体" w:cs="宋体"/>
          <w:sz w:val="32"/>
          <w:szCs w:val="32"/>
        </w:rPr>
      </w:pPr>
    </w:p>
    <w:p>
      <w:pPr>
        <w:spacing w:line="360" w:lineRule="auto"/>
        <w:rPr>
          <w:rFonts w:ascii="宋体" w:hAnsi="宋体" w:cs="宋体"/>
          <w:b/>
          <w:sz w:val="28"/>
          <w:szCs w:val="28"/>
        </w:rPr>
      </w:pPr>
    </w:p>
    <w:p>
      <w:pPr>
        <w:spacing w:line="360" w:lineRule="auto"/>
        <w:jc w:val="center"/>
        <w:rPr>
          <w:rFonts w:ascii="宋体" w:hAnsi="宋体" w:cs="宋体"/>
          <w:b/>
          <w:sz w:val="28"/>
          <w:szCs w:val="28"/>
        </w:rPr>
      </w:pPr>
      <w:r>
        <w:rPr>
          <w:rFonts w:hint="eastAsia" w:ascii="宋体" w:hAnsi="宋体" w:cs="宋体"/>
          <w:b/>
          <w:sz w:val="28"/>
          <w:szCs w:val="28"/>
        </w:rPr>
        <w:t>第一章 招标公告</w:t>
      </w:r>
    </w:p>
    <w:p>
      <w:pPr>
        <w:pBdr>
          <w:top w:val="single" w:color="auto" w:sz="4" w:space="1"/>
          <w:left w:val="single" w:color="auto" w:sz="4" w:space="4"/>
          <w:bottom w:val="single" w:color="auto" w:sz="4" w:space="1"/>
          <w:right w:val="single" w:color="auto" w:sz="4" w:space="4"/>
        </w:pBdr>
        <w:spacing w:line="400" w:lineRule="exact"/>
        <w:rPr>
          <w:rFonts w:ascii="宋体" w:hAnsi="宋体" w:cs="宋体"/>
          <w:sz w:val="24"/>
        </w:rPr>
      </w:pPr>
      <w:r>
        <w:rPr>
          <w:rFonts w:hint="eastAsia" w:ascii="宋体" w:hAnsi="宋体" w:cs="宋体"/>
          <w:sz w:val="24"/>
        </w:rPr>
        <w:t>项目概况:</w:t>
      </w:r>
    </w:p>
    <w:p>
      <w:pPr>
        <w:pBdr>
          <w:top w:val="single" w:color="auto" w:sz="4" w:space="1"/>
          <w:left w:val="single" w:color="auto" w:sz="4" w:space="4"/>
          <w:bottom w:val="single" w:color="auto" w:sz="4" w:space="1"/>
          <w:right w:val="single" w:color="auto" w:sz="4" w:space="4"/>
        </w:pBdr>
        <w:spacing w:line="400" w:lineRule="exact"/>
        <w:ind w:firstLine="480" w:firstLineChars="200"/>
        <w:rPr>
          <w:rFonts w:ascii="宋体" w:hAnsi="宋体" w:cs="宋体"/>
          <w:sz w:val="24"/>
        </w:rPr>
      </w:pPr>
      <w:r>
        <w:rPr>
          <w:rFonts w:hint="eastAsia" w:ascii="宋体" w:hAnsi="宋体" w:cs="宋体"/>
          <w:sz w:val="24"/>
          <w:u w:val="single"/>
        </w:rPr>
        <w:t>克拉玛依市教育局及直属学校安保服务项目</w:t>
      </w:r>
      <w:r>
        <w:rPr>
          <w:rFonts w:hint="eastAsia" w:ascii="宋体" w:hAnsi="宋体" w:cs="宋体"/>
          <w:sz w:val="24"/>
        </w:rPr>
        <w:t>招标项目的潜在供应商应在</w:t>
      </w:r>
      <w:r>
        <w:rPr>
          <w:rFonts w:hint="eastAsia" w:ascii="宋体" w:hAnsi="宋体" w:cs="宋体"/>
          <w:sz w:val="24"/>
          <w:u w:val="single"/>
        </w:rPr>
        <w:t>新疆政府采购网</w:t>
      </w:r>
      <w:r>
        <w:rPr>
          <w:rFonts w:hint="eastAsia" w:ascii="宋体" w:hAnsi="宋体" w:cs="宋体"/>
          <w:sz w:val="24"/>
        </w:rPr>
        <w:t>获取招标文件，并于</w:t>
      </w:r>
      <w:r>
        <w:rPr>
          <w:rFonts w:hint="eastAsia" w:ascii="宋体" w:hAnsi="宋体" w:cs="宋体"/>
          <w:sz w:val="24"/>
          <w:u w:val="single"/>
        </w:rPr>
        <w:t xml:space="preserve"> 2021年12月3日11:00</w:t>
      </w:r>
      <w:r>
        <w:rPr>
          <w:rFonts w:hint="eastAsia" w:ascii="宋体" w:hAnsi="宋体" w:cs="宋体"/>
          <w:bCs/>
          <w:sz w:val="24"/>
        </w:rPr>
        <w:t>前递交响应文件</w:t>
      </w:r>
      <w:r>
        <w:rPr>
          <w:rFonts w:hint="eastAsia" w:ascii="宋体" w:hAnsi="宋体" w:cs="宋体"/>
          <w:sz w:val="24"/>
        </w:rPr>
        <w:t>。</w:t>
      </w:r>
    </w:p>
    <w:p>
      <w:pPr>
        <w:spacing w:line="400" w:lineRule="exact"/>
        <w:rPr>
          <w:rFonts w:ascii="宋体" w:hAnsi="宋体" w:cs="宋体"/>
          <w:b/>
          <w:bCs/>
          <w:sz w:val="24"/>
        </w:rPr>
      </w:pPr>
      <w:bookmarkStart w:id="0" w:name="_Toc35393621"/>
      <w:bookmarkStart w:id="1" w:name="_Toc28359079"/>
      <w:bookmarkStart w:id="2" w:name="_Toc35393790"/>
      <w:bookmarkStart w:id="3" w:name="_Toc28359002"/>
      <w:bookmarkStart w:id="4" w:name="_Hlk24379207"/>
      <w:r>
        <w:rPr>
          <w:rFonts w:hint="eastAsia" w:ascii="宋体" w:hAnsi="宋体" w:cs="宋体"/>
          <w:b/>
          <w:bCs/>
          <w:sz w:val="24"/>
        </w:rPr>
        <w:t>一、项目基本情况</w:t>
      </w:r>
      <w:bookmarkEnd w:id="0"/>
      <w:bookmarkEnd w:id="1"/>
      <w:bookmarkEnd w:id="2"/>
      <w:bookmarkEnd w:id="3"/>
    </w:p>
    <w:p>
      <w:pPr>
        <w:spacing w:line="400" w:lineRule="exact"/>
        <w:ind w:firstLine="480" w:firstLineChars="200"/>
        <w:rPr>
          <w:rFonts w:ascii="宋体" w:hAnsi="宋体" w:cs="宋体"/>
          <w:sz w:val="24"/>
        </w:rPr>
      </w:pPr>
      <w:r>
        <w:rPr>
          <w:rFonts w:hint="eastAsia" w:ascii="宋体" w:hAnsi="宋体" w:cs="宋体"/>
          <w:sz w:val="24"/>
        </w:rPr>
        <w:t>项目编号：AZH[ZC]2021-17</w:t>
      </w:r>
    </w:p>
    <w:p>
      <w:pPr>
        <w:spacing w:line="400" w:lineRule="exact"/>
        <w:ind w:firstLine="480" w:firstLineChars="200"/>
        <w:rPr>
          <w:rFonts w:ascii="宋体" w:hAnsi="宋体" w:cs="宋体"/>
          <w:sz w:val="24"/>
        </w:rPr>
      </w:pPr>
      <w:r>
        <w:rPr>
          <w:rFonts w:hint="eastAsia" w:ascii="宋体" w:hAnsi="宋体" w:cs="宋体"/>
          <w:sz w:val="24"/>
        </w:rPr>
        <w:t>项目名称：克拉玛依市教育局及直属学校安保服务项目</w:t>
      </w:r>
    </w:p>
    <w:p>
      <w:pPr>
        <w:spacing w:line="400" w:lineRule="exact"/>
        <w:ind w:firstLine="480" w:firstLineChars="200"/>
        <w:rPr>
          <w:rFonts w:ascii="宋体" w:hAnsi="宋体" w:cs="宋体"/>
          <w:sz w:val="24"/>
        </w:rPr>
      </w:pPr>
      <w:r>
        <w:rPr>
          <w:rFonts w:hint="eastAsia" w:ascii="宋体" w:hAnsi="宋体" w:cs="宋体"/>
          <w:sz w:val="24"/>
        </w:rPr>
        <w:t>采购方式：公开招标</w:t>
      </w:r>
    </w:p>
    <w:bookmarkEnd w:id="4"/>
    <w:p>
      <w:pPr>
        <w:widowControl/>
        <w:autoSpaceDE w:val="0"/>
        <w:spacing w:line="400" w:lineRule="exact"/>
        <w:ind w:left="479" w:leftChars="228"/>
        <w:jc w:val="left"/>
        <w:rPr>
          <w:rFonts w:ascii="宋体" w:hAnsi="宋体" w:cs="宋体"/>
          <w:sz w:val="24"/>
        </w:rPr>
      </w:pPr>
      <w:r>
        <w:rPr>
          <w:rFonts w:hint="eastAsia" w:ascii="宋体" w:hAnsi="宋体" w:cs="宋体"/>
          <w:sz w:val="24"/>
        </w:rPr>
        <w:t>预算金额：205.92万元/年</w:t>
      </w:r>
    </w:p>
    <w:p>
      <w:pPr>
        <w:widowControl/>
        <w:autoSpaceDE w:val="0"/>
        <w:spacing w:line="400" w:lineRule="exact"/>
        <w:ind w:left="479" w:leftChars="228"/>
        <w:jc w:val="left"/>
        <w:rPr>
          <w:rFonts w:ascii="宋体" w:hAnsi="宋体" w:cs="宋体"/>
          <w:sz w:val="24"/>
        </w:rPr>
      </w:pPr>
      <w:r>
        <w:rPr>
          <w:rFonts w:hint="eastAsia" w:ascii="宋体" w:hAnsi="宋体" w:cs="宋体"/>
          <w:sz w:val="24"/>
        </w:rPr>
        <w:t>最高限价（如有）：详见招标文件</w:t>
      </w:r>
    </w:p>
    <w:p>
      <w:pPr>
        <w:spacing w:line="400" w:lineRule="exact"/>
        <w:ind w:firstLine="480" w:firstLineChars="200"/>
        <w:jc w:val="left"/>
        <w:rPr>
          <w:rFonts w:ascii="宋体" w:hAnsi="宋体" w:cs="宋体"/>
          <w:sz w:val="24"/>
        </w:rPr>
      </w:pPr>
      <w:r>
        <w:rPr>
          <w:rFonts w:hint="eastAsia" w:ascii="宋体" w:hAnsi="宋体" w:cs="宋体"/>
          <w:sz w:val="24"/>
        </w:rPr>
        <w:t>采购需求：</w:t>
      </w:r>
      <w:bookmarkStart w:id="5" w:name="_Toc35393622"/>
      <w:bookmarkStart w:id="6" w:name="_Toc28359003"/>
      <w:bookmarkStart w:id="7" w:name="_Toc35393791"/>
      <w:bookmarkStart w:id="8" w:name="_Toc28359080"/>
      <w:r>
        <w:rPr>
          <w:rFonts w:hint="eastAsia" w:ascii="宋体" w:hAnsi="宋体" w:cs="宋体"/>
          <w:sz w:val="24"/>
        </w:rPr>
        <w:t>在服务期限内完成克拉玛依市教育局及直属学校安保服务项目采购需求及合同文本、本招标文件约定的全部内容。（具体内容详见招标文件）</w:t>
      </w:r>
    </w:p>
    <w:p>
      <w:pPr>
        <w:widowControl/>
        <w:autoSpaceDE w:val="0"/>
        <w:spacing w:line="400" w:lineRule="exact"/>
        <w:ind w:firstLine="480"/>
        <w:jc w:val="left"/>
      </w:pPr>
      <w:r>
        <w:rPr>
          <w:rFonts w:hint="eastAsia" w:ascii="宋体" w:hAnsi="宋体" w:cs="宋体"/>
          <w:kern w:val="0"/>
          <w:sz w:val="24"/>
        </w:rPr>
        <w:t>服务期限：2022年1月1日起至2024年12月31日止（服务期限三年，合同一年一签）</w:t>
      </w:r>
    </w:p>
    <w:p>
      <w:pPr>
        <w:widowControl/>
        <w:autoSpaceDE w:val="0"/>
        <w:spacing w:line="400" w:lineRule="exact"/>
        <w:ind w:firstLine="480"/>
        <w:jc w:val="left"/>
        <w:rPr>
          <w:rFonts w:ascii="宋体" w:hAnsi="宋体" w:cs="宋体"/>
          <w:kern w:val="0"/>
          <w:sz w:val="24"/>
        </w:rPr>
      </w:pPr>
      <w:r>
        <w:rPr>
          <w:rFonts w:hint="eastAsia" w:ascii="宋体" w:hAnsi="宋体" w:cs="宋体"/>
          <w:kern w:val="0"/>
          <w:sz w:val="24"/>
        </w:rPr>
        <w:t>本项目不接受联合体投标。</w:t>
      </w:r>
    </w:p>
    <w:p>
      <w:pPr>
        <w:spacing w:line="400" w:lineRule="exact"/>
        <w:rPr>
          <w:rFonts w:ascii="宋体" w:hAnsi="宋体" w:cs="宋体"/>
          <w:b/>
          <w:bCs/>
          <w:sz w:val="24"/>
        </w:rPr>
      </w:pPr>
      <w:r>
        <w:rPr>
          <w:rFonts w:hint="eastAsia" w:ascii="宋体" w:hAnsi="宋体" w:cs="宋体"/>
          <w:b/>
          <w:bCs/>
          <w:sz w:val="24"/>
        </w:rPr>
        <w:t>二、申请人的资格要求：</w:t>
      </w:r>
      <w:bookmarkEnd w:id="5"/>
      <w:bookmarkEnd w:id="6"/>
      <w:bookmarkEnd w:id="7"/>
      <w:bookmarkEnd w:id="8"/>
    </w:p>
    <w:p>
      <w:pPr>
        <w:widowControl/>
        <w:autoSpaceDE w:val="0"/>
        <w:spacing w:line="400" w:lineRule="exact"/>
        <w:ind w:firstLine="480"/>
        <w:jc w:val="left"/>
        <w:rPr>
          <w:rFonts w:ascii="宋体" w:hAnsi="宋体" w:cs="宋体"/>
          <w:color w:val="auto"/>
          <w:kern w:val="0"/>
          <w:sz w:val="24"/>
        </w:rPr>
      </w:pPr>
      <w:bookmarkStart w:id="9" w:name="_Toc35393623"/>
      <w:bookmarkStart w:id="10" w:name="_Toc28359004"/>
      <w:bookmarkStart w:id="11" w:name="_Toc35393792"/>
      <w:bookmarkStart w:id="12" w:name="_Toc28359081"/>
      <w:r>
        <w:rPr>
          <w:rFonts w:hint="eastAsia" w:ascii="宋体" w:hAnsi="宋体" w:cs="宋体"/>
          <w:color w:val="auto"/>
          <w:kern w:val="0"/>
          <w:sz w:val="24"/>
        </w:rPr>
        <w:t>1.满足《中华人民共和国政府采购法》第二十二条规定；</w:t>
      </w:r>
    </w:p>
    <w:p>
      <w:pPr>
        <w:widowControl/>
        <w:autoSpaceDE w:val="0"/>
        <w:spacing w:line="400" w:lineRule="exact"/>
        <w:ind w:firstLine="480"/>
        <w:jc w:val="left"/>
        <w:rPr>
          <w:rFonts w:ascii="宋体" w:hAnsi="宋体" w:cs="宋体"/>
          <w:color w:val="auto"/>
          <w:kern w:val="0"/>
          <w:sz w:val="24"/>
        </w:rPr>
      </w:pPr>
      <w:r>
        <w:rPr>
          <w:rFonts w:hint="eastAsia" w:ascii="宋体" w:hAnsi="宋体" w:cs="宋体"/>
          <w:color w:val="auto"/>
          <w:kern w:val="0"/>
          <w:sz w:val="24"/>
        </w:rPr>
        <w:t>2.落实政府采购政策需满足的资格要求：按照财政部工业和信息化部《关于印发&lt;政府采购促进中小企业发展暂行办法&gt;的通知》（财库〔2020〕46号）的规定，落实促进中小企业发展政策；</w:t>
      </w:r>
    </w:p>
    <w:p>
      <w:pPr>
        <w:widowControl/>
        <w:autoSpaceDE w:val="0"/>
        <w:spacing w:line="400" w:lineRule="exact"/>
        <w:ind w:firstLine="480"/>
        <w:jc w:val="left"/>
        <w:rPr>
          <w:rFonts w:ascii="宋体" w:hAnsi="宋体" w:cs="宋体"/>
          <w:color w:val="auto"/>
          <w:kern w:val="0"/>
          <w:sz w:val="24"/>
        </w:rPr>
      </w:pPr>
      <w:r>
        <w:rPr>
          <w:rFonts w:hint="eastAsia" w:ascii="宋体" w:hAnsi="宋体" w:cs="宋体"/>
          <w:color w:val="auto"/>
          <w:kern w:val="0"/>
          <w:sz w:val="24"/>
        </w:rPr>
        <w:t>3.本项目的特定资格要求：</w:t>
      </w:r>
    </w:p>
    <w:p>
      <w:pPr>
        <w:widowControl/>
        <w:autoSpaceDE w:val="0"/>
        <w:spacing w:line="400" w:lineRule="exact"/>
        <w:ind w:firstLine="480"/>
        <w:jc w:val="left"/>
        <w:rPr>
          <w:rFonts w:ascii="宋体" w:hAnsi="宋体" w:cs="宋体"/>
          <w:color w:val="auto"/>
          <w:kern w:val="0"/>
          <w:sz w:val="24"/>
        </w:rPr>
      </w:pPr>
      <w:r>
        <w:rPr>
          <w:rFonts w:hint="eastAsia" w:ascii="宋体" w:hAnsi="宋体" w:cs="宋体"/>
          <w:color w:val="auto"/>
          <w:kern w:val="0"/>
          <w:sz w:val="24"/>
        </w:rPr>
        <w:t>（1）在中华人民共和国境内注册，具有独立法人资格并依法取得企业营业执照且营业执照在有效期内（经营范围具有与本项目采购相关的内容）；</w:t>
      </w:r>
    </w:p>
    <w:p>
      <w:pPr>
        <w:widowControl/>
        <w:autoSpaceDE w:val="0"/>
        <w:spacing w:line="400" w:lineRule="exact"/>
        <w:ind w:firstLine="480"/>
        <w:jc w:val="left"/>
        <w:rPr>
          <w:rFonts w:ascii="宋体" w:hAnsi="宋体" w:cs="宋体"/>
          <w:color w:val="auto"/>
          <w:kern w:val="0"/>
          <w:sz w:val="24"/>
        </w:rPr>
      </w:pPr>
      <w:r>
        <w:rPr>
          <w:rFonts w:hint="eastAsia" w:ascii="宋体" w:hAnsi="宋体" w:cs="宋体"/>
          <w:color w:val="auto"/>
          <w:kern w:val="0"/>
          <w:sz w:val="24"/>
        </w:rPr>
        <w:t>（2）具备保安服务许可证。</w:t>
      </w:r>
    </w:p>
    <w:p>
      <w:pPr>
        <w:spacing w:line="400" w:lineRule="exact"/>
        <w:rPr>
          <w:rFonts w:ascii="宋体" w:hAnsi="宋体" w:cs="宋体"/>
          <w:b/>
          <w:bCs/>
          <w:color w:val="auto"/>
          <w:sz w:val="24"/>
        </w:rPr>
      </w:pPr>
      <w:r>
        <w:rPr>
          <w:rFonts w:hint="eastAsia" w:ascii="宋体" w:hAnsi="宋体" w:cs="宋体"/>
          <w:b/>
          <w:bCs/>
          <w:color w:val="auto"/>
          <w:sz w:val="24"/>
        </w:rPr>
        <w:t>三、获取</w:t>
      </w:r>
      <w:bookmarkEnd w:id="9"/>
      <w:bookmarkEnd w:id="10"/>
      <w:bookmarkEnd w:id="11"/>
      <w:bookmarkEnd w:id="12"/>
      <w:r>
        <w:rPr>
          <w:rFonts w:hint="eastAsia" w:ascii="宋体" w:hAnsi="宋体" w:cs="宋体"/>
          <w:b/>
          <w:bCs/>
          <w:color w:val="auto"/>
          <w:sz w:val="24"/>
        </w:rPr>
        <w:t>招标文件</w:t>
      </w:r>
    </w:p>
    <w:p>
      <w:pPr>
        <w:spacing w:line="400" w:lineRule="exact"/>
        <w:ind w:firstLine="540"/>
        <w:rPr>
          <w:rFonts w:ascii="宋体" w:hAnsi="宋体" w:cs="宋体"/>
          <w:color w:val="auto"/>
          <w:sz w:val="24"/>
        </w:rPr>
      </w:pPr>
      <w:r>
        <w:rPr>
          <w:rFonts w:hint="eastAsia" w:ascii="宋体" w:hAnsi="宋体" w:cs="宋体"/>
          <w:color w:val="auto"/>
          <w:sz w:val="24"/>
        </w:rPr>
        <w:t>时间：</w:t>
      </w:r>
      <w:r>
        <w:rPr>
          <w:rFonts w:hint="eastAsia" w:ascii="宋体" w:hAnsi="宋体" w:cs="宋体"/>
          <w:color w:val="auto"/>
          <w:sz w:val="24"/>
          <w:u w:val="single"/>
        </w:rPr>
        <w:t>2021年11月6日至 2021年12月2日</w:t>
      </w:r>
      <w:r>
        <w:rPr>
          <w:rFonts w:hint="eastAsia" w:ascii="宋体" w:hAnsi="宋体" w:cs="宋体"/>
          <w:color w:val="auto"/>
          <w:sz w:val="24"/>
        </w:rPr>
        <w:t>，每天上午</w:t>
      </w:r>
      <w:r>
        <w:rPr>
          <w:rFonts w:hint="eastAsia" w:ascii="宋体" w:hAnsi="宋体" w:cs="宋体"/>
          <w:color w:val="auto"/>
          <w:sz w:val="24"/>
          <w:u w:val="single"/>
        </w:rPr>
        <w:t>10:00</w:t>
      </w:r>
      <w:r>
        <w:rPr>
          <w:rFonts w:hint="eastAsia" w:ascii="宋体" w:hAnsi="宋体" w:cs="宋体"/>
          <w:color w:val="auto"/>
          <w:sz w:val="24"/>
        </w:rPr>
        <w:t>至</w:t>
      </w:r>
      <w:r>
        <w:rPr>
          <w:rFonts w:hint="eastAsia" w:ascii="宋体" w:hAnsi="宋体" w:cs="宋体"/>
          <w:color w:val="auto"/>
          <w:sz w:val="24"/>
          <w:u w:val="single"/>
        </w:rPr>
        <w:t>13:30</w:t>
      </w:r>
      <w:r>
        <w:rPr>
          <w:rFonts w:hint="eastAsia" w:ascii="宋体" w:hAnsi="宋体" w:cs="宋体"/>
          <w:color w:val="auto"/>
          <w:sz w:val="24"/>
        </w:rPr>
        <w:t>，下午</w:t>
      </w:r>
      <w:r>
        <w:rPr>
          <w:rFonts w:hint="eastAsia" w:ascii="宋体" w:hAnsi="宋体" w:cs="宋体"/>
          <w:color w:val="auto"/>
          <w:sz w:val="24"/>
          <w:u w:val="single"/>
        </w:rPr>
        <w:t>16:00</w:t>
      </w:r>
      <w:r>
        <w:rPr>
          <w:rFonts w:hint="eastAsia" w:ascii="宋体" w:hAnsi="宋体" w:cs="宋体"/>
          <w:color w:val="auto"/>
          <w:sz w:val="24"/>
        </w:rPr>
        <w:t>至</w:t>
      </w:r>
      <w:r>
        <w:rPr>
          <w:rFonts w:hint="eastAsia" w:ascii="宋体" w:hAnsi="宋体" w:cs="宋体"/>
          <w:color w:val="auto"/>
          <w:sz w:val="24"/>
          <w:u w:val="single"/>
        </w:rPr>
        <w:t>19:30</w:t>
      </w:r>
      <w:r>
        <w:rPr>
          <w:rFonts w:hint="eastAsia" w:ascii="宋体" w:hAnsi="宋体" w:cs="宋体"/>
          <w:color w:val="auto"/>
          <w:sz w:val="24"/>
        </w:rPr>
        <w:t>（北京时间，法定节假日除外）</w:t>
      </w:r>
    </w:p>
    <w:p>
      <w:pPr>
        <w:spacing w:line="400" w:lineRule="exact"/>
        <w:ind w:firstLine="480" w:firstLineChars="200"/>
        <w:rPr>
          <w:rFonts w:ascii="宋体" w:hAnsi="宋体" w:cs="宋体"/>
          <w:color w:val="auto"/>
          <w:sz w:val="24"/>
          <w:u w:val="single"/>
        </w:rPr>
      </w:pPr>
      <w:r>
        <w:rPr>
          <w:rFonts w:hint="eastAsia" w:ascii="宋体" w:hAnsi="宋体" w:cs="宋体"/>
          <w:color w:val="auto"/>
          <w:sz w:val="24"/>
        </w:rPr>
        <w:t>地点：新疆安致恒工程项目管理有限公司（新疆克拉玛依市克拉玛依区昆仑路585号四楼）</w:t>
      </w:r>
    </w:p>
    <w:p>
      <w:pPr>
        <w:spacing w:line="400" w:lineRule="exact"/>
        <w:ind w:firstLine="540"/>
        <w:rPr>
          <w:rFonts w:ascii="宋体" w:hAnsi="宋体" w:cs="宋体"/>
          <w:color w:val="auto"/>
          <w:sz w:val="24"/>
          <w:u w:val="single"/>
        </w:rPr>
      </w:pPr>
      <w:r>
        <w:rPr>
          <w:rFonts w:hint="eastAsia" w:ascii="宋体" w:hAnsi="宋体" w:cs="宋体"/>
          <w:color w:val="auto"/>
          <w:sz w:val="24"/>
        </w:rPr>
        <w:t>方式：线上获取</w:t>
      </w:r>
    </w:p>
    <w:p>
      <w:pPr>
        <w:spacing w:line="400" w:lineRule="exact"/>
        <w:ind w:firstLine="540"/>
        <w:rPr>
          <w:rFonts w:ascii="宋体" w:hAnsi="宋体" w:cs="宋体"/>
          <w:color w:val="auto"/>
          <w:sz w:val="24"/>
        </w:rPr>
      </w:pPr>
      <w:r>
        <w:rPr>
          <w:rFonts w:hint="eastAsia" w:ascii="宋体" w:hAnsi="宋体" w:cs="宋体"/>
          <w:color w:val="auto"/>
          <w:sz w:val="24"/>
        </w:rPr>
        <w:t>售价（元）：300</w:t>
      </w:r>
    </w:p>
    <w:p>
      <w:pPr>
        <w:spacing w:line="400" w:lineRule="exact"/>
        <w:rPr>
          <w:rFonts w:ascii="宋体" w:hAnsi="宋体" w:cs="宋体"/>
          <w:b/>
          <w:bCs/>
          <w:color w:val="auto"/>
          <w:sz w:val="24"/>
        </w:rPr>
      </w:pPr>
      <w:bookmarkStart w:id="13" w:name="_Toc28359005"/>
      <w:bookmarkStart w:id="14" w:name="_Toc35393793"/>
      <w:bookmarkStart w:id="15" w:name="_Toc35393624"/>
      <w:bookmarkStart w:id="16" w:name="_Toc28359082"/>
      <w:r>
        <w:rPr>
          <w:rFonts w:hint="eastAsia" w:ascii="宋体" w:hAnsi="宋体" w:cs="宋体"/>
          <w:b/>
          <w:bCs/>
          <w:color w:val="auto"/>
          <w:sz w:val="24"/>
        </w:rPr>
        <w:t>四、</w:t>
      </w:r>
      <w:bookmarkEnd w:id="13"/>
      <w:bookmarkEnd w:id="14"/>
      <w:bookmarkEnd w:id="15"/>
      <w:bookmarkEnd w:id="16"/>
      <w:r>
        <w:rPr>
          <w:rFonts w:hint="eastAsia" w:ascii="宋体" w:hAnsi="宋体" w:cs="宋体"/>
          <w:b/>
          <w:bCs/>
          <w:color w:val="auto"/>
          <w:sz w:val="24"/>
        </w:rPr>
        <w:t>提交响应文件截止时间、开标时间和地点</w:t>
      </w:r>
    </w:p>
    <w:p>
      <w:pPr>
        <w:spacing w:line="400" w:lineRule="exact"/>
        <w:ind w:firstLine="480" w:firstLineChars="200"/>
        <w:rPr>
          <w:rFonts w:ascii="宋体" w:hAnsi="宋体" w:cs="宋体"/>
          <w:bCs/>
          <w:color w:val="auto"/>
          <w:sz w:val="24"/>
          <w:u w:val="single"/>
        </w:rPr>
      </w:pPr>
      <w:r>
        <w:rPr>
          <w:rFonts w:hint="eastAsia" w:ascii="宋体" w:hAnsi="宋体" w:cs="宋体"/>
          <w:bCs/>
          <w:color w:val="auto"/>
          <w:sz w:val="24"/>
        </w:rPr>
        <w:t>提交响应文件截止时间：</w:t>
      </w:r>
      <w:r>
        <w:rPr>
          <w:rFonts w:hint="eastAsia" w:ascii="宋体" w:hAnsi="宋体" w:cs="宋体"/>
          <w:color w:val="auto"/>
          <w:sz w:val="24"/>
          <w:u w:val="single"/>
        </w:rPr>
        <w:t xml:space="preserve"> 2021年12月3日11:00</w:t>
      </w:r>
    </w:p>
    <w:p>
      <w:pPr>
        <w:spacing w:line="400" w:lineRule="exact"/>
        <w:ind w:firstLine="480" w:firstLineChars="200"/>
        <w:rPr>
          <w:rFonts w:ascii="宋体" w:hAnsi="宋体" w:cs="宋体"/>
          <w:bCs/>
          <w:color w:val="auto"/>
          <w:sz w:val="24"/>
          <w:u w:val="single"/>
        </w:rPr>
      </w:pPr>
      <w:r>
        <w:rPr>
          <w:rFonts w:hint="eastAsia" w:ascii="宋体" w:hAnsi="宋体" w:cs="宋体"/>
          <w:color w:val="auto"/>
          <w:sz w:val="24"/>
        </w:rPr>
        <w:t>投标地点：新疆安致恒工程项目管理有限公司开标室（新疆克拉玛依市克拉玛依区昆仑路585号四楼）</w:t>
      </w:r>
    </w:p>
    <w:p>
      <w:pPr>
        <w:spacing w:line="400" w:lineRule="exact"/>
        <w:ind w:firstLine="480" w:firstLineChars="200"/>
        <w:rPr>
          <w:rFonts w:ascii="宋体" w:hAnsi="宋体" w:cs="宋体"/>
          <w:bCs/>
          <w:color w:val="auto"/>
          <w:sz w:val="24"/>
          <w:u w:val="single"/>
        </w:rPr>
      </w:pPr>
      <w:bookmarkStart w:id="17" w:name="_Toc35393794"/>
      <w:bookmarkStart w:id="18" w:name="_Toc35393625"/>
      <w:bookmarkStart w:id="19" w:name="_Toc28359084"/>
      <w:bookmarkStart w:id="20" w:name="_Toc28359007"/>
      <w:r>
        <w:rPr>
          <w:rFonts w:hint="eastAsia" w:ascii="宋体" w:hAnsi="宋体" w:cs="宋体"/>
          <w:bCs/>
          <w:color w:val="auto"/>
          <w:sz w:val="24"/>
        </w:rPr>
        <w:t>开标时间：</w:t>
      </w:r>
      <w:r>
        <w:rPr>
          <w:rFonts w:hint="eastAsia" w:ascii="宋体" w:hAnsi="宋体" w:cs="宋体"/>
          <w:color w:val="auto"/>
          <w:sz w:val="24"/>
          <w:u w:val="single"/>
        </w:rPr>
        <w:t xml:space="preserve">  2021年12月3日11:00</w:t>
      </w:r>
    </w:p>
    <w:p>
      <w:pPr>
        <w:spacing w:line="400" w:lineRule="exact"/>
        <w:ind w:firstLine="480" w:firstLineChars="200"/>
        <w:rPr>
          <w:rFonts w:ascii="宋体" w:hAnsi="宋体" w:cs="宋体"/>
          <w:bCs/>
          <w:color w:val="auto"/>
          <w:sz w:val="24"/>
          <w:u w:val="single"/>
        </w:rPr>
      </w:pPr>
      <w:r>
        <w:rPr>
          <w:rFonts w:hint="eastAsia" w:ascii="宋体" w:hAnsi="宋体" w:cs="宋体"/>
          <w:color w:val="auto"/>
          <w:sz w:val="24"/>
        </w:rPr>
        <w:t>开标地点：新疆安致恒工程项目管理有限公司开标室（新疆克拉玛依市克拉玛依区昆仑路585号四楼）</w:t>
      </w:r>
    </w:p>
    <w:p>
      <w:pPr>
        <w:spacing w:line="400" w:lineRule="exact"/>
        <w:rPr>
          <w:rFonts w:ascii="宋体" w:hAnsi="宋体" w:cs="宋体"/>
          <w:b/>
          <w:bCs/>
          <w:color w:val="auto"/>
          <w:sz w:val="24"/>
        </w:rPr>
      </w:pPr>
      <w:r>
        <w:rPr>
          <w:rFonts w:hint="eastAsia" w:ascii="宋体" w:hAnsi="宋体" w:cs="宋体"/>
          <w:b/>
          <w:bCs/>
          <w:color w:val="auto"/>
          <w:sz w:val="24"/>
        </w:rPr>
        <w:t>五、公告期限</w:t>
      </w:r>
      <w:bookmarkEnd w:id="17"/>
      <w:bookmarkEnd w:id="18"/>
      <w:bookmarkEnd w:id="19"/>
      <w:bookmarkEnd w:id="20"/>
    </w:p>
    <w:p>
      <w:pPr>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自本公告发布之日起20日。</w:t>
      </w:r>
    </w:p>
    <w:p>
      <w:pPr>
        <w:spacing w:line="400" w:lineRule="exact"/>
        <w:rPr>
          <w:rFonts w:ascii="宋体" w:hAnsi="宋体" w:cs="宋体"/>
          <w:b/>
          <w:bCs/>
          <w:color w:val="auto"/>
          <w:sz w:val="24"/>
        </w:rPr>
      </w:pPr>
      <w:bookmarkStart w:id="21" w:name="_Toc35393626"/>
      <w:bookmarkStart w:id="22" w:name="_Toc35393795"/>
      <w:r>
        <w:rPr>
          <w:rFonts w:hint="eastAsia" w:ascii="宋体" w:hAnsi="宋体" w:cs="宋体"/>
          <w:b/>
          <w:bCs/>
          <w:color w:val="auto"/>
          <w:sz w:val="24"/>
        </w:rPr>
        <w:t>六、其他补充事宜</w:t>
      </w:r>
      <w:bookmarkEnd w:id="21"/>
      <w:bookmarkEnd w:id="22"/>
    </w:p>
    <w:p>
      <w:pPr>
        <w:pStyle w:val="72"/>
        <w:spacing w:line="440" w:lineRule="exact"/>
        <w:ind w:firstLine="480"/>
        <w:rPr>
          <w:rFonts w:ascii="宋体" w:hAnsi="宋体" w:cs="宋体"/>
          <w:color w:val="auto"/>
          <w:sz w:val="24"/>
        </w:rPr>
      </w:pPr>
      <w:bookmarkStart w:id="23" w:name="_Toc35393627"/>
      <w:bookmarkStart w:id="24" w:name="_Toc35393796"/>
      <w:bookmarkStart w:id="25" w:name="_Toc28359008"/>
      <w:bookmarkStart w:id="26" w:name="_Toc28359085"/>
      <w:r>
        <w:rPr>
          <w:rFonts w:hint="eastAsia" w:ascii="宋体" w:hAnsi="宋体" w:cs="宋体"/>
          <w:color w:val="auto"/>
          <w:sz w:val="24"/>
        </w:rPr>
        <w:t>报名：填写《供应商参加政府采购项目申请表》，将《申请表》、《政府采购领域诚信承诺书》及文件费交纳凭证扫描件一同发送到邮箱：884963282@qq.com，邮件名称必须为：项目名称+项目编号+供应商名称+供应商联系方式，未提交申请表及文件费交纳凭证的供应商不得参加谈判活动。</w:t>
      </w:r>
      <w:r>
        <w:rPr>
          <w:rStyle w:val="31"/>
          <w:rFonts w:hint="eastAsia" w:ascii="宋体" w:hAnsi="宋体" w:cs="宋体"/>
          <w:b w:val="0"/>
          <w:bCs/>
          <w:color w:val="auto"/>
          <w:sz w:val="24"/>
        </w:rPr>
        <w:t>(报名表必须填写完整并加盖公章；不接受现场报名)</w:t>
      </w:r>
      <w:r>
        <w:rPr>
          <w:rFonts w:hint="eastAsia" w:ascii="宋体" w:hAnsi="宋体" w:cs="宋体"/>
          <w:color w:val="auto"/>
          <w:sz w:val="24"/>
        </w:rPr>
        <w:t>。    </w:t>
      </w:r>
    </w:p>
    <w:p>
      <w:pPr>
        <w:widowControl/>
        <w:spacing w:line="400" w:lineRule="exact"/>
        <w:ind w:firstLine="480" w:firstLineChars="200"/>
        <w:jc w:val="left"/>
        <w:rPr>
          <w:rFonts w:ascii="宋体" w:hAnsi="宋体" w:cs="宋体"/>
          <w:color w:val="auto"/>
          <w:sz w:val="24"/>
        </w:rPr>
      </w:pPr>
      <w:r>
        <w:rPr>
          <w:rFonts w:hint="eastAsia" w:ascii="宋体" w:hAnsi="宋体" w:cs="宋体"/>
          <w:color w:val="auto"/>
          <w:sz w:val="24"/>
        </w:rPr>
        <w:t>其他：参加现场交易活动的所有人员须自行全程佩戴口罩，配合进行体温检测和身份登记，符合疫情防控要求方可参加现场交易活动。</w:t>
      </w:r>
    </w:p>
    <w:p>
      <w:pPr>
        <w:widowControl/>
        <w:spacing w:line="400" w:lineRule="exact"/>
        <w:jc w:val="left"/>
        <w:rPr>
          <w:rFonts w:ascii="宋体" w:hAnsi="宋体" w:cs="宋体"/>
          <w:b/>
          <w:bCs/>
          <w:color w:val="auto"/>
          <w:sz w:val="24"/>
        </w:rPr>
      </w:pPr>
      <w:r>
        <w:rPr>
          <w:rFonts w:hint="eastAsia" w:ascii="宋体" w:hAnsi="宋体" w:cs="宋体"/>
          <w:b/>
          <w:bCs/>
          <w:color w:val="auto"/>
          <w:sz w:val="24"/>
        </w:rPr>
        <w:t>七、</w:t>
      </w:r>
      <w:bookmarkEnd w:id="23"/>
      <w:bookmarkEnd w:id="24"/>
      <w:bookmarkEnd w:id="25"/>
      <w:bookmarkEnd w:id="26"/>
      <w:r>
        <w:rPr>
          <w:rFonts w:hint="eastAsia" w:ascii="宋体" w:hAnsi="宋体" w:cs="宋体"/>
          <w:b/>
          <w:bCs/>
          <w:color w:val="auto"/>
          <w:sz w:val="24"/>
        </w:rPr>
        <w:t>对本次采购提出询问，请按以下方式联系</w:t>
      </w:r>
    </w:p>
    <w:p>
      <w:pPr>
        <w:widowControl/>
        <w:spacing w:line="400" w:lineRule="exact"/>
        <w:jc w:val="left"/>
        <w:rPr>
          <w:rFonts w:ascii="宋体" w:hAnsi="宋体" w:cs="宋体"/>
          <w:color w:val="auto"/>
          <w:sz w:val="24"/>
        </w:rPr>
      </w:pPr>
      <w:r>
        <w:rPr>
          <w:rFonts w:hint="eastAsia" w:ascii="宋体" w:hAnsi="宋体" w:cs="宋体"/>
          <w:color w:val="auto"/>
          <w:sz w:val="24"/>
        </w:rPr>
        <w:t>　　　1.采购人信息</w:t>
      </w:r>
    </w:p>
    <w:p>
      <w:pPr>
        <w:spacing w:line="400" w:lineRule="exact"/>
        <w:ind w:left="1079" w:leftChars="371" w:hanging="300" w:hangingChars="125"/>
        <w:jc w:val="left"/>
        <w:rPr>
          <w:rFonts w:ascii="宋体" w:hAnsi="宋体" w:cs="宋体"/>
          <w:color w:val="auto"/>
          <w:sz w:val="24"/>
        </w:rPr>
      </w:pPr>
      <w:bookmarkStart w:id="27" w:name="_Toc28359086"/>
      <w:bookmarkStart w:id="28" w:name="_Toc28359009"/>
      <w:r>
        <w:rPr>
          <w:rFonts w:hint="eastAsia" w:ascii="宋体" w:hAnsi="宋体" w:cs="宋体"/>
          <w:color w:val="auto"/>
          <w:sz w:val="24"/>
        </w:rPr>
        <w:t>名    称：克拉玛依市教育局　　</w:t>
      </w:r>
    </w:p>
    <w:p>
      <w:pPr>
        <w:spacing w:line="400" w:lineRule="exact"/>
        <w:ind w:left="1079" w:leftChars="371" w:hanging="300" w:hangingChars="125"/>
        <w:jc w:val="left"/>
        <w:rPr>
          <w:rFonts w:ascii="宋体" w:hAnsi="宋体" w:cs="宋体"/>
          <w:color w:val="auto"/>
          <w:sz w:val="24"/>
        </w:rPr>
      </w:pPr>
      <w:r>
        <w:rPr>
          <w:rFonts w:hint="eastAsia" w:ascii="宋体" w:hAnsi="宋体" w:cs="宋体"/>
          <w:color w:val="auto"/>
          <w:sz w:val="24"/>
        </w:rPr>
        <w:t>地    址：克拉玛依市塔河路102号</w:t>
      </w:r>
    </w:p>
    <w:p>
      <w:pPr>
        <w:spacing w:line="400" w:lineRule="exact"/>
        <w:ind w:left="1079" w:leftChars="371" w:hanging="300" w:hangingChars="125"/>
        <w:jc w:val="left"/>
        <w:rPr>
          <w:rFonts w:ascii="宋体" w:hAnsi="宋体" w:cs="宋体"/>
          <w:color w:val="auto"/>
          <w:sz w:val="24"/>
        </w:rPr>
      </w:pPr>
      <w:r>
        <w:rPr>
          <w:rFonts w:hint="eastAsia" w:ascii="宋体" w:hAnsi="宋体" w:cs="宋体"/>
          <w:color w:val="auto"/>
          <w:sz w:val="24"/>
        </w:rPr>
        <w:t>联系方式：0990-6222740</w:t>
      </w:r>
    </w:p>
    <w:p>
      <w:pPr>
        <w:spacing w:line="400" w:lineRule="exact"/>
        <w:ind w:left="1079" w:leftChars="371" w:hanging="300" w:hangingChars="125"/>
        <w:jc w:val="left"/>
        <w:rPr>
          <w:rFonts w:ascii="宋体" w:hAnsi="宋体" w:cs="宋体"/>
          <w:color w:val="auto"/>
          <w:sz w:val="24"/>
        </w:rPr>
      </w:pPr>
      <w:r>
        <w:rPr>
          <w:rFonts w:hint="eastAsia" w:ascii="宋体" w:hAnsi="宋体" w:cs="宋体"/>
          <w:color w:val="auto"/>
          <w:sz w:val="24"/>
        </w:rPr>
        <w:t>2.采购代理机构信息</w:t>
      </w:r>
      <w:bookmarkEnd w:id="27"/>
      <w:bookmarkEnd w:id="28"/>
    </w:p>
    <w:p>
      <w:pPr>
        <w:spacing w:line="400" w:lineRule="exact"/>
        <w:ind w:firstLine="720" w:firstLineChars="300"/>
        <w:rPr>
          <w:rFonts w:ascii="宋体" w:hAnsi="宋体" w:cs="宋体"/>
          <w:color w:val="auto"/>
          <w:sz w:val="24"/>
        </w:rPr>
      </w:pPr>
      <w:r>
        <w:rPr>
          <w:rFonts w:hint="eastAsia" w:ascii="宋体" w:hAnsi="宋体" w:cs="宋体"/>
          <w:color w:val="auto"/>
          <w:sz w:val="24"/>
        </w:rPr>
        <w:t>名称：新疆安致恒工程项目管理有限公司</w:t>
      </w:r>
    </w:p>
    <w:p>
      <w:pPr>
        <w:spacing w:line="400" w:lineRule="exact"/>
        <w:ind w:firstLine="720" w:firstLineChars="300"/>
        <w:rPr>
          <w:rFonts w:ascii="宋体" w:hAnsi="宋体" w:cs="宋体"/>
          <w:color w:val="auto"/>
          <w:sz w:val="24"/>
        </w:rPr>
      </w:pPr>
      <w:r>
        <w:rPr>
          <w:rFonts w:hint="eastAsia" w:ascii="宋体" w:hAnsi="宋体" w:cs="宋体"/>
          <w:color w:val="auto"/>
          <w:sz w:val="24"/>
        </w:rPr>
        <w:t>地址：新疆克拉玛依市克拉玛依区昆仑路585号</w:t>
      </w:r>
    </w:p>
    <w:p>
      <w:pPr>
        <w:spacing w:line="400" w:lineRule="exact"/>
        <w:ind w:firstLine="720" w:firstLineChars="300"/>
        <w:rPr>
          <w:rFonts w:ascii="宋体" w:hAnsi="宋体" w:cs="宋体"/>
          <w:color w:val="auto"/>
          <w:sz w:val="24"/>
        </w:rPr>
      </w:pPr>
      <w:r>
        <w:rPr>
          <w:rFonts w:hint="eastAsia" w:ascii="宋体" w:hAnsi="宋体" w:cs="宋体"/>
          <w:color w:val="auto"/>
          <w:sz w:val="24"/>
        </w:rPr>
        <w:t>项目联系人：赵靖嵛 洪雪</w:t>
      </w:r>
    </w:p>
    <w:p>
      <w:pPr>
        <w:spacing w:line="400" w:lineRule="exact"/>
        <w:ind w:firstLine="720" w:firstLineChars="300"/>
        <w:rPr>
          <w:rFonts w:ascii="宋体" w:hAnsi="宋体" w:cs="宋体"/>
          <w:color w:val="auto"/>
          <w:sz w:val="24"/>
        </w:rPr>
      </w:pPr>
      <w:r>
        <w:rPr>
          <w:rFonts w:hint="eastAsia" w:ascii="宋体" w:hAnsi="宋体" w:cs="宋体"/>
          <w:color w:val="auto"/>
          <w:sz w:val="24"/>
        </w:rPr>
        <w:t>联系方式：0990-6669008</w:t>
      </w:r>
    </w:p>
    <w:p>
      <w:pPr>
        <w:spacing w:line="400" w:lineRule="exact"/>
        <w:ind w:firstLine="720" w:firstLineChars="300"/>
        <w:rPr>
          <w:rFonts w:ascii="宋体" w:hAnsi="宋体" w:cs="宋体"/>
          <w:color w:val="auto"/>
        </w:rPr>
      </w:pPr>
      <w:r>
        <w:rPr>
          <w:rFonts w:hint="eastAsia" w:ascii="宋体" w:hAnsi="宋体" w:cs="宋体"/>
          <w:color w:val="auto"/>
          <w:sz w:val="24"/>
        </w:rPr>
        <w:t>邮箱：884963282@qq.com</w:t>
      </w:r>
    </w:p>
    <w:p>
      <w:pPr>
        <w:widowControl/>
        <w:spacing w:line="400" w:lineRule="exact"/>
        <w:ind w:firstLine="720" w:firstLineChars="300"/>
        <w:jc w:val="left"/>
        <w:rPr>
          <w:rFonts w:ascii="宋体" w:hAnsi="宋体" w:cs="宋体"/>
          <w:color w:val="auto"/>
          <w:sz w:val="24"/>
        </w:rPr>
      </w:pPr>
      <w:r>
        <w:rPr>
          <w:rFonts w:hint="eastAsia" w:ascii="宋体" w:hAnsi="宋体" w:cs="宋体"/>
          <w:color w:val="auto"/>
          <w:sz w:val="24"/>
        </w:rPr>
        <w:t>3.项目联系方式</w:t>
      </w:r>
    </w:p>
    <w:p>
      <w:pPr>
        <w:widowControl/>
        <w:spacing w:line="400" w:lineRule="exact"/>
        <w:ind w:firstLine="720" w:firstLineChars="300"/>
        <w:jc w:val="left"/>
        <w:rPr>
          <w:rFonts w:ascii="宋体" w:hAnsi="宋体" w:cs="宋体"/>
          <w:color w:val="auto"/>
          <w:sz w:val="24"/>
        </w:rPr>
      </w:pPr>
      <w:r>
        <w:rPr>
          <w:rFonts w:hint="eastAsia" w:ascii="宋体" w:hAnsi="宋体" w:cs="宋体"/>
          <w:color w:val="auto"/>
          <w:sz w:val="24"/>
        </w:rPr>
        <w:t>项目联系人：薛鹏飞（采购人）、赵靖嵛 洪雪（采购代理机构）</w:t>
      </w:r>
    </w:p>
    <w:p>
      <w:pPr>
        <w:widowControl/>
        <w:spacing w:line="400" w:lineRule="exact"/>
        <w:ind w:firstLine="720" w:firstLineChars="300"/>
        <w:jc w:val="left"/>
        <w:rPr>
          <w:rFonts w:ascii="宋体" w:hAnsi="宋体" w:cs="宋体"/>
          <w:b/>
          <w:color w:val="auto"/>
          <w:sz w:val="28"/>
          <w:szCs w:val="28"/>
        </w:rPr>
      </w:pPr>
      <w:r>
        <w:rPr>
          <w:rFonts w:hint="eastAsia" w:ascii="宋体" w:hAnsi="宋体" w:cs="宋体"/>
          <w:color w:val="auto"/>
          <w:sz w:val="24"/>
        </w:rPr>
        <w:t>电 话：0990-6222740、0990-6669008</w:t>
      </w:r>
    </w:p>
    <w:p>
      <w:pPr>
        <w:pStyle w:val="2"/>
        <w:rPr>
          <w:rFonts w:ascii="宋体" w:hAnsi="宋体" w:cs="宋体"/>
          <w:b w:val="0"/>
          <w:color w:val="auto"/>
          <w:sz w:val="28"/>
          <w:szCs w:val="28"/>
        </w:rPr>
      </w:pPr>
    </w:p>
    <w:p>
      <w:pPr>
        <w:rPr>
          <w:rFonts w:ascii="宋体" w:hAnsi="宋体" w:cs="宋体"/>
          <w:b/>
          <w:color w:val="auto"/>
          <w:sz w:val="28"/>
          <w:szCs w:val="28"/>
        </w:rPr>
      </w:pPr>
    </w:p>
    <w:p>
      <w:pPr>
        <w:pStyle w:val="10"/>
        <w:rPr>
          <w:color w:val="auto"/>
        </w:rPr>
      </w:pPr>
    </w:p>
    <w:p>
      <w:pPr>
        <w:pStyle w:val="2"/>
        <w:rPr>
          <w:rFonts w:ascii="宋体" w:hAnsi="宋体" w:cs="宋体"/>
          <w:b w:val="0"/>
          <w:color w:val="auto"/>
          <w:sz w:val="28"/>
          <w:szCs w:val="28"/>
        </w:rPr>
      </w:pPr>
    </w:p>
    <w:p>
      <w:pPr>
        <w:rPr>
          <w:color w:val="auto"/>
        </w:rPr>
      </w:pPr>
    </w:p>
    <w:p>
      <w:pPr>
        <w:rPr>
          <w:color w:val="auto"/>
        </w:rPr>
      </w:pPr>
    </w:p>
    <w:p>
      <w:pPr>
        <w:jc w:val="center"/>
        <w:rPr>
          <w:rFonts w:ascii="宋体" w:hAnsi="宋体" w:cs="宋体"/>
          <w:b/>
          <w:color w:val="auto"/>
          <w:sz w:val="28"/>
          <w:szCs w:val="28"/>
        </w:rPr>
      </w:pPr>
      <w:r>
        <w:rPr>
          <w:rFonts w:hint="eastAsia" w:ascii="宋体" w:hAnsi="宋体" w:cs="宋体"/>
          <w:b/>
          <w:color w:val="auto"/>
          <w:sz w:val="28"/>
          <w:szCs w:val="28"/>
        </w:rPr>
        <w:t xml:space="preserve">第二章 </w:t>
      </w:r>
      <w:bookmarkStart w:id="29" w:name="_Toc154996575"/>
      <w:r>
        <w:rPr>
          <w:rFonts w:hint="eastAsia" w:ascii="宋体" w:hAnsi="宋体" w:cs="宋体"/>
          <w:b/>
          <w:color w:val="auto"/>
          <w:sz w:val="28"/>
          <w:szCs w:val="28"/>
        </w:rPr>
        <w:t>供应商须知</w:t>
      </w:r>
    </w:p>
    <w:p>
      <w:pPr>
        <w:jc w:val="center"/>
        <w:rPr>
          <w:rFonts w:ascii="宋体" w:hAnsi="宋体" w:cs="宋体"/>
          <w:b/>
          <w:color w:val="auto"/>
          <w:sz w:val="28"/>
          <w:szCs w:val="28"/>
        </w:rPr>
      </w:pPr>
      <w:r>
        <w:rPr>
          <w:rFonts w:hint="eastAsia" w:ascii="宋体" w:hAnsi="宋体" w:cs="宋体"/>
          <w:b/>
          <w:color w:val="auto"/>
          <w:sz w:val="28"/>
          <w:szCs w:val="28"/>
        </w:rPr>
        <w:t>前附表</w:t>
      </w:r>
    </w:p>
    <w:tbl>
      <w:tblPr>
        <w:tblStyle w:val="27"/>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93" w:type="dxa"/>
            <w:vAlign w:val="center"/>
          </w:tcPr>
          <w:p>
            <w:pPr>
              <w:pStyle w:val="13"/>
              <w:spacing w:line="340" w:lineRule="exact"/>
              <w:jc w:val="center"/>
              <w:rPr>
                <w:rFonts w:hAnsi="宋体" w:cs="宋体"/>
                <w:color w:val="auto"/>
                <w:sz w:val="24"/>
                <w:szCs w:val="24"/>
              </w:rPr>
            </w:pPr>
            <w:r>
              <w:rPr>
                <w:rFonts w:hint="eastAsia" w:hAnsi="宋体" w:cs="宋体"/>
                <w:color w:val="auto"/>
                <w:sz w:val="24"/>
                <w:szCs w:val="24"/>
              </w:rPr>
              <w:t>序号</w:t>
            </w:r>
          </w:p>
        </w:tc>
        <w:tc>
          <w:tcPr>
            <w:tcW w:w="8986" w:type="dxa"/>
            <w:vAlign w:val="center"/>
          </w:tcPr>
          <w:p>
            <w:pPr>
              <w:pStyle w:val="13"/>
              <w:spacing w:line="340" w:lineRule="exact"/>
              <w:jc w:val="center"/>
              <w:rPr>
                <w:rFonts w:hAnsi="宋体" w:cs="宋体"/>
                <w:color w:val="auto"/>
                <w:sz w:val="24"/>
                <w:szCs w:val="24"/>
              </w:rPr>
            </w:pPr>
            <w:r>
              <w:rPr>
                <w:rFonts w:hint="eastAsia" w:hAnsi="宋体" w:cs="宋体"/>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93" w:type="dxa"/>
            <w:vAlign w:val="center"/>
          </w:tcPr>
          <w:p>
            <w:pPr>
              <w:pStyle w:val="13"/>
              <w:spacing w:line="340" w:lineRule="exact"/>
              <w:jc w:val="center"/>
              <w:rPr>
                <w:rFonts w:hAnsi="宋体" w:cs="宋体"/>
                <w:color w:val="auto"/>
                <w:szCs w:val="21"/>
              </w:rPr>
            </w:pPr>
            <w:r>
              <w:rPr>
                <w:rFonts w:hint="eastAsia" w:hAnsi="宋体" w:cs="宋体"/>
                <w:color w:val="auto"/>
                <w:szCs w:val="21"/>
              </w:rPr>
              <w:t>1</w:t>
            </w:r>
          </w:p>
        </w:tc>
        <w:tc>
          <w:tcPr>
            <w:tcW w:w="8986" w:type="dxa"/>
            <w:vAlign w:val="center"/>
          </w:tcPr>
          <w:p>
            <w:pPr>
              <w:pStyle w:val="23"/>
              <w:spacing w:before="0" w:beforeAutospacing="0" w:after="0" w:afterAutospacing="0" w:line="340" w:lineRule="exact"/>
              <w:rPr>
                <w:color w:val="auto"/>
                <w:sz w:val="21"/>
                <w:szCs w:val="21"/>
              </w:rPr>
            </w:pPr>
            <w:r>
              <w:rPr>
                <w:rFonts w:hint="eastAsia"/>
                <w:color w:val="auto"/>
                <w:sz w:val="21"/>
                <w:szCs w:val="21"/>
              </w:rPr>
              <w:t>项目名称：克拉玛依市教育局及直属学校安保服务项目</w:t>
            </w:r>
          </w:p>
          <w:p>
            <w:pPr>
              <w:pStyle w:val="13"/>
              <w:spacing w:line="340" w:lineRule="exact"/>
              <w:rPr>
                <w:rFonts w:hAnsi="宋体" w:cs="宋体"/>
                <w:color w:val="auto"/>
                <w:szCs w:val="21"/>
              </w:rPr>
            </w:pPr>
            <w:r>
              <w:rPr>
                <w:rFonts w:hint="eastAsia" w:hAnsi="宋体" w:cs="宋体"/>
                <w:color w:val="auto"/>
                <w:szCs w:val="21"/>
              </w:rPr>
              <w:t>招标文件编号：AZH[ZC]2021-17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93" w:type="dxa"/>
            <w:vAlign w:val="center"/>
          </w:tcPr>
          <w:p>
            <w:pPr>
              <w:pStyle w:val="13"/>
              <w:spacing w:line="340" w:lineRule="exact"/>
              <w:jc w:val="center"/>
              <w:rPr>
                <w:rFonts w:hAnsi="宋体" w:cs="宋体"/>
                <w:color w:val="auto"/>
                <w:szCs w:val="21"/>
              </w:rPr>
            </w:pPr>
            <w:r>
              <w:rPr>
                <w:rFonts w:hint="eastAsia" w:hAnsi="宋体" w:cs="宋体"/>
                <w:color w:val="auto"/>
                <w:szCs w:val="21"/>
              </w:rPr>
              <w:t>2</w:t>
            </w:r>
          </w:p>
        </w:tc>
        <w:tc>
          <w:tcPr>
            <w:tcW w:w="8986" w:type="dxa"/>
            <w:vAlign w:val="center"/>
          </w:tcPr>
          <w:p>
            <w:pPr>
              <w:autoSpaceDE w:val="0"/>
              <w:autoSpaceDN w:val="0"/>
              <w:adjustRightInd w:val="0"/>
              <w:spacing w:line="340" w:lineRule="exact"/>
              <w:ind w:left="1050" w:hanging="1050" w:hangingChars="500"/>
              <w:rPr>
                <w:rFonts w:ascii="宋体" w:hAnsi="宋体" w:cs="宋体"/>
                <w:color w:val="auto"/>
                <w:szCs w:val="21"/>
              </w:rPr>
            </w:pPr>
            <w:r>
              <w:rPr>
                <w:rFonts w:hint="eastAsia" w:ascii="宋体" w:hAnsi="宋体" w:cs="宋体"/>
                <w:color w:val="auto"/>
                <w:szCs w:val="21"/>
              </w:rPr>
              <w:t>采购人：克拉玛依市教育局</w:t>
            </w:r>
          </w:p>
          <w:p>
            <w:pPr>
              <w:autoSpaceDE w:val="0"/>
              <w:autoSpaceDN w:val="0"/>
              <w:adjustRightInd w:val="0"/>
              <w:spacing w:line="340" w:lineRule="exact"/>
              <w:ind w:left="1050" w:hanging="1050" w:hangingChars="500"/>
              <w:rPr>
                <w:rFonts w:ascii="宋体" w:hAnsi="宋体" w:cs="宋体"/>
                <w:color w:val="auto"/>
                <w:szCs w:val="21"/>
              </w:rPr>
            </w:pPr>
            <w:r>
              <w:rPr>
                <w:rFonts w:hint="eastAsia" w:ascii="宋体" w:hAnsi="宋体" w:cs="宋体"/>
                <w:color w:val="auto"/>
                <w:szCs w:val="21"/>
              </w:rPr>
              <w:t xml:space="preserve">地址：克拉玛依市塔河路102号    </w:t>
            </w:r>
          </w:p>
          <w:p>
            <w:pPr>
              <w:pStyle w:val="13"/>
              <w:spacing w:line="340" w:lineRule="exact"/>
              <w:rPr>
                <w:rFonts w:hAnsi="宋体" w:cs="宋体"/>
                <w:color w:val="auto"/>
                <w:szCs w:val="21"/>
              </w:rPr>
            </w:pPr>
            <w:r>
              <w:rPr>
                <w:rFonts w:hint="eastAsia" w:hAnsi="宋体" w:cs="宋体"/>
                <w:color w:val="auto"/>
                <w:szCs w:val="21"/>
              </w:rPr>
              <w:t>联系人：薛鹏飞    联系电话：0990-6222740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793" w:type="dxa"/>
            <w:vAlign w:val="center"/>
          </w:tcPr>
          <w:p>
            <w:pPr>
              <w:pStyle w:val="13"/>
              <w:spacing w:line="340" w:lineRule="exact"/>
              <w:jc w:val="center"/>
              <w:rPr>
                <w:rFonts w:hAnsi="宋体" w:cs="宋体"/>
                <w:color w:val="auto"/>
                <w:szCs w:val="21"/>
              </w:rPr>
            </w:pPr>
            <w:r>
              <w:rPr>
                <w:rFonts w:hint="eastAsia" w:hAnsi="宋体" w:cs="宋体"/>
                <w:color w:val="auto"/>
                <w:szCs w:val="21"/>
              </w:rPr>
              <w:t>3</w:t>
            </w:r>
          </w:p>
        </w:tc>
        <w:tc>
          <w:tcPr>
            <w:tcW w:w="8986" w:type="dxa"/>
            <w:vAlign w:val="center"/>
          </w:tcPr>
          <w:p>
            <w:pPr>
              <w:pStyle w:val="13"/>
              <w:spacing w:line="340" w:lineRule="exact"/>
              <w:rPr>
                <w:rFonts w:hAnsi="宋体" w:cs="宋体"/>
                <w:bCs/>
                <w:color w:val="auto"/>
                <w:szCs w:val="21"/>
              </w:rPr>
            </w:pPr>
            <w:r>
              <w:rPr>
                <w:rFonts w:hint="eastAsia" w:hAnsi="宋体" w:cs="宋体"/>
                <w:bCs/>
                <w:color w:val="auto"/>
                <w:szCs w:val="21"/>
              </w:rPr>
              <w:t>采购代理机构：新疆安致恒工程项目管理有限公司</w:t>
            </w:r>
          </w:p>
          <w:p>
            <w:pPr>
              <w:pStyle w:val="13"/>
              <w:spacing w:line="340" w:lineRule="exact"/>
              <w:rPr>
                <w:rFonts w:hAnsi="宋体" w:cs="宋体"/>
                <w:bCs/>
                <w:color w:val="auto"/>
                <w:szCs w:val="21"/>
              </w:rPr>
            </w:pPr>
            <w:r>
              <w:rPr>
                <w:rFonts w:hint="eastAsia" w:hAnsi="宋体" w:cs="宋体"/>
                <w:bCs/>
                <w:color w:val="auto"/>
                <w:szCs w:val="21"/>
              </w:rPr>
              <w:t>地址：新疆克拉玛依市克拉玛依区昆仑路585号</w:t>
            </w:r>
          </w:p>
          <w:p>
            <w:pPr>
              <w:pStyle w:val="13"/>
              <w:spacing w:line="340" w:lineRule="exact"/>
              <w:rPr>
                <w:rFonts w:hAnsi="宋体" w:cs="宋体"/>
                <w:bCs/>
                <w:color w:val="auto"/>
                <w:szCs w:val="21"/>
              </w:rPr>
            </w:pPr>
            <w:r>
              <w:rPr>
                <w:rFonts w:hint="eastAsia" w:hAnsi="宋体" w:cs="宋体"/>
                <w:color w:val="auto"/>
                <w:szCs w:val="21"/>
              </w:rPr>
              <w:t xml:space="preserve">联系人：赵靖嵛 洪雪  </w:t>
            </w:r>
            <w:r>
              <w:rPr>
                <w:rFonts w:hint="eastAsia" w:hAnsi="宋体" w:cs="宋体"/>
                <w:bCs/>
                <w:color w:val="auto"/>
                <w:szCs w:val="21"/>
              </w:rPr>
              <w:t xml:space="preserve"> 联系电话：0990-6669008</w:t>
            </w:r>
          </w:p>
          <w:p>
            <w:pPr>
              <w:pStyle w:val="13"/>
              <w:spacing w:line="340" w:lineRule="exact"/>
              <w:rPr>
                <w:rFonts w:hAnsi="宋体" w:cs="宋体"/>
                <w:b/>
                <w:color w:val="auto"/>
                <w:szCs w:val="21"/>
              </w:rPr>
            </w:pPr>
            <w:r>
              <w:rPr>
                <w:rFonts w:hint="eastAsia" w:hAnsi="宋体" w:cs="宋体"/>
                <w:b/>
                <w:color w:val="auto"/>
                <w:szCs w:val="21"/>
              </w:rPr>
              <w:t>开户行：昆仑银行克拉玛依南新路支行</w:t>
            </w:r>
            <w:r>
              <w:rPr>
                <w:rFonts w:hint="eastAsia" w:hAnsi="宋体" w:cs="宋体"/>
                <w:b/>
                <w:color w:val="auto"/>
                <w:szCs w:val="21"/>
              </w:rPr>
              <w:br w:type="textWrapping"/>
            </w:r>
            <w:r>
              <w:rPr>
                <w:rFonts w:hint="eastAsia" w:hAnsi="宋体" w:cs="宋体"/>
                <w:b/>
                <w:color w:val="auto"/>
                <w:szCs w:val="21"/>
              </w:rPr>
              <w:t>账  号：88202100583930000018</w:t>
            </w:r>
          </w:p>
          <w:p>
            <w:pPr>
              <w:pStyle w:val="13"/>
              <w:spacing w:line="340" w:lineRule="exact"/>
              <w:rPr>
                <w:rFonts w:hAnsi="宋体" w:cs="宋体"/>
                <w:bCs/>
                <w:color w:val="auto"/>
                <w:szCs w:val="21"/>
              </w:rPr>
            </w:pPr>
            <w:r>
              <w:rPr>
                <w:rFonts w:hint="eastAsia" w:hAnsi="宋体" w:cs="宋体"/>
                <w:b/>
                <w:color w:val="auto"/>
                <w:szCs w:val="21"/>
              </w:rPr>
              <w:t>行  号：313882000096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93" w:type="dxa"/>
            <w:vAlign w:val="center"/>
          </w:tcPr>
          <w:p>
            <w:pPr>
              <w:pStyle w:val="13"/>
              <w:spacing w:line="340" w:lineRule="exact"/>
              <w:jc w:val="center"/>
              <w:rPr>
                <w:rFonts w:hAnsi="宋体" w:cs="宋体"/>
                <w:color w:val="auto"/>
                <w:szCs w:val="21"/>
              </w:rPr>
            </w:pPr>
            <w:r>
              <w:rPr>
                <w:rFonts w:hint="eastAsia" w:hAnsi="宋体" w:cs="宋体"/>
                <w:color w:val="auto"/>
                <w:szCs w:val="21"/>
              </w:rPr>
              <w:t>4</w:t>
            </w:r>
          </w:p>
        </w:tc>
        <w:tc>
          <w:tcPr>
            <w:tcW w:w="8986" w:type="dxa"/>
            <w:vAlign w:val="center"/>
          </w:tcPr>
          <w:p>
            <w:pPr>
              <w:pStyle w:val="13"/>
              <w:spacing w:line="340" w:lineRule="exact"/>
              <w:rPr>
                <w:rFonts w:hAnsi="宋体" w:cs="宋体"/>
                <w:color w:val="auto"/>
                <w:szCs w:val="21"/>
              </w:rPr>
            </w:pPr>
            <w:r>
              <w:rPr>
                <w:rFonts w:hint="eastAsia" w:hAnsi="宋体" w:cs="宋体"/>
                <w:color w:val="auto"/>
                <w:szCs w:val="21"/>
              </w:rPr>
              <w:t>响应文件有效期：递交响应文件截止之日起90天（日历日）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93" w:type="dxa"/>
            <w:vAlign w:val="center"/>
          </w:tcPr>
          <w:p>
            <w:pPr>
              <w:pStyle w:val="13"/>
              <w:spacing w:line="340" w:lineRule="exact"/>
              <w:jc w:val="center"/>
              <w:rPr>
                <w:rFonts w:hAnsi="宋体" w:cs="宋体"/>
                <w:color w:val="auto"/>
                <w:szCs w:val="21"/>
              </w:rPr>
            </w:pPr>
            <w:r>
              <w:rPr>
                <w:rFonts w:hint="eastAsia" w:hAnsi="宋体" w:cs="宋体"/>
                <w:color w:val="auto"/>
                <w:szCs w:val="21"/>
              </w:rPr>
              <w:t>5</w:t>
            </w:r>
          </w:p>
        </w:tc>
        <w:tc>
          <w:tcPr>
            <w:tcW w:w="8986" w:type="dxa"/>
            <w:vAlign w:val="center"/>
          </w:tcPr>
          <w:p>
            <w:pPr>
              <w:pStyle w:val="13"/>
              <w:spacing w:line="340" w:lineRule="exact"/>
              <w:rPr>
                <w:rFonts w:hAnsi="宋体" w:cs="宋体"/>
                <w:color w:val="auto"/>
                <w:szCs w:val="21"/>
              </w:rPr>
            </w:pPr>
            <w:r>
              <w:rPr>
                <w:rFonts w:hint="eastAsia" w:hAnsi="宋体" w:cs="宋体"/>
                <w:b/>
                <w:bCs/>
                <w:color w:val="auto"/>
                <w:szCs w:val="21"/>
              </w:rPr>
              <w:t>响应文件的份数：一式陆份，其中正本壹份，副本伍份。供应商递交纸质版响应文件时，还需同步提交电子版响应文件1份（u盘形式提供，电子版响应文件应为正本响应文件的扫描件；电子版文件按招标文件中要求密封）。供应商未按上述要求提供响应文件的，将可能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793" w:type="dxa"/>
            <w:vAlign w:val="center"/>
          </w:tcPr>
          <w:p>
            <w:pPr>
              <w:pStyle w:val="13"/>
              <w:spacing w:line="340" w:lineRule="exact"/>
              <w:jc w:val="center"/>
              <w:rPr>
                <w:rFonts w:hAnsi="宋体" w:cs="宋体"/>
                <w:color w:val="auto"/>
                <w:szCs w:val="21"/>
              </w:rPr>
            </w:pPr>
            <w:r>
              <w:rPr>
                <w:rFonts w:hint="eastAsia" w:hAnsi="宋体" w:cs="宋体"/>
                <w:color w:val="auto"/>
                <w:szCs w:val="21"/>
              </w:rPr>
              <w:t>6</w:t>
            </w:r>
          </w:p>
        </w:tc>
        <w:tc>
          <w:tcPr>
            <w:tcW w:w="8986" w:type="dxa"/>
            <w:vAlign w:val="center"/>
          </w:tcPr>
          <w:p>
            <w:pPr>
              <w:spacing w:line="340" w:lineRule="exact"/>
              <w:jc w:val="left"/>
              <w:rPr>
                <w:rFonts w:ascii="宋体" w:hAnsi="宋体" w:cs="宋体"/>
                <w:color w:val="auto"/>
                <w:szCs w:val="21"/>
              </w:rPr>
            </w:pPr>
            <w:r>
              <w:rPr>
                <w:rFonts w:hint="eastAsia" w:ascii="宋体" w:hAnsi="宋体" w:cs="宋体"/>
                <w:color w:val="auto"/>
                <w:szCs w:val="21"/>
              </w:rPr>
              <w:t>采购人不统一组织考察，各供应商自行对招标项目进行考察。</w:t>
            </w:r>
          </w:p>
          <w:p>
            <w:pPr>
              <w:spacing w:line="340" w:lineRule="exact"/>
              <w:rPr>
                <w:rFonts w:ascii="宋体" w:hAnsi="宋体" w:cs="宋体"/>
                <w:color w:val="auto"/>
                <w:szCs w:val="21"/>
              </w:rPr>
            </w:pPr>
            <w:r>
              <w:rPr>
                <w:rFonts w:hint="eastAsia" w:ascii="宋体" w:hAnsi="宋体" w:cs="宋体"/>
                <w:color w:val="auto"/>
                <w:szCs w:val="21"/>
              </w:rPr>
              <w:t>各供应商如有疑问，于2021年11月17日19：00前将有关疑问以扫描件形式（必须加盖供应商公章）发送到邮箱：884963282@qq.com ，采购人将对所提疑问以书面形式通知至领取招标文件的每位供应商，超过此时间所提疑问采购人或招标代理机构均不予答复。</w:t>
            </w:r>
          </w:p>
          <w:p>
            <w:pPr>
              <w:spacing w:line="340" w:lineRule="exact"/>
              <w:rPr>
                <w:rFonts w:ascii="宋体" w:hAnsi="宋体" w:cs="宋体"/>
                <w:color w:val="auto"/>
                <w:szCs w:val="21"/>
              </w:rPr>
            </w:pPr>
            <w:r>
              <w:rPr>
                <w:rFonts w:hint="eastAsia" w:ascii="宋体" w:hAnsi="宋体" w:cs="宋体"/>
                <w:color w:val="auto"/>
                <w:szCs w:val="21"/>
              </w:rPr>
              <w:t>联系人：赵靖嵛 洪雪   联系电话：</w:t>
            </w:r>
            <w:r>
              <w:rPr>
                <w:rFonts w:hint="eastAsia" w:ascii="宋体" w:hAnsi="宋体" w:cs="宋体"/>
                <w:bCs/>
                <w:color w:val="auto"/>
                <w:szCs w:val="21"/>
              </w:rPr>
              <w:t>0990-6669008 18899472228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93" w:type="dxa"/>
            <w:vAlign w:val="center"/>
          </w:tcPr>
          <w:p>
            <w:pPr>
              <w:pStyle w:val="13"/>
              <w:spacing w:line="340" w:lineRule="exact"/>
              <w:jc w:val="center"/>
              <w:rPr>
                <w:rFonts w:hAnsi="宋体" w:cs="宋体"/>
                <w:color w:val="auto"/>
                <w:szCs w:val="21"/>
              </w:rPr>
            </w:pPr>
            <w:r>
              <w:rPr>
                <w:rFonts w:hint="eastAsia" w:hAnsi="宋体" w:cs="宋体"/>
                <w:color w:val="auto"/>
                <w:szCs w:val="21"/>
              </w:rPr>
              <w:t>7</w:t>
            </w:r>
          </w:p>
        </w:tc>
        <w:tc>
          <w:tcPr>
            <w:tcW w:w="8986" w:type="dxa"/>
            <w:vAlign w:val="center"/>
          </w:tcPr>
          <w:p>
            <w:pPr>
              <w:pStyle w:val="13"/>
              <w:spacing w:line="340" w:lineRule="exact"/>
              <w:rPr>
                <w:rFonts w:hAnsi="宋体" w:cs="宋体"/>
                <w:color w:val="auto"/>
                <w:szCs w:val="21"/>
              </w:rPr>
            </w:pPr>
            <w:r>
              <w:rPr>
                <w:rFonts w:hint="eastAsia" w:hAnsi="宋体" w:cs="宋体"/>
                <w:color w:val="auto"/>
                <w:szCs w:val="21"/>
              </w:rPr>
              <w:t>递交响应文件截止时间：2021年12月3日11:00</w:t>
            </w:r>
          </w:p>
          <w:p>
            <w:pPr>
              <w:pStyle w:val="13"/>
              <w:spacing w:line="340" w:lineRule="exact"/>
              <w:rPr>
                <w:rFonts w:hAnsi="宋体" w:cs="宋体"/>
                <w:color w:val="auto"/>
                <w:szCs w:val="21"/>
              </w:rPr>
            </w:pPr>
            <w:r>
              <w:rPr>
                <w:rFonts w:hint="eastAsia" w:hAnsi="宋体" w:cs="宋体"/>
                <w:color w:val="auto"/>
                <w:szCs w:val="21"/>
              </w:rPr>
              <w:t>递交响应文件时间：2021年12月3日10:30-11：00</w:t>
            </w:r>
          </w:p>
          <w:p>
            <w:pPr>
              <w:pStyle w:val="13"/>
              <w:spacing w:line="340" w:lineRule="exact"/>
              <w:rPr>
                <w:rFonts w:hAnsi="宋体" w:cs="宋体"/>
                <w:color w:val="auto"/>
                <w:szCs w:val="21"/>
              </w:rPr>
            </w:pPr>
            <w:r>
              <w:rPr>
                <w:rFonts w:hint="eastAsia" w:hAnsi="宋体" w:cs="宋体"/>
                <w:color w:val="auto"/>
                <w:szCs w:val="21"/>
              </w:rPr>
              <w:t>递交响应文件地点：新疆安致恒工程项目管理有限公司评标室（克拉玛依市昆仑路585号四楼）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93" w:type="dxa"/>
            <w:vAlign w:val="center"/>
          </w:tcPr>
          <w:p>
            <w:pPr>
              <w:pStyle w:val="13"/>
              <w:spacing w:line="340" w:lineRule="exact"/>
              <w:jc w:val="center"/>
              <w:rPr>
                <w:rFonts w:hAnsi="宋体" w:cs="宋体"/>
                <w:color w:val="auto"/>
                <w:szCs w:val="21"/>
              </w:rPr>
            </w:pPr>
            <w:r>
              <w:rPr>
                <w:rFonts w:hint="eastAsia" w:hAnsi="宋体" w:cs="宋体"/>
                <w:color w:val="auto"/>
                <w:szCs w:val="21"/>
              </w:rPr>
              <w:t>8</w:t>
            </w:r>
          </w:p>
        </w:tc>
        <w:tc>
          <w:tcPr>
            <w:tcW w:w="8986" w:type="dxa"/>
            <w:vAlign w:val="center"/>
          </w:tcPr>
          <w:p>
            <w:pPr>
              <w:pStyle w:val="13"/>
              <w:spacing w:line="340" w:lineRule="exact"/>
              <w:rPr>
                <w:rFonts w:hAnsi="宋体" w:cs="宋体"/>
                <w:color w:val="auto"/>
                <w:szCs w:val="21"/>
              </w:rPr>
            </w:pPr>
            <w:r>
              <w:rPr>
                <w:rFonts w:hint="eastAsia" w:hAnsi="宋体" w:cs="宋体"/>
                <w:color w:val="auto"/>
                <w:szCs w:val="21"/>
              </w:rPr>
              <w:t>开标时间：2021年12月3日11:00</w:t>
            </w:r>
          </w:p>
          <w:p>
            <w:pPr>
              <w:pStyle w:val="13"/>
              <w:spacing w:line="340" w:lineRule="exact"/>
              <w:rPr>
                <w:rFonts w:hAnsi="宋体" w:cs="宋体"/>
                <w:color w:val="auto"/>
                <w:szCs w:val="21"/>
              </w:rPr>
            </w:pPr>
            <w:r>
              <w:rPr>
                <w:rFonts w:hint="eastAsia" w:hAnsi="宋体" w:cs="宋体"/>
                <w:color w:val="auto"/>
                <w:szCs w:val="21"/>
              </w:rPr>
              <w:t xml:space="preserve">开标地点：新疆安致恒工程项目管理有限公司评标室（克拉玛依市昆仑路585号四楼）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93" w:type="dxa"/>
            <w:vAlign w:val="center"/>
          </w:tcPr>
          <w:p>
            <w:pPr>
              <w:pStyle w:val="13"/>
              <w:spacing w:line="340" w:lineRule="exact"/>
              <w:jc w:val="center"/>
              <w:rPr>
                <w:rFonts w:hAnsi="宋体" w:cs="宋体"/>
                <w:color w:val="auto"/>
                <w:szCs w:val="21"/>
              </w:rPr>
            </w:pPr>
            <w:r>
              <w:rPr>
                <w:rFonts w:hint="eastAsia" w:hAnsi="宋体" w:cs="宋体"/>
                <w:color w:val="auto"/>
                <w:szCs w:val="21"/>
              </w:rPr>
              <w:t>9</w:t>
            </w:r>
          </w:p>
        </w:tc>
        <w:tc>
          <w:tcPr>
            <w:tcW w:w="8986" w:type="dxa"/>
            <w:vAlign w:val="center"/>
          </w:tcPr>
          <w:p>
            <w:pPr>
              <w:pStyle w:val="13"/>
              <w:spacing w:line="340" w:lineRule="exact"/>
              <w:rPr>
                <w:rFonts w:hAnsi="宋体" w:cs="宋体"/>
                <w:color w:val="auto"/>
                <w:szCs w:val="21"/>
              </w:rPr>
            </w:pPr>
            <w:r>
              <w:rPr>
                <w:rFonts w:hint="eastAsia" w:hAnsi="宋体" w:cs="宋体"/>
                <w:b/>
                <w:bCs/>
                <w:color w:val="auto"/>
                <w:sz w:val="24"/>
                <w:szCs w:val="24"/>
              </w:rPr>
              <w:t>采购项目预算：¥205.92万元/年（大写：人民币贰佰零伍万玖仟贰佰元整），各供应商的商务报价如超过采购预算的，则该供应商的响应文件作无效响应处理。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793" w:type="dxa"/>
            <w:vAlign w:val="center"/>
          </w:tcPr>
          <w:p>
            <w:pPr>
              <w:pStyle w:val="13"/>
              <w:spacing w:line="340" w:lineRule="exact"/>
              <w:jc w:val="center"/>
              <w:rPr>
                <w:rFonts w:hAnsi="宋体" w:cs="宋体"/>
                <w:color w:val="auto"/>
                <w:szCs w:val="21"/>
              </w:rPr>
            </w:pPr>
            <w:bookmarkStart w:id="30" w:name="_Toc154996576"/>
            <w:r>
              <w:rPr>
                <w:rFonts w:hint="eastAsia" w:hAnsi="宋体" w:cs="宋体"/>
                <w:color w:val="auto"/>
                <w:szCs w:val="21"/>
              </w:rPr>
              <w:t>10</w:t>
            </w:r>
          </w:p>
        </w:tc>
        <w:tc>
          <w:tcPr>
            <w:tcW w:w="8986" w:type="dxa"/>
            <w:vAlign w:val="center"/>
          </w:tcPr>
          <w:p>
            <w:pPr>
              <w:pStyle w:val="13"/>
              <w:spacing w:line="340" w:lineRule="exact"/>
              <w:rPr>
                <w:rFonts w:hAnsi="宋体" w:cs="宋体"/>
                <w:b/>
                <w:bCs/>
                <w:color w:val="auto"/>
                <w:szCs w:val="21"/>
              </w:rPr>
            </w:pPr>
            <w:r>
              <w:rPr>
                <w:rFonts w:hint="eastAsia" w:hAnsi="宋体" w:cs="宋体"/>
                <w:b/>
                <w:bCs/>
                <w:color w:val="auto"/>
                <w:sz w:val="24"/>
                <w:szCs w:val="24"/>
              </w:rPr>
              <w:t>采购代理服务费：经与采购人协商，本项目采购代理服务费由中标单位在领取成交通知书同时向采购代理机构支付，采购代理服务费为：¥15000元整（大写：人民币壹万伍仟元整），此部分费用供应商自行考虑计入本次投标报价中，不因供应商漏报或忽略而后期追加费用。</w:t>
            </w:r>
          </w:p>
        </w:tc>
      </w:tr>
      <w:bookmarkEnd w:id="29"/>
    </w:tbl>
    <w:p>
      <w:pPr>
        <w:spacing w:line="360" w:lineRule="auto"/>
        <w:rPr>
          <w:rFonts w:ascii="宋体" w:hAnsi="宋体" w:cs="宋体"/>
          <w:color w:val="auto"/>
          <w:sz w:val="28"/>
          <w:szCs w:val="28"/>
        </w:rPr>
      </w:pPr>
    </w:p>
    <w:p>
      <w:pPr>
        <w:spacing w:line="360" w:lineRule="auto"/>
        <w:jc w:val="center"/>
        <w:rPr>
          <w:rFonts w:ascii="宋体" w:hAnsi="宋体" w:cs="宋体"/>
          <w:color w:val="auto"/>
          <w:sz w:val="28"/>
          <w:szCs w:val="28"/>
        </w:rPr>
      </w:pPr>
    </w:p>
    <w:p>
      <w:pPr>
        <w:spacing w:line="360" w:lineRule="auto"/>
        <w:jc w:val="center"/>
        <w:rPr>
          <w:rFonts w:ascii="宋体" w:hAnsi="宋体" w:cs="宋体"/>
          <w:b/>
          <w:color w:val="auto"/>
          <w:sz w:val="28"/>
          <w:szCs w:val="28"/>
        </w:rPr>
      </w:pPr>
      <w:r>
        <w:rPr>
          <w:rFonts w:hint="eastAsia" w:ascii="宋体" w:hAnsi="宋体" w:cs="宋体"/>
          <w:color w:val="auto"/>
          <w:sz w:val="28"/>
          <w:szCs w:val="28"/>
        </w:rPr>
        <w:t>一、说明</w:t>
      </w:r>
    </w:p>
    <w:p>
      <w:pPr>
        <w:pStyle w:val="13"/>
        <w:spacing w:line="360" w:lineRule="auto"/>
        <w:ind w:firstLine="480" w:firstLineChars="200"/>
        <w:outlineLvl w:val="1"/>
        <w:rPr>
          <w:rFonts w:hAnsi="宋体" w:cs="宋体"/>
          <w:color w:val="auto"/>
          <w:sz w:val="24"/>
        </w:rPr>
      </w:pPr>
      <w:bookmarkStart w:id="31" w:name="_Toc246216180"/>
      <w:bookmarkStart w:id="32" w:name="_Toc243907571"/>
      <w:bookmarkStart w:id="33" w:name="_Toc243906311"/>
      <w:bookmarkStart w:id="34" w:name="_Toc233274811"/>
      <w:r>
        <w:rPr>
          <w:rFonts w:hint="eastAsia" w:hAnsi="宋体" w:cs="宋体"/>
          <w:color w:val="auto"/>
          <w:sz w:val="24"/>
        </w:rPr>
        <w:t>1、适用范围</w:t>
      </w:r>
      <w:bookmarkEnd w:id="31"/>
      <w:bookmarkEnd w:id="32"/>
      <w:bookmarkEnd w:id="33"/>
      <w:bookmarkEnd w:id="34"/>
      <w:r>
        <w:rPr>
          <w:rFonts w:hint="eastAsia" w:hAnsi="宋体" w:cs="宋体"/>
          <w:color w:val="auto"/>
          <w:sz w:val="24"/>
        </w:rPr>
        <w:t>及招标依据</w:t>
      </w:r>
    </w:p>
    <w:p>
      <w:pPr>
        <w:pStyle w:val="13"/>
        <w:spacing w:line="360" w:lineRule="auto"/>
        <w:ind w:firstLine="480" w:firstLineChars="200"/>
        <w:rPr>
          <w:rFonts w:hAnsi="宋体" w:cs="宋体"/>
          <w:color w:val="auto"/>
          <w:sz w:val="24"/>
        </w:rPr>
      </w:pPr>
      <w:r>
        <w:rPr>
          <w:rFonts w:hint="eastAsia" w:hAnsi="宋体" w:cs="宋体"/>
          <w:color w:val="auto"/>
          <w:sz w:val="24"/>
        </w:rPr>
        <w:t>1.1 适用范围</w:t>
      </w:r>
    </w:p>
    <w:p>
      <w:pPr>
        <w:pStyle w:val="13"/>
        <w:spacing w:line="360" w:lineRule="auto"/>
        <w:ind w:firstLine="480" w:firstLineChars="200"/>
        <w:rPr>
          <w:rFonts w:hAnsi="宋体" w:cs="宋体"/>
          <w:color w:val="auto"/>
          <w:sz w:val="24"/>
        </w:rPr>
      </w:pPr>
      <w:r>
        <w:rPr>
          <w:rFonts w:hint="eastAsia" w:hAnsi="宋体" w:cs="宋体"/>
          <w:color w:val="auto"/>
          <w:sz w:val="24"/>
        </w:rPr>
        <w:t>本招标文件仅适用克拉玛依市教育局及直属学校安保服务项目的招标。</w:t>
      </w:r>
    </w:p>
    <w:p>
      <w:pPr>
        <w:pStyle w:val="13"/>
        <w:spacing w:line="360" w:lineRule="auto"/>
        <w:ind w:firstLine="480" w:firstLineChars="200"/>
        <w:rPr>
          <w:rFonts w:hAnsi="宋体" w:cs="宋体"/>
          <w:color w:val="auto"/>
          <w:sz w:val="24"/>
        </w:rPr>
      </w:pPr>
      <w:r>
        <w:rPr>
          <w:rFonts w:hint="eastAsia" w:hAnsi="宋体" w:cs="宋体"/>
          <w:color w:val="auto"/>
          <w:sz w:val="24"/>
        </w:rPr>
        <w:t>1.2招标依据</w:t>
      </w:r>
    </w:p>
    <w:p>
      <w:pPr>
        <w:pStyle w:val="13"/>
        <w:spacing w:line="360" w:lineRule="auto"/>
        <w:ind w:firstLine="480" w:firstLineChars="200"/>
        <w:outlineLvl w:val="1"/>
        <w:rPr>
          <w:rFonts w:hAnsi="宋体" w:cs="宋体"/>
          <w:color w:val="auto"/>
          <w:sz w:val="24"/>
        </w:rPr>
      </w:pPr>
      <w:r>
        <w:rPr>
          <w:rFonts w:hint="eastAsia" w:hAnsi="宋体" w:cs="宋体"/>
          <w:color w:val="auto"/>
          <w:sz w:val="24"/>
        </w:rPr>
        <w:t>根据《中华人民共和国政府采购法》、《中华人民共和国政府采购实施条例》、</w:t>
      </w:r>
      <w:bookmarkStart w:id="35" w:name="_Toc243907572"/>
      <w:bookmarkStart w:id="36" w:name="_Toc233274812"/>
      <w:bookmarkStart w:id="37" w:name="_Toc246216181"/>
      <w:bookmarkStart w:id="38" w:name="_Toc243906312"/>
      <w:r>
        <w:rPr>
          <w:rFonts w:hint="eastAsia" w:hAnsi="宋体" w:cs="宋体"/>
          <w:color w:val="auto"/>
          <w:sz w:val="24"/>
        </w:rPr>
        <w:t>《政府采购货物和服务招标投标管理办法》（中华人民共和国财政部令第87号）及有关法律、法规。</w:t>
      </w:r>
    </w:p>
    <w:p>
      <w:pPr>
        <w:pStyle w:val="13"/>
        <w:spacing w:line="360" w:lineRule="auto"/>
        <w:ind w:firstLine="480" w:firstLineChars="200"/>
        <w:outlineLvl w:val="1"/>
        <w:rPr>
          <w:rFonts w:hAnsi="宋体" w:cs="宋体"/>
          <w:color w:val="auto"/>
          <w:sz w:val="24"/>
        </w:rPr>
      </w:pPr>
      <w:r>
        <w:rPr>
          <w:rFonts w:hint="eastAsia" w:hAnsi="宋体" w:cs="宋体"/>
          <w:color w:val="auto"/>
          <w:sz w:val="24"/>
        </w:rPr>
        <w:t>2、定义</w:t>
      </w:r>
      <w:bookmarkEnd w:id="35"/>
      <w:bookmarkEnd w:id="36"/>
      <w:bookmarkEnd w:id="37"/>
      <w:bookmarkEnd w:id="38"/>
    </w:p>
    <w:p>
      <w:pPr>
        <w:pStyle w:val="13"/>
        <w:spacing w:line="360" w:lineRule="auto"/>
        <w:ind w:firstLine="480" w:firstLineChars="200"/>
        <w:rPr>
          <w:rFonts w:hAnsi="宋体" w:cs="宋体"/>
          <w:color w:val="auto"/>
          <w:sz w:val="24"/>
        </w:rPr>
      </w:pPr>
      <w:r>
        <w:rPr>
          <w:rFonts w:hint="eastAsia" w:hAnsi="宋体" w:cs="宋体"/>
          <w:color w:val="auto"/>
          <w:sz w:val="24"/>
        </w:rPr>
        <w:t>2.1 “采购人”系指克拉玛依市教育局，在签订和执行合同阶段称“甲方”。</w:t>
      </w:r>
    </w:p>
    <w:p>
      <w:pPr>
        <w:pStyle w:val="13"/>
        <w:spacing w:line="360" w:lineRule="auto"/>
        <w:ind w:firstLine="480" w:firstLineChars="200"/>
        <w:rPr>
          <w:rFonts w:hAnsi="宋体" w:cs="宋体"/>
          <w:color w:val="auto"/>
          <w:sz w:val="24"/>
        </w:rPr>
      </w:pPr>
      <w:r>
        <w:rPr>
          <w:rFonts w:hint="eastAsia" w:hAnsi="宋体" w:cs="宋体"/>
          <w:color w:val="auto"/>
          <w:sz w:val="24"/>
        </w:rPr>
        <w:t xml:space="preserve">2.2 </w:t>
      </w:r>
      <w:r>
        <w:rPr>
          <w:rFonts w:hint="eastAsia" w:hAnsi="宋体" w:cs="宋体"/>
          <w:color w:val="auto"/>
          <w:sz w:val="24"/>
          <w:szCs w:val="24"/>
        </w:rPr>
        <w:t>“采购代理机构”</w:t>
      </w:r>
      <w:r>
        <w:rPr>
          <w:rFonts w:hint="eastAsia" w:hAnsi="宋体" w:cs="宋体"/>
          <w:color w:val="auto"/>
          <w:sz w:val="24"/>
        </w:rPr>
        <w:t>系指新疆安致恒工程项目管理有限公司。</w:t>
      </w:r>
    </w:p>
    <w:p>
      <w:pPr>
        <w:pStyle w:val="13"/>
        <w:spacing w:line="360" w:lineRule="auto"/>
        <w:ind w:firstLine="480" w:firstLineChars="200"/>
        <w:rPr>
          <w:rFonts w:hAnsi="宋体" w:cs="宋体"/>
          <w:color w:val="auto"/>
          <w:sz w:val="24"/>
        </w:rPr>
      </w:pPr>
      <w:r>
        <w:rPr>
          <w:rFonts w:hint="eastAsia" w:hAnsi="宋体" w:cs="宋体"/>
          <w:color w:val="auto"/>
          <w:sz w:val="24"/>
        </w:rPr>
        <w:t>2.3 “供应商”系指具备资格并响应招标文件要求提交响应文件的法人，供应商若中标，在签订和执行合同阶段称“乙方”。</w:t>
      </w:r>
    </w:p>
    <w:p>
      <w:pPr>
        <w:pStyle w:val="13"/>
        <w:spacing w:line="360" w:lineRule="auto"/>
        <w:ind w:firstLine="480" w:firstLineChars="200"/>
        <w:rPr>
          <w:rFonts w:hAnsi="宋体" w:cs="宋体"/>
          <w:color w:val="auto"/>
          <w:sz w:val="24"/>
        </w:rPr>
      </w:pPr>
      <w:r>
        <w:rPr>
          <w:rFonts w:hint="eastAsia" w:hAnsi="宋体" w:cs="宋体"/>
          <w:color w:val="auto"/>
          <w:sz w:val="24"/>
        </w:rPr>
        <w:t>2.4 “招标文件”系指由采购人向供应商发出的本招标项目的全部文件（包括项目采购需求、修改文件、补充文件、答疑纪要、各种通知和附件等）。</w:t>
      </w:r>
    </w:p>
    <w:p>
      <w:pPr>
        <w:pStyle w:val="13"/>
        <w:spacing w:line="360" w:lineRule="auto"/>
        <w:ind w:firstLine="480" w:firstLineChars="200"/>
        <w:rPr>
          <w:rFonts w:hAnsi="宋体" w:cs="宋体"/>
          <w:color w:val="auto"/>
          <w:sz w:val="24"/>
          <w:szCs w:val="24"/>
        </w:rPr>
      </w:pPr>
      <w:r>
        <w:rPr>
          <w:rFonts w:hint="eastAsia" w:hAnsi="宋体" w:cs="宋体"/>
          <w:color w:val="auto"/>
          <w:sz w:val="24"/>
          <w:szCs w:val="24"/>
        </w:rPr>
        <w:t>2.5 “响应文件”系指供应商根据招标文件提交的所有文件。</w:t>
      </w:r>
    </w:p>
    <w:p>
      <w:pPr>
        <w:spacing w:line="360" w:lineRule="auto"/>
        <w:ind w:firstLine="480" w:firstLineChars="200"/>
        <w:rPr>
          <w:rFonts w:ascii="宋体" w:hAnsi="宋体" w:cs="宋体"/>
          <w:color w:val="auto"/>
        </w:rPr>
      </w:pPr>
      <w:r>
        <w:rPr>
          <w:rFonts w:hint="eastAsia" w:ascii="宋体" w:hAnsi="宋体" w:cs="宋体"/>
          <w:color w:val="auto"/>
          <w:sz w:val="24"/>
        </w:rPr>
        <w:t>2.6 “服务”系指技术规范及标准、项目采购需求及合同条款、本招标文件规定，</w:t>
      </w:r>
      <w:r>
        <w:rPr>
          <w:rFonts w:hint="eastAsia" w:ascii="宋体" w:hAnsi="宋体" w:cs="宋体"/>
          <w:b/>
          <w:bCs/>
          <w:color w:val="auto"/>
          <w:sz w:val="24"/>
        </w:rPr>
        <w:t>成交供应商在服务期限内完成克拉玛依市教育局及直属学校安保服务项目的全部工作内容以及项目采购需求及合同文本、本招标文件约定的全部内容。</w:t>
      </w:r>
    </w:p>
    <w:p>
      <w:pPr>
        <w:spacing w:line="360" w:lineRule="auto"/>
        <w:ind w:firstLine="482"/>
        <w:jc w:val="left"/>
        <w:rPr>
          <w:rFonts w:ascii="宋体" w:hAnsi="宋体" w:cs="宋体"/>
          <w:color w:val="auto"/>
          <w:sz w:val="24"/>
        </w:rPr>
      </w:pPr>
      <w:r>
        <w:rPr>
          <w:rFonts w:hint="eastAsia" w:ascii="宋体" w:hAnsi="宋体" w:cs="宋体"/>
          <w:color w:val="auto"/>
          <w:sz w:val="24"/>
        </w:rPr>
        <w:t xml:space="preserve">2.7凡提及的“天、日期、星期、月份和年份”系指公历日历的日历天、日期、星期、月份和年份。 </w:t>
      </w:r>
    </w:p>
    <w:p>
      <w:pPr>
        <w:pStyle w:val="13"/>
        <w:spacing w:line="360" w:lineRule="auto"/>
        <w:ind w:firstLine="482" w:firstLineChars="200"/>
        <w:outlineLvl w:val="1"/>
        <w:rPr>
          <w:rFonts w:hAnsi="宋体" w:cs="宋体"/>
          <w:b/>
          <w:color w:val="auto"/>
          <w:sz w:val="24"/>
        </w:rPr>
      </w:pPr>
      <w:bookmarkStart w:id="39" w:name="_Toc246216182"/>
      <w:bookmarkStart w:id="40" w:name="_Toc243907573"/>
      <w:bookmarkStart w:id="41" w:name="_Toc233274813"/>
      <w:bookmarkStart w:id="42" w:name="_Toc243906313"/>
      <w:r>
        <w:rPr>
          <w:rFonts w:hint="eastAsia" w:hAnsi="宋体" w:cs="宋体"/>
          <w:b/>
          <w:color w:val="auto"/>
          <w:sz w:val="24"/>
        </w:rPr>
        <w:t>3、</w:t>
      </w:r>
      <w:bookmarkEnd w:id="39"/>
      <w:bookmarkEnd w:id="40"/>
      <w:bookmarkEnd w:id="41"/>
      <w:bookmarkEnd w:id="42"/>
      <w:r>
        <w:rPr>
          <w:rFonts w:hint="eastAsia" w:hAnsi="宋体" w:cs="宋体"/>
          <w:b/>
          <w:color w:val="auto"/>
          <w:sz w:val="24"/>
        </w:rPr>
        <w:t>招标范围及服务期限</w:t>
      </w:r>
    </w:p>
    <w:p>
      <w:pPr>
        <w:spacing w:line="360" w:lineRule="auto"/>
        <w:ind w:firstLine="482"/>
        <w:jc w:val="left"/>
        <w:rPr>
          <w:rFonts w:ascii="宋体" w:hAnsi="宋体" w:cs="宋体"/>
          <w:b/>
          <w:bCs/>
          <w:color w:val="auto"/>
          <w:sz w:val="24"/>
        </w:rPr>
      </w:pPr>
      <w:r>
        <w:rPr>
          <w:rFonts w:hint="eastAsia" w:ascii="宋体" w:hAnsi="宋体" w:cs="宋体"/>
          <w:b/>
          <w:bCs/>
          <w:color w:val="auto"/>
          <w:sz w:val="24"/>
        </w:rPr>
        <w:t>3.1招标范围：在服务期限内完成克拉玛依市教育局及直属学校安保服务工作，包括但不限于：负责学校大门出入口管理，人员、车辆、物资进出门的管理和校园防火、防盗、防投毒、治安巡逻，维持校园秩序，维护校园稳定，及时发现和消除安全隐患等工作以及项目采购需求及合同文本、本招标文件约定的全部内容。具体内容详见“第三章 项目采购需求”。</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3.2服务期限：2022年1月1日起至2024年12月31日止（服务期限三年，合同一年一签）</w:t>
      </w:r>
    </w:p>
    <w:p>
      <w:pPr>
        <w:spacing w:line="360" w:lineRule="auto"/>
        <w:ind w:firstLine="482" w:firstLineChars="200"/>
        <w:rPr>
          <w:rFonts w:ascii="宋体" w:hAnsi="宋体" w:cs="宋体"/>
          <w:b/>
          <w:bCs/>
          <w:color w:val="auto"/>
          <w:sz w:val="24"/>
        </w:rPr>
      </w:pPr>
      <w:bookmarkStart w:id="43" w:name="_Toc243906314"/>
      <w:bookmarkStart w:id="44" w:name="_Toc243907574"/>
      <w:bookmarkStart w:id="45" w:name="_Toc246216183"/>
      <w:bookmarkStart w:id="46" w:name="_Toc233274814"/>
      <w:r>
        <w:rPr>
          <w:rFonts w:hint="eastAsia" w:ascii="宋体" w:hAnsi="宋体" w:cs="宋体"/>
          <w:b/>
          <w:bCs/>
          <w:color w:val="auto"/>
          <w:sz w:val="24"/>
        </w:rPr>
        <w:t>4、</w:t>
      </w:r>
      <w:bookmarkEnd w:id="43"/>
      <w:bookmarkEnd w:id="44"/>
      <w:bookmarkEnd w:id="45"/>
      <w:bookmarkEnd w:id="46"/>
      <w:r>
        <w:rPr>
          <w:rFonts w:hint="eastAsia" w:ascii="宋体" w:hAnsi="宋体" w:cs="宋体"/>
          <w:b/>
          <w:bCs/>
          <w:color w:val="auto"/>
          <w:sz w:val="24"/>
        </w:rPr>
        <w:t>合格供应商资格要求</w:t>
      </w:r>
    </w:p>
    <w:p>
      <w:pPr>
        <w:spacing w:line="360" w:lineRule="auto"/>
        <w:ind w:firstLine="480" w:firstLineChars="200"/>
        <w:rPr>
          <w:rFonts w:ascii="宋体" w:hAnsi="宋体" w:cs="宋体"/>
          <w:color w:val="auto"/>
        </w:rPr>
      </w:pPr>
      <w:r>
        <w:rPr>
          <w:rFonts w:hint="eastAsia" w:ascii="宋体" w:hAnsi="宋体" w:cs="宋体"/>
          <w:color w:val="auto"/>
          <w:sz w:val="24"/>
        </w:rPr>
        <w:t>4.1详见第一章“招标公告”中的供应商资格要求。</w:t>
      </w:r>
    </w:p>
    <w:p>
      <w:pPr>
        <w:snapToGrid w:val="0"/>
        <w:spacing w:line="360" w:lineRule="auto"/>
        <w:ind w:firstLine="470" w:firstLineChars="196"/>
        <w:rPr>
          <w:rFonts w:ascii="宋体" w:hAnsi="宋体" w:cs="宋体"/>
          <w:bCs/>
          <w:color w:val="auto"/>
          <w:sz w:val="24"/>
        </w:rPr>
      </w:pPr>
      <w:r>
        <w:rPr>
          <w:rFonts w:hint="eastAsia" w:ascii="宋体" w:hAnsi="宋体" w:cs="宋体"/>
          <w:bCs/>
          <w:color w:val="auto"/>
          <w:sz w:val="24"/>
        </w:rPr>
        <w:t>4.2单位法定代表为同一人或者存在直接控股、管理关系的不同供应商，不得参加同一合同项下的政府采购活动。</w:t>
      </w:r>
    </w:p>
    <w:p>
      <w:pPr>
        <w:snapToGrid w:val="0"/>
        <w:spacing w:line="360" w:lineRule="auto"/>
        <w:ind w:firstLine="477" w:firstLineChars="199"/>
        <w:rPr>
          <w:rFonts w:ascii="宋体" w:hAnsi="宋体" w:cs="宋体"/>
          <w:bCs/>
          <w:color w:val="auto"/>
          <w:sz w:val="24"/>
        </w:rPr>
      </w:pPr>
      <w:r>
        <w:rPr>
          <w:rFonts w:hint="eastAsia" w:ascii="宋体" w:hAnsi="宋体" w:cs="宋体"/>
          <w:bCs/>
          <w:color w:val="auto"/>
          <w:sz w:val="24"/>
        </w:rPr>
        <w:t>4.3为招标项目提供整体设计、规范编制或者项目管理、监理、检测等服务的供应商，不得再参加该招标项目的其他采购活动。</w:t>
      </w:r>
    </w:p>
    <w:p>
      <w:pPr>
        <w:snapToGrid w:val="0"/>
        <w:spacing w:line="360" w:lineRule="auto"/>
        <w:ind w:firstLine="477" w:firstLineChars="199"/>
        <w:rPr>
          <w:rFonts w:ascii="宋体" w:hAnsi="宋体" w:cs="宋体"/>
          <w:bCs/>
          <w:color w:val="auto"/>
          <w:sz w:val="24"/>
        </w:rPr>
      </w:pPr>
      <w:r>
        <w:rPr>
          <w:rFonts w:hint="eastAsia" w:ascii="宋体" w:hAnsi="宋体" w:cs="宋体"/>
          <w:bCs/>
          <w:color w:val="auto"/>
          <w:sz w:val="24"/>
        </w:rPr>
        <w:t>4.4在单一品目的货物采购招标中，同一品牌同一型号的产品有多家供应商参加采购，只能按照一家供应商计算。</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4.5同一分包的货物，制造商参与采购的，不得再委托代理商参与采购。</w:t>
      </w:r>
    </w:p>
    <w:p>
      <w:pPr>
        <w:pStyle w:val="61"/>
        <w:spacing w:line="360" w:lineRule="auto"/>
        <w:ind w:left="1" w:firstLine="480" w:firstLineChars="200"/>
        <w:rPr>
          <w:rFonts w:hAnsi="宋体" w:cs="宋体"/>
          <w:bCs/>
          <w:color w:val="auto"/>
          <w:kern w:val="2"/>
          <w:sz w:val="24"/>
          <w:szCs w:val="24"/>
        </w:rPr>
      </w:pPr>
      <w:r>
        <w:rPr>
          <w:rFonts w:hint="eastAsia" w:hAnsi="宋体" w:cs="宋体"/>
          <w:bCs/>
          <w:color w:val="auto"/>
          <w:sz w:val="24"/>
        </w:rPr>
        <w:t>5、</w:t>
      </w:r>
      <w:r>
        <w:rPr>
          <w:rFonts w:hint="eastAsia" w:hAnsi="宋体" w:cs="宋体"/>
          <w:bCs/>
          <w:color w:val="auto"/>
          <w:kern w:val="2"/>
          <w:sz w:val="24"/>
          <w:szCs w:val="24"/>
        </w:rPr>
        <w:t>回避。政府采购活动中，采购人员及相关人员与供应商有下列利害关系之一的，应当回避：</w:t>
      </w:r>
    </w:p>
    <w:p>
      <w:pPr>
        <w:pStyle w:val="61"/>
        <w:spacing w:line="360" w:lineRule="auto"/>
        <w:ind w:left="1" w:firstLine="480" w:firstLineChars="200"/>
        <w:rPr>
          <w:rFonts w:hAnsi="宋体" w:cs="宋体"/>
          <w:bCs/>
          <w:color w:val="auto"/>
          <w:kern w:val="2"/>
          <w:sz w:val="24"/>
          <w:szCs w:val="24"/>
        </w:rPr>
      </w:pPr>
      <w:r>
        <w:rPr>
          <w:rFonts w:hint="eastAsia" w:hAnsi="宋体" w:cs="宋体"/>
          <w:bCs/>
          <w:color w:val="auto"/>
          <w:kern w:val="2"/>
          <w:sz w:val="24"/>
          <w:szCs w:val="24"/>
        </w:rPr>
        <w:t>5.1参加采购活动前3年内与供应商存在劳动关系；</w:t>
      </w:r>
    </w:p>
    <w:p>
      <w:pPr>
        <w:pStyle w:val="61"/>
        <w:spacing w:line="360" w:lineRule="auto"/>
        <w:ind w:left="1" w:firstLine="480" w:firstLineChars="200"/>
        <w:rPr>
          <w:rFonts w:hAnsi="宋体" w:cs="宋体"/>
          <w:bCs/>
          <w:color w:val="auto"/>
          <w:kern w:val="2"/>
          <w:sz w:val="24"/>
          <w:szCs w:val="24"/>
        </w:rPr>
      </w:pPr>
      <w:r>
        <w:rPr>
          <w:rFonts w:hint="eastAsia" w:hAnsi="宋体" w:cs="宋体"/>
          <w:bCs/>
          <w:color w:val="auto"/>
          <w:kern w:val="2"/>
          <w:sz w:val="24"/>
          <w:szCs w:val="24"/>
        </w:rPr>
        <w:t>5.2参加采购活动前3年内担任供应商的董事、监事；</w:t>
      </w:r>
    </w:p>
    <w:p>
      <w:pPr>
        <w:pStyle w:val="61"/>
        <w:spacing w:line="360" w:lineRule="auto"/>
        <w:ind w:left="1" w:firstLine="480" w:firstLineChars="200"/>
        <w:rPr>
          <w:rFonts w:hAnsi="宋体" w:cs="宋体"/>
          <w:bCs/>
          <w:color w:val="auto"/>
          <w:kern w:val="2"/>
          <w:sz w:val="24"/>
          <w:szCs w:val="24"/>
        </w:rPr>
      </w:pPr>
      <w:r>
        <w:rPr>
          <w:rFonts w:hint="eastAsia" w:hAnsi="宋体" w:cs="宋体"/>
          <w:bCs/>
          <w:color w:val="auto"/>
          <w:kern w:val="2"/>
          <w:sz w:val="24"/>
          <w:szCs w:val="24"/>
        </w:rPr>
        <w:t>5.3参加采购活动前3年内是供应商的控股股东或者实际控制人；</w:t>
      </w:r>
    </w:p>
    <w:p>
      <w:pPr>
        <w:pStyle w:val="61"/>
        <w:spacing w:line="360" w:lineRule="auto"/>
        <w:ind w:left="1" w:firstLine="480" w:firstLineChars="200"/>
        <w:rPr>
          <w:rFonts w:hAnsi="宋体" w:cs="宋体"/>
          <w:bCs/>
          <w:color w:val="auto"/>
          <w:kern w:val="2"/>
          <w:sz w:val="24"/>
          <w:szCs w:val="24"/>
        </w:rPr>
      </w:pPr>
      <w:r>
        <w:rPr>
          <w:rFonts w:hint="eastAsia" w:hAnsi="宋体" w:cs="宋体"/>
          <w:bCs/>
          <w:color w:val="auto"/>
          <w:kern w:val="2"/>
          <w:sz w:val="24"/>
          <w:szCs w:val="24"/>
        </w:rPr>
        <w:t>5.4与供应商的法定代表人或者负责人有夫妻、直系血亲、三代以内旁系血亲或者近姻亲关系；</w:t>
      </w:r>
    </w:p>
    <w:p>
      <w:pPr>
        <w:pStyle w:val="61"/>
        <w:spacing w:line="360" w:lineRule="auto"/>
        <w:ind w:left="1" w:firstLine="480" w:firstLineChars="200"/>
        <w:rPr>
          <w:rFonts w:hAnsi="宋体" w:cs="宋体"/>
          <w:bCs/>
          <w:color w:val="auto"/>
          <w:kern w:val="2"/>
          <w:sz w:val="24"/>
          <w:szCs w:val="24"/>
        </w:rPr>
      </w:pPr>
      <w:r>
        <w:rPr>
          <w:rFonts w:hint="eastAsia" w:hAnsi="宋体" w:cs="宋体"/>
          <w:bCs/>
          <w:color w:val="auto"/>
          <w:kern w:val="2"/>
          <w:sz w:val="24"/>
          <w:szCs w:val="24"/>
        </w:rPr>
        <w:t>5.5与供应商有其他可能影响政府采购活动公平、公正进行的关系。</w:t>
      </w:r>
    </w:p>
    <w:p>
      <w:pPr>
        <w:pStyle w:val="61"/>
        <w:spacing w:line="360" w:lineRule="auto"/>
        <w:ind w:left="1" w:firstLine="480" w:firstLineChars="200"/>
        <w:rPr>
          <w:rFonts w:hAnsi="宋体" w:cs="宋体"/>
          <w:bCs/>
          <w:color w:val="auto"/>
          <w:kern w:val="2"/>
          <w:sz w:val="24"/>
          <w:szCs w:val="24"/>
        </w:rPr>
      </w:pPr>
      <w:r>
        <w:rPr>
          <w:rFonts w:hint="eastAsia" w:hAnsi="宋体" w:cs="宋体"/>
          <w:bCs/>
          <w:color w:val="auto"/>
          <w:kern w:val="2"/>
          <w:sz w:val="24"/>
          <w:szCs w:val="24"/>
        </w:rPr>
        <w:t>本项目政府采购活动中需要依法回避的采购人员是指采购人内部负责招标项目的具体经办工作人员和直接分管招标项目的负责人，以及采购代理机构负责招标项目的具体经办工作人员和直接分管采购活动的负责人。本项目政府采购活动中需要依法回避的相关人员是指评标委员会成员。</w:t>
      </w:r>
    </w:p>
    <w:p>
      <w:pPr>
        <w:pStyle w:val="61"/>
        <w:spacing w:line="360" w:lineRule="auto"/>
        <w:ind w:left="1" w:firstLine="480" w:firstLineChars="200"/>
        <w:rPr>
          <w:rFonts w:hAnsi="宋体" w:cs="宋体"/>
          <w:bCs/>
          <w:color w:val="auto"/>
          <w:sz w:val="24"/>
        </w:rPr>
      </w:pPr>
      <w:r>
        <w:rPr>
          <w:rFonts w:hint="eastAsia" w:hAnsi="宋体" w:cs="宋体"/>
          <w:bCs/>
          <w:color w:val="auto"/>
          <w:kern w:val="2"/>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13"/>
        <w:spacing w:line="360" w:lineRule="auto"/>
        <w:ind w:firstLine="480" w:firstLineChars="200"/>
        <w:rPr>
          <w:rFonts w:hAnsi="宋体" w:cs="宋体"/>
          <w:color w:val="auto"/>
          <w:sz w:val="24"/>
        </w:rPr>
      </w:pPr>
      <w:bookmarkStart w:id="47" w:name="_Toc245897276"/>
      <w:bookmarkStart w:id="48" w:name="_Toc233274816"/>
      <w:bookmarkStart w:id="49" w:name="_Toc243906316"/>
      <w:bookmarkStart w:id="50" w:name="_Toc243907576"/>
      <w:r>
        <w:rPr>
          <w:rFonts w:hint="eastAsia" w:hAnsi="宋体" w:cs="宋体"/>
          <w:color w:val="auto"/>
          <w:sz w:val="24"/>
        </w:rPr>
        <w:t>6、实地考察和费用</w:t>
      </w:r>
    </w:p>
    <w:p>
      <w:pPr>
        <w:pStyle w:val="13"/>
        <w:spacing w:line="360" w:lineRule="auto"/>
        <w:ind w:firstLine="480" w:firstLineChars="200"/>
        <w:rPr>
          <w:rFonts w:hAnsi="宋体" w:cs="宋体"/>
          <w:color w:val="auto"/>
          <w:sz w:val="24"/>
        </w:rPr>
      </w:pPr>
      <w:r>
        <w:rPr>
          <w:rFonts w:hint="eastAsia" w:hAnsi="宋体" w:cs="宋体"/>
          <w:color w:val="auto"/>
          <w:sz w:val="24"/>
        </w:rPr>
        <w:t>6.1实地考察</w:t>
      </w:r>
    </w:p>
    <w:p>
      <w:pPr>
        <w:pStyle w:val="13"/>
        <w:spacing w:line="360" w:lineRule="auto"/>
        <w:ind w:firstLine="480" w:firstLineChars="200"/>
        <w:rPr>
          <w:rFonts w:hAnsi="宋体" w:cs="宋体"/>
          <w:color w:val="auto"/>
          <w:sz w:val="24"/>
        </w:rPr>
      </w:pPr>
      <w:r>
        <w:rPr>
          <w:rFonts w:hint="eastAsia" w:hAnsi="宋体" w:cs="宋体"/>
          <w:color w:val="auto"/>
          <w:sz w:val="24"/>
        </w:rPr>
        <w:t>采购人不统一组织供应商的实地考察。供应商须自行对招标项目的现场及招标项目所涉及的国家、自治区、克拉玛依地区、相关部门等与此相关的政策进行充分的调查、研究，参观并勘察现场及其周围环境（包括当地气候条件及自然环境等）以取得所有与准备公开招标和实施公开招标有关的必要资料及信息。实地考察所发生的任何费用均由供应商自理。</w:t>
      </w:r>
    </w:p>
    <w:p>
      <w:pPr>
        <w:pStyle w:val="13"/>
        <w:spacing w:line="360" w:lineRule="auto"/>
        <w:ind w:firstLine="480" w:firstLineChars="200"/>
        <w:rPr>
          <w:rFonts w:hAnsi="宋体" w:cs="宋体"/>
          <w:color w:val="auto"/>
          <w:sz w:val="24"/>
        </w:rPr>
      </w:pPr>
      <w:r>
        <w:rPr>
          <w:rFonts w:hint="eastAsia" w:hAnsi="宋体" w:cs="宋体"/>
          <w:color w:val="auto"/>
          <w:sz w:val="24"/>
        </w:rPr>
        <w:t>6.2参与公开招标费用</w:t>
      </w:r>
    </w:p>
    <w:p>
      <w:pPr>
        <w:pStyle w:val="13"/>
        <w:spacing w:line="360" w:lineRule="auto"/>
        <w:ind w:firstLine="480" w:firstLineChars="200"/>
        <w:rPr>
          <w:rFonts w:hAnsi="宋体" w:cs="宋体"/>
          <w:color w:val="auto"/>
          <w:sz w:val="24"/>
        </w:rPr>
      </w:pPr>
      <w:r>
        <w:rPr>
          <w:rFonts w:hint="eastAsia" w:hAnsi="宋体" w:cs="宋体"/>
          <w:color w:val="auto"/>
          <w:sz w:val="24"/>
        </w:rPr>
        <w:t>6.2.1供应商应承担所有与公开招标准备和公开招标有关的全部费用，不论公开招标结果如何，采购人和招标代理机构无义务和责任承担供应商所发生的一切费用。</w:t>
      </w:r>
    </w:p>
    <w:p>
      <w:pPr>
        <w:pStyle w:val="13"/>
        <w:spacing w:line="360" w:lineRule="auto"/>
        <w:ind w:firstLine="480" w:firstLineChars="200"/>
        <w:rPr>
          <w:rFonts w:hAnsi="宋体" w:cs="宋体"/>
          <w:color w:val="auto"/>
          <w:sz w:val="24"/>
        </w:rPr>
      </w:pPr>
      <w:r>
        <w:rPr>
          <w:rFonts w:hint="eastAsia" w:hAnsi="宋体" w:cs="宋体"/>
          <w:color w:val="auto"/>
          <w:sz w:val="24"/>
        </w:rPr>
        <w:t>6.2.2供应商在公开招标准备、实地考察和公开招标的全过程中，如果发生人身伤亡、财物或其它任何损失，不论何种原因所造成，均由供应商自行承担全部责任和损失。</w:t>
      </w:r>
    </w:p>
    <w:p>
      <w:pPr>
        <w:pStyle w:val="13"/>
        <w:spacing w:line="360" w:lineRule="auto"/>
        <w:ind w:firstLine="480" w:firstLineChars="200"/>
        <w:rPr>
          <w:rFonts w:hAnsi="宋体" w:cs="宋体"/>
          <w:color w:val="auto"/>
          <w:sz w:val="24"/>
        </w:rPr>
      </w:pPr>
      <w:r>
        <w:rPr>
          <w:rFonts w:hint="eastAsia" w:hAnsi="宋体" w:cs="宋体"/>
          <w:color w:val="auto"/>
          <w:sz w:val="24"/>
        </w:rPr>
        <w:t>7、法律适用</w:t>
      </w:r>
      <w:bookmarkEnd w:id="47"/>
      <w:bookmarkEnd w:id="48"/>
      <w:bookmarkEnd w:id="49"/>
      <w:bookmarkEnd w:id="50"/>
    </w:p>
    <w:p>
      <w:pPr>
        <w:pStyle w:val="13"/>
        <w:spacing w:line="360" w:lineRule="auto"/>
        <w:ind w:firstLine="480" w:firstLineChars="200"/>
        <w:rPr>
          <w:rFonts w:hAnsi="宋体" w:cs="宋体"/>
          <w:color w:val="auto"/>
          <w:sz w:val="24"/>
        </w:rPr>
      </w:pPr>
      <w:r>
        <w:rPr>
          <w:rFonts w:hint="eastAsia" w:hAnsi="宋体" w:cs="宋体"/>
          <w:color w:val="auto"/>
          <w:sz w:val="24"/>
        </w:rPr>
        <w:t>7.1本次招标活动及由本次招标产生的合同受中国法律制约和保护。</w:t>
      </w:r>
    </w:p>
    <w:p>
      <w:pPr>
        <w:pStyle w:val="13"/>
        <w:spacing w:line="360" w:lineRule="auto"/>
        <w:ind w:firstLine="480" w:firstLineChars="200"/>
        <w:outlineLvl w:val="1"/>
        <w:rPr>
          <w:rFonts w:hAnsi="宋体" w:cs="宋体"/>
          <w:color w:val="auto"/>
          <w:sz w:val="24"/>
        </w:rPr>
      </w:pPr>
      <w:bookmarkStart w:id="51" w:name="_Toc233274817"/>
      <w:bookmarkStart w:id="52" w:name="_Toc243906317"/>
      <w:bookmarkStart w:id="53" w:name="_Toc243907577"/>
      <w:bookmarkStart w:id="54" w:name="_Toc245897277"/>
      <w:r>
        <w:rPr>
          <w:rFonts w:hint="eastAsia" w:hAnsi="宋体" w:cs="宋体"/>
          <w:color w:val="auto"/>
          <w:sz w:val="24"/>
        </w:rPr>
        <w:t>8、招标文件的约束力</w:t>
      </w:r>
      <w:bookmarkEnd w:id="51"/>
      <w:bookmarkEnd w:id="52"/>
      <w:bookmarkEnd w:id="53"/>
      <w:bookmarkEnd w:id="54"/>
    </w:p>
    <w:p>
      <w:pPr>
        <w:pStyle w:val="13"/>
        <w:spacing w:line="360" w:lineRule="auto"/>
        <w:ind w:firstLine="480" w:firstLineChars="200"/>
        <w:rPr>
          <w:rFonts w:hAnsi="宋体" w:cs="宋体"/>
          <w:color w:val="auto"/>
        </w:rPr>
      </w:pPr>
      <w:r>
        <w:rPr>
          <w:rFonts w:hint="eastAsia" w:hAnsi="宋体" w:cs="宋体"/>
          <w:color w:val="auto"/>
          <w:sz w:val="24"/>
          <w:szCs w:val="24"/>
        </w:rPr>
        <w:t>8.1供应商若中标，即被认为接受了本招标文件中的所有条件和规定。是采购人与成交供应商签订合同的依据且是合同的组成部分。</w:t>
      </w:r>
      <w:bookmarkEnd w:id="30"/>
    </w:p>
    <w:p>
      <w:pPr>
        <w:pStyle w:val="13"/>
        <w:spacing w:line="360" w:lineRule="auto"/>
        <w:jc w:val="center"/>
        <w:outlineLvl w:val="1"/>
        <w:rPr>
          <w:rFonts w:hAnsi="宋体" w:cs="宋体"/>
          <w:b/>
          <w:bCs/>
          <w:color w:val="auto"/>
          <w:sz w:val="28"/>
          <w:szCs w:val="28"/>
        </w:rPr>
      </w:pPr>
      <w:r>
        <w:rPr>
          <w:rFonts w:hint="eastAsia" w:hAnsi="宋体" w:cs="宋体"/>
          <w:b/>
          <w:bCs/>
          <w:color w:val="auto"/>
          <w:sz w:val="28"/>
          <w:szCs w:val="28"/>
        </w:rPr>
        <w:t>二、招标文件</w:t>
      </w:r>
    </w:p>
    <w:p>
      <w:pPr>
        <w:pStyle w:val="13"/>
        <w:spacing w:line="360" w:lineRule="auto"/>
        <w:ind w:firstLine="480" w:firstLineChars="200"/>
        <w:outlineLvl w:val="1"/>
        <w:rPr>
          <w:rFonts w:hAnsi="宋体" w:cs="宋体"/>
          <w:color w:val="auto"/>
          <w:sz w:val="24"/>
        </w:rPr>
      </w:pPr>
      <w:bookmarkStart w:id="55" w:name="_Toc233274819"/>
      <w:bookmarkStart w:id="56" w:name="_Toc246216188"/>
      <w:bookmarkStart w:id="57" w:name="_Toc243907579"/>
      <w:bookmarkStart w:id="58" w:name="_Toc243906319"/>
      <w:r>
        <w:rPr>
          <w:rFonts w:hint="eastAsia" w:hAnsi="宋体" w:cs="宋体"/>
          <w:color w:val="auto"/>
          <w:sz w:val="24"/>
        </w:rPr>
        <w:t>9、招标文件的组成</w:t>
      </w:r>
      <w:bookmarkEnd w:id="55"/>
      <w:bookmarkEnd w:id="56"/>
      <w:bookmarkEnd w:id="57"/>
      <w:bookmarkEnd w:id="58"/>
    </w:p>
    <w:p>
      <w:pPr>
        <w:spacing w:line="360" w:lineRule="auto"/>
        <w:ind w:firstLine="481"/>
        <w:rPr>
          <w:rFonts w:ascii="宋体" w:hAnsi="宋体" w:cs="宋体"/>
          <w:color w:val="auto"/>
        </w:rPr>
      </w:pPr>
      <w:r>
        <w:rPr>
          <w:rFonts w:hint="eastAsia" w:ascii="宋体" w:hAnsi="宋体" w:cs="宋体"/>
          <w:color w:val="auto"/>
          <w:sz w:val="24"/>
        </w:rPr>
        <w:t>9.1 本招标文件是对克拉玛依市克拉玛依市教育局及直属学校安保服务项目招标程序、合同条款进行说明。招标文件包括下列内容：</w:t>
      </w:r>
    </w:p>
    <w:p>
      <w:pPr>
        <w:pStyle w:val="13"/>
        <w:spacing w:line="360" w:lineRule="auto"/>
        <w:ind w:firstLine="440"/>
        <w:rPr>
          <w:rFonts w:hAnsi="宋体" w:cs="宋体"/>
          <w:color w:val="auto"/>
          <w:sz w:val="24"/>
        </w:rPr>
      </w:pPr>
      <w:r>
        <w:rPr>
          <w:rFonts w:hint="eastAsia" w:hAnsi="宋体" w:cs="宋体"/>
          <w:color w:val="auto"/>
          <w:sz w:val="24"/>
        </w:rPr>
        <w:t>第一章  招标公告</w:t>
      </w:r>
    </w:p>
    <w:p>
      <w:pPr>
        <w:pStyle w:val="13"/>
        <w:spacing w:line="360" w:lineRule="auto"/>
        <w:ind w:firstLine="440"/>
        <w:rPr>
          <w:rFonts w:hAnsi="宋体" w:cs="宋体"/>
          <w:color w:val="auto"/>
          <w:sz w:val="24"/>
        </w:rPr>
      </w:pPr>
      <w:r>
        <w:rPr>
          <w:rFonts w:hint="eastAsia" w:hAnsi="宋体" w:cs="宋体"/>
          <w:color w:val="auto"/>
          <w:sz w:val="24"/>
        </w:rPr>
        <w:t>第二章  供应商须知</w:t>
      </w:r>
    </w:p>
    <w:p>
      <w:pPr>
        <w:pStyle w:val="13"/>
        <w:spacing w:line="360" w:lineRule="auto"/>
        <w:ind w:firstLine="440"/>
        <w:rPr>
          <w:rFonts w:hAnsi="宋体" w:cs="宋体"/>
          <w:color w:val="auto"/>
          <w:sz w:val="24"/>
        </w:rPr>
      </w:pPr>
      <w:r>
        <w:rPr>
          <w:rFonts w:hint="eastAsia" w:hAnsi="宋体" w:cs="宋体"/>
          <w:color w:val="auto"/>
          <w:sz w:val="24"/>
        </w:rPr>
        <w:t>第三章  项目采购需求</w:t>
      </w:r>
    </w:p>
    <w:p>
      <w:pPr>
        <w:pStyle w:val="13"/>
        <w:spacing w:line="360" w:lineRule="auto"/>
        <w:ind w:firstLine="440"/>
        <w:rPr>
          <w:rFonts w:hAnsi="宋体" w:cs="宋体"/>
          <w:color w:val="auto"/>
          <w:sz w:val="24"/>
        </w:rPr>
      </w:pPr>
      <w:r>
        <w:rPr>
          <w:rFonts w:hint="eastAsia" w:hAnsi="宋体" w:cs="宋体"/>
          <w:color w:val="auto"/>
          <w:sz w:val="24"/>
        </w:rPr>
        <w:t>第四章  拟签订的合同文本</w:t>
      </w:r>
    </w:p>
    <w:p>
      <w:pPr>
        <w:pStyle w:val="13"/>
        <w:spacing w:line="360" w:lineRule="auto"/>
        <w:ind w:firstLine="440"/>
        <w:rPr>
          <w:rFonts w:hAnsi="宋体" w:cs="宋体"/>
          <w:color w:val="auto"/>
          <w:sz w:val="24"/>
        </w:rPr>
      </w:pPr>
      <w:r>
        <w:rPr>
          <w:rFonts w:hint="eastAsia" w:hAnsi="宋体" w:cs="宋体"/>
          <w:color w:val="auto"/>
          <w:sz w:val="24"/>
        </w:rPr>
        <w:t>第五章  响应文件格式</w:t>
      </w:r>
    </w:p>
    <w:p>
      <w:pPr>
        <w:pStyle w:val="13"/>
        <w:spacing w:line="360" w:lineRule="auto"/>
        <w:ind w:firstLine="440"/>
        <w:rPr>
          <w:rFonts w:hAnsi="宋体" w:cs="宋体"/>
          <w:color w:val="auto"/>
          <w:sz w:val="24"/>
        </w:rPr>
      </w:pPr>
      <w:r>
        <w:rPr>
          <w:rFonts w:hint="eastAsia" w:hAnsi="宋体" w:cs="宋体"/>
          <w:color w:val="auto"/>
          <w:sz w:val="24"/>
        </w:rPr>
        <w:t>第六章  评审标准（综合评分法）</w:t>
      </w:r>
    </w:p>
    <w:p>
      <w:pPr>
        <w:pStyle w:val="13"/>
        <w:spacing w:line="360" w:lineRule="auto"/>
        <w:ind w:firstLine="480" w:firstLineChars="200"/>
        <w:rPr>
          <w:rFonts w:hAnsi="宋体" w:cs="宋体"/>
          <w:color w:val="auto"/>
          <w:sz w:val="24"/>
        </w:rPr>
      </w:pPr>
      <w:r>
        <w:rPr>
          <w:rFonts w:hint="eastAsia" w:hAnsi="宋体" w:cs="宋体"/>
          <w:color w:val="auto"/>
          <w:sz w:val="24"/>
        </w:rPr>
        <w:t>9.2 招标文件以中文编印，以中文文本为准。</w:t>
      </w:r>
    </w:p>
    <w:p>
      <w:pPr>
        <w:pStyle w:val="13"/>
        <w:spacing w:line="360" w:lineRule="auto"/>
        <w:ind w:firstLine="480" w:firstLineChars="200"/>
        <w:rPr>
          <w:rFonts w:hAnsi="宋体" w:cs="宋体"/>
          <w:color w:val="auto"/>
          <w:sz w:val="24"/>
        </w:rPr>
      </w:pPr>
      <w:r>
        <w:rPr>
          <w:rFonts w:hint="eastAsia" w:hAnsi="宋体" w:cs="宋体"/>
          <w:color w:val="auto"/>
          <w:sz w:val="24"/>
        </w:rPr>
        <w:t>9.3 除非有特殊要求，招标文件不单独提供招标项目使用地的自然环境、气候条件、劳动力及公用设施等情况，供应商被视为熟悉上述条件或若中标履行合同有关的一切情况。</w:t>
      </w:r>
    </w:p>
    <w:p>
      <w:pPr>
        <w:pStyle w:val="13"/>
        <w:spacing w:line="360" w:lineRule="auto"/>
        <w:ind w:firstLine="480" w:firstLineChars="200"/>
        <w:rPr>
          <w:rFonts w:hAnsi="宋体" w:cs="宋体"/>
          <w:color w:val="auto"/>
          <w:sz w:val="24"/>
        </w:rPr>
      </w:pPr>
      <w:r>
        <w:rPr>
          <w:rFonts w:hint="eastAsia" w:hAnsi="宋体" w:cs="宋体"/>
          <w:color w:val="auto"/>
          <w:sz w:val="24"/>
        </w:rPr>
        <w:t>9.4采购人向供应商提供的有关数据和资料，是采购人现有的能被供应商利用的资料，供应商对此做出的推论、理解和结论自行负责。</w:t>
      </w:r>
    </w:p>
    <w:p>
      <w:pPr>
        <w:pStyle w:val="13"/>
        <w:spacing w:line="360" w:lineRule="auto"/>
        <w:ind w:firstLine="480" w:firstLineChars="200"/>
        <w:rPr>
          <w:rFonts w:hAnsi="宋体" w:cs="宋体"/>
          <w:color w:val="auto"/>
          <w:sz w:val="24"/>
        </w:rPr>
      </w:pPr>
      <w:r>
        <w:rPr>
          <w:rFonts w:hint="eastAsia" w:hAnsi="宋体" w:cs="宋体"/>
          <w:color w:val="auto"/>
          <w:sz w:val="24"/>
        </w:rPr>
        <w:t>9.5招标文件补充作为招标文件的组成部分，对供应商起同等约束作用。如果招标文件补充内容与在此招标文件补充发出之前的招标文件等书面材料中相关内容相冲突，以最后发出的文件（或通知）为准，先前发出的招标文件等书面材料中相关内容自动废止。</w:t>
      </w:r>
    </w:p>
    <w:p>
      <w:pPr>
        <w:pStyle w:val="13"/>
        <w:spacing w:line="360" w:lineRule="auto"/>
        <w:ind w:firstLine="482" w:firstLineChars="200"/>
        <w:rPr>
          <w:rFonts w:hAnsi="宋体" w:cs="宋体"/>
          <w:b/>
          <w:bCs/>
          <w:color w:val="auto"/>
          <w:sz w:val="24"/>
        </w:rPr>
      </w:pPr>
      <w:r>
        <w:rPr>
          <w:rFonts w:hint="eastAsia" w:hAnsi="宋体" w:cs="宋体"/>
          <w:b/>
          <w:bCs/>
          <w:color w:val="auto"/>
          <w:sz w:val="24"/>
        </w:rPr>
        <w:t>9.6供应商应认真审阅和理解招标文件所有内容，尤其注意可能引起“否决投标”、“拒绝评审”、“无效投标”、“评审不予通过”等的条款，按照招标文件要求编制响应文件。任何对招标文件的忽略或误解不能作为响应文件存在缺陷或瑕疵的理由，其风险由供应商承担。</w:t>
      </w:r>
    </w:p>
    <w:p>
      <w:pPr>
        <w:pStyle w:val="13"/>
        <w:spacing w:line="360" w:lineRule="auto"/>
        <w:ind w:firstLine="480" w:firstLineChars="200"/>
        <w:outlineLvl w:val="1"/>
        <w:rPr>
          <w:rFonts w:hAnsi="宋体" w:cs="宋体"/>
          <w:color w:val="auto"/>
          <w:sz w:val="24"/>
        </w:rPr>
      </w:pPr>
      <w:bookmarkStart w:id="59" w:name="_Toc243907580"/>
      <w:bookmarkStart w:id="60" w:name="_Toc245897280"/>
      <w:bookmarkStart w:id="61" w:name="_Toc233274820"/>
      <w:bookmarkStart w:id="62" w:name="_Toc243906320"/>
      <w:r>
        <w:rPr>
          <w:rFonts w:hint="eastAsia" w:hAnsi="宋体" w:cs="宋体"/>
          <w:color w:val="auto"/>
          <w:sz w:val="24"/>
        </w:rPr>
        <w:t>10、招标文件的澄清</w:t>
      </w:r>
      <w:bookmarkEnd w:id="59"/>
      <w:bookmarkEnd w:id="60"/>
      <w:bookmarkEnd w:id="61"/>
      <w:bookmarkEnd w:id="62"/>
    </w:p>
    <w:p>
      <w:pPr>
        <w:pStyle w:val="13"/>
        <w:spacing w:line="360" w:lineRule="auto"/>
        <w:ind w:firstLine="480" w:firstLineChars="200"/>
        <w:rPr>
          <w:rFonts w:hAnsi="宋体" w:cs="宋体"/>
          <w:color w:val="auto"/>
          <w:sz w:val="24"/>
        </w:rPr>
      </w:pPr>
      <w:r>
        <w:rPr>
          <w:rFonts w:hint="eastAsia" w:hAnsi="宋体" w:cs="宋体"/>
          <w:color w:val="auto"/>
          <w:sz w:val="24"/>
        </w:rPr>
        <w:t>10.1 供应商对招标文件如有疑问，可要求澄清，应按招标文件“供应商须知前附表第6条”以扫描件形式（必须加盖供应商公章）发送至邮箱：884963282@qq.com。采购人和采购代理机构将视情况以书面形式予以答复，并发至领取招标文件的每位供应商。答复中包括所提问题，但不包括问题的来源。</w:t>
      </w:r>
    </w:p>
    <w:p>
      <w:pPr>
        <w:pStyle w:val="13"/>
        <w:spacing w:line="360" w:lineRule="auto"/>
        <w:ind w:firstLine="480" w:firstLineChars="200"/>
        <w:rPr>
          <w:rFonts w:hAnsi="宋体" w:cs="宋体"/>
          <w:color w:val="auto"/>
          <w:sz w:val="24"/>
        </w:rPr>
      </w:pPr>
      <w:r>
        <w:rPr>
          <w:rFonts w:hint="eastAsia" w:hAnsi="宋体" w:cs="宋体"/>
          <w:color w:val="auto"/>
          <w:sz w:val="24"/>
        </w:rPr>
        <w:t>10.2 如果上述答复涉及对招标文件的修改或补充，则它将被视为招标文件的组成部分。凡原先所发招标文件中的内容与答复中的内容不一致之处，以最后书面答复为准。任何电话或口头咨询和答复的意思解释均不具有法律约束力。</w:t>
      </w:r>
    </w:p>
    <w:p>
      <w:pPr>
        <w:pStyle w:val="13"/>
        <w:spacing w:line="360" w:lineRule="auto"/>
        <w:ind w:firstLine="480" w:firstLineChars="200"/>
        <w:outlineLvl w:val="1"/>
        <w:rPr>
          <w:rFonts w:hAnsi="宋体" w:cs="宋体"/>
          <w:color w:val="auto"/>
          <w:sz w:val="24"/>
        </w:rPr>
      </w:pPr>
      <w:bookmarkStart w:id="63" w:name="_Toc243906321"/>
      <w:bookmarkStart w:id="64" w:name="_Toc233274821"/>
      <w:bookmarkStart w:id="65" w:name="_Toc245897281"/>
      <w:bookmarkStart w:id="66" w:name="_Toc243907581"/>
      <w:r>
        <w:rPr>
          <w:rFonts w:hint="eastAsia" w:hAnsi="宋体" w:cs="宋体"/>
          <w:color w:val="auto"/>
          <w:sz w:val="24"/>
        </w:rPr>
        <w:t>11、招标文件的修改和补充</w:t>
      </w:r>
      <w:bookmarkEnd w:id="63"/>
      <w:bookmarkEnd w:id="64"/>
      <w:bookmarkEnd w:id="65"/>
      <w:bookmarkEnd w:id="66"/>
    </w:p>
    <w:p>
      <w:pPr>
        <w:pStyle w:val="13"/>
        <w:spacing w:line="360" w:lineRule="auto"/>
        <w:ind w:firstLine="480" w:firstLineChars="200"/>
        <w:rPr>
          <w:rFonts w:hAnsi="宋体" w:cs="宋体"/>
          <w:color w:val="auto"/>
          <w:sz w:val="24"/>
        </w:rPr>
      </w:pPr>
      <w:r>
        <w:rPr>
          <w:rFonts w:hint="eastAsia" w:hAnsi="宋体" w:cs="宋体"/>
          <w:color w:val="auto"/>
          <w:sz w:val="24"/>
        </w:rPr>
        <w:t>11.1澄清或者修改的内容可能影响响应文件编制的，采购人或者招标代理机构应当在投标截止时间至少15日前，以书面形式通知所有获取招标文件的潜在供应商；不足15日的，采购人或者招标代理机构应当顺延提交响应文件的截止时间。修改或补充文件将作为招标文件的组成部分，对所有供应商具有约束力。</w:t>
      </w:r>
    </w:p>
    <w:p>
      <w:pPr>
        <w:pStyle w:val="13"/>
        <w:spacing w:line="360" w:lineRule="auto"/>
        <w:ind w:firstLine="480" w:firstLineChars="200"/>
        <w:rPr>
          <w:rFonts w:hAnsi="宋体" w:cs="宋体"/>
          <w:b/>
          <w:bCs/>
          <w:color w:val="auto"/>
          <w:sz w:val="28"/>
          <w:szCs w:val="28"/>
        </w:rPr>
      </w:pPr>
      <w:r>
        <w:rPr>
          <w:rFonts w:hint="eastAsia" w:hAnsi="宋体" w:cs="宋体"/>
          <w:color w:val="auto"/>
          <w:sz w:val="24"/>
        </w:rPr>
        <w:t>11.2供应商在每次收到采购代理机构发至的书面文件后，应在收到后24小时内以书面形式并加盖供应商公章予以确认。</w:t>
      </w:r>
      <w:bookmarkStart w:id="67" w:name="_Toc243907582"/>
      <w:bookmarkStart w:id="68" w:name="_Toc233274822"/>
      <w:bookmarkStart w:id="69" w:name="_Toc246216191"/>
      <w:bookmarkStart w:id="70" w:name="_Toc243906322"/>
      <w:bookmarkStart w:id="71" w:name="_Toc154996580"/>
    </w:p>
    <w:p>
      <w:pPr>
        <w:pStyle w:val="13"/>
        <w:spacing w:line="360" w:lineRule="auto"/>
        <w:jc w:val="center"/>
        <w:outlineLvl w:val="1"/>
        <w:rPr>
          <w:rFonts w:hAnsi="宋体" w:cs="宋体"/>
          <w:b/>
          <w:bCs/>
          <w:color w:val="auto"/>
          <w:sz w:val="28"/>
          <w:szCs w:val="28"/>
        </w:rPr>
      </w:pPr>
      <w:r>
        <w:rPr>
          <w:rFonts w:hint="eastAsia" w:hAnsi="宋体" w:cs="宋体"/>
          <w:b/>
          <w:bCs/>
          <w:color w:val="auto"/>
          <w:sz w:val="28"/>
          <w:szCs w:val="28"/>
        </w:rPr>
        <w:t>三、响应文件的编写</w:t>
      </w:r>
      <w:bookmarkEnd w:id="67"/>
      <w:bookmarkEnd w:id="68"/>
      <w:bookmarkEnd w:id="69"/>
      <w:bookmarkEnd w:id="70"/>
    </w:p>
    <w:p>
      <w:pPr>
        <w:pStyle w:val="13"/>
        <w:spacing w:line="360" w:lineRule="auto"/>
        <w:ind w:firstLine="480" w:firstLineChars="200"/>
        <w:outlineLvl w:val="1"/>
        <w:rPr>
          <w:rFonts w:hAnsi="宋体" w:cs="宋体"/>
          <w:color w:val="auto"/>
          <w:sz w:val="24"/>
        </w:rPr>
      </w:pPr>
      <w:bookmarkStart w:id="72" w:name="_Toc233274823"/>
      <w:bookmarkStart w:id="73" w:name="_Toc245897283"/>
      <w:bookmarkStart w:id="74" w:name="_Toc243907583"/>
      <w:bookmarkStart w:id="75" w:name="_Toc243906323"/>
      <w:r>
        <w:rPr>
          <w:rFonts w:hint="eastAsia" w:hAnsi="宋体" w:cs="宋体"/>
          <w:color w:val="auto"/>
          <w:sz w:val="24"/>
        </w:rPr>
        <w:t>1</w:t>
      </w:r>
      <w:bookmarkEnd w:id="72"/>
      <w:r>
        <w:rPr>
          <w:rFonts w:hint="eastAsia" w:hAnsi="宋体" w:cs="宋体"/>
          <w:color w:val="auto"/>
          <w:sz w:val="24"/>
        </w:rPr>
        <w:t>2、响应文件的编写</w:t>
      </w:r>
      <w:bookmarkEnd w:id="73"/>
      <w:bookmarkEnd w:id="74"/>
      <w:bookmarkEnd w:id="75"/>
    </w:p>
    <w:p>
      <w:pPr>
        <w:spacing w:line="360" w:lineRule="auto"/>
        <w:ind w:firstLine="481"/>
        <w:rPr>
          <w:rFonts w:ascii="宋体" w:hAnsi="宋体" w:cs="宋体"/>
          <w:color w:val="auto"/>
        </w:rPr>
      </w:pPr>
      <w:r>
        <w:rPr>
          <w:rFonts w:hint="eastAsia" w:ascii="宋体" w:hAnsi="宋体" w:cs="宋体"/>
          <w:color w:val="auto"/>
          <w:sz w:val="24"/>
        </w:rPr>
        <w:t>12.1供应商必须详细阅读招标文件的章、节、条款、格式等所有内容，按招标文件的要求提交响应文件，并保证所提供的全部文件及相关资料的真实性，以使其对招标文件做出实质性响应。供应商应仔细阅读并充分理解招标文件、技术规范及标准、项目采购需求及合同条款后编制响应文件。</w:t>
      </w:r>
    </w:p>
    <w:p>
      <w:pPr>
        <w:pStyle w:val="13"/>
        <w:spacing w:line="360" w:lineRule="auto"/>
        <w:ind w:firstLine="480" w:firstLineChars="200"/>
        <w:outlineLvl w:val="1"/>
        <w:rPr>
          <w:rFonts w:hAnsi="宋体" w:cs="宋体"/>
          <w:color w:val="auto"/>
          <w:sz w:val="24"/>
        </w:rPr>
      </w:pPr>
      <w:bookmarkStart w:id="76" w:name="_Toc245897284"/>
      <w:bookmarkStart w:id="77" w:name="_Toc243907584"/>
      <w:bookmarkStart w:id="78" w:name="_Toc233274824"/>
      <w:bookmarkStart w:id="79" w:name="_Toc243906324"/>
      <w:r>
        <w:rPr>
          <w:rFonts w:hint="eastAsia" w:hAnsi="宋体" w:cs="宋体"/>
          <w:color w:val="auto"/>
          <w:sz w:val="24"/>
        </w:rPr>
        <w:t>13、响应文件的语言及计量单位</w:t>
      </w:r>
      <w:bookmarkEnd w:id="76"/>
      <w:bookmarkEnd w:id="77"/>
      <w:bookmarkEnd w:id="78"/>
      <w:bookmarkEnd w:id="79"/>
    </w:p>
    <w:p>
      <w:pPr>
        <w:pStyle w:val="13"/>
        <w:spacing w:line="360" w:lineRule="auto"/>
        <w:ind w:firstLine="480" w:firstLineChars="200"/>
        <w:rPr>
          <w:rFonts w:hAnsi="宋体" w:cs="宋体"/>
          <w:color w:val="auto"/>
          <w:sz w:val="24"/>
        </w:rPr>
      </w:pPr>
      <w:r>
        <w:rPr>
          <w:rFonts w:hint="eastAsia" w:hAnsi="宋体" w:cs="宋体"/>
          <w:color w:val="auto"/>
          <w:sz w:val="24"/>
        </w:rPr>
        <w:t>13.1 响应文件及供应商和采购人及采购代理机构就有关招标的所有文件和来往函件，应以中文书写。供应商可以提交用其他语言（原文）打印的资料，但必须翻译成中文，当原文和译文（中文）之间存有差异和/或矛盾时，以中文为准。</w:t>
      </w:r>
    </w:p>
    <w:p>
      <w:pPr>
        <w:pStyle w:val="13"/>
        <w:spacing w:line="360" w:lineRule="auto"/>
        <w:ind w:firstLine="480" w:firstLineChars="200"/>
        <w:rPr>
          <w:rFonts w:hAnsi="宋体" w:cs="宋体"/>
          <w:color w:val="auto"/>
          <w:sz w:val="24"/>
        </w:rPr>
      </w:pPr>
      <w:r>
        <w:rPr>
          <w:rFonts w:hint="eastAsia" w:hAnsi="宋体" w:cs="宋体"/>
          <w:color w:val="auto"/>
          <w:sz w:val="24"/>
        </w:rPr>
        <w:t>13.2 除在招标文件的项目采购需求中另有规定外，计量单位应使用中华人民共和国法定计量单位（国际单位制和国家选定的其它计量单位）。如供应商采用其它计量单位，需事先得到采购人的同意。</w:t>
      </w:r>
    </w:p>
    <w:p>
      <w:pPr>
        <w:pStyle w:val="13"/>
        <w:spacing w:line="360" w:lineRule="auto"/>
        <w:ind w:firstLine="480" w:firstLineChars="200"/>
        <w:rPr>
          <w:rFonts w:hAnsi="宋体" w:cs="宋体"/>
          <w:color w:val="auto"/>
          <w:sz w:val="24"/>
        </w:rPr>
      </w:pPr>
      <w:r>
        <w:rPr>
          <w:rFonts w:hint="eastAsia" w:hAnsi="宋体" w:cs="宋体"/>
          <w:color w:val="auto"/>
          <w:sz w:val="24"/>
        </w:rPr>
        <w:t>14、知识产权</w:t>
      </w:r>
    </w:p>
    <w:p>
      <w:pPr>
        <w:pStyle w:val="13"/>
        <w:spacing w:line="360" w:lineRule="auto"/>
        <w:ind w:firstLine="480" w:firstLineChars="200"/>
        <w:rPr>
          <w:rFonts w:hAnsi="宋体" w:cs="宋体"/>
          <w:color w:val="auto"/>
          <w:sz w:val="24"/>
          <w:szCs w:val="24"/>
        </w:rPr>
      </w:pPr>
      <w:r>
        <w:rPr>
          <w:rFonts w:hint="eastAsia" w:hAnsi="宋体" w:cs="宋体"/>
          <w:color w:val="auto"/>
          <w:sz w:val="24"/>
          <w:szCs w:val="24"/>
        </w:rPr>
        <w:t>14.1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13"/>
        <w:spacing w:line="360" w:lineRule="auto"/>
        <w:ind w:firstLine="480" w:firstLineChars="200"/>
        <w:rPr>
          <w:rFonts w:hAnsi="宋体" w:cs="宋体"/>
          <w:color w:val="auto"/>
          <w:sz w:val="24"/>
        </w:rPr>
      </w:pPr>
      <w:r>
        <w:rPr>
          <w:rFonts w:hint="eastAsia" w:hAnsi="宋体" w:cs="宋体"/>
          <w:color w:val="auto"/>
          <w:sz w:val="24"/>
          <w:szCs w:val="24"/>
        </w:rPr>
        <w:t>14.2 采购人享有本项目实施过程中产生的知识成果及知识产权。</w:t>
      </w:r>
    </w:p>
    <w:p>
      <w:pPr>
        <w:spacing w:line="360" w:lineRule="auto"/>
        <w:ind w:firstLine="480" w:firstLineChars="200"/>
        <w:rPr>
          <w:rFonts w:ascii="宋体" w:hAnsi="宋体" w:cs="宋体"/>
          <w:color w:val="auto"/>
          <w:sz w:val="24"/>
        </w:rPr>
      </w:pPr>
      <w:r>
        <w:rPr>
          <w:rFonts w:hint="eastAsia" w:ascii="宋体" w:hAnsi="宋体" w:cs="宋体"/>
          <w:color w:val="auto"/>
          <w:sz w:val="24"/>
        </w:rPr>
        <w:t>14.3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pPr>
        <w:spacing w:line="360" w:lineRule="auto"/>
        <w:ind w:firstLine="460" w:firstLineChars="192"/>
        <w:rPr>
          <w:rFonts w:ascii="宋体" w:hAnsi="宋体" w:cs="宋体"/>
          <w:color w:val="auto"/>
          <w:sz w:val="24"/>
        </w:rPr>
      </w:pPr>
      <w:r>
        <w:rPr>
          <w:rFonts w:hint="eastAsia" w:ascii="宋体" w:hAnsi="宋体" w:cs="宋体"/>
          <w:color w:val="auto"/>
          <w:sz w:val="24"/>
        </w:rPr>
        <w:t xml:space="preserve">14.4 供应商如采用其所不拥有的知识产权，则在其商务报价中必须包括合法获取该知识产权的相关费用。 </w:t>
      </w:r>
    </w:p>
    <w:p>
      <w:pPr>
        <w:pStyle w:val="13"/>
        <w:spacing w:line="324" w:lineRule="auto"/>
        <w:ind w:firstLine="482" w:firstLineChars="200"/>
        <w:outlineLvl w:val="1"/>
        <w:rPr>
          <w:rFonts w:hAnsi="宋体" w:cs="宋体"/>
          <w:b/>
          <w:color w:val="auto"/>
          <w:sz w:val="24"/>
        </w:rPr>
      </w:pPr>
      <w:bookmarkStart w:id="80" w:name="_Toc233274825"/>
      <w:bookmarkStart w:id="81" w:name="_Toc245897285"/>
      <w:bookmarkStart w:id="82" w:name="_Toc243907585"/>
      <w:bookmarkStart w:id="83" w:name="_Toc243906325"/>
      <w:r>
        <w:rPr>
          <w:rFonts w:hint="eastAsia" w:hAnsi="宋体" w:cs="宋体"/>
          <w:b/>
          <w:bCs/>
          <w:color w:val="auto"/>
          <w:sz w:val="24"/>
        </w:rPr>
        <w:t>15、</w:t>
      </w:r>
      <w:bookmarkEnd w:id="80"/>
      <w:bookmarkEnd w:id="81"/>
      <w:bookmarkEnd w:id="82"/>
      <w:bookmarkEnd w:id="83"/>
      <w:r>
        <w:rPr>
          <w:rFonts w:hint="eastAsia" w:hAnsi="宋体" w:cs="宋体"/>
          <w:b/>
          <w:bCs/>
          <w:color w:val="auto"/>
          <w:sz w:val="24"/>
        </w:rPr>
        <w:t>响应文件</w:t>
      </w:r>
      <w:r>
        <w:rPr>
          <w:rFonts w:hint="eastAsia" w:hAnsi="宋体" w:cs="宋体"/>
          <w:b/>
          <w:color w:val="auto"/>
          <w:sz w:val="24"/>
        </w:rPr>
        <w:t>的组成：由资格证明文件、商务资信部分、技术部分组成，装订成一册。响应文件为明标</w:t>
      </w:r>
      <w:r>
        <w:rPr>
          <w:rFonts w:hint="eastAsia" w:hAnsi="宋体" w:cs="宋体"/>
          <w:b/>
          <w:color w:val="auto"/>
          <w:sz w:val="24"/>
          <w:lang w:val="zh-CN"/>
        </w:rPr>
        <w:t>，需编制目录及页码</w:t>
      </w:r>
      <w:r>
        <w:rPr>
          <w:rFonts w:hint="eastAsia" w:hAnsi="宋体" w:cs="宋体"/>
          <w:b/>
          <w:color w:val="auto"/>
          <w:sz w:val="24"/>
        </w:rPr>
        <w:t>。</w:t>
      </w:r>
    </w:p>
    <w:p>
      <w:pPr>
        <w:pStyle w:val="13"/>
        <w:spacing w:line="324" w:lineRule="auto"/>
        <w:ind w:firstLine="482" w:firstLineChars="200"/>
        <w:outlineLvl w:val="1"/>
        <w:rPr>
          <w:rFonts w:hAnsi="宋体" w:cs="宋体"/>
          <w:b/>
          <w:color w:val="auto"/>
          <w:sz w:val="24"/>
        </w:rPr>
      </w:pPr>
      <w:r>
        <w:rPr>
          <w:rFonts w:hint="eastAsia" w:hAnsi="宋体" w:cs="宋体"/>
          <w:b/>
          <w:color w:val="auto"/>
          <w:sz w:val="24"/>
        </w:rPr>
        <w:t>各供应商应对照第三章“项目采购需求”及第六章“评标办法（综合评分法）”提供必要的证明资料，响应文件应包括以下内容（但不限于以下内容）：</w:t>
      </w:r>
    </w:p>
    <w:p>
      <w:pPr>
        <w:spacing w:line="360" w:lineRule="auto"/>
        <w:ind w:firstLine="482" w:firstLineChars="200"/>
        <w:rPr>
          <w:rFonts w:ascii="宋体" w:hAnsi="宋体" w:cs="宋体"/>
          <w:b/>
          <w:color w:val="auto"/>
          <w:sz w:val="24"/>
        </w:rPr>
      </w:pPr>
      <w:r>
        <w:rPr>
          <w:rFonts w:hint="eastAsia" w:ascii="宋体" w:hAnsi="宋体" w:cs="宋体"/>
          <w:b/>
          <w:color w:val="auto"/>
          <w:sz w:val="24"/>
        </w:rPr>
        <w:t>15.1资格证明文件</w:t>
      </w:r>
    </w:p>
    <w:p>
      <w:pPr>
        <w:spacing w:line="360" w:lineRule="auto"/>
        <w:ind w:firstLine="480" w:firstLineChars="200"/>
        <w:rPr>
          <w:rFonts w:ascii="宋体" w:hAnsi="宋体" w:cs="宋体"/>
          <w:b/>
          <w:color w:val="auto"/>
          <w:sz w:val="24"/>
        </w:rPr>
      </w:pPr>
      <w:r>
        <w:rPr>
          <w:rFonts w:hint="eastAsia" w:ascii="宋体" w:hAnsi="宋体" w:cs="宋体"/>
          <w:color w:val="auto"/>
          <w:sz w:val="24"/>
        </w:rPr>
        <w:t>供应商资格证明文件应简要客观反映企业面貌，使采购人对其有感性了解，必须如实提供，如发现失实之处将影响其中标。资格证明文件包括但不仅限于以下内容，供应商对照第六章“1、资格性审查”提供必要的证明材料：</w:t>
      </w:r>
    </w:p>
    <w:p>
      <w:pPr>
        <w:tabs>
          <w:tab w:val="left" w:pos="360"/>
          <w:tab w:val="left" w:pos="1800"/>
        </w:tabs>
        <w:spacing w:line="360" w:lineRule="auto"/>
        <w:ind w:firstLine="480" w:firstLineChars="200"/>
        <w:jc w:val="left"/>
        <w:rPr>
          <w:rFonts w:ascii="宋体" w:hAnsi="宋体" w:cs="宋体"/>
          <w:bCs/>
          <w:color w:val="auto"/>
          <w:sz w:val="24"/>
        </w:rPr>
      </w:pPr>
      <w:r>
        <w:rPr>
          <w:rFonts w:hint="eastAsia" w:ascii="宋体" w:hAnsi="宋体" w:cs="宋体"/>
          <w:color w:val="auto"/>
          <w:sz w:val="24"/>
        </w:rPr>
        <w:t>（1）</w:t>
      </w:r>
      <w:r>
        <w:rPr>
          <w:rFonts w:hint="eastAsia" w:ascii="宋体" w:hAnsi="宋体" w:cs="宋体"/>
          <w:bCs/>
          <w:color w:val="auto"/>
          <w:sz w:val="24"/>
        </w:rPr>
        <w:t>法定代表人资格证明书</w:t>
      </w:r>
      <w:r>
        <w:rPr>
          <w:rFonts w:hint="eastAsia" w:ascii="宋体" w:hAnsi="宋体" w:cs="宋体"/>
          <w:color w:val="auto"/>
          <w:sz w:val="24"/>
        </w:rPr>
        <w:t>（详见格式1）；</w:t>
      </w:r>
    </w:p>
    <w:p>
      <w:pPr>
        <w:spacing w:line="360" w:lineRule="auto"/>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bCs/>
          <w:color w:val="auto"/>
          <w:sz w:val="24"/>
        </w:rPr>
        <w:t>法定代表人授权委托书</w:t>
      </w:r>
      <w:r>
        <w:rPr>
          <w:rFonts w:hint="eastAsia" w:ascii="宋体" w:hAnsi="宋体" w:cs="宋体"/>
          <w:color w:val="auto"/>
          <w:sz w:val="24"/>
        </w:rPr>
        <w:t>（详见格式2）；</w:t>
      </w:r>
    </w:p>
    <w:p>
      <w:pPr>
        <w:spacing w:line="360" w:lineRule="auto"/>
        <w:ind w:firstLine="480" w:firstLineChars="200"/>
        <w:rPr>
          <w:rFonts w:ascii="宋体" w:hAnsi="宋体" w:cs="宋体"/>
          <w:color w:val="auto"/>
          <w:sz w:val="24"/>
        </w:rPr>
      </w:pPr>
      <w:r>
        <w:rPr>
          <w:rFonts w:hint="eastAsia" w:ascii="宋体" w:hAnsi="宋体" w:cs="宋体"/>
          <w:color w:val="auto"/>
          <w:sz w:val="24"/>
        </w:rPr>
        <w:t>（3）有效期内的企业营业执照（复印件）；</w:t>
      </w:r>
    </w:p>
    <w:p>
      <w:pPr>
        <w:spacing w:line="360" w:lineRule="auto"/>
        <w:ind w:firstLine="480" w:firstLineChars="200"/>
        <w:rPr>
          <w:rFonts w:ascii="宋体" w:hAnsi="宋体" w:cs="宋体"/>
          <w:color w:val="auto"/>
          <w:sz w:val="24"/>
        </w:rPr>
      </w:pPr>
      <w:r>
        <w:rPr>
          <w:rFonts w:hint="eastAsia" w:ascii="宋体" w:hAnsi="宋体" w:cs="宋体"/>
          <w:color w:val="auto"/>
          <w:sz w:val="24"/>
        </w:rPr>
        <w:t>（4）有效期内的</w:t>
      </w:r>
      <w:r>
        <w:rPr>
          <w:rFonts w:hint="eastAsia" w:ascii="宋体" w:hAnsi="宋体" w:cs="宋体"/>
          <w:color w:val="auto"/>
          <w:kern w:val="0"/>
          <w:sz w:val="24"/>
        </w:rPr>
        <w:t>保安服务许可证</w:t>
      </w:r>
      <w:r>
        <w:rPr>
          <w:rFonts w:hint="eastAsia" w:ascii="宋体" w:hAnsi="宋体" w:cs="宋体"/>
          <w:color w:val="auto"/>
          <w:sz w:val="24"/>
        </w:rPr>
        <w:t>（复印件）；</w:t>
      </w:r>
    </w:p>
    <w:p>
      <w:pPr>
        <w:spacing w:line="360" w:lineRule="auto"/>
        <w:ind w:firstLine="480" w:firstLineChars="200"/>
        <w:rPr>
          <w:rFonts w:ascii="宋体" w:hAnsi="宋体" w:cs="宋体"/>
          <w:color w:val="auto"/>
        </w:rPr>
      </w:pPr>
      <w:r>
        <w:rPr>
          <w:rFonts w:hint="eastAsia" w:ascii="宋体" w:hAnsi="宋体" w:cs="宋体"/>
          <w:color w:val="auto"/>
          <w:sz w:val="24"/>
        </w:rPr>
        <w:t>（5）</w:t>
      </w:r>
      <w:r>
        <w:rPr>
          <w:rFonts w:hint="eastAsia" w:ascii="宋体" w:hAnsi="宋体" w:cs="宋体"/>
          <w:bCs/>
          <w:color w:val="auto"/>
          <w:sz w:val="24"/>
        </w:rPr>
        <w:t>供应商基本情况表</w:t>
      </w:r>
      <w:r>
        <w:rPr>
          <w:rFonts w:hint="eastAsia" w:ascii="宋体" w:hAnsi="宋体" w:cs="宋体"/>
          <w:color w:val="auto"/>
          <w:sz w:val="24"/>
        </w:rPr>
        <w:t>（详见格式3）；</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（6）项目负责人简历表</w:t>
      </w:r>
      <w:r>
        <w:rPr>
          <w:rFonts w:hint="eastAsia" w:ascii="宋体" w:hAnsi="宋体" w:cs="宋体"/>
          <w:bCs/>
          <w:color w:val="auto"/>
          <w:sz w:val="24"/>
        </w:rPr>
        <w:t>（详见文件格式4）</w:t>
      </w:r>
      <w:r>
        <w:rPr>
          <w:rFonts w:hint="eastAsia" w:ascii="宋体" w:hAnsi="宋体" w:cs="宋体"/>
          <w:color w:val="auto"/>
          <w:sz w:val="24"/>
        </w:rPr>
        <w:t>；</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（7）主要管理人员表</w:t>
      </w:r>
      <w:r>
        <w:rPr>
          <w:rFonts w:hint="eastAsia" w:ascii="宋体" w:hAnsi="宋体" w:cs="宋体"/>
          <w:bCs/>
          <w:color w:val="auto"/>
          <w:sz w:val="24"/>
        </w:rPr>
        <w:t>（详见文件格式4-1）</w:t>
      </w:r>
      <w:r>
        <w:rPr>
          <w:rFonts w:hint="eastAsia" w:ascii="宋体" w:hAnsi="宋体" w:cs="宋体"/>
          <w:color w:val="auto"/>
          <w:sz w:val="24"/>
        </w:rPr>
        <w:t>；</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（8）</w:t>
      </w:r>
      <w:r>
        <w:rPr>
          <w:rFonts w:hint="eastAsia" w:ascii="宋体" w:hAnsi="宋体" w:cs="宋体"/>
          <w:bCs/>
          <w:color w:val="auto"/>
          <w:sz w:val="24"/>
        </w:rPr>
        <w:t>资格性/符合性自查表（详见文件格式5）；</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15.2 商务资信部分主要包括但不限于以下内容：</w:t>
      </w:r>
    </w:p>
    <w:p>
      <w:pPr>
        <w:numPr>
          <w:ilvl w:val="0"/>
          <w:numId w:val="1"/>
        </w:numPr>
        <w:tabs>
          <w:tab w:val="left" w:pos="360"/>
          <w:tab w:val="left" w:pos="1800"/>
        </w:tabs>
        <w:spacing w:line="360" w:lineRule="auto"/>
        <w:ind w:firstLine="480"/>
        <w:jc w:val="left"/>
        <w:rPr>
          <w:rFonts w:ascii="宋体" w:hAnsi="宋体" w:cs="宋体"/>
          <w:color w:val="auto"/>
          <w:sz w:val="24"/>
        </w:rPr>
      </w:pPr>
      <w:r>
        <w:rPr>
          <w:rFonts w:hint="eastAsia" w:ascii="宋体" w:hAnsi="宋体" w:cs="宋体"/>
          <w:color w:val="auto"/>
          <w:sz w:val="24"/>
        </w:rPr>
        <w:t>投标函（详见格式6）；</w:t>
      </w:r>
    </w:p>
    <w:p>
      <w:pPr>
        <w:numPr>
          <w:ilvl w:val="0"/>
          <w:numId w:val="1"/>
        </w:numPr>
        <w:tabs>
          <w:tab w:val="left" w:pos="360"/>
          <w:tab w:val="left" w:pos="1800"/>
        </w:tabs>
        <w:spacing w:line="360" w:lineRule="auto"/>
        <w:ind w:firstLine="480"/>
        <w:jc w:val="left"/>
        <w:rPr>
          <w:rFonts w:ascii="宋体" w:hAnsi="宋体" w:cs="宋体"/>
          <w:color w:val="auto"/>
          <w:sz w:val="24"/>
        </w:rPr>
      </w:pPr>
      <w:r>
        <w:rPr>
          <w:rFonts w:hint="eastAsia" w:ascii="宋体" w:hAnsi="宋体" w:cs="宋体"/>
          <w:color w:val="auto"/>
          <w:sz w:val="24"/>
        </w:rPr>
        <w:t>开标一览表（详见格式7）；</w:t>
      </w:r>
    </w:p>
    <w:p>
      <w:pPr>
        <w:pStyle w:val="6"/>
        <w:numPr>
          <w:ilvl w:val="0"/>
          <w:numId w:val="1"/>
        </w:numPr>
        <w:tabs>
          <w:tab w:val="left" w:pos="0"/>
        </w:tabs>
        <w:overflowPunct w:val="0"/>
        <w:spacing w:line="360" w:lineRule="auto"/>
        <w:ind w:firstLine="480"/>
        <w:jc w:val="both"/>
        <w:rPr>
          <w:rFonts w:ascii="宋体" w:hAnsi="宋体" w:cs="宋体"/>
          <w:color w:val="auto"/>
          <w:sz w:val="24"/>
        </w:rPr>
      </w:pPr>
      <w:r>
        <w:rPr>
          <w:rFonts w:hint="eastAsia" w:ascii="宋体" w:hAnsi="宋体" w:cs="宋体"/>
          <w:color w:val="auto"/>
          <w:sz w:val="24"/>
        </w:rPr>
        <w:t>商务条款偏离表（详见格式8）；</w:t>
      </w:r>
    </w:p>
    <w:p>
      <w:pPr>
        <w:pStyle w:val="6"/>
        <w:numPr>
          <w:ilvl w:val="0"/>
          <w:numId w:val="1"/>
        </w:numPr>
        <w:tabs>
          <w:tab w:val="left" w:pos="0"/>
        </w:tabs>
        <w:overflowPunct w:val="0"/>
        <w:spacing w:line="360" w:lineRule="auto"/>
        <w:ind w:firstLine="480"/>
        <w:jc w:val="both"/>
        <w:rPr>
          <w:rFonts w:ascii="宋体" w:hAnsi="宋体" w:cs="宋体"/>
          <w:color w:val="auto"/>
          <w:sz w:val="24"/>
        </w:rPr>
      </w:pPr>
      <w:r>
        <w:rPr>
          <w:rFonts w:hint="eastAsia" w:ascii="宋体" w:hAnsi="宋体" w:cs="宋体"/>
          <w:color w:val="auto"/>
          <w:sz w:val="24"/>
        </w:rPr>
        <w:t>中小企业声明函（详见格式9）；</w:t>
      </w:r>
    </w:p>
    <w:p>
      <w:pPr>
        <w:pStyle w:val="6"/>
        <w:numPr>
          <w:ilvl w:val="0"/>
          <w:numId w:val="1"/>
        </w:numPr>
        <w:tabs>
          <w:tab w:val="left" w:pos="0"/>
        </w:tabs>
        <w:overflowPunct w:val="0"/>
        <w:spacing w:line="360" w:lineRule="auto"/>
        <w:ind w:firstLine="480"/>
        <w:jc w:val="both"/>
        <w:rPr>
          <w:rFonts w:ascii="宋体" w:hAnsi="宋体" w:cs="宋体"/>
          <w:color w:val="auto"/>
          <w:sz w:val="24"/>
        </w:rPr>
      </w:pPr>
      <w:r>
        <w:rPr>
          <w:rFonts w:hint="eastAsia" w:ascii="宋体" w:hAnsi="宋体" w:cs="宋体"/>
          <w:color w:val="auto"/>
          <w:sz w:val="24"/>
        </w:rPr>
        <w:t>提供上一年度的财务报表/财务报告复印件（包括资产负债表、损益表、利润表、现金流量表及财务状况说明书，新成立的公司提供情况说明）；</w:t>
      </w:r>
    </w:p>
    <w:p>
      <w:pPr>
        <w:pStyle w:val="6"/>
        <w:numPr>
          <w:ilvl w:val="0"/>
          <w:numId w:val="1"/>
        </w:numPr>
        <w:tabs>
          <w:tab w:val="left" w:pos="0"/>
        </w:tabs>
        <w:overflowPunct w:val="0"/>
        <w:spacing w:line="360" w:lineRule="auto"/>
        <w:ind w:firstLine="480"/>
        <w:jc w:val="both"/>
        <w:rPr>
          <w:rFonts w:ascii="宋体" w:hAnsi="宋体" w:cs="宋体"/>
          <w:color w:val="auto"/>
          <w:sz w:val="24"/>
        </w:rPr>
      </w:pPr>
      <w:r>
        <w:rPr>
          <w:rFonts w:hint="eastAsia" w:ascii="宋体" w:hAnsi="宋体" w:cs="宋体"/>
          <w:color w:val="auto"/>
          <w:sz w:val="24"/>
        </w:rPr>
        <w:t>近三个月依法缴纳税收和社会保障资金的良好记录的证明材料（附复印件）；</w:t>
      </w:r>
    </w:p>
    <w:p>
      <w:pPr>
        <w:pStyle w:val="6"/>
        <w:numPr>
          <w:ilvl w:val="0"/>
          <w:numId w:val="1"/>
        </w:numPr>
        <w:tabs>
          <w:tab w:val="left" w:pos="0"/>
        </w:tabs>
        <w:overflowPunct w:val="0"/>
        <w:spacing w:line="360" w:lineRule="auto"/>
        <w:ind w:firstLine="480"/>
        <w:jc w:val="both"/>
        <w:rPr>
          <w:rFonts w:ascii="宋体" w:hAnsi="宋体" w:cs="宋体"/>
          <w:color w:val="auto"/>
          <w:sz w:val="24"/>
        </w:rPr>
      </w:pPr>
      <w:r>
        <w:rPr>
          <w:rFonts w:hint="eastAsia" w:ascii="宋体" w:hAnsi="宋体" w:cs="宋体"/>
          <w:bCs/>
          <w:color w:val="auto"/>
          <w:sz w:val="24"/>
        </w:rPr>
        <w:t>近三年（</w:t>
      </w:r>
      <w:r>
        <w:rPr>
          <w:rFonts w:hint="eastAsia" w:ascii="宋体" w:hAnsi="宋体" w:cs="宋体"/>
          <w:color w:val="auto"/>
          <w:sz w:val="24"/>
        </w:rPr>
        <w:t>2018年1月1日</w:t>
      </w:r>
      <w:r>
        <w:rPr>
          <w:rFonts w:hint="eastAsia" w:ascii="宋体" w:hAnsi="宋体" w:cs="宋体"/>
          <w:bCs/>
          <w:color w:val="auto"/>
          <w:sz w:val="24"/>
        </w:rPr>
        <w:t>）</w:t>
      </w:r>
      <w:r>
        <w:rPr>
          <w:rFonts w:hint="eastAsia" w:ascii="宋体" w:hAnsi="宋体" w:cs="宋体"/>
          <w:color w:val="auto"/>
          <w:sz w:val="24"/>
        </w:rPr>
        <w:t>至今类似项目业绩表，并附业绩证明资料（合同或成交通知书复印件）（详见格式10）；</w:t>
      </w:r>
    </w:p>
    <w:p>
      <w:pPr>
        <w:spacing w:line="360" w:lineRule="auto"/>
        <w:ind w:firstLine="482" w:firstLineChars="200"/>
        <w:rPr>
          <w:rFonts w:ascii="宋体" w:hAnsi="宋体" w:cs="宋体"/>
          <w:b/>
          <w:color w:val="auto"/>
          <w:sz w:val="24"/>
        </w:rPr>
      </w:pPr>
      <w:r>
        <w:rPr>
          <w:rFonts w:hint="eastAsia" w:ascii="宋体" w:hAnsi="宋体" w:cs="宋体"/>
          <w:b/>
          <w:color w:val="auto"/>
          <w:sz w:val="24"/>
        </w:rPr>
        <w:t>15.3</w:t>
      </w:r>
      <w:r>
        <w:rPr>
          <w:rFonts w:hint="eastAsia" w:ascii="宋体" w:hAnsi="宋体" w:cs="宋体"/>
          <w:b/>
          <w:bCs/>
          <w:color w:val="auto"/>
          <w:kern w:val="0"/>
          <w:sz w:val="24"/>
        </w:rPr>
        <w:t>技术部分主要包括但不限于以下内容</w:t>
      </w:r>
      <w:r>
        <w:rPr>
          <w:rFonts w:hint="eastAsia" w:ascii="宋体" w:hAnsi="宋体" w:cs="宋体"/>
          <w:b/>
          <w:bCs/>
          <w:color w:val="auto"/>
          <w:sz w:val="24"/>
        </w:rPr>
        <w:t>（分标段编制）</w:t>
      </w:r>
      <w:r>
        <w:rPr>
          <w:rFonts w:hint="eastAsia" w:ascii="宋体" w:hAnsi="宋体" w:cs="宋体"/>
          <w:b/>
          <w:bCs/>
          <w:color w:val="auto"/>
          <w:kern w:val="0"/>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（1）服务方案；</w:t>
      </w:r>
    </w:p>
    <w:p>
      <w:pPr>
        <w:spacing w:line="360" w:lineRule="auto"/>
        <w:ind w:firstLine="480" w:firstLineChars="200"/>
        <w:rPr>
          <w:rFonts w:ascii="宋体" w:hAnsi="宋体" w:cs="宋体"/>
          <w:color w:val="auto"/>
          <w:sz w:val="24"/>
        </w:rPr>
      </w:pPr>
      <w:r>
        <w:rPr>
          <w:rFonts w:hint="eastAsia" w:ascii="宋体" w:hAnsi="宋体" w:cs="宋体"/>
          <w:color w:val="auto"/>
          <w:sz w:val="24"/>
        </w:rPr>
        <w:t>（2）实施计划及保证措施；</w:t>
      </w:r>
    </w:p>
    <w:p>
      <w:pPr>
        <w:spacing w:line="360" w:lineRule="auto"/>
        <w:ind w:firstLine="480" w:firstLineChars="200"/>
        <w:rPr>
          <w:rFonts w:ascii="宋体" w:hAnsi="宋体" w:cs="宋体"/>
          <w:color w:val="auto"/>
          <w:sz w:val="24"/>
        </w:rPr>
      </w:pPr>
      <w:r>
        <w:rPr>
          <w:rFonts w:hint="eastAsia" w:ascii="宋体" w:hAnsi="宋体" w:cs="宋体"/>
          <w:color w:val="auto"/>
          <w:sz w:val="24"/>
        </w:rPr>
        <w:t>（3）优惠服务及实质性的承诺；</w:t>
      </w:r>
    </w:p>
    <w:p>
      <w:pPr>
        <w:spacing w:line="360" w:lineRule="auto"/>
        <w:ind w:firstLine="481"/>
        <w:rPr>
          <w:rFonts w:ascii="宋体" w:hAnsi="宋体" w:cs="宋体"/>
          <w:color w:val="auto"/>
          <w:sz w:val="24"/>
        </w:rPr>
      </w:pPr>
      <w:r>
        <w:rPr>
          <w:rFonts w:hint="eastAsia" w:ascii="宋体" w:hAnsi="宋体" w:cs="宋体"/>
          <w:color w:val="auto"/>
          <w:sz w:val="24"/>
        </w:rPr>
        <w:t>（4）技术条款偏离表（详见格式11）；</w:t>
      </w:r>
    </w:p>
    <w:p>
      <w:pPr>
        <w:spacing w:line="360" w:lineRule="auto"/>
        <w:ind w:firstLine="480" w:firstLineChars="200"/>
        <w:rPr>
          <w:rFonts w:ascii="宋体" w:hAnsi="宋体" w:cs="宋体"/>
          <w:color w:val="auto"/>
          <w:sz w:val="24"/>
        </w:rPr>
      </w:pPr>
      <w:r>
        <w:rPr>
          <w:rFonts w:hint="eastAsia" w:ascii="宋体" w:hAnsi="宋体" w:cs="宋体"/>
          <w:color w:val="auto"/>
          <w:sz w:val="24"/>
        </w:rPr>
        <w:t>（5）采购需求及评分所需的其它资料；</w:t>
      </w:r>
    </w:p>
    <w:p>
      <w:pPr>
        <w:pStyle w:val="13"/>
        <w:spacing w:line="360" w:lineRule="auto"/>
        <w:ind w:firstLine="480" w:firstLineChars="200"/>
        <w:rPr>
          <w:rFonts w:hAnsi="宋体" w:cs="宋体"/>
          <w:color w:val="auto"/>
          <w:sz w:val="24"/>
        </w:rPr>
      </w:pPr>
      <w:r>
        <w:rPr>
          <w:rFonts w:hint="eastAsia" w:hAnsi="宋体" w:cs="宋体"/>
          <w:color w:val="auto"/>
          <w:sz w:val="24"/>
        </w:rPr>
        <w:t>（8）招标文件要求提供的其它材料以及供应商认为需要提交的材料。</w:t>
      </w:r>
    </w:p>
    <w:p>
      <w:pPr>
        <w:pStyle w:val="13"/>
        <w:spacing w:line="360" w:lineRule="auto"/>
        <w:ind w:firstLine="482" w:firstLineChars="200"/>
        <w:rPr>
          <w:rFonts w:hAnsi="宋体" w:cs="宋体"/>
          <w:b/>
          <w:color w:val="auto"/>
          <w:sz w:val="24"/>
        </w:rPr>
      </w:pPr>
      <w:r>
        <w:rPr>
          <w:rFonts w:hint="eastAsia" w:hAnsi="宋体" w:cs="宋体"/>
          <w:b/>
          <w:color w:val="auto"/>
          <w:sz w:val="24"/>
        </w:rPr>
        <w:t>特别说明：①上述各种证件、证书复印件须加盖供应商公章。</w:t>
      </w:r>
    </w:p>
    <w:p>
      <w:pPr>
        <w:pStyle w:val="13"/>
        <w:spacing w:line="360" w:lineRule="auto"/>
        <w:ind w:firstLine="482" w:firstLineChars="200"/>
        <w:rPr>
          <w:rFonts w:hAnsi="宋体" w:cs="宋体"/>
          <w:color w:val="auto"/>
          <w:sz w:val="24"/>
        </w:rPr>
      </w:pPr>
      <w:r>
        <w:rPr>
          <w:rFonts w:hint="eastAsia" w:hAnsi="宋体" w:cs="宋体"/>
          <w:b/>
          <w:color w:val="auto"/>
          <w:sz w:val="24"/>
        </w:rPr>
        <w:t>② 供应商应如实提供投标资料，并保证真实可靠，不得弄虚作假。如供应商隐瞒事实真相、弄虚作假，一经查实，取消该供应商的投标资格，若中标的，取消其中标资格。</w:t>
      </w:r>
    </w:p>
    <w:p>
      <w:pPr>
        <w:pStyle w:val="13"/>
        <w:spacing w:line="360" w:lineRule="auto"/>
        <w:ind w:firstLine="480" w:firstLineChars="200"/>
        <w:outlineLvl w:val="1"/>
        <w:rPr>
          <w:rFonts w:hAnsi="宋体" w:cs="宋体"/>
          <w:color w:val="auto"/>
          <w:sz w:val="24"/>
        </w:rPr>
      </w:pPr>
      <w:bookmarkStart w:id="84" w:name="_Toc245897286"/>
      <w:bookmarkStart w:id="85" w:name="_Toc233274827"/>
      <w:bookmarkStart w:id="86" w:name="_Toc246216196"/>
      <w:bookmarkStart w:id="87" w:name="_Toc243907587"/>
      <w:bookmarkStart w:id="88" w:name="_Toc243906326"/>
      <w:r>
        <w:rPr>
          <w:rFonts w:hint="eastAsia" w:hAnsi="宋体" w:cs="宋体"/>
          <w:color w:val="auto"/>
          <w:sz w:val="24"/>
        </w:rPr>
        <w:t>16、响应文件格式</w:t>
      </w:r>
      <w:bookmarkEnd w:id="84"/>
    </w:p>
    <w:p>
      <w:pPr>
        <w:pStyle w:val="13"/>
        <w:spacing w:line="360" w:lineRule="auto"/>
        <w:ind w:firstLine="480" w:firstLineChars="200"/>
        <w:rPr>
          <w:rFonts w:hAnsi="宋体" w:cs="宋体"/>
          <w:color w:val="auto"/>
          <w:sz w:val="24"/>
        </w:rPr>
      </w:pPr>
      <w:r>
        <w:rPr>
          <w:rFonts w:hint="eastAsia" w:hAnsi="宋体" w:cs="宋体"/>
          <w:color w:val="auto"/>
          <w:sz w:val="24"/>
        </w:rPr>
        <w:t>16.1供应商应按招标文件提供的格式完整地填写所提供的合同项目、服务等内容。</w:t>
      </w:r>
    </w:p>
    <w:p>
      <w:pPr>
        <w:pStyle w:val="13"/>
        <w:spacing w:line="360" w:lineRule="auto"/>
        <w:ind w:firstLine="480" w:firstLineChars="200"/>
        <w:outlineLvl w:val="1"/>
        <w:rPr>
          <w:rFonts w:hAnsi="宋体" w:cs="宋体"/>
          <w:color w:val="auto"/>
          <w:sz w:val="24"/>
          <w:szCs w:val="24"/>
        </w:rPr>
      </w:pPr>
      <w:r>
        <w:rPr>
          <w:rFonts w:hint="eastAsia" w:hAnsi="宋体" w:cs="宋体"/>
          <w:color w:val="auto"/>
          <w:sz w:val="24"/>
          <w:szCs w:val="24"/>
        </w:rPr>
        <w:t>17、商务报价</w:t>
      </w:r>
    </w:p>
    <w:p>
      <w:pPr>
        <w:spacing w:line="360" w:lineRule="auto"/>
        <w:ind w:firstLine="480" w:firstLineChars="200"/>
        <w:rPr>
          <w:rFonts w:ascii="宋体" w:hAnsi="宋体" w:cs="宋体"/>
          <w:color w:val="auto"/>
          <w:sz w:val="24"/>
        </w:rPr>
      </w:pPr>
      <w:r>
        <w:rPr>
          <w:rFonts w:hint="eastAsia" w:ascii="宋体" w:hAnsi="宋体" w:cs="宋体"/>
          <w:color w:val="auto"/>
          <w:sz w:val="24"/>
        </w:rPr>
        <w:t>17.1供应商的商务报价应是为采购人提供全部服务，并保证技术规范及标准、项目采购需求及合同文本、本招标文件约定的所有费用的总和。</w:t>
      </w:r>
    </w:p>
    <w:p>
      <w:pPr>
        <w:spacing w:line="360" w:lineRule="auto"/>
        <w:ind w:firstLine="480" w:firstLineChars="200"/>
        <w:rPr>
          <w:rFonts w:ascii="宋体" w:hAnsi="宋体" w:cs="宋体"/>
          <w:color w:val="auto"/>
          <w:sz w:val="24"/>
        </w:rPr>
      </w:pPr>
      <w:r>
        <w:rPr>
          <w:rFonts w:hint="eastAsia" w:ascii="宋体" w:hAnsi="宋体" w:cs="宋体"/>
          <w:color w:val="auto"/>
          <w:sz w:val="24"/>
        </w:rPr>
        <w:t>任何因供应商忽视或误解采购范围、技术规范及标准、项目采购需求及合同文本和项目现场情况，若中标，采购人将不予批准由此而产生的索赔或服务期限延长申请。</w:t>
      </w:r>
    </w:p>
    <w:p>
      <w:pPr>
        <w:spacing w:line="360" w:lineRule="auto"/>
        <w:ind w:firstLine="482" w:firstLineChars="200"/>
        <w:rPr>
          <w:rFonts w:ascii="宋体" w:hAnsi="宋体" w:cs="宋体"/>
          <w:b/>
          <w:color w:val="auto"/>
          <w:sz w:val="24"/>
        </w:rPr>
      </w:pPr>
      <w:r>
        <w:rPr>
          <w:rFonts w:hint="eastAsia" w:ascii="宋体" w:hAnsi="宋体" w:cs="宋体"/>
          <w:b/>
          <w:color w:val="auto"/>
          <w:sz w:val="24"/>
        </w:rPr>
        <w:t>商务报价中不得包含技术规范及标准、项目采购需求</w:t>
      </w:r>
      <w:r>
        <w:rPr>
          <w:rFonts w:hint="eastAsia" w:ascii="宋体" w:hAnsi="宋体" w:cs="宋体"/>
          <w:b/>
          <w:bCs/>
          <w:color w:val="auto"/>
          <w:sz w:val="24"/>
        </w:rPr>
        <w:t>及合同文本</w:t>
      </w:r>
      <w:r>
        <w:rPr>
          <w:rFonts w:hint="eastAsia" w:ascii="宋体" w:hAnsi="宋体" w:cs="宋体"/>
          <w:b/>
          <w:color w:val="auto"/>
          <w:sz w:val="24"/>
        </w:rPr>
        <w:t>、本招标文件要求以外的其他内容。</w:t>
      </w:r>
      <w:bookmarkEnd w:id="85"/>
      <w:bookmarkEnd w:id="86"/>
      <w:bookmarkEnd w:id="87"/>
      <w:bookmarkEnd w:id="88"/>
    </w:p>
    <w:p>
      <w:pPr>
        <w:spacing w:line="360" w:lineRule="auto"/>
        <w:ind w:firstLine="480" w:firstLineChars="200"/>
        <w:rPr>
          <w:rFonts w:ascii="宋体" w:hAnsi="宋体" w:cs="宋体"/>
          <w:color w:val="auto"/>
          <w:sz w:val="24"/>
        </w:rPr>
      </w:pPr>
      <w:r>
        <w:rPr>
          <w:rFonts w:hint="eastAsia" w:ascii="宋体" w:hAnsi="宋体" w:cs="宋体"/>
          <w:color w:val="auto"/>
          <w:sz w:val="24"/>
        </w:rPr>
        <w:t>17.2商务报价总价应包括的内容和计价因素</w:t>
      </w:r>
    </w:p>
    <w:p>
      <w:pPr>
        <w:spacing w:line="360" w:lineRule="auto"/>
        <w:ind w:firstLine="482"/>
        <w:jc w:val="left"/>
        <w:rPr>
          <w:rFonts w:ascii="宋体" w:hAnsi="宋体" w:cs="宋体"/>
          <w:b/>
          <w:bCs/>
          <w:color w:val="auto"/>
          <w:sz w:val="24"/>
        </w:rPr>
      </w:pPr>
      <w:r>
        <w:rPr>
          <w:rFonts w:hint="eastAsia" w:ascii="宋体" w:hAnsi="宋体" w:cs="宋体"/>
          <w:b/>
          <w:bCs/>
          <w:color w:val="auto"/>
          <w:sz w:val="24"/>
        </w:rPr>
        <w:t>（1）完成</w:t>
      </w:r>
      <w:r>
        <w:rPr>
          <w:rFonts w:hint="eastAsia" w:hAnsi="宋体" w:cs="宋体"/>
          <w:b/>
          <w:bCs/>
          <w:color w:val="auto"/>
          <w:sz w:val="24"/>
        </w:rPr>
        <w:t>克拉玛依市克拉玛依市教育局及直属学校安保服务项目</w:t>
      </w:r>
      <w:r>
        <w:rPr>
          <w:rFonts w:hint="eastAsia" w:ascii="宋体" w:hAnsi="宋体" w:cs="宋体"/>
          <w:b/>
          <w:bCs/>
          <w:color w:val="auto"/>
          <w:sz w:val="24"/>
        </w:rPr>
        <w:t>的全部工作内容以及项目采购需求及合同文本、本招标文件约定的全部内容。</w:t>
      </w:r>
    </w:p>
    <w:p>
      <w:pPr>
        <w:spacing w:line="360" w:lineRule="auto"/>
        <w:ind w:firstLine="482"/>
        <w:jc w:val="left"/>
        <w:rPr>
          <w:rFonts w:ascii="宋体" w:hAnsi="宋体" w:cs="宋体"/>
          <w:b/>
          <w:bCs/>
          <w:color w:val="auto"/>
          <w:sz w:val="24"/>
        </w:rPr>
      </w:pPr>
      <w:r>
        <w:rPr>
          <w:rFonts w:hint="eastAsia" w:ascii="宋体" w:hAnsi="宋体" w:cs="宋体"/>
          <w:b/>
          <w:bCs/>
          <w:color w:val="auto"/>
          <w:sz w:val="24"/>
        </w:rPr>
        <w:t>（2）如果投标方在中标并签署合同后，服务期限内出现的任何遗漏，均由中标方负责，采购方将不再支付任何费用。</w:t>
      </w:r>
    </w:p>
    <w:p>
      <w:pPr>
        <w:spacing w:line="360" w:lineRule="auto"/>
        <w:ind w:firstLine="482"/>
        <w:jc w:val="left"/>
        <w:rPr>
          <w:rFonts w:ascii="宋体" w:hAnsi="宋体" w:cs="宋体"/>
          <w:b/>
          <w:bCs/>
          <w:color w:val="auto"/>
          <w:sz w:val="24"/>
        </w:rPr>
      </w:pPr>
      <w:r>
        <w:rPr>
          <w:rFonts w:hint="eastAsia" w:ascii="宋体" w:hAnsi="宋体" w:cs="宋体"/>
          <w:b/>
          <w:bCs/>
          <w:color w:val="auto"/>
          <w:sz w:val="24"/>
        </w:rPr>
        <w:t xml:space="preserve">（3）投标报价应包含完成本项目所需的人力成本、设备成本、利润、税金、交通及其他相关费用等，采购人将不予支付除招标文件及规划合同约定的由供应商承担的风险因素之外的任何补偿。 </w:t>
      </w:r>
    </w:p>
    <w:p>
      <w:pPr>
        <w:pStyle w:val="13"/>
        <w:spacing w:line="360" w:lineRule="auto"/>
        <w:ind w:firstLine="480" w:firstLineChars="200"/>
        <w:outlineLvl w:val="1"/>
        <w:rPr>
          <w:rFonts w:hAnsi="宋体" w:cs="宋体"/>
          <w:color w:val="auto"/>
          <w:sz w:val="24"/>
        </w:rPr>
      </w:pPr>
      <w:bookmarkStart w:id="89" w:name="_Toc245897288"/>
      <w:r>
        <w:rPr>
          <w:rFonts w:hint="eastAsia" w:hAnsi="宋体" w:cs="宋体"/>
          <w:color w:val="auto"/>
          <w:sz w:val="24"/>
        </w:rPr>
        <w:t>18、商务报价货币</w:t>
      </w:r>
      <w:bookmarkEnd w:id="89"/>
    </w:p>
    <w:p>
      <w:pPr>
        <w:pStyle w:val="13"/>
        <w:spacing w:line="360" w:lineRule="auto"/>
        <w:ind w:firstLine="480" w:firstLineChars="200"/>
        <w:rPr>
          <w:rFonts w:hAnsi="宋体" w:cs="宋体"/>
          <w:color w:val="auto"/>
          <w:sz w:val="24"/>
          <w:szCs w:val="24"/>
        </w:rPr>
      </w:pPr>
      <w:r>
        <w:rPr>
          <w:rFonts w:hint="eastAsia" w:hAnsi="宋体" w:cs="宋体"/>
          <w:color w:val="auto"/>
          <w:sz w:val="24"/>
          <w:szCs w:val="24"/>
        </w:rPr>
        <w:t>18.1商务报价一览表和响应文件中的所有报价一律使用人民币（RMB）填报。</w:t>
      </w:r>
    </w:p>
    <w:p>
      <w:pPr>
        <w:pStyle w:val="13"/>
        <w:spacing w:line="360" w:lineRule="auto"/>
        <w:ind w:firstLine="480" w:firstLineChars="200"/>
        <w:outlineLvl w:val="1"/>
        <w:rPr>
          <w:rFonts w:hAnsi="宋体" w:cs="宋体"/>
          <w:color w:val="auto"/>
          <w:sz w:val="24"/>
        </w:rPr>
      </w:pPr>
      <w:bookmarkStart w:id="90" w:name="_Toc243907589"/>
      <w:bookmarkStart w:id="91" w:name="_Toc245897289"/>
      <w:bookmarkStart w:id="92" w:name="_Toc243906328"/>
      <w:bookmarkStart w:id="93" w:name="_Toc233274829"/>
      <w:r>
        <w:rPr>
          <w:rFonts w:hint="eastAsia" w:hAnsi="宋体" w:cs="宋体"/>
          <w:color w:val="auto"/>
          <w:sz w:val="24"/>
        </w:rPr>
        <w:t>19、供应商资格证明文件</w:t>
      </w:r>
      <w:bookmarkEnd w:id="90"/>
      <w:bookmarkEnd w:id="91"/>
      <w:bookmarkEnd w:id="92"/>
      <w:bookmarkEnd w:id="93"/>
    </w:p>
    <w:p>
      <w:pPr>
        <w:pStyle w:val="13"/>
        <w:spacing w:line="360" w:lineRule="auto"/>
        <w:ind w:firstLine="480" w:firstLineChars="200"/>
        <w:rPr>
          <w:rFonts w:hAnsi="宋体" w:cs="宋体"/>
          <w:color w:val="auto"/>
          <w:sz w:val="24"/>
        </w:rPr>
      </w:pPr>
      <w:r>
        <w:rPr>
          <w:rFonts w:hint="eastAsia" w:hAnsi="宋体" w:cs="宋体"/>
          <w:color w:val="auto"/>
          <w:sz w:val="24"/>
        </w:rPr>
        <w:t xml:space="preserve">19.1 </w:t>
      </w:r>
      <w:r>
        <w:rPr>
          <w:rFonts w:hint="eastAsia" w:hAnsi="宋体" w:cs="宋体"/>
          <w:color w:val="auto"/>
          <w:sz w:val="24"/>
          <w:szCs w:val="24"/>
        </w:rPr>
        <w:t>供应商必须提交证明其有资格参加公开和中标后有能力履行合同的文件。</w:t>
      </w:r>
    </w:p>
    <w:p>
      <w:pPr>
        <w:pStyle w:val="13"/>
        <w:spacing w:line="360" w:lineRule="auto"/>
        <w:ind w:firstLine="480" w:firstLineChars="200"/>
        <w:outlineLvl w:val="1"/>
        <w:rPr>
          <w:rFonts w:hAnsi="宋体" w:cs="宋体"/>
          <w:color w:val="auto"/>
          <w:sz w:val="24"/>
        </w:rPr>
      </w:pPr>
      <w:bookmarkStart w:id="94" w:name="_Toc243907590"/>
      <w:bookmarkStart w:id="95" w:name="_Toc243906329"/>
      <w:bookmarkStart w:id="96" w:name="_Toc233274830"/>
      <w:bookmarkStart w:id="97" w:name="_Toc245897290"/>
      <w:r>
        <w:rPr>
          <w:rFonts w:hint="eastAsia" w:hAnsi="宋体" w:cs="宋体"/>
          <w:color w:val="auto"/>
          <w:sz w:val="24"/>
        </w:rPr>
        <w:t>20、提供的服务符合招标文件规定的技术</w:t>
      </w:r>
      <w:bookmarkEnd w:id="94"/>
      <w:bookmarkEnd w:id="95"/>
      <w:bookmarkEnd w:id="96"/>
      <w:bookmarkEnd w:id="97"/>
      <w:r>
        <w:rPr>
          <w:rFonts w:hint="eastAsia" w:hAnsi="宋体" w:cs="宋体"/>
          <w:color w:val="auto"/>
          <w:sz w:val="24"/>
        </w:rPr>
        <w:t>响应文件</w:t>
      </w:r>
    </w:p>
    <w:p>
      <w:pPr>
        <w:pStyle w:val="13"/>
        <w:spacing w:line="360" w:lineRule="auto"/>
        <w:ind w:firstLine="480" w:firstLineChars="200"/>
        <w:outlineLvl w:val="1"/>
        <w:rPr>
          <w:rFonts w:hAnsi="宋体" w:cs="宋体"/>
          <w:color w:val="auto"/>
          <w:sz w:val="24"/>
        </w:rPr>
      </w:pPr>
      <w:bookmarkStart w:id="98" w:name="_Toc233274831"/>
      <w:bookmarkStart w:id="99" w:name="_Toc245897291"/>
      <w:bookmarkStart w:id="100" w:name="_Toc243907591"/>
      <w:bookmarkStart w:id="101" w:name="_Toc243906330"/>
      <w:r>
        <w:rPr>
          <w:rFonts w:hint="eastAsia" w:hAnsi="宋体" w:cs="宋体"/>
          <w:color w:val="auto"/>
          <w:sz w:val="24"/>
        </w:rPr>
        <w:t>20.1 供应商须提交证明其拟服务符合招标文件、技术规范及标准、项目采购需求规定的技术响应文件，作为响应文件的一部分；</w:t>
      </w:r>
    </w:p>
    <w:p>
      <w:pPr>
        <w:pStyle w:val="13"/>
        <w:spacing w:line="360" w:lineRule="auto"/>
        <w:ind w:firstLine="480" w:firstLineChars="200"/>
        <w:outlineLvl w:val="1"/>
        <w:rPr>
          <w:rFonts w:hAnsi="宋体" w:cs="宋体"/>
          <w:color w:val="auto"/>
          <w:sz w:val="24"/>
        </w:rPr>
      </w:pPr>
      <w:r>
        <w:rPr>
          <w:rFonts w:hint="eastAsia" w:hAnsi="宋体" w:cs="宋体"/>
          <w:color w:val="auto"/>
          <w:sz w:val="24"/>
        </w:rPr>
        <w:t>20.2上述文件可以是文字资料、图纸和数据，并对所提供服务进行详细说明；</w:t>
      </w:r>
    </w:p>
    <w:p>
      <w:pPr>
        <w:pStyle w:val="13"/>
        <w:spacing w:line="360" w:lineRule="auto"/>
        <w:ind w:firstLine="480" w:firstLineChars="200"/>
        <w:outlineLvl w:val="1"/>
        <w:rPr>
          <w:rFonts w:hAnsi="宋体" w:cs="宋体"/>
          <w:color w:val="auto"/>
          <w:sz w:val="24"/>
        </w:rPr>
      </w:pPr>
      <w:r>
        <w:rPr>
          <w:rFonts w:hint="eastAsia" w:hAnsi="宋体" w:cs="宋体"/>
          <w:color w:val="auto"/>
          <w:sz w:val="24"/>
        </w:rPr>
        <w:t>20.3供应商应逐条对招标文件、项目采购需求及合同文本等进行仔细阅读，提出自己提供的服务是否对其做出了实质性的响应。</w:t>
      </w:r>
    </w:p>
    <w:p>
      <w:pPr>
        <w:pStyle w:val="13"/>
        <w:spacing w:line="360" w:lineRule="auto"/>
        <w:ind w:firstLine="480" w:firstLineChars="200"/>
        <w:outlineLvl w:val="1"/>
        <w:rPr>
          <w:rFonts w:hAnsi="宋体" w:cs="宋体"/>
          <w:color w:val="auto"/>
          <w:sz w:val="24"/>
        </w:rPr>
      </w:pPr>
      <w:r>
        <w:rPr>
          <w:rFonts w:hint="eastAsia" w:hAnsi="宋体" w:cs="宋体"/>
          <w:color w:val="auto"/>
          <w:sz w:val="24"/>
        </w:rPr>
        <w:t>21、响应文件有效期</w:t>
      </w:r>
      <w:bookmarkEnd w:id="98"/>
      <w:bookmarkEnd w:id="99"/>
      <w:bookmarkEnd w:id="100"/>
      <w:bookmarkEnd w:id="101"/>
    </w:p>
    <w:p>
      <w:pPr>
        <w:pStyle w:val="13"/>
        <w:spacing w:line="360" w:lineRule="auto"/>
        <w:ind w:firstLine="480" w:firstLineChars="200"/>
        <w:rPr>
          <w:rFonts w:hAnsi="宋体" w:cs="宋体"/>
          <w:color w:val="auto"/>
          <w:sz w:val="24"/>
        </w:rPr>
      </w:pPr>
      <w:r>
        <w:rPr>
          <w:rFonts w:hint="eastAsia" w:hAnsi="宋体" w:cs="宋体"/>
          <w:color w:val="auto"/>
          <w:sz w:val="24"/>
        </w:rPr>
        <w:t>21.1响应文件有效期为递交响应文件截止之日起90天（日历日）。供应商的响应文件有效期比规定的有效期短的，将被视为非响应而予以拒绝。</w:t>
      </w:r>
    </w:p>
    <w:p>
      <w:pPr>
        <w:pStyle w:val="13"/>
        <w:spacing w:line="360" w:lineRule="auto"/>
        <w:ind w:firstLine="480" w:firstLineChars="200"/>
        <w:rPr>
          <w:rFonts w:hAnsi="宋体" w:cs="宋体"/>
          <w:color w:val="auto"/>
          <w:sz w:val="24"/>
        </w:rPr>
      </w:pPr>
      <w:r>
        <w:rPr>
          <w:rFonts w:hint="eastAsia" w:hAnsi="宋体" w:cs="宋体"/>
          <w:color w:val="auto"/>
          <w:sz w:val="24"/>
        </w:rPr>
        <w:t>21.2 特殊情况下，在原有效期届满之前，采购人可征得供应商的同意延长其有效期，这种要求与答复均应以书面形式。供应商拒绝延长的，其响应文件失效。同意延长有效期的供应商，既不要求也不允许其修改响应文件。</w:t>
      </w:r>
    </w:p>
    <w:p>
      <w:pPr>
        <w:pStyle w:val="13"/>
        <w:spacing w:line="360" w:lineRule="auto"/>
        <w:ind w:firstLine="480" w:firstLineChars="200"/>
        <w:outlineLvl w:val="1"/>
        <w:rPr>
          <w:rFonts w:hAnsi="宋体" w:cs="宋体"/>
          <w:color w:val="auto"/>
          <w:sz w:val="24"/>
        </w:rPr>
      </w:pPr>
      <w:bookmarkStart w:id="102" w:name="_Toc245897292"/>
      <w:bookmarkStart w:id="103" w:name="_Toc243907592"/>
      <w:bookmarkStart w:id="104" w:name="_Toc243906331"/>
      <w:bookmarkStart w:id="105" w:name="_Toc233274832"/>
      <w:r>
        <w:rPr>
          <w:rFonts w:hint="eastAsia" w:hAnsi="宋体" w:cs="宋体"/>
          <w:color w:val="auto"/>
          <w:sz w:val="24"/>
        </w:rPr>
        <w:t>22、响应文件的签署及规定</w:t>
      </w:r>
      <w:bookmarkEnd w:id="102"/>
      <w:bookmarkEnd w:id="103"/>
      <w:bookmarkEnd w:id="104"/>
      <w:bookmarkEnd w:id="105"/>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22.1供应商应当按照本须知第15条规定编制的书面响应文件一式</w:t>
      </w:r>
      <w:r>
        <w:rPr>
          <w:rFonts w:hint="eastAsia" w:ascii="宋体" w:hAnsi="宋体" w:cs="宋体"/>
          <w:b/>
          <w:bCs/>
          <w:color w:val="auto"/>
          <w:sz w:val="24"/>
          <w:u w:val="single"/>
        </w:rPr>
        <w:t>陆</w:t>
      </w:r>
      <w:r>
        <w:rPr>
          <w:rFonts w:hint="eastAsia" w:ascii="宋体" w:hAnsi="宋体" w:cs="宋体"/>
          <w:b/>
          <w:bCs/>
          <w:color w:val="auto"/>
          <w:sz w:val="24"/>
        </w:rPr>
        <w:t>份，其中：</w:t>
      </w:r>
      <w:r>
        <w:rPr>
          <w:rFonts w:hint="eastAsia" w:ascii="宋体" w:hAnsi="宋体" w:cs="宋体"/>
          <w:b/>
          <w:bCs/>
          <w:color w:val="auto"/>
          <w:sz w:val="24"/>
          <w:u w:val="single"/>
        </w:rPr>
        <w:t>壹</w:t>
      </w:r>
      <w:r>
        <w:rPr>
          <w:rFonts w:hint="eastAsia" w:ascii="宋体" w:hAnsi="宋体" w:cs="宋体"/>
          <w:b/>
          <w:bCs/>
          <w:color w:val="auto"/>
          <w:sz w:val="24"/>
        </w:rPr>
        <w:t>份正本和</w:t>
      </w:r>
      <w:r>
        <w:rPr>
          <w:rFonts w:hint="eastAsia" w:ascii="宋体" w:hAnsi="宋体" w:cs="宋体"/>
          <w:b/>
          <w:bCs/>
          <w:color w:val="auto"/>
          <w:sz w:val="24"/>
          <w:u w:val="single"/>
        </w:rPr>
        <w:t>伍</w:t>
      </w:r>
      <w:r>
        <w:rPr>
          <w:rFonts w:hint="eastAsia" w:ascii="宋体" w:hAnsi="宋体" w:cs="宋体"/>
          <w:b/>
          <w:bCs/>
          <w:color w:val="auto"/>
          <w:sz w:val="24"/>
        </w:rPr>
        <w:t>份副本，在每一份响应文件上应明确注明“正本”或“副本”字样，如正、副本之间有差异，以正本为准。电子版响应文件U盘</w:t>
      </w:r>
      <w:r>
        <w:rPr>
          <w:rFonts w:hint="eastAsia" w:ascii="宋体" w:hAnsi="宋体" w:cs="宋体"/>
          <w:b/>
          <w:bCs/>
          <w:color w:val="auto"/>
          <w:sz w:val="24"/>
          <w:u w:val="single"/>
        </w:rPr>
        <w:t>壹</w:t>
      </w:r>
      <w:r>
        <w:rPr>
          <w:rFonts w:hint="eastAsia" w:ascii="宋体" w:hAnsi="宋体" w:cs="宋体"/>
          <w:b/>
          <w:bCs/>
          <w:color w:val="auto"/>
          <w:sz w:val="24"/>
        </w:rPr>
        <w:t>份装入响应文件封袋内。</w:t>
      </w:r>
    </w:p>
    <w:p>
      <w:pPr>
        <w:pStyle w:val="13"/>
        <w:spacing w:line="360" w:lineRule="auto"/>
        <w:ind w:firstLine="480" w:firstLineChars="200"/>
        <w:rPr>
          <w:rFonts w:hAnsi="宋体" w:cs="宋体"/>
          <w:color w:val="auto"/>
          <w:sz w:val="24"/>
        </w:rPr>
      </w:pPr>
      <w:r>
        <w:rPr>
          <w:rFonts w:hint="eastAsia" w:hAnsi="宋体" w:cs="宋体"/>
          <w:color w:val="auto"/>
          <w:sz w:val="24"/>
        </w:rPr>
        <w:t>22.2响应文件正本和副本须打印并由法定代表人或委托代理人签字或盖章。响应文件应加盖供应商的公章。</w:t>
      </w:r>
    </w:p>
    <w:p>
      <w:pPr>
        <w:pStyle w:val="13"/>
        <w:spacing w:line="360" w:lineRule="auto"/>
        <w:ind w:firstLine="480" w:firstLineChars="200"/>
        <w:rPr>
          <w:rFonts w:hAnsi="宋体" w:cs="宋体"/>
          <w:color w:val="auto"/>
          <w:sz w:val="24"/>
        </w:rPr>
      </w:pPr>
      <w:r>
        <w:rPr>
          <w:rFonts w:hint="eastAsia" w:hAnsi="宋体" w:cs="宋体"/>
          <w:color w:val="auto"/>
          <w:sz w:val="24"/>
        </w:rPr>
        <w:t>22.3 除供应商对错误做必要修改外，响应文件中不许有增删、涂改或改写。若确有修改必须由签署响应文件的委托代理人签字或盖章。</w:t>
      </w:r>
    </w:p>
    <w:p>
      <w:pPr>
        <w:pStyle w:val="13"/>
        <w:spacing w:line="360" w:lineRule="auto"/>
        <w:ind w:firstLine="480" w:firstLineChars="200"/>
        <w:rPr>
          <w:rFonts w:hAnsi="宋体" w:cs="宋体"/>
          <w:color w:val="auto"/>
          <w:sz w:val="24"/>
        </w:rPr>
      </w:pPr>
      <w:r>
        <w:rPr>
          <w:rFonts w:hint="eastAsia" w:hAnsi="宋体" w:cs="宋体"/>
          <w:color w:val="auto"/>
          <w:sz w:val="24"/>
        </w:rPr>
        <w:t>22.4响应文件副本的上述签名及盖章之处既可由供应商的法定代表人或其委托代理人签字或盖章，也可通过复印正本将上述签名及盖章复制到副本上。</w:t>
      </w:r>
    </w:p>
    <w:p>
      <w:pPr>
        <w:pStyle w:val="13"/>
        <w:spacing w:line="360" w:lineRule="auto"/>
        <w:ind w:firstLine="480" w:firstLineChars="200"/>
        <w:rPr>
          <w:rFonts w:hAnsi="宋体" w:cs="宋体"/>
          <w:color w:val="auto"/>
          <w:sz w:val="24"/>
        </w:rPr>
      </w:pPr>
      <w:r>
        <w:rPr>
          <w:rFonts w:hint="eastAsia" w:hAnsi="宋体" w:cs="宋体"/>
          <w:color w:val="auto"/>
          <w:sz w:val="24"/>
        </w:rPr>
        <w:t>22.5 采购人概不接受电报、电传、电话、邮寄以及电子邮件等方式的招标。</w:t>
      </w:r>
    </w:p>
    <w:bookmarkEnd w:id="71"/>
    <w:p>
      <w:pPr>
        <w:pStyle w:val="13"/>
        <w:spacing w:line="360" w:lineRule="auto"/>
        <w:jc w:val="center"/>
        <w:outlineLvl w:val="1"/>
        <w:rPr>
          <w:rFonts w:hAnsi="宋体" w:cs="宋体"/>
          <w:b/>
          <w:bCs/>
          <w:color w:val="auto"/>
          <w:sz w:val="28"/>
          <w:szCs w:val="28"/>
        </w:rPr>
      </w:pPr>
      <w:bookmarkStart w:id="106" w:name="_Toc243907594"/>
      <w:bookmarkStart w:id="107" w:name="_Toc233274834"/>
      <w:bookmarkStart w:id="108" w:name="_Toc246216203"/>
      <w:bookmarkStart w:id="109" w:name="_Toc243906333"/>
      <w:r>
        <w:rPr>
          <w:rFonts w:hint="eastAsia" w:hAnsi="宋体" w:cs="宋体"/>
          <w:b/>
          <w:bCs/>
          <w:color w:val="auto"/>
          <w:sz w:val="28"/>
          <w:szCs w:val="28"/>
        </w:rPr>
        <w:t>四、响应文件的递交、修改和撤回</w:t>
      </w:r>
      <w:bookmarkEnd w:id="106"/>
      <w:bookmarkEnd w:id="107"/>
      <w:bookmarkEnd w:id="108"/>
      <w:bookmarkEnd w:id="109"/>
    </w:p>
    <w:p>
      <w:pPr>
        <w:spacing w:line="360" w:lineRule="auto"/>
        <w:ind w:firstLine="480" w:firstLineChars="200"/>
        <w:outlineLvl w:val="1"/>
        <w:rPr>
          <w:rFonts w:ascii="宋体" w:hAnsi="宋体" w:cs="宋体"/>
          <w:color w:val="auto"/>
          <w:sz w:val="24"/>
        </w:rPr>
      </w:pPr>
      <w:bookmarkStart w:id="110" w:name="_Toc233274835"/>
      <w:bookmarkStart w:id="111" w:name="_Toc243906334"/>
      <w:bookmarkStart w:id="112" w:name="_Toc243907595"/>
      <w:bookmarkStart w:id="113" w:name="_Toc245897295"/>
      <w:r>
        <w:rPr>
          <w:rFonts w:hint="eastAsia" w:ascii="宋体" w:hAnsi="宋体" w:cs="宋体"/>
          <w:color w:val="auto"/>
          <w:sz w:val="24"/>
        </w:rPr>
        <w:t>23、响应文件的密封和标记</w:t>
      </w:r>
      <w:bookmarkEnd w:id="110"/>
      <w:bookmarkEnd w:id="111"/>
      <w:bookmarkEnd w:id="112"/>
      <w:bookmarkEnd w:id="113"/>
    </w:p>
    <w:p>
      <w:pPr>
        <w:spacing w:line="360" w:lineRule="auto"/>
        <w:ind w:firstLine="480" w:firstLineChars="200"/>
        <w:outlineLvl w:val="1"/>
        <w:rPr>
          <w:rFonts w:ascii="宋体" w:hAnsi="宋体" w:cs="宋体"/>
          <w:b/>
          <w:color w:val="auto"/>
        </w:rPr>
      </w:pPr>
      <w:r>
        <w:rPr>
          <w:rFonts w:hint="eastAsia" w:ascii="宋体" w:hAnsi="宋体" w:cs="宋体"/>
          <w:color w:val="auto"/>
          <w:sz w:val="24"/>
        </w:rPr>
        <w:t>23.1</w:t>
      </w:r>
      <w:r>
        <w:rPr>
          <w:rFonts w:hint="eastAsia" w:ascii="宋体" w:hAnsi="宋体" w:cs="宋体"/>
          <w:b/>
          <w:color w:val="auto"/>
          <w:sz w:val="24"/>
        </w:rPr>
        <w:t>响应文件均按A4规格纸张无线胶装方式装订，不得采用活页夹等可随时拆换的方式装订。</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23.2供应商应将响应文件装订、密封，并在密封处加盖供应商公章。全部响应文件电子版（不加密U盘，须注明采购项目及供应商名称）一式壹份单独密封。</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23.3响应文件密封袋上均应写明“采购人”、“项目名称”、“招标文件编号”、“供应商名称”和“地址”等事项并注明“开启前不准启封”等字样。</w:t>
      </w:r>
    </w:p>
    <w:p>
      <w:pPr>
        <w:spacing w:line="360" w:lineRule="auto"/>
        <w:ind w:firstLine="480" w:firstLineChars="200"/>
        <w:rPr>
          <w:rFonts w:ascii="宋体" w:hAnsi="宋体" w:cs="宋体"/>
          <w:color w:val="auto"/>
        </w:rPr>
      </w:pPr>
      <w:r>
        <w:rPr>
          <w:rFonts w:hint="eastAsia" w:ascii="宋体" w:hAnsi="宋体" w:cs="宋体"/>
          <w:color w:val="auto"/>
          <w:sz w:val="24"/>
        </w:rPr>
        <w:t>23.4未按本要求密封、标记的响应文件，采购人（或采购代理机构）不对后果负责。</w:t>
      </w:r>
    </w:p>
    <w:p>
      <w:pPr>
        <w:pStyle w:val="13"/>
        <w:spacing w:line="360" w:lineRule="auto"/>
        <w:ind w:firstLine="480" w:firstLineChars="200"/>
        <w:outlineLvl w:val="1"/>
        <w:rPr>
          <w:rFonts w:hAnsi="宋体" w:cs="宋体"/>
          <w:color w:val="auto"/>
          <w:sz w:val="24"/>
          <w:szCs w:val="24"/>
        </w:rPr>
      </w:pPr>
      <w:bookmarkStart w:id="114" w:name="_Toc245897296"/>
      <w:bookmarkStart w:id="115" w:name="_Toc243907596"/>
      <w:bookmarkStart w:id="116" w:name="_Toc233274836"/>
      <w:bookmarkStart w:id="117" w:name="_Toc243906335"/>
      <w:r>
        <w:rPr>
          <w:rFonts w:hint="eastAsia" w:hAnsi="宋体" w:cs="宋体"/>
          <w:color w:val="auto"/>
          <w:sz w:val="24"/>
          <w:szCs w:val="24"/>
        </w:rPr>
        <w:t>24、递交响应文件截止时间</w:t>
      </w:r>
      <w:bookmarkEnd w:id="114"/>
      <w:bookmarkEnd w:id="115"/>
      <w:bookmarkEnd w:id="116"/>
      <w:bookmarkEnd w:id="117"/>
    </w:p>
    <w:p>
      <w:pPr>
        <w:pStyle w:val="13"/>
        <w:spacing w:line="360" w:lineRule="auto"/>
        <w:ind w:firstLine="480" w:firstLineChars="200"/>
        <w:rPr>
          <w:rFonts w:hAnsi="宋体" w:cs="宋体"/>
          <w:color w:val="auto"/>
          <w:sz w:val="24"/>
        </w:rPr>
      </w:pPr>
      <w:r>
        <w:rPr>
          <w:rFonts w:hint="eastAsia" w:hAnsi="宋体" w:cs="宋体"/>
          <w:color w:val="auto"/>
          <w:sz w:val="24"/>
          <w:szCs w:val="24"/>
        </w:rPr>
        <w:t>24.1 所有响应文件都必须按采购人</w:t>
      </w:r>
      <w:r>
        <w:rPr>
          <w:rFonts w:hint="eastAsia" w:hAnsi="宋体" w:cs="宋体"/>
          <w:color w:val="auto"/>
          <w:sz w:val="24"/>
        </w:rPr>
        <w:t>在供应商须知前附表中规定的截止时间之前送达。</w:t>
      </w:r>
    </w:p>
    <w:p>
      <w:pPr>
        <w:pStyle w:val="13"/>
        <w:spacing w:line="360" w:lineRule="auto"/>
        <w:ind w:firstLine="480" w:firstLineChars="200"/>
        <w:rPr>
          <w:rFonts w:hAnsi="宋体" w:cs="宋体"/>
          <w:color w:val="auto"/>
          <w:sz w:val="24"/>
        </w:rPr>
      </w:pPr>
      <w:r>
        <w:rPr>
          <w:rFonts w:hint="eastAsia" w:hAnsi="宋体" w:cs="宋体"/>
          <w:color w:val="auto"/>
          <w:sz w:val="24"/>
        </w:rPr>
        <w:t>24.2出现因招标文件的修改推迟截止日期时，则按采购代理机构修改通知规定的时间递交响应文件。在此情况下，采购人和采购代理机构与供应商之间受截止期制约的所有权利和义务应延长至新的截止期。</w:t>
      </w:r>
    </w:p>
    <w:p>
      <w:pPr>
        <w:pStyle w:val="13"/>
        <w:spacing w:line="360" w:lineRule="auto"/>
        <w:ind w:firstLine="480" w:firstLineChars="200"/>
        <w:outlineLvl w:val="1"/>
        <w:rPr>
          <w:rFonts w:hAnsi="宋体" w:cs="宋体"/>
          <w:color w:val="auto"/>
          <w:sz w:val="24"/>
        </w:rPr>
      </w:pPr>
      <w:bookmarkStart w:id="118" w:name="_Toc233274837"/>
      <w:bookmarkStart w:id="119" w:name="_Toc243907597"/>
      <w:bookmarkStart w:id="120" w:name="_Toc245897297"/>
      <w:bookmarkStart w:id="121" w:name="_Toc243906336"/>
      <w:r>
        <w:rPr>
          <w:rFonts w:hint="eastAsia" w:hAnsi="宋体" w:cs="宋体"/>
          <w:color w:val="auto"/>
          <w:sz w:val="24"/>
        </w:rPr>
        <w:t>25、迟交的</w:t>
      </w:r>
      <w:bookmarkEnd w:id="118"/>
      <w:bookmarkEnd w:id="119"/>
      <w:bookmarkEnd w:id="120"/>
      <w:bookmarkEnd w:id="121"/>
      <w:r>
        <w:rPr>
          <w:rFonts w:hint="eastAsia" w:hAnsi="宋体" w:cs="宋体"/>
          <w:color w:val="auto"/>
          <w:sz w:val="24"/>
        </w:rPr>
        <w:t>响应文件</w:t>
      </w:r>
    </w:p>
    <w:p>
      <w:pPr>
        <w:pStyle w:val="13"/>
        <w:spacing w:line="360" w:lineRule="auto"/>
        <w:ind w:firstLine="480" w:firstLineChars="200"/>
        <w:rPr>
          <w:rFonts w:hAnsi="宋体" w:cs="宋体"/>
          <w:color w:val="auto"/>
          <w:sz w:val="24"/>
        </w:rPr>
      </w:pPr>
      <w:r>
        <w:rPr>
          <w:rFonts w:hint="eastAsia" w:hAnsi="宋体" w:cs="宋体"/>
          <w:color w:val="auto"/>
          <w:sz w:val="24"/>
        </w:rPr>
        <w:t>25.1 采购人将拒绝并原封退回在其规定的截止时间后送达的响应文件。</w:t>
      </w:r>
    </w:p>
    <w:p>
      <w:pPr>
        <w:pStyle w:val="13"/>
        <w:spacing w:line="360" w:lineRule="auto"/>
        <w:ind w:firstLine="480" w:firstLineChars="200"/>
        <w:outlineLvl w:val="1"/>
        <w:rPr>
          <w:rFonts w:hAnsi="宋体" w:cs="宋体"/>
          <w:color w:val="auto"/>
          <w:sz w:val="24"/>
        </w:rPr>
      </w:pPr>
      <w:bookmarkStart w:id="122" w:name="_Toc233274838"/>
      <w:bookmarkStart w:id="123" w:name="_Toc243907598"/>
      <w:bookmarkStart w:id="124" w:name="_Toc243906337"/>
      <w:bookmarkStart w:id="125" w:name="_Toc245897298"/>
      <w:r>
        <w:rPr>
          <w:rFonts w:hint="eastAsia" w:hAnsi="宋体" w:cs="宋体"/>
          <w:color w:val="auto"/>
          <w:sz w:val="24"/>
        </w:rPr>
        <w:t>26、响应文件的修改和撤回</w:t>
      </w:r>
      <w:bookmarkEnd w:id="122"/>
      <w:bookmarkEnd w:id="123"/>
      <w:bookmarkEnd w:id="124"/>
      <w:bookmarkEnd w:id="125"/>
    </w:p>
    <w:p>
      <w:pPr>
        <w:pStyle w:val="13"/>
        <w:spacing w:line="360" w:lineRule="auto"/>
        <w:ind w:firstLine="480" w:firstLineChars="200"/>
        <w:rPr>
          <w:rFonts w:hAnsi="宋体" w:cs="宋体"/>
          <w:color w:val="auto"/>
          <w:sz w:val="24"/>
        </w:rPr>
      </w:pPr>
      <w:r>
        <w:rPr>
          <w:rFonts w:hint="eastAsia" w:hAnsi="宋体" w:cs="宋体"/>
          <w:color w:val="auto"/>
          <w:sz w:val="24"/>
        </w:rPr>
        <w:t>26.1 供应商在提交响应文件后可在截止时间前对其响应文件进行修改或撤回，但采购人须在截止时间之前收到该修改或撤回的书面通知，该通知须有法定代表人或经有效授权的委托代理人签字或盖章。</w:t>
      </w:r>
    </w:p>
    <w:p>
      <w:pPr>
        <w:pStyle w:val="13"/>
        <w:spacing w:line="360" w:lineRule="auto"/>
        <w:ind w:firstLine="480" w:firstLineChars="200"/>
        <w:rPr>
          <w:rFonts w:hAnsi="宋体" w:cs="宋体"/>
          <w:color w:val="auto"/>
          <w:sz w:val="24"/>
        </w:rPr>
      </w:pPr>
      <w:r>
        <w:rPr>
          <w:rFonts w:hint="eastAsia" w:hAnsi="宋体" w:cs="宋体"/>
          <w:color w:val="auto"/>
          <w:sz w:val="24"/>
        </w:rPr>
        <w:t>26.2 供应商对响应文件修改的书面材料或撤回的通知应按第22条和第23条规定进行编写、密封、标记和递交，并注明“修改响应文件”或“撤回响应文件”字样。</w:t>
      </w:r>
    </w:p>
    <w:p>
      <w:pPr>
        <w:pStyle w:val="13"/>
        <w:spacing w:line="360" w:lineRule="auto"/>
        <w:ind w:firstLine="480" w:firstLineChars="200"/>
        <w:rPr>
          <w:rFonts w:hAnsi="宋体" w:cs="宋体"/>
          <w:color w:val="auto"/>
          <w:sz w:val="24"/>
        </w:rPr>
      </w:pPr>
      <w:r>
        <w:rPr>
          <w:rFonts w:hint="eastAsia" w:hAnsi="宋体" w:cs="宋体"/>
          <w:color w:val="auto"/>
          <w:sz w:val="24"/>
        </w:rPr>
        <w:t>26.3截止时间之后，供应商不得对响应文件做任何修改。</w:t>
      </w:r>
    </w:p>
    <w:p>
      <w:pPr>
        <w:pStyle w:val="13"/>
        <w:spacing w:line="360" w:lineRule="auto"/>
        <w:ind w:firstLine="480" w:firstLineChars="200"/>
        <w:rPr>
          <w:rFonts w:hAnsi="宋体" w:cs="宋体"/>
          <w:color w:val="auto"/>
          <w:sz w:val="24"/>
        </w:rPr>
      </w:pPr>
      <w:r>
        <w:rPr>
          <w:rFonts w:hint="eastAsia" w:hAnsi="宋体" w:cs="宋体"/>
          <w:color w:val="auto"/>
          <w:sz w:val="24"/>
        </w:rPr>
        <w:t>26.4 供应商不得在截止时间起至响应文件有效期期满前撤回响应文件。</w:t>
      </w:r>
    </w:p>
    <w:p>
      <w:pPr>
        <w:spacing w:line="360" w:lineRule="auto"/>
        <w:ind w:firstLine="480" w:firstLineChars="200"/>
        <w:outlineLvl w:val="1"/>
        <w:rPr>
          <w:rFonts w:ascii="宋体" w:hAnsi="宋体" w:cs="宋体"/>
          <w:color w:val="auto"/>
          <w:sz w:val="24"/>
        </w:rPr>
      </w:pPr>
      <w:bookmarkStart w:id="126" w:name="_Toc245897299"/>
      <w:bookmarkStart w:id="127" w:name="_Toc233274839"/>
      <w:bookmarkStart w:id="128" w:name="_Toc243907599"/>
      <w:bookmarkStart w:id="129" w:name="_Toc243906338"/>
      <w:r>
        <w:rPr>
          <w:rFonts w:hint="eastAsia" w:ascii="宋体" w:hAnsi="宋体" w:cs="宋体"/>
          <w:color w:val="auto"/>
          <w:sz w:val="24"/>
        </w:rPr>
        <w:t>27、递交</w:t>
      </w:r>
      <w:bookmarkEnd w:id="126"/>
      <w:bookmarkEnd w:id="127"/>
      <w:bookmarkEnd w:id="128"/>
      <w:bookmarkEnd w:id="129"/>
      <w:r>
        <w:rPr>
          <w:rFonts w:hint="eastAsia" w:ascii="宋体" w:hAnsi="宋体" w:cs="宋体"/>
          <w:color w:val="auto"/>
          <w:sz w:val="24"/>
        </w:rPr>
        <w:t>响应文件</w:t>
      </w:r>
    </w:p>
    <w:p>
      <w:pPr>
        <w:spacing w:line="360" w:lineRule="auto"/>
        <w:ind w:firstLine="480" w:firstLineChars="200"/>
        <w:rPr>
          <w:rFonts w:ascii="宋体" w:hAnsi="宋体" w:cs="宋体"/>
          <w:color w:val="auto"/>
          <w:sz w:val="24"/>
        </w:rPr>
      </w:pPr>
      <w:r>
        <w:rPr>
          <w:rFonts w:hint="eastAsia" w:ascii="宋体" w:hAnsi="宋体" w:cs="宋体"/>
          <w:color w:val="auto"/>
          <w:sz w:val="24"/>
        </w:rPr>
        <w:t>27.1供应商应按本供应商须知前附表第7项规定的时间及地点递交响应文件。</w:t>
      </w:r>
    </w:p>
    <w:p>
      <w:pPr>
        <w:spacing w:line="360" w:lineRule="auto"/>
        <w:ind w:firstLine="482" w:firstLineChars="200"/>
        <w:rPr>
          <w:rFonts w:ascii="宋体" w:hAnsi="宋体" w:cs="宋体"/>
          <w:b/>
          <w:color w:val="auto"/>
          <w:sz w:val="24"/>
        </w:rPr>
      </w:pPr>
      <w:r>
        <w:rPr>
          <w:rFonts w:hint="eastAsia" w:ascii="宋体" w:hAnsi="宋体" w:cs="宋体"/>
          <w:b/>
          <w:color w:val="auto"/>
          <w:sz w:val="24"/>
        </w:rPr>
        <w:t>27.2有下列情形之一的，采购人不予接收其响应文件：</w:t>
      </w:r>
    </w:p>
    <w:p>
      <w:pPr>
        <w:spacing w:line="360" w:lineRule="auto"/>
        <w:ind w:firstLine="480" w:firstLineChars="200"/>
        <w:rPr>
          <w:rFonts w:ascii="宋体" w:hAnsi="宋体" w:cs="宋体"/>
          <w:color w:val="auto"/>
          <w:sz w:val="24"/>
        </w:rPr>
      </w:pPr>
      <w:r>
        <w:rPr>
          <w:rFonts w:hint="eastAsia" w:ascii="宋体" w:hAnsi="宋体" w:cs="宋体"/>
          <w:color w:val="auto"/>
          <w:sz w:val="24"/>
        </w:rPr>
        <w:t>27.2.1供应商在递交响应文件截止时间后送达或未送达到指定地点的响应文件；</w:t>
      </w:r>
    </w:p>
    <w:p>
      <w:pPr>
        <w:spacing w:line="360" w:lineRule="auto"/>
        <w:ind w:firstLine="480" w:firstLineChars="200"/>
        <w:rPr>
          <w:rFonts w:ascii="宋体" w:hAnsi="宋体" w:cs="宋体"/>
          <w:color w:val="auto"/>
          <w:sz w:val="24"/>
        </w:rPr>
      </w:pPr>
      <w:r>
        <w:rPr>
          <w:rFonts w:hint="eastAsia" w:ascii="宋体" w:hAnsi="宋体" w:cs="宋体"/>
          <w:color w:val="auto"/>
          <w:sz w:val="24"/>
        </w:rPr>
        <w:t>27.2.2 响应文件未按招标文件要求密封的。</w:t>
      </w:r>
    </w:p>
    <w:p>
      <w:pPr>
        <w:spacing w:line="360" w:lineRule="auto"/>
        <w:jc w:val="center"/>
        <w:outlineLvl w:val="1"/>
        <w:rPr>
          <w:rFonts w:ascii="宋体" w:hAnsi="宋体" w:cs="宋体"/>
          <w:b/>
          <w:bCs/>
          <w:color w:val="auto"/>
          <w:sz w:val="28"/>
          <w:szCs w:val="28"/>
        </w:rPr>
      </w:pPr>
      <w:bookmarkStart w:id="130" w:name="_Toc246216209"/>
      <w:bookmarkStart w:id="131" w:name="_Toc243906339"/>
      <w:bookmarkStart w:id="132" w:name="_Toc243907600"/>
      <w:bookmarkStart w:id="133" w:name="_Toc233274840"/>
      <w:r>
        <w:rPr>
          <w:rFonts w:hint="eastAsia" w:ascii="宋体" w:hAnsi="宋体" w:cs="宋体"/>
          <w:b/>
          <w:bCs/>
          <w:color w:val="auto"/>
          <w:sz w:val="28"/>
          <w:szCs w:val="28"/>
        </w:rPr>
        <w:t xml:space="preserve"> 五、</w:t>
      </w:r>
      <w:bookmarkEnd w:id="130"/>
      <w:bookmarkEnd w:id="131"/>
      <w:bookmarkEnd w:id="132"/>
      <w:bookmarkEnd w:id="133"/>
      <w:r>
        <w:rPr>
          <w:rFonts w:hint="eastAsia" w:ascii="宋体" w:hAnsi="宋体" w:cs="宋体"/>
          <w:b/>
          <w:bCs/>
          <w:color w:val="auto"/>
          <w:sz w:val="28"/>
          <w:szCs w:val="28"/>
        </w:rPr>
        <w:t>开标、评标、确定中标单位</w:t>
      </w:r>
    </w:p>
    <w:p>
      <w:pPr>
        <w:spacing w:line="360" w:lineRule="auto"/>
        <w:ind w:firstLine="480" w:firstLineChars="200"/>
        <w:outlineLvl w:val="1"/>
        <w:rPr>
          <w:rFonts w:ascii="宋体" w:hAnsi="宋体" w:cs="宋体"/>
          <w:color w:val="auto"/>
          <w:sz w:val="24"/>
          <w:szCs w:val="20"/>
        </w:rPr>
      </w:pPr>
      <w:bookmarkStart w:id="134" w:name="_Toc243907601"/>
      <w:bookmarkStart w:id="135" w:name="_Toc245897301"/>
      <w:bookmarkStart w:id="136" w:name="_Toc233274841"/>
      <w:bookmarkStart w:id="137" w:name="_Toc243906340"/>
      <w:r>
        <w:rPr>
          <w:rFonts w:hint="eastAsia" w:ascii="宋体" w:hAnsi="宋体" w:cs="宋体"/>
          <w:color w:val="auto"/>
          <w:sz w:val="24"/>
          <w:szCs w:val="20"/>
        </w:rPr>
        <w:t>28、</w:t>
      </w:r>
      <w:bookmarkEnd w:id="134"/>
      <w:bookmarkEnd w:id="135"/>
      <w:bookmarkEnd w:id="136"/>
      <w:bookmarkEnd w:id="137"/>
      <w:r>
        <w:rPr>
          <w:rFonts w:hint="eastAsia" w:ascii="宋体" w:hAnsi="宋体" w:cs="宋体"/>
          <w:color w:val="auto"/>
          <w:sz w:val="24"/>
          <w:szCs w:val="20"/>
        </w:rPr>
        <w:t>开标会议</w:t>
      </w:r>
    </w:p>
    <w:p>
      <w:pPr>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28.1采购人在本供应商须知前附表第8项规定的时间和地点组织开标会议。</w:t>
      </w:r>
    </w:p>
    <w:p>
      <w:pPr>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28.2供应商应委派代表参加开标会议。</w:t>
      </w:r>
      <w:r>
        <w:rPr>
          <w:rFonts w:hint="eastAsia" w:ascii="宋体" w:hAnsi="宋体" w:cs="宋体"/>
          <w:b/>
          <w:bCs/>
          <w:color w:val="auto"/>
          <w:sz w:val="24"/>
          <w:szCs w:val="20"/>
        </w:rPr>
        <w:t>开标时，供应商应在密封的响应文件之外随身携带法定代表人或被授权代表的身份证原件、法定代表人授权委托书原件（法人本人到场只提供身份证原件，法定代表人资格证明书放入响应文件即可）。</w:t>
      </w:r>
      <w:r>
        <w:rPr>
          <w:rFonts w:hint="eastAsia" w:ascii="宋体" w:hAnsi="宋体" w:cs="宋体"/>
          <w:color w:val="auto"/>
          <w:sz w:val="24"/>
          <w:szCs w:val="20"/>
        </w:rPr>
        <w:t>招标代理机构将核验出席开标活动现场的各供应商法定代表人或其授权代表及相关单位人员身份，并组织其分别登记、签到，无关人员不得进入现场。</w:t>
      </w:r>
    </w:p>
    <w:p>
      <w:pPr>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28.3招标代理机构接收响应文件并予以登记，各供应商法定代表人或其授权代表对响应文件的递交情况进行签字确认。</w:t>
      </w:r>
    </w:p>
    <w:p>
      <w:pPr>
        <w:spacing w:line="360" w:lineRule="auto"/>
        <w:ind w:firstLine="480" w:firstLineChars="200"/>
        <w:outlineLvl w:val="1"/>
        <w:rPr>
          <w:rFonts w:ascii="宋体" w:hAnsi="宋体" w:cs="宋体"/>
          <w:color w:val="auto"/>
          <w:sz w:val="24"/>
          <w:szCs w:val="20"/>
        </w:rPr>
      </w:pPr>
      <w:r>
        <w:rPr>
          <w:rFonts w:hint="eastAsia" w:ascii="宋体" w:hAnsi="宋体" w:cs="宋体"/>
          <w:color w:val="auto"/>
          <w:sz w:val="24"/>
          <w:szCs w:val="20"/>
        </w:rPr>
        <w:t>28.4开标会议由采购代理机构组织并主持。开标时，应当由供应商或者其推选的代表检查响应文件的密封情况，也可以由采购人委托的公证机构检查并公证；经确认无误后，由采购代理机构工作人员当众拆封，按供应商提交响应文件的登记逆顺序当众拆封、清点响应文件（包括正本、副本）数量。采购代理机构工作人员宣读供应商名称、投标价格和招标文件规定的需要宣布的其他内容</w:t>
      </w:r>
      <w:bookmarkStart w:id="138" w:name="_Toc245897302"/>
      <w:bookmarkStart w:id="139" w:name="_Toc243907602"/>
      <w:bookmarkStart w:id="140" w:name="_Toc243906341"/>
      <w:bookmarkStart w:id="141" w:name="_Toc233274842"/>
      <w:r>
        <w:rPr>
          <w:rFonts w:hint="eastAsia" w:ascii="宋体" w:hAnsi="宋体" w:cs="宋体"/>
          <w:color w:val="auto"/>
          <w:sz w:val="24"/>
          <w:szCs w:val="20"/>
        </w:rPr>
        <w:t>；如供应商对唱标人宣读的内容有异议的，应当场提出。</w:t>
      </w:r>
    </w:p>
    <w:p>
      <w:pPr>
        <w:spacing w:line="360" w:lineRule="auto"/>
        <w:ind w:firstLine="482" w:firstLineChars="200"/>
        <w:outlineLvl w:val="1"/>
        <w:rPr>
          <w:rFonts w:ascii="宋体" w:hAnsi="宋体" w:cs="宋体"/>
          <w:b/>
          <w:bCs/>
          <w:color w:val="auto"/>
          <w:sz w:val="24"/>
          <w:szCs w:val="20"/>
        </w:rPr>
      </w:pPr>
      <w:r>
        <w:rPr>
          <w:rFonts w:hint="eastAsia" w:ascii="宋体" w:hAnsi="宋体" w:cs="宋体"/>
          <w:b/>
          <w:bCs/>
          <w:color w:val="auto"/>
          <w:sz w:val="24"/>
          <w:szCs w:val="20"/>
        </w:rPr>
        <w:t>28.5开标结束后，采购人、采购代理机构应当依法对供应商的资格进行审查。供应商未按照招标文件要求提供其相应的有效资格证明材料的，视为供应商不具备招标文件中规定的资格要求，其投标无效，不得进入评标程序。</w:t>
      </w:r>
    </w:p>
    <w:p>
      <w:pPr>
        <w:spacing w:line="360" w:lineRule="auto"/>
        <w:ind w:firstLine="480" w:firstLineChars="200"/>
        <w:outlineLvl w:val="1"/>
        <w:rPr>
          <w:rFonts w:ascii="宋体" w:hAnsi="宋体" w:cs="宋体"/>
          <w:color w:val="auto"/>
          <w:sz w:val="24"/>
          <w:szCs w:val="20"/>
        </w:rPr>
      </w:pPr>
      <w:r>
        <w:rPr>
          <w:rFonts w:hint="eastAsia" w:ascii="宋体" w:hAnsi="宋体" w:cs="宋体"/>
          <w:color w:val="auto"/>
          <w:sz w:val="24"/>
          <w:szCs w:val="20"/>
        </w:rPr>
        <w:t>28.6 按本文件第26条已提交了可接受的撤回通知的响应文件及无效响应文件将不予开封。</w:t>
      </w:r>
    </w:p>
    <w:p>
      <w:pPr>
        <w:spacing w:line="360" w:lineRule="auto"/>
        <w:ind w:firstLine="480" w:firstLineChars="200"/>
        <w:outlineLvl w:val="1"/>
        <w:rPr>
          <w:rFonts w:ascii="宋体" w:hAnsi="宋体" w:cs="宋体"/>
          <w:color w:val="auto"/>
          <w:sz w:val="24"/>
          <w:szCs w:val="20"/>
        </w:rPr>
      </w:pPr>
      <w:r>
        <w:rPr>
          <w:rFonts w:hint="eastAsia" w:ascii="宋体" w:hAnsi="宋体" w:cs="宋体"/>
          <w:color w:val="auto"/>
          <w:sz w:val="24"/>
          <w:szCs w:val="20"/>
        </w:rPr>
        <w:t>28.7供应商代表对开标过程和开标记录有疑义，以及认为采购人、采购代理机构相关工作人员有需要回避的情形的，应当场提出询问或者回避申请。供应商未参加开标的，视同认可开标结果。</w:t>
      </w:r>
    </w:p>
    <w:p>
      <w:pPr>
        <w:spacing w:line="360" w:lineRule="auto"/>
        <w:ind w:firstLine="480" w:firstLineChars="200"/>
        <w:outlineLvl w:val="1"/>
        <w:rPr>
          <w:rFonts w:ascii="宋体" w:hAnsi="宋体" w:cs="宋体"/>
          <w:color w:val="auto"/>
          <w:sz w:val="24"/>
          <w:szCs w:val="20"/>
        </w:rPr>
      </w:pPr>
      <w:r>
        <w:rPr>
          <w:rFonts w:hint="eastAsia" w:ascii="宋体" w:hAnsi="宋体" w:cs="宋体"/>
          <w:color w:val="auto"/>
          <w:sz w:val="24"/>
          <w:szCs w:val="20"/>
        </w:rPr>
        <w:t>28.8 采购人或采购代理机构应对开标过程进行记录，由参加开标的各供应商代表和相关工作人员签字确认后随招标文件一并存档。</w:t>
      </w:r>
    </w:p>
    <w:p>
      <w:pPr>
        <w:spacing w:line="360" w:lineRule="auto"/>
        <w:ind w:firstLine="480" w:firstLineChars="200"/>
        <w:outlineLvl w:val="1"/>
        <w:rPr>
          <w:rFonts w:ascii="宋体" w:hAnsi="宋体" w:cs="宋体"/>
          <w:color w:val="auto"/>
          <w:sz w:val="24"/>
          <w:szCs w:val="20"/>
        </w:rPr>
      </w:pPr>
      <w:r>
        <w:rPr>
          <w:rFonts w:hint="eastAsia" w:ascii="宋体" w:hAnsi="宋体" w:cs="宋体"/>
          <w:color w:val="auto"/>
          <w:sz w:val="24"/>
          <w:szCs w:val="20"/>
        </w:rPr>
        <w:t>29、</w:t>
      </w:r>
      <w:bookmarkEnd w:id="138"/>
      <w:bookmarkEnd w:id="139"/>
      <w:bookmarkEnd w:id="140"/>
      <w:bookmarkEnd w:id="141"/>
      <w:r>
        <w:rPr>
          <w:rFonts w:hint="eastAsia" w:ascii="宋体" w:hAnsi="宋体" w:cs="宋体"/>
          <w:color w:val="auto"/>
          <w:sz w:val="24"/>
          <w:szCs w:val="20"/>
        </w:rPr>
        <w:t>评标委员会</w:t>
      </w:r>
    </w:p>
    <w:p>
      <w:pPr>
        <w:widowControl/>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29.1评标委员会成员组成：按照</w:t>
      </w:r>
      <w:r>
        <w:rPr>
          <w:rFonts w:hint="eastAsia" w:ascii="宋体" w:hAnsi="宋体" w:cs="宋体"/>
          <w:color w:val="auto"/>
          <w:sz w:val="24"/>
        </w:rPr>
        <w:t>《中华人民共和国政府采购法》、《中华人民共和国政府采购法实施条例》、《政府采购货物和服务招标投标管理办法》</w:t>
      </w:r>
      <w:r>
        <w:rPr>
          <w:rFonts w:hint="eastAsia" w:ascii="宋体" w:hAnsi="宋体" w:cs="宋体"/>
          <w:color w:val="auto"/>
          <w:sz w:val="24"/>
          <w:szCs w:val="20"/>
        </w:rPr>
        <w:t>及相关法律、法规规定组建</w:t>
      </w:r>
      <w:r>
        <w:rPr>
          <w:rFonts w:hint="eastAsia" w:ascii="宋体" w:hAnsi="宋体" w:cs="宋体"/>
          <w:color w:val="auto"/>
          <w:sz w:val="24"/>
        </w:rPr>
        <w:t>，由采购人代表和评审专家组成</w:t>
      </w:r>
      <w:r>
        <w:rPr>
          <w:rFonts w:hint="eastAsia" w:ascii="宋体" w:hAnsi="宋体" w:cs="宋体"/>
          <w:color w:val="auto"/>
          <w:sz w:val="24"/>
          <w:szCs w:val="20"/>
        </w:rPr>
        <w:t>。评标委员会将负责对供应商提交的响应文件进行公开、评审，确保公开、评审过程公正、合法、保密，并向采购人推荐中标候选人。</w:t>
      </w:r>
    </w:p>
    <w:p>
      <w:pPr>
        <w:spacing w:line="360" w:lineRule="auto"/>
        <w:ind w:firstLine="482" w:firstLineChars="200"/>
        <w:outlineLvl w:val="1"/>
        <w:rPr>
          <w:rFonts w:ascii="宋体" w:hAnsi="宋体" w:cs="宋体"/>
          <w:b/>
          <w:color w:val="auto"/>
          <w:sz w:val="24"/>
        </w:rPr>
      </w:pPr>
      <w:bookmarkStart w:id="142" w:name="_Toc233274845"/>
      <w:bookmarkStart w:id="143" w:name="_Toc245897306"/>
      <w:bookmarkStart w:id="144" w:name="_Toc243907607"/>
      <w:bookmarkStart w:id="145" w:name="_Toc243906346"/>
      <w:bookmarkStart w:id="146" w:name="_Toc243906344"/>
      <w:bookmarkStart w:id="147" w:name="_Toc245897304"/>
      <w:bookmarkStart w:id="148" w:name="_Toc233274843"/>
      <w:bookmarkStart w:id="149" w:name="_Toc243907605"/>
      <w:r>
        <w:rPr>
          <w:rFonts w:hint="eastAsia" w:ascii="宋体" w:hAnsi="宋体" w:cs="宋体"/>
          <w:b/>
          <w:color w:val="auto"/>
          <w:sz w:val="24"/>
        </w:rPr>
        <w:t>30、重大偏离</w:t>
      </w:r>
      <w:bookmarkEnd w:id="142"/>
      <w:bookmarkEnd w:id="143"/>
      <w:bookmarkEnd w:id="144"/>
      <w:bookmarkEnd w:id="145"/>
    </w:p>
    <w:p>
      <w:pPr>
        <w:spacing w:line="360" w:lineRule="auto"/>
        <w:ind w:firstLine="482" w:firstLineChars="200"/>
        <w:rPr>
          <w:rFonts w:ascii="宋体" w:hAnsi="宋体" w:cs="宋体"/>
          <w:b/>
          <w:color w:val="auto"/>
          <w:sz w:val="24"/>
        </w:rPr>
      </w:pPr>
      <w:bookmarkStart w:id="150" w:name="_Toc243906347"/>
      <w:bookmarkStart w:id="151" w:name="_Toc233274846"/>
      <w:bookmarkStart w:id="152" w:name="_Toc245897307"/>
      <w:bookmarkStart w:id="153" w:name="_Toc243907608"/>
      <w:r>
        <w:rPr>
          <w:rFonts w:hint="eastAsia" w:ascii="宋体" w:hAnsi="宋体" w:cs="宋体"/>
          <w:b/>
          <w:color w:val="auto"/>
          <w:sz w:val="24"/>
        </w:rPr>
        <w:t>重大偏离是指实质上影响合同的招标范围、质量和性能、服务期、投标保证金等，或者实质上不满足招标文件的要求，而且限制了采购人的权力或减轻了供应商的义务。纠正或承认这些偏离将会对其他实质上投标要求的供应商合理的竞争地位产生不公正的影响。</w:t>
      </w:r>
    </w:p>
    <w:p>
      <w:pPr>
        <w:spacing w:line="360" w:lineRule="auto"/>
        <w:ind w:firstLine="482" w:firstLineChars="200"/>
        <w:outlineLvl w:val="1"/>
        <w:rPr>
          <w:rFonts w:ascii="宋体" w:hAnsi="宋体" w:cs="宋体"/>
          <w:b/>
          <w:color w:val="auto"/>
          <w:sz w:val="24"/>
        </w:rPr>
      </w:pPr>
      <w:r>
        <w:rPr>
          <w:rFonts w:hint="eastAsia" w:ascii="宋体" w:hAnsi="宋体" w:cs="宋体"/>
          <w:b/>
          <w:color w:val="auto"/>
          <w:sz w:val="24"/>
        </w:rPr>
        <w:t>31、</w:t>
      </w:r>
      <w:bookmarkEnd w:id="150"/>
      <w:bookmarkEnd w:id="151"/>
      <w:bookmarkEnd w:id="152"/>
      <w:bookmarkEnd w:id="153"/>
      <w:r>
        <w:rPr>
          <w:rFonts w:hint="eastAsia" w:ascii="宋体" w:hAnsi="宋体" w:cs="宋体"/>
          <w:b/>
          <w:color w:val="auto"/>
          <w:sz w:val="24"/>
        </w:rPr>
        <w:t>废标</w:t>
      </w:r>
    </w:p>
    <w:p>
      <w:pPr>
        <w:spacing w:line="360" w:lineRule="auto"/>
        <w:ind w:firstLine="482" w:firstLineChars="200"/>
        <w:rPr>
          <w:rFonts w:ascii="宋体" w:hAnsi="宋体" w:cs="宋体"/>
          <w:b/>
          <w:color w:val="auto"/>
          <w:sz w:val="24"/>
        </w:rPr>
      </w:pPr>
      <w:r>
        <w:rPr>
          <w:rFonts w:hint="eastAsia" w:ascii="宋体" w:hAnsi="宋体" w:cs="宋体"/>
          <w:b/>
          <w:color w:val="auto"/>
          <w:sz w:val="24"/>
        </w:rPr>
        <w:t>在招标采购中，出现下列情形之一的，应予废标：</w:t>
      </w:r>
    </w:p>
    <w:p>
      <w:pPr>
        <w:spacing w:line="360" w:lineRule="auto"/>
        <w:ind w:firstLine="482" w:firstLineChars="200"/>
        <w:rPr>
          <w:rFonts w:ascii="宋体" w:hAnsi="宋体" w:cs="宋体"/>
          <w:b/>
          <w:color w:val="auto"/>
          <w:sz w:val="24"/>
        </w:rPr>
      </w:pPr>
      <w:r>
        <w:rPr>
          <w:rFonts w:hint="eastAsia" w:ascii="宋体" w:hAnsi="宋体" w:cs="宋体"/>
          <w:b/>
          <w:color w:val="auto"/>
          <w:sz w:val="24"/>
        </w:rPr>
        <w:t>31.1符合专业条件的供应商或者对招标文件作实质响应的供应商不足三家的；</w:t>
      </w:r>
    </w:p>
    <w:p>
      <w:pPr>
        <w:spacing w:line="360" w:lineRule="auto"/>
        <w:ind w:firstLine="482" w:firstLineChars="200"/>
        <w:rPr>
          <w:rFonts w:ascii="宋体" w:hAnsi="宋体" w:cs="宋体"/>
          <w:b/>
          <w:color w:val="auto"/>
          <w:sz w:val="24"/>
        </w:rPr>
      </w:pPr>
      <w:r>
        <w:rPr>
          <w:rFonts w:hint="eastAsia" w:ascii="宋体" w:hAnsi="宋体" w:cs="宋体"/>
          <w:b/>
          <w:color w:val="auto"/>
          <w:sz w:val="24"/>
        </w:rPr>
        <w:t>31.2出现影响采购公正的违法、违规行为的；</w:t>
      </w:r>
    </w:p>
    <w:p>
      <w:pPr>
        <w:spacing w:line="360" w:lineRule="auto"/>
        <w:ind w:firstLine="482" w:firstLineChars="200"/>
        <w:rPr>
          <w:rFonts w:ascii="宋体" w:hAnsi="宋体" w:cs="宋体"/>
          <w:b/>
          <w:color w:val="auto"/>
          <w:sz w:val="24"/>
        </w:rPr>
      </w:pPr>
      <w:r>
        <w:rPr>
          <w:rFonts w:hint="eastAsia" w:ascii="宋体" w:hAnsi="宋体" w:cs="宋体"/>
          <w:b/>
          <w:color w:val="auto"/>
          <w:sz w:val="24"/>
        </w:rPr>
        <w:t>31.3供应商的报价均超过了采购预算，采购人不能支付的；</w:t>
      </w:r>
    </w:p>
    <w:p>
      <w:pPr>
        <w:spacing w:line="360" w:lineRule="auto"/>
        <w:ind w:firstLine="482" w:firstLineChars="200"/>
        <w:rPr>
          <w:rFonts w:ascii="宋体" w:hAnsi="宋体" w:cs="宋体"/>
          <w:b/>
          <w:color w:val="auto"/>
          <w:sz w:val="24"/>
        </w:rPr>
      </w:pPr>
      <w:r>
        <w:rPr>
          <w:rFonts w:hint="eastAsia" w:ascii="宋体" w:hAnsi="宋体" w:cs="宋体"/>
          <w:b/>
          <w:color w:val="auto"/>
          <w:sz w:val="24"/>
        </w:rPr>
        <w:t>31.4因重大变故，采购任务取消的；</w:t>
      </w:r>
    </w:p>
    <w:p>
      <w:pPr>
        <w:spacing w:line="360" w:lineRule="auto"/>
        <w:ind w:firstLine="482" w:firstLineChars="200"/>
        <w:rPr>
          <w:rFonts w:ascii="宋体" w:hAnsi="宋体" w:cs="宋体"/>
          <w:b/>
          <w:color w:val="auto"/>
          <w:sz w:val="24"/>
        </w:rPr>
      </w:pPr>
      <w:r>
        <w:rPr>
          <w:rFonts w:hint="eastAsia" w:ascii="宋体" w:hAnsi="宋体" w:cs="宋体"/>
          <w:b/>
          <w:color w:val="auto"/>
          <w:sz w:val="24"/>
        </w:rPr>
        <w:t>31.5《中华人民共和国政府采购法》及相关法律法规及招标文件明确规定废标的其他情形。</w:t>
      </w:r>
      <w:bookmarkStart w:id="154" w:name="_Toc243907609"/>
      <w:bookmarkStart w:id="155" w:name="_Toc233274847"/>
      <w:bookmarkStart w:id="156" w:name="_Toc243906348"/>
      <w:bookmarkStart w:id="157" w:name="_Toc245897308"/>
    </w:p>
    <w:p>
      <w:pPr>
        <w:spacing w:line="360" w:lineRule="auto"/>
        <w:ind w:firstLine="482" w:firstLineChars="200"/>
        <w:outlineLvl w:val="1"/>
        <w:rPr>
          <w:rFonts w:ascii="宋体" w:hAnsi="宋体" w:cs="宋体"/>
          <w:b/>
          <w:color w:val="auto"/>
          <w:sz w:val="24"/>
        </w:rPr>
      </w:pPr>
      <w:r>
        <w:rPr>
          <w:rFonts w:hint="eastAsia" w:ascii="宋体" w:hAnsi="宋体" w:cs="宋体"/>
          <w:b/>
          <w:color w:val="auto"/>
          <w:sz w:val="24"/>
        </w:rPr>
        <w:t>32、供应商串通投标</w:t>
      </w:r>
    </w:p>
    <w:p>
      <w:pPr>
        <w:spacing w:line="360" w:lineRule="auto"/>
        <w:ind w:firstLine="482" w:firstLineChars="200"/>
        <w:rPr>
          <w:rFonts w:ascii="宋体" w:hAnsi="宋体" w:cs="宋体"/>
          <w:b/>
          <w:color w:val="auto"/>
          <w:sz w:val="24"/>
        </w:rPr>
      </w:pPr>
      <w:r>
        <w:rPr>
          <w:rFonts w:hint="eastAsia" w:ascii="宋体" w:hAnsi="宋体" w:cs="宋体"/>
          <w:b/>
          <w:color w:val="auto"/>
          <w:sz w:val="24"/>
        </w:rPr>
        <w:t>有下列情形之一的，视为供应商串通投标，其投标无效：</w:t>
      </w:r>
    </w:p>
    <w:p>
      <w:pPr>
        <w:spacing w:line="360" w:lineRule="auto"/>
        <w:ind w:firstLine="482" w:firstLineChars="200"/>
        <w:rPr>
          <w:rFonts w:ascii="宋体" w:hAnsi="宋体" w:cs="宋体"/>
          <w:b/>
          <w:color w:val="auto"/>
          <w:sz w:val="24"/>
        </w:rPr>
      </w:pPr>
      <w:r>
        <w:rPr>
          <w:rFonts w:hint="eastAsia" w:ascii="宋体" w:hAnsi="宋体" w:cs="宋体"/>
          <w:b/>
          <w:color w:val="auto"/>
          <w:sz w:val="24"/>
        </w:rPr>
        <w:t>32.1不同供应商的响应文件由同一单位或者个人编制；</w:t>
      </w:r>
    </w:p>
    <w:p>
      <w:pPr>
        <w:spacing w:line="360" w:lineRule="auto"/>
        <w:ind w:firstLine="482" w:firstLineChars="200"/>
        <w:rPr>
          <w:rFonts w:ascii="宋体" w:hAnsi="宋体" w:cs="宋体"/>
          <w:b/>
          <w:color w:val="auto"/>
          <w:sz w:val="24"/>
        </w:rPr>
      </w:pPr>
      <w:r>
        <w:rPr>
          <w:rFonts w:hint="eastAsia" w:ascii="宋体" w:hAnsi="宋体" w:cs="宋体"/>
          <w:b/>
          <w:color w:val="auto"/>
          <w:sz w:val="24"/>
        </w:rPr>
        <w:t>32.2不同供应商委托同一单位或者个人办理投标事宜；</w:t>
      </w:r>
    </w:p>
    <w:p>
      <w:pPr>
        <w:spacing w:line="360" w:lineRule="auto"/>
        <w:ind w:firstLine="482" w:firstLineChars="200"/>
        <w:rPr>
          <w:rFonts w:ascii="宋体" w:hAnsi="宋体" w:cs="宋体"/>
          <w:b/>
          <w:color w:val="auto"/>
          <w:sz w:val="24"/>
        </w:rPr>
      </w:pPr>
      <w:r>
        <w:rPr>
          <w:rFonts w:hint="eastAsia" w:ascii="宋体" w:hAnsi="宋体" w:cs="宋体"/>
          <w:b/>
          <w:color w:val="auto"/>
          <w:sz w:val="24"/>
        </w:rPr>
        <w:t>32.3不同供应商的响应文件载明的项目管理成员或者联系人员为同一人；</w:t>
      </w:r>
    </w:p>
    <w:p>
      <w:pPr>
        <w:spacing w:line="360" w:lineRule="auto"/>
        <w:ind w:firstLine="482" w:firstLineChars="200"/>
        <w:rPr>
          <w:rFonts w:ascii="宋体" w:hAnsi="宋体" w:cs="宋体"/>
          <w:b/>
          <w:color w:val="auto"/>
          <w:sz w:val="24"/>
        </w:rPr>
      </w:pPr>
      <w:r>
        <w:rPr>
          <w:rFonts w:hint="eastAsia" w:ascii="宋体" w:hAnsi="宋体" w:cs="宋体"/>
          <w:b/>
          <w:color w:val="auto"/>
          <w:sz w:val="24"/>
        </w:rPr>
        <w:t>32.4不同供应商的响应文件异常一致或者投标报价呈规律性差异；</w:t>
      </w:r>
    </w:p>
    <w:p>
      <w:pPr>
        <w:spacing w:line="360" w:lineRule="auto"/>
        <w:ind w:firstLine="482" w:firstLineChars="200"/>
        <w:rPr>
          <w:rFonts w:ascii="宋体" w:hAnsi="宋体" w:cs="宋体"/>
          <w:b/>
          <w:color w:val="auto"/>
          <w:sz w:val="24"/>
        </w:rPr>
      </w:pPr>
      <w:r>
        <w:rPr>
          <w:rFonts w:hint="eastAsia" w:ascii="宋体" w:hAnsi="宋体" w:cs="宋体"/>
          <w:b/>
          <w:color w:val="auto"/>
          <w:sz w:val="24"/>
        </w:rPr>
        <w:t>32.5不同供应商的响应文件相互混装；</w:t>
      </w:r>
    </w:p>
    <w:p>
      <w:pPr>
        <w:spacing w:line="360" w:lineRule="auto"/>
        <w:ind w:firstLine="482" w:firstLineChars="200"/>
        <w:rPr>
          <w:rFonts w:ascii="宋体" w:hAnsi="宋体" w:cs="宋体"/>
          <w:bCs/>
          <w:color w:val="auto"/>
          <w:sz w:val="24"/>
        </w:rPr>
      </w:pPr>
      <w:r>
        <w:rPr>
          <w:rFonts w:hint="eastAsia" w:ascii="宋体" w:hAnsi="宋体" w:cs="宋体"/>
          <w:b/>
          <w:color w:val="auto"/>
          <w:sz w:val="24"/>
        </w:rPr>
        <w:t>32.6不同供应商的投标保证金从同一单位或者个人的账户转出。</w:t>
      </w:r>
    </w:p>
    <w:p>
      <w:pPr>
        <w:spacing w:line="360" w:lineRule="auto"/>
        <w:ind w:firstLine="482" w:firstLineChars="200"/>
        <w:outlineLvl w:val="1"/>
        <w:rPr>
          <w:rFonts w:ascii="宋体" w:hAnsi="宋体" w:cs="宋体"/>
          <w:b/>
          <w:color w:val="auto"/>
          <w:sz w:val="24"/>
        </w:rPr>
      </w:pPr>
      <w:r>
        <w:rPr>
          <w:rFonts w:hint="eastAsia" w:ascii="宋体" w:hAnsi="宋体" w:cs="宋体"/>
          <w:b/>
          <w:color w:val="auto"/>
          <w:sz w:val="24"/>
        </w:rPr>
        <w:t>33、投标无效：供应商存在下列情况之一的，其投标无效:</w:t>
      </w:r>
    </w:p>
    <w:p>
      <w:pPr>
        <w:spacing w:line="360" w:lineRule="auto"/>
        <w:ind w:firstLine="482" w:firstLineChars="200"/>
        <w:outlineLvl w:val="1"/>
        <w:rPr>
          <w:rFonts w:ascii="宋体" w:hAnsi="宋体" w:cs="宋体"/>
          <w:b/>
          <w:color w:val="auto"/>
          <w:sz w:val="24"/>
        </w:rPr>
      </w:pPr>
      <w:r>
        <w:rPr>
          <w:rFonts w:hint="eastAsia" w:ascii="宋体" w:hAnsi="宋体" w:cs="宋体"/>
          <w:b/>
          <w:color w:val="auto"/>
          <w:sz w:val="24"/>
        </w:rPr>
        <w:t>33.1未按照招标文件的规定提交投标保证金的；</w:t>
      </w:r>
    </w:p>
    <w:p>
      <w:pPr>
        <w:spacing w:line="360" w:lineRule="auto"/>
        <w:ind w:firstLine="482" w:firstLineChars="200"/>
        <w:outlineLvl w:val="1"/>
        <w:rPr>
          <w:rFonts w:ascii="宋体" w:hAnsi="宋体" w:cs="宋体"/>
          <w:b/>
          <w:color w:val="auto"/>
          <w:sz w:val="24"/>
        </w:rPr>
      </w:pPr>
      <w:r>
        <w:rPr>
          <w:rFonts w:hint="eastAsia" w:ascii="宋体" w:hAnsi="宋体" w:cs="宋体"/>
          <w:b/>
          <w:color w:val="auto"/>
          <w:sz w:val="24"/>
        </w:rPr>
        <w:t>33.2响应文件未按招标文件要求签署、盖章的；</w:t>
      </w:r>
    </w:p>
    <w:p>
      <w:pPr>
        <w:spacing w:line="360" w:lineRule="auto"/>
        <w:ind w:firstLine="482" w:firstLineChars="200"/>
        <w:outlineLvl w:val="1"/>
        <w:rPr>
          <w:rFonts w:ascii="宋体" w:hAnsi="宋体" w:cs="宋体"/>
          <w:b/>
          <w:color w:val="auto"/>
          <w:sz w:val="24"/>
        </w:rPr>
      </w:pPr>
      <w:r>
        <w:rPr>
          <w:rFonts w:hint="eastAsia" w:ascii="宋体" w:hAnsi="宋体" w:cs="宋体"/>
          <w:b/>
          <w:color w:val="auto"/>
          <w:sz w:val="24"/>
        </w:rPr>
        <w:t>33.3不具备招标文件中规定的资格要求的；</w:t>
      </w:r>
    </w:p>
    <w:p>
      <w:pPr>
        <w:spacing w:line="360" w:lineRule="auto"/>
        <w:ind w:firstLine="482" w:firstLineChars="200"/>
        <w:outlineLvl w:val="1"/>
        <w:rPr>
          <w:rFonts w:ascii="宋体" w:hAnsi="宋体" w:cs="宋体"/>
          <w:b/>
          <w:color w:val="auto"/>
          <w:sz w:val="24"/>
        </w:rPr>
      </w:pPr>
      <w:r>
        <w:rPr>
          <w:rFonts w:hint="eastAsia" w:ascii="宋体" w:hAnsi="宋体" w:cs="宋体"/>
          <w:b/>
          <w:color w:val="auto"/>
          <w:sz w:val="24"/>
        </w:rPr>
        <w:t>33.4报价超过招标文件中规定的预算金额或者最高限价的；</w:t>
      </w:r>
    </w:p>
    <w:p>
      <w:pPr>
        <w:spacing w:line="360" w:lineRule="auto"/>
        <w:ind w:firstLine="482" w:firstLineChars="200"/>
        <w:outlineLvl w:val="1"/>
        <w:rPr>
          <w:rFonts w:ascii="宋体" w:hAnsi="宋体" w:cs="宋体"/>
          <w:b/>
          <w:color w:val="auto"/>
          <w:sz w:val="24"/>
        </w:rPr>
      </w:pPr>
      <w:r>
        <w:rPr>
          <w:rFonts w:hint="eastAsia" w:ascii="宋体" w:hAnsi="宋体" w:cs="宋体"/>
          <w:b/>
          <w:color w:val="auto"/>
          <w:sz w:val="24"/>
        </w:rPr>
        <w:t>33.5响应文件含有采购人不能接受的附加条件的;</w:t>
      </w:r>
    </w:p>
    <w:p>
      <w:pPr>
        <w:spacing w:line="360" w:lineRule="auto"/>
        <w:ind w:firstLine="482" w:firstLineChars="200"/>
        <w:outlineLvl w:val="1"/>
        <w:rPr>
          <w:rFonts w:ascii="宋体" w:hAnsi="宋体" w:cs="宋体"/>
          <w:b/>
          <w:color w:val="auto"/>
          <w:sz w:val="24"/>
        </w:rPr>
      </w:pPr>
      <w:r>
        <w:rPr>
          <w:rFonts w:hint="eastAsia" w:ascii="宋体" w:hAnsi="宋体" w:cs="宋体"/>
          <w:b/>
          <w:color w:val="auto"/>
          <w:sz w:val="24"/>
        </w:rPr>
        <w:t>33.6《中华人民共和国政府采购法》、《中华人民共和国政府采购法实施条例》、《政府采购货物和服务招标投标管理办法》及相关法律法规及招标文件明确规定可以作无效响应文件的其他情形。</w:t>
      </w:r>
    </w:p>
    <w:p>
      <w:pPr>
        <w:spacing w:line="360" w:lineRule="auto"/>
        <w:ind w:firstLine="482" w:firstLineChars="200"/>
        <w:outlineLvl w:val="1"/>
        <w:rPr>
          <w:rFonts w:ascii="宋体" w:hAnsi="宋体" w:cs="宋体"/>
          <w:b/>
          <w:color w:val="auto"/>
          <w:sz w:val="24"/>
        </w:rPr>
      </w:pPr>
      <w:r>
        <w:rPr>
          <w:rFonts w:hint="eastAsia" w:ascii="宋体" w:hAnsi="宋体" w:cs="宋体"/>
          <w:b/>
          <w:color w:val="auto"/>
          <w:sz w:val="24"/>
        </w:rPr>
        <w:t>34、</w:t>
      </w:r>
      <w:bookmarkEnd w:id="154"/>
      <w:bookmarkEnd w:id="155"/>
      <w:bookmarkEnd w:id="156"/>
      <w:bookmarkEnd w:id="157"/>
      <w:r>
        <w:rPr>
          <w:rFonts w:hint="eastAsia" w:ascii="宋体" w:hAnsi="宋体" w:cs="宋体"/>
          <w:b/>
          <w:color w:val="auto"/>
          <w:sz w:val="24"/>
        </w:rPr>
        <w:t>评标方法</w:t>
      </w:r>
    </w:p>
    <w:bookmarkEnd w:id="146"/>
    <w:bookmarkEnd w:id="147"/>
    <w:bookmarkEnd w:id="148"/>
    <w:bookmarkEnd w:id="149"/>
    <w:p>
      <w:pPr>
        <w:spacing w:line="360" w:lineRule="auto"/>
        <w:ind w:firstLine="482" w:firstLineChars="200"/>
        <w:rPr>
          <w:rFonts w:ascii="宋体" w:hAnsi="宋体" w:cs="宋体"/>
          <w:b/>
          <w:color w:val="auto"/>
          <w:sz w:val="24"/>
        </w:rPr>
      </w:pPr>
      <w:r>
        <w:rPr>
          <w:rFonts w:hint="eastAsia" w:ascii="宋体" w:hAnsi="宋体" w:cs="宋体"/>
          <w:b/>
          <w:color w:val="auto"/>
          <w:sz w:val="24"/>
        </w:rPr>
        <w:t>34.1本项目评审采用综合评分法，并严格按照招标文件的要求和条件进行。</w:t>
      </w:r>
    </w:p>
    <w:p>
      <w:pPr>
        <w:spacing w:line="450" w:lineRule="exact"/>
        <w:ind w:firstLine="482" w:firstLineChars="200"/>
        <w:outlineLvl w:val="1"/>
        <w:rPr>
          <w:rFonts w:ascii="宋体" w:hAnsi="宋体" w:cs="宋体"/>
          <w:b/>
          <w:color w:val="auto"/>
          <w:sz w:val="24"/>
        </w:rPr>
      </w:pPr>
      <w:r>
        <w:rPr>
          <w:rFonts w:hint="eastAsia" w:ascii="宋体" w:hAnsi="宋体" w:cs="宋体"/>
          <w:b/>
          <w:color w:val="auto"/>
          <w:sz w:val="24"/>
        </w:rPr>
        <w:t>34.2 信用查询</w:t>
      </w:r>
    </w:p>
    <w:p>
      <w:pPr>
        <w:spacing w:line="450" w:lineRule="exact"/>
        <w:ind w:firstLine="482" w:firstLineChars="200"/>
        <w:outlineLvl w:val="1"/>
        <w:rPr>
          <w:rFonts w:ascii="宋体" w:hAnsi="宋体" w:cs="宋体"/>
          <w:b/>
          <w:color w:val="auto"/>
          <w:sz w:val="24"/>
        </w:rPr>
      </w:pPr>
      <w:r>
        <w:rPr>
          <w:rFonts w:hint="eastAsia" w:ascii="宋体" w:hAnsi="宋体" w:cs="宋体"/>
          <w:b/>
          <w:color w:val="auto"/>
          <w:sz w:val="24"/>
        </w:rPr>
        <w:t xml:space="preserve">34.2.1按照《财政部关于在政府采购活动中查询及使用信用记录有关问题的通知》（财 </w:t>
      </w:r>
    </w:p>
    <w:p>
      <w:pPr>
        <w:spacing w:line="450" w:lineRule="exact"/>
        <w:ind w:firstLine="482" w:firstLineChars="200"/>
        <w:outlineLvl w:val="1"/>
        <w:rPr>
          <w:rFonts w:ascii="宋体" w:hAnsi="宋体" w:cs="宋体"/>
          <w:b/>
          <w:color w:val="auto"/>
          <w:sz w:val="24"/>
        </w:rPr>
      </w:pPr>
      <w:r>
        <w:rPr>
          <w:rFonts w:hint="eastAsia" w:ascii="宋体" w:hAnsi="宋体" w:cs="宋体"/>
          <w:b/>
          <w:color w:val="auto"/>
          <w:sz w:val="24"/>
        </w:rPr>
        <w:t xml:space="preserve">库〔2016〕125 号）的要求，根据开标当日“信用中国”网站（www.creditchina.gov.cn）、 </w:t>
      </w:r>
    </w:p>
    <w:p>
      <w:pPr>
        <w:spacing w:line="450" w:lineRule="exact"/>
        <w:outlineLvl w:val="1"/>
        <w:rPr>
          <w:rFonts w:ascii="宋体" w:hAnsi="宋体" w:cs="宋体"/>
          <w:b/>
          <w:color w:val="auto"/>
          <w:sz w:val="24"/>
        </w:rPr>
      </w:pPr>
      <w:r>
        <w:rPr>
          <w:rFonts w:hint="eastAsia" w:ascii="宋体" w:hAnsi="宋体" w:cs="宋体"/>
          <w:b/>
          <w:color w:val="auto"/>
          <w:sz w:val="24"/>
        </w:rPr>
        <w:t xml:space="preserve">中国政府采购网（www.ccgp.gov.cn）的信息，对列入失信被执行人、重大税收违法案件当事 </w:t>
      </w:r>
    </w:p>
    <w:p>
      <w:pPr>
        <w:spacing w:line="450" w:lineRule="exact"/>
        <w:outlineLvl w:val="1"/>
        <w:rPr>
          <w:rFonts w:ascii="宋体" w:hAnsi="宋体" w:cs="宋体"/>
          <w:b/>
          <w:color w:val="auto"/>
          <w:sz w:val="24"/>
        </w:rPr>
      </w:pPr>
      <w:r>
        <w:rPr>
          <w:rFonts w:hint="eastAsia" w:ascii="宋体" w:hAnsi="宋体" w:cs="宋体"/>
          <w:b/>
          <w:color w:val="auto"/>
          <w:sz w:val="24"/>
        </w:rPr>
        <w:t xml:space="preserve">人名单、政府采购严重违法失信行为记录名单及其他不符合《中华人民共和国政府采购法》 </w:t>
      </w:r>
    </w:p>
    <w:p>
      <w:pPr>
        <w:spacing w:line="450" w:lineRule="exact"/>
        <w:outlineLvl w:val="1"/>
        <w:rPr>
          <w:rFonts w:ascii="宋体" w:hAnsi="宋体" w:cs="宋体"/>
          <w:b/>
          <w:color w:val="auto"/>
          <w:sz w:val="24"/>
        </w:rPr>
      </w:pPr>
      <w:r>
        <w:rPr>
          <w:rFonts w:hint="eastAsia" w:ascii="宋体" w:hAnsi="宋体" w:cs="宋体"/>
          <w:b/>
          <w:color w:val="auto"/>
          <w:sz w:val="24"/>
        </w:rPr>
        <w:t xml:space="preserve">第二十二条规定条件的供应商，拒绝参与政府采购活动，同时对信用信息查询记录和证据进 </w:t>
      </w:r>
    </w:p>
    <w:p>
      <w:pPr>
        <w:spacing w:line="450" w:lineRule="exact"/>
        <w:outlineLvl w:val="1"/>
        <w:rPr>
          <w:rFonts w:ascii="宋体" w:hAnsi="宋体" w:cs="宋体"/>
          <w:b/>
          <w:color w:val="auto"/>
          <w:sz w:val="24"/>
        </w:rPr>
      </w:pPr>
      <w:r>
        <w:rPr>
          <w:rFonts w:hint="eastAsia" w:ascii="宋体" w:hAnsi="宋体" w:cs="宋体"/>
          <w:b/>
          <w:color w:val="auto"/>
          <w:sz w:val="24"/>
        </w:rPr>
        <w:t>行打印存档。</w:t>
      </w:r>
    </w:p>
    <w:p>
      <w:pPr>
        <w:spacing w:line="450" w:lineRule="exact"/>
        <w:ind w:firstLine="482" w:firstLineChars="200"/>
        <w:outlineLvl w:val="1"/>
        <w:rPr>
          <w:rFonts w:ascii="宋体" w:hAnsi="宋体" w:cs="宋体"/>
          <w:b/>
          <w:color w:val="auto"/>
          <w:sz w:val="24"/>
        </w:rPr>
      </w:pPr>
      <w:r>
        <w:rPr>
          <w:rFonts w:hint="eastAsia" w:ascii="宋体" w:hAnsi="宋体" w:cs="宋体"/>
          <w:b/>
          <w:color w:val="auto"/>
          <w:sz w:val="24"/>
        </w:rPr>
        <w:t>34.2.2 登录“中国执行信息公开网”（网址：shixin.court.gov.cn）失信被执行人名单库查询。（如查询到该公司信息，说明该公司为失信被执行人），拒绝参与政府采购活动，同时对信用信息查询记录和证据进行打印存档。</w:t>
      </w:r>
    </w:p>
    <w:p>
      <w:pPr>
        <w:spacing w:line="450" w:lineRule="exact"/>
        <w:ind w:firstLine="480" w:firstLineChars="200"/>
        <w:outlineLvl w:val="1"/>
        <w:rPr>
          <w:rFonts w:ascii="宋体" w:hAnsi="宋体" w:cs="宋体"/>
          <w:b/>
          <w:color w:val="auto"/>
          <w:sz w:val="24"/>
        </w:rPr>
      </w:pPr>
      <w:r>
        <w:rPr>
          <w:rFonts w:hint="eastAsia" w:ascii="宋体" w:hAnsi="宋体" w:cs="宋体"/>
          <w:bCs/>
          <w:color w:val="auto"/>
          <w:sz w:val="24"/>
        </w:rPr>
        <w:t>34.3</w:t>
      </w:r>
      <w:r>
        <w:rPr>
          <w:rFonts w:hint="eastAsia" w:ascii="宋体" w:hAnsi="宋体" w:cs="宋体"/>
          <w:b/>
          <w:color w:val="auto"/>
          <w:sz w:val="24"/>
        </w:rPr>
        <w:t xml:space="preserve">响应文件初审。初审分为资格性审查和符合性审查。响应文件初审由评标小组根据 </w:t>
      </w:r>
    </w:p>
    <w:p>
      <w:pPr>
        <w:spacing w:line="450" w:lineRule="exact"/>
        <w:outlineLvl w:val="1"/>
        <w:rPr>
          <w:rFonts w:ascii="宋体" w:hAnsi="宋体" w:cs="宋体"/>
          <w:b/>
          <w:color w:val="auto"/>
          <w:sz w:val="24"/>
        </w:rPr>
      </w:pPr>
      <w:r>
        <w:rPr>
          <w:rFonts w:hint="eastAsia" w:ascii="宋体" w:hAnsi="宋体" w:cs="宋体"/>
          <w:b/>
          <w:color w:val="auto"/>
          <w:sz w:val="24"/>
        </w:rPr>
        <w:t xml:space="preserve">各供应商响应文件进行评审，初审内容详见第六章“评审标准（综合评分法）。未通过初审的供应商其响应文件按照无效响应文件处理。 </w:t>
      </w:r>
    </w:p>
    <w:p>
      <w:pPr>
        <w:spacing w:line="450" w:lineRule="exact"/>
        <w:ind w:firstLine="482" w:firstLineChars="200"/>
        <w:outlineLvl w:val="1"/>
        <w:rPr>
          <w:rFonts w:ascii="宋体" w:hAnsi="宋体" w:cs="宋体"/>
          <w:b/>
          <w:color w:val="auto"/>
          <w:sz w:val="24"/>
        </w:rPr>
      </w:pPr>
      <w:r>
        <w:rPr>
          <w:rFonts w:hint="eastAsia" w:ascii="宋体" w:hAnsi="宋体" w:cs="宋体"/>
          <w:b/>
          <w:color w:val="auto"/>
          <w:sz w:val="24"/>
        </w:rPr>
        <w:t xml:space="preserve">34.3.1 资格性检查。依据法律法规和招标文件的规定，对响应文件中的资格条件等进行 </w:t>
      </w:r>
    </w:p>
    <w:p>
      <w:pPr>
        <w:spacing w:line="450" w:lineRule="exact"/>
        <w:outlineLvl w:val="1"/>
        <w:rPr>
          <w:rFonts w:ascii="宋体" w:hAnsi="宋体" w:cs="宋体"/>
          <w:b/>
          <w:color w:val="auto"/>
          <w:sz w:val="24"/>
        </w:rPr>
      </w:pPr>
      <w:r>
        <w:rPr>
          <w:rFonts w:hint="eastAsia" w:ascii="宋体" w:hAnsi="宋体" w:cs="宋体"/>
          <w:b/>
          <w:color w:val="auto"/>
          <w:sz w:val="24"/>
        </w:rPr>
        <w:t xml:space="preserve">审查，以确定供应商是否具备招标资格。 </w:t>
      </w:r>
    </w:p>
    <w:p>
      <w:pPr>
        <w:spacing w:line="450" w:lineRule="exact"/>
        <w:ind w:firstLine="482" w:firstLineChars="200"/>
        <w:outlineLvl w:val="1"/>
        <w:rPr>
          <w:rFonts w:ascii="宋体" w:hAnsi="宋体" w:cs="宋体"/>
          <w:b/>
          <w:color w:val="auto"/>
          <w:sz w:val="24"/>
        </w:rPr>
      </w:pPr>
      <w:r>
        <w:rPr>
          <w:rFonts w:hint="eastAsia" w:ascii="宋体" w:hAnsi="宋体" w:cs="宋体"/>
          <w:b/>
          <w:color w:val="auto"/>
          <w:sz w:val="24"/>
        </w:rPr>
        <w:t xml:space="preserve">34.3.2 符合性检查。依据招标文件的规定，从响应文件的有效性、完整性和对招标文件 </w:t>
      </w:r>
    </w:p>
    <w:p>
      <w:pPr>
        <w:spacing w:line="450" w:lineRule="exact"/>
        <w:outlineLvl w:val="1"/>
        <w:rPr>
          <w:rFonts w:ascii="宋体" w:hAnsi="宋体" w:cs="宋体"/>
          <w:b/>
          <w:color w:val="auto"/>
          <w:sz w:val="24"/>
        </w:rPr>
      </w:pPr>
      <w:r>
        <w:rPr>
          <w:rFonts w:hint="eastAsia" w:ascii="宋体" w:hAnsi="宋体" w:cs="宋体"/>
          <w:b/>
          <w:color w:val="auto"/>
          <w:sz w:val="24"/>
        </w:rPr>
        <w:t>的响应程度进行审查，以确定是否对招标文件的实质性要求作出响应。</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34.3.2.1澄清有关问题。对响应文件中含义不明确、同类问题表述不一致或者有明显文字和计算错误的内容，评标委员会可以书面形式要求供应商作出必要的澄清、说明或者纠正。</w:t>
      </w:r>
    </w:p>
    <w:p>
      <w:pPr>
        <w:pStyle w:val="13"/>
        <w:spacing w:line="360" w:lineRule="auto"/>
        <w:ind w:firstLine="480" w:firstLineChars="200"/>
        <w:rPr>
          <w:rFonts w:hAnsi="宋体" w:cs="宋体"/>
          <w:bCs/>
          <w:color w:val="auto"/>
          <w:sz w:val="24"/>
          <w:szCs w:val="24"/>
        </w:rPr>
      </w:pPr>
      <w:r>
        <w:rPr>
          <w:rFonts w:hint="eastAsia" w:hAnsi="宋体" w:cs="宋体"/>
          <w:bCs/>
          <w:color w:val="auto"/>
          <w:sz w:val="24"/>
          <w:szCs w:val="24"/>
        </w:rPr>
        <w:t>34.4比较与评价。评标委员会应当按照招标文件中规定的评标方法和标准，对符合性审查合格的响应文件进行商务和技术评估，综合比较与评价。</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34.5综合评分法是指响应文件满足招标文件全部实质性要求，且按照评审因素的量化指标评审得分最高的供应商为中标候选人的评标方法。</w:t>
      </w:r>
    </w:p>
    <w:p>
      <w:pPr>
        <w:spacing w:line="360" w:lineRule="auto"/>
        <w:ind w:firstLine="482" w:firstLineChars="200"/>
        <w:rPr>
          <w:rFonts w:ascii="宋体" w:hAnsi="宋体" w:cs="宋体"/>
          <w:b/>
          <w:color w:val="auto"/>
          <w:sz w:val="24"/>
        </w:rPr>
      </w:pPr>
      <w:r>
        <w:rPr>
          <w:rFonts w:hint="eastAsia" w:ascii="宋体" w:hAnsi="宋体" w:cs="宋体"/>
          <w:b/>
          <w:color w:val="auto"/>
          <w:sz w:val="24"/>
        </w:rPr>
        <w:t>34.6评标分值：总分值为100分，其中价格部分分值为30分，其他部分分值为70分。具体评标方法详本招标文件第六章“评标方法（综合评分法）”。总分值为100分，其中价格部分分值为20分，其他部分分值为80分。具体评标方法详本招标文件第六章“评标方法（综合评分法）”</w:t>
      </w:r>
    </w:p>
    <w:p>
      <w:pPr>
        <w:spacing w:line="360" w:lineRule="auto"/>
        <w:ind w:firstLine="480" w:firstLineChars="200"/>
        <w:rPr>
          <w:rFonts w:ascii="宋体" w:hAnsi="宋体" w:cs="宋体"/>
          <w:color w:val="auto"/>
          <w:sz w:val="24"/>
        </w:rPr>
      </w:pPr>
      <w:r>
        <w:rPr>
          <w:rFonts w:hint="eastAsia" w:ascii="宋体" w:hAnsi="宋体" w:cs="宋体"/>
          <w:color w:val="auto"/>
          <w:sz w:val="24"/>
        </w:rPr>
        <w:t>34.7商务报价错误的修正</w:t>
      </w:r>
    </w:p>
    <w:p>
      <w:pPr>
        <w:spacing w:line="360" w:lineRule="auto"/>
        <w:ind w:firstLine="480" w:firstLineChars="200"/>
        <w:rPr>
          <w:rFonts w:ascii="宋体" w:hAnsi="宋体" w:cs="宋体"/>
          <w:color w:val="auto"/>
          <w:sz w:val="24"/>
        </w:rPr>
      </w:pPr>
      <w:r>
        <w:rPr>
          <w:rFonts w:hint="eastAsia" w:ascii="宋体" w:hAnsi="宋体" w:cs="宋体"/>
          <w:color w:val="auto"/>
          <w:sz w:val="24"/>
        </w:rPr>
        <w:t>34.7.1如果发现商务报价存在计算或表达上错误，则按下列原则进行修正：</w:t>
      </w:r>
    </w:p>
    <w:p>
      <w:pPr>
        <w:spacing w:line="360" w:lineRule="auto"/>
        <w:ind w:firstLine="480" w:firstLineChars="200"/>
        <w:rPr>
          <w:rFonts w:ascii="宋体" w:hAnsi="宋体" w:cs="宋体"/>
          <w:color w:val="auto"/>
          <w:sz w:val="24"/>
        </w:rPr>
      </w:pPr>
      <w:r>
        <w:rPr>
          <w:rFonts w:hint="eastAsia" w:ascii="宋体" w:hAnsi="宋体" w:cs="宋体"/>
          <w:color w:val="auto"/>
          <w:sz w:val="24"/>
        </w:rPr>
        <w:t>（1）开标时，响应文件中开标一览表(报价表)内容与响应文件中明细表内容不一致的，以开标一览表(报价表)为准。</w:t>
      </w:r>
    </w:p>
    <w:p>
      <w:pPr>
        <w:spacing w:line="360" w:lineRule="auto"/>
        <w:ind w:firstLine="480" w:firstLineChars="200"/>
        <w:rPr>
          <w:rFonts w:ascii="宋体" w:hAnsi="宋体" w:cs="宋体"/>
          <w:color w:val="auto"/>
          <w:sz w:val="24"/>
        </w:rPr>
      </w:pPr>
      <w:bookmarkStart w:id="158" w:name="_Toc224624767"/>
      <w:bookmarkStart w:id="159" w:name="_Toc243907606"/>
      <w:bookmarkStart w:id="160" w:name="_Toc224623451"/>
      <w:bookmarkStart w:id="161" w:name="_Toc224623557"/>
      <w:bookmarkStart w:id="162" w:name="_Toc224620150"/>
      <w:bookmarkStart w:id="163" w:name="_Toc224622928"/>
      <w:bookmarkStart w:id="164" w:name="_Toc224624488"/>
      <w:bookmarkStart w:id="165" w:name="_Toc243906345"/>
      <w:bookmarkStart w:id="166" w:name="_Toc245897305"/>
      <w:bookmarkStart w:id="167" w:name="_Toc224623663"/>
      <w:bookmarkStart w:id="168" w:name="_Toc224620071"/>
      <w:bookmarkStart w:id="169" w:name="_Toc224624628"/>
      <w:r>
        <w:rPr>
          <w:rFonts w:hint="eastAsia" w:ascii="宋体" w:hAnsi="宋体" w:cs="宋体"/>
          <w:color w:val="auto"/>
          <w:sz w:val="24"/>
        </w:rPr>
        <w:t>（2）响应文件的大写金额和小写金额不一致的，以大写金额为准；</w:t>
      </w:r>
    </w:p>
    <w:p>
      <w:pPr>
        <w:spacing w:line="360" w:lineRule="auto"/>
        <w:ind w:firstLine="480" w:firstLineChars="200"/>
        <w:rPr>
          <w:rFonts w:ascii="宋体" w:hAnsi="宋体" w:cs="宋体"/>
          <w:color w:val="auto"/>
          <w:sz w:val="24"/>
        </w:rPr>
      </w:pPr>
      <w:r>
        <w:rPr>
          <w:rFonts w:hint="eastAsia" w:ascii="宋体" w:hAnsi="宋体" w:cs="宋体"/>
          <w:color w:val="auto"/>
          <w:sz w:val="24"/>
        </w:rPr>
        <w:t>（3）总价金额与按单价汇总金额不一致的，以单价金额计算结果为准；单价金额小数点或者百分比有明显错位的，以开标一览表的总价为准，并修改单价；对不同文字文本响应文件的解释发生异议的，以中文文本为准。</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34.7.2同时出现两种以上不一致的，按照前款规定的顺序修正。修正后的报价按照财政部公布第87号令 《政府采购货物和服务招标投标管理办法》第五十一条第二款的规定经供应商确认后产生约束力，供应商不确认的，其投标无效。</w:t>
      </w:r>
    </w:p>
    <w:bookmarkEnd w:id="158"/>
    <w:bookmarkEnd w:id="159"/>
    <w:bookmarkEnd w:id="160"/>
    <w:bookmarkEnd w:id="161"/>
    <w:bookmarkEnd w:id="162"/>
    <w:bookmarkEnd w:id="163"/>
    <w:bookmarkEnd w:id="164"/>
    <w:bookmarkEnd w:id="165"/>
    <w:bookmarkEnd w:id="166"/>
    <w:bookmarkEnd w:id="167"/>
    <w:bookmarkEnd w:id="168"/>
    <w:bookmarkEnd w:id="169"/>
    <w:p>
      <w:pPr>
        <w:spacing w:line="360" w:lineRule="auto"/>
        <w:ind w:firstLine="482" w:firstLineChars="200"/>
        <w:outlineLvl w:val="1"/>
        <w:rPr>
          <w:rFonts w:ascii="宋体" w:hAnsi="宋体" w:cs="宋体"/>
          <w:b/>
          <w:bCs/>
          <w:color w:val="auto"/>
          <w:sz w:val="24"/>
        </w:rPr>
      </w:pPr>
      <w:r>
        <w:rPr>
          <w:rFonts w:hint="eastAsia" w:ascii="宋体" w:hAnsi="宋体" w:cs="宋体"/>
          <w:b/>
          <w:bCs/>
          <w:color w:val="auto"/>
          <w:sz w:val="24"/>
        </w:rPr>
        <w:t>34.8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line="360" w:lineRule="auto"/>
        <w:ind w:firstLine="482" w:firstLineChars="200"/>
        <w:rPr>
          <w:rFonts w:ascii="宋体" w:hAnsi="宋体" w:cs="宋体"/>
          <w:b/>
          <w:color w:val="auto"/>
          <w:sz w:val="24"/>
        </w:rPr>
      </w:pPr>
      <w:r>
        <w:rPr>
          <w:rFonts w:hint="eastAsia" w:ascii="宋体" w:hAnsi="宋体" w:cs="宋体"/>
          <w:b/>
          <w:color w:val="auto"/>
          <w:sz w:val="24"/>
        </w:rPr>
        <w:t>35、推荐成交候选供应商</w:t>
      </w:r>
    </w:p>
    <w:p>
      <w:pPr>
        <w:spacing w:line="360" w:lineRule="auto"/>
        <w:ind w:firstLine="482" w:firstLineChars="200"/>
        <w:outlineLvl w:val="1"/>
        <w:rPr>
          <w:rFonts w:ascii="宋体" w:hAnsi="宋体" w:cs="宋体"/>
          <w:b/>
          <w:color w:val="auto"/>
          <w:sz w:val="24"/>
        </w:rPr>
      </w:pPr>
      <w:r>
        <w:rPr>
          <w:rFonts w:hint="eastAsia" w:ascii="宋体" w:hAnsi="宋体" w:cs="宋体"/>
          <w:b/>
          <w:color w:val="auto"/>
          <w:sz w:val="24"/>
        </w:rPr>
        <w:t>35.1各供应商的综合得分由高至低排序，综合得分排列前3名的供应商被推荐为成交候选供应商。综合得分相同的，则按照投标报价由低到高的顺序推荐；如综合得分且投标报价均相同，则按其他部分得分由高至低顺序推荐，如出现综合评审得分、投标报价且其他部分得分也均相同时，则由评标委员会投票确定其排序。</w:t>
      </w:r>
    </w:p>
    <w:p>
      <w:pPr>
        <w:spacing w:line="360" w:lineRule="auto"/>
        <w:ind w:firstLine="482" w:firstLineChars="200"/>
        <w:rPr>
          <w:rFonts w:ascii="宋体" w:hAnsi="宋体" w:cs="宋体"/>
          <w:b/>
          <w:color w:val="auto"/>
          <w:sz w:val="24"/>
        </w:rPr>
      </w:pPr>
      <w:r>
        <w:rPr>
          <w:rFonts w:hint="eastAsia" w:ascii="宋体" w:hAnsi="宋体" w:cs="宋体"/>
          <w:b/>
          <w:color w:val="auto"/>
          <w:sz w:val="24"/>
        </w:rPr>
        <w:t>注：1.评分计算保留两位小数，第三位小数四舍五入。</w:t>
      </w:r>
    </w:p>
    <w:p>
      <w:pPr>
        <w:spacing w:line="360" w:lineRule="auto"/>
        <w:ind w:firstLine="482" w:firstLineChars="200"/>
        <w:rPr>
          <w:rFonts w:ascii="宋体" w:hAnsi="宋体" w:cs="宋体"/>
          <w:b/>
          <w:color w:val="auto"/>
          <w:sz w:val="24"/>
        </w:rPr>
      </w:pPr>
      <w:r>
        <w:rPr>
          <w:rFonts w:hint="eastAsia" w:ascii="宋体" w:hAnsi="宋体" w:cs="宋体"/>
          <w:b/>
          <w:color w:val="auto"/>
          <w:sz w:val="24"/>
        </w:rPr>
        <w:t>35.2评标委员会评审专家复核。评标小组评分汇总结束后，评标小组应当进行评审复核，对拟推荐为成交候选供应商的、供应商资格审查未通过的、供应商响应文件作无效处理的重点复核。</w:t>
      </w:r>
    </w:p>
    <w:p>
      <w:pPr>
        <w:spacing w:line="360" w:lineRule="auto"/>
        <w:ind w:firstLine="482" w:firstLineChars="200"/>
        <w:rPr>
          <w:rFonts w:ascii="宋体" w:hAnsi="宋体" w:cs="宋体"/>
          <w:b/>
          <w:color w:val="auto"/>
          <w:sz w:val="24"/>
        </w:rPr>
      </w:pPr>
      <w:r>
        <w:rPr>
          <w:rFonts w:hint="eastAsia" w:ascii="宋体" w:hAnsi="宋体" w:cs="宋体"/>
          <w:b/>
          <w:color w:val="auto"/>
          <w:sz w:val="24"/>
        </w:rPr>
        <w:t>36、</w:t>
      </w:r>
      <w:r>
        <w:rPr>
          <w:rFonts w:hint="eastAsia" w:ascii="宋体" w:hAnsi="宋体" w:cs="宋体"/>
          <w:b/>
          <w:color w:val="auto"/>
          <w:sz w:val="24"/>
          <w:szCs w:val="20"/>
        </w:rPr>
        <w:t>确定</w:t>
      </w:r>
      <w:r>
        <w:rPr>
          <w:rFonts w:hint="eastAsia" w:ascii="宋体" w:hAnsi="宋体" w:cs="宋体"/>
          <w:b/>
          <w:color w:val="auto"/>
          <w:sz w:val="24"/>
        </w:rPr>
        <w:t>成交供应商</w:t>
      </w:r>
    </w:p>
    <w:p>
      <w:pPr>
        <w:spacing w:line="360" w:lineRule="auto"/>
        <w:ind w:firstLine="482" w:firstLineChars="200"/>
        <w:rPr>
          <w:rFonts w:ascii="宋体" w:hAnsi="宋体" w:cs="宋体"/>
          <w:b/>
          <w:color w:val="auto"/>
          <w:sz w:val="24"/>
          <w:szCs w:val="20"/>
        </w:rPr>
      </w:pPr>
      <w:bookmarkStart w:id="170" w:name="_Toc243907611"/>
      <w:bookmarkStart w:id="171" w:name="_Toc245897310"/>
      <w:bookmarkStart w:id="172" w:name="_Toc233274849"/>
      <w:bookmarkStart w:id="173" w:name="_Toc243906350"/>
      <w:r>
        <w:rPr>
          <w:rFonts w:hint="eastAsia" w:ascii="宋体" w:hAnsi="宋体" w:cs="宋体"/>
          <w:b/>
          <w:color w:val="auto"/>
          <w:sz w:val="24"/>
          <w:szCs w:val="20"/>
        </w:rPr>
        <w:t>36.1采购代理机构应当在评标结束后2个工作日内将评标报告送采购人确认。</w:t>
      </w:r>
    </w:p>
    <w:p>
      <w:pPr>
        <w:spacing w:line="360" w:lineRule="auto"/>
        <w:ind w:firstLine="482" w:firstLineChars="200"/>
        <w:rPr>
          <w:rFonts w:ascii="宋体" w:hAnsi="宋体" w:cs="宋体"/>
          <w:b/>
          <w:color w:val="auto"/>
          <w:sz w:val="24"/>
          <w:szCs w:val="20"/>
        </w:rPr>
      </w:pPr>
      <w:r>
        <w:rPr>
          <w:rFonts w:hint="eastAsia" w:ascii="宋体" w:hAnsi="宋体" w:cs="宋体"/>
          <w:b/>
          <w:color w:val="auto"/>
          <w:sz w:val="24"/>
          <w:szCs w:val="20"/>
        </w:rPr>
        <w:t>36.2采购人应当在收到评标报告后5个工作日内，按照评标报告中推荐的</w:t>
      </w:r>
      <w:r>
        <w:rPr>
          <w:rFonts w:hint="eastAsia" w:ascii="宋体" w:hAnsi="宋体" w:cs="宋体"/>
          <w:b/>
          <w:color w:val="auto"/>
          <w:sz w:val="24"/>
        </w:rPr>
        <w:t>成交候选供应商</w:t>
      </w:r>
      <w:r>
        <w:rPr>
          <w:rFonts w:hint="eastAsia" w:ascii="宋体" w:hAnsi="宋体" w:cs="宋体"/>
          <w:b/>
          <w:color w:val="auto"/>
          <w:sz w:val="24"/>
          <w:szCs w:val="20"/>
        </w:rPr>
        <w:t>顺序确定成交供应商；也可以事先授权评标委员会直接确定成交供应商。</w:t>
      </w:r>
    </w:p>
    <w:p>
      <w:pPr>
        <w:spacing w:line="360" w:lineRule="auto"/>
        <w:ind w:firstLine="482" w:firstLineChars="200"/>
        <w:rPr>
          <w:rFonts w:ascii="宋体" w:hAnsi="宋体" w:cs="宋体"/>
          <w:b/>
          <w:color w:val="auto"/>
          <w:sz w:val="24"/>
          <w:szCs w:val="20"/>
        </w:rPr>
      </w:pPr>
      <w:r>
        <w:rPr>
          <w:rFonts w:hint="eastAsia" w:ascii="宋体" w:hAnsi="宋体" w:cs="宋体"/>
          <w:b/>
          <w:color w:val="auto"/>
          <w:sz w:val="24"/>
          <w:szCs w:val="20"/>
        </w:rPr>
        <w:t>36.3成交供应商因不可抗力或者自身原因不能履行合同的，采购人可以与排位在成交供应商之后第一位的成交候选供应商签订合同，以此类推。</w:t>
      </w:r>
    </w:p>
    <w:p>
      <w:pPr>
        <w:spacing w:line="360" w:lineRule="auto"/>
        <w:ind w:firstLine="482" w:firstLineChars="200"/>
        <w:rPr>
          <w:rFonts w:ascii="宋体" w:hAnsi="宋体" w:cs="宋体"/>
          <w:b/>
          <w:color w:val="auto"/>
          <w:sz w:val="24"/>
          <w:szCs w:val="20"/>
        </w:rPr>
      </w:pPr>
      <w:r>
        <w:rPr>
          <w:rFonts w:hint="eastAsia" w:ascii="宋体" w:hAnsi="宋体" w:cs="宋体"/>
          <w:b/>
          <w:color w:val="auto"/>
          <w:sz w:val="24"/>
          <w:szCs w:val="20"/>
        </w:rPr>
        <w:t>36.4在确定成交供应商前，采购单位不得与供应商就投标方案等实质性内容进行谈判。</w:t>
      </w:r>
    </w:p>
    <w:p>
      <w:pPr>
        <w:spacing w:line="360" w:lineRule="auto"/>
        <w:ind w:firstLine="480" w:firstLineChars="200"/>
        <w:outlineLvl w:val="1"/>
        <w:rPr>
          <w:rFonts w:ascii="宋体" w:hAnsi="宋体" w:cs="宋体"/>
          <w:color w:val="auto"/>
          <w:sz w:val="24"/>
        </w:rPr>
      </w:pPr>
      <w:r>
        <w:rPr>
          <w:rFonts w:hint="eastAsia" w:ascii="宋体" w:hAnsi="宋体" w:cs="宋体"/>
          <w:color w:val="auto"/>
          <w:sz w:val="24"/>
        </w:rPr>
        <w:t>37、采购人依法接受和拒绝任一或所有供应商的权力</w:t>
      </w:r>
    </w:p>
    <w:p>
      <w:pPr>
        <w:spacing w:line="360" w:lineRule="auto"/>
        <w:ind w:firstLine="480" w:firstLineChars="200"/>
        <w:outlineLvl w:val="1"/>
        <w:rPr>
          <w:rFonts w:ascii="宋体" w:hAnsi="宋体" w:cs="宋体"/>
          <w:color w:val="auto"/>
          <w:sz w:val="24"/>
        </w:rPr>
      </w:pPr>
      <w:r>
        <w:rPr>
          <w:rFonts w:hint="eastAsia" w:ascii="宋体" w:hAnsi="宋体" w:cs="宋体"/>
          <w:color w:val="auto"/>
          <w:sz w:val="24"/>
        </w:rPr>
        <w:t>采购人保留确定成交供应商之前的任何时候依法接受或拒绝任一或所有供应商的权力，对受影响的供应商不承担任何责任，也无义务向受影响的供应商解释采取这一行动的理由。</w:t>
      </w:r>
    </w:p>
    <w:p>
      <w:pPr>
        <w:spacing w:line="360" w:lineRule="auto"/>
        <w:ind w:firstLine="480" w:firstLineChars="200"/>
        <w:outlineLvl w:val="1"/>
        <w:rPr>
          <w:rFonts w:ascii="宋体" w:hAnsi="宋体" w:cs="宋体"/>
          <w:color w:val="auto"/>
          <w:sz w:val="24"/>
          <w:szCs w:val="20"/>
        </w:rPr>
      </w:pPr>
      <w:r>
        <w:rPr>
          <w:rFonts w:hint="eastAsia" w:ascii="宋体" w:hAnsi="宋体" w:cs="宋体"/>
          <w:color w:val="auto"/>
          <w:sz w:val="24"/>
          <w:szCs w:val="20"/>
        </w:rPr>
        <w:t>38、</w:t>
      </w:r>
      <w:r>
        <w:rPr>
          <w:rFonts w:hint="eastAsia" w:ascii="宋体" w:hAnsi="宋体" w:cs="宋体"/>
          <w:color w:val="auto"/>
          <w:sz w:val="24"/>
        </w:rPr>
        <w:t>成交</w:t>
      </w:r>
      <w:r>
        <w:rPr>
          <w:rFonts w:hint="eastAsia" w:ascii="宋体" w:hAnsi="宋体" w:cs="宋体"/>
          <w:color w:val="auto"/>
          <w:sz w:val="24"/>
          <w:szCs w:val="20"/>
        </w:rPr>
        <w:t>通知书</w:t>
      </w:r>
    </w:p>
    <w:p>
      <w:pPr>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38.1采购人确定成交供应商后，及时通知采购代理机构，采购代理机构将按程序公告中标结果，同时向成交供应商发出</w:t>
      </w:r>
      <w:r>
        <w:rPr>
          <w:rFonts w:hint="eastAsia" w:ascii="宋体" w:hAnsi="宋体" w:cs="宋体"/>
          <w:color w:val="auto"/>
          <w:sz w:val="24"/>
        </w:rPr>
        <w:t>成交</w:t>
      </w:r>
      <w:r>
        <w:rPr>
          <w:rFonts w:hint="eastAsia" w:ascii="宋体" w:hAnsi="宋体" w:cs="宋体"/>
          <w:color w:val="auto"/>
          <w:sz w:val="24"/>
          <w:szCs w:val="20"/>
        </w:rPr>
        <w:t>通知书，</w:t>
      </w:r>
      <w:r>
        <w:rPr>
          <w:rFonts w:hint="eastAsia" w:ascii="宋体" w:hAnsi="宋体" w:cs="宋体"/>
          <w:color w:val="auto"/>
          <w:sz w:val="24"/>
        </w:rPr>
        <w:t>成交</w:t>
      </w:r>
      <w:r>
        <w:rPr>
          <w:rFonts w:hint="eastAsia" w:ascii="宋体" w:hAnsi="宋体" w:cs="宋体"/>
          <w:color w:val="auto"/>
          <w:sz w:val="24"/>
          <w:szCs w:val="20"/>
        </w:rPr>
        <w:t>通知书一经发出即发生法律效力。</w:t>
      </w:r>
    </w:p>
    <w:p>
      <w:pPr>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38.2《</w:t>
      </w:r>
      <w:r>
        <w:rPr>
          <w:rFonts w:hint="eastAsia" w:ascii="宋体" w:hAnsi="宋体" w:cs="宋体"/>
          <w:color w:val="auto"/>
          <w:sz w:val="24"/>
        </w:rPr>
        <w:t>成交</w:t>
      </w:r>
      <w:r>
        <w:rPr>
          <w:rFonts w:hint="eastAsia" w:ascii="宋体" w:hAnsi="宋体" w:cs="宋体"/>
          <w:color w:val="auto"/>
          <w:sz w:val="24"/>
          <w:szCs w:val="20"/>
        </w:rPr>
        <w:t>通知书》将是合同的组成部分。</w:t>
      </w:r>
    </w:p>
    <w:p>
      <w:pPr>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38.3采购人将通知其他未成交的供应商。</w:t>
      </w:r>
    </w:p>
    <w:p>
      <w:pPr>
        <w:spacing w:line="360" w:lineRule="auto"/>
        <w:ind w:firstLine="480" w:firstLineChars="200"/>
        <w:outlineLvl w:val="1"/>
        <w:rPr>
          <w:rFonts w:ascii="宋体" w:hAnsi="宋体" w:cs="宋体"/>
          <w:color w:val="auto"/>
          <w:sz w:val="24"/>
        </w:rPr>
      </w:pPr>
      <w:r>
        <w:rPr>
          <w:rFonts w:hint="eastAsia" w:ascii="宋体" w:hAnsi="宋体" w:cs="宋体"/>
          <w:color w:val="auto"/>
          <w:sz w:val="24"/>
        </w:rPr>
        <w:t>39、纪律与保密事项</w:t>
      </w:r>
      <w:bookmarkEnd w:id="170"/>
      <w:bookmarkEnd w:id="171"/>
      <w:bookmarkEnd w:id="172"/>
      <w:bookmarkEnd w:id="173"/>
    </w:p>
    <w:p>
      <w:pPr>
        <w:spacing w:line="360" w:lineRule="auto"/>
        <w:ind w:firstLine="480" w:firstLineChars="200"/>
        <w:rPr>
          <w:rFonts w:ascii="宋体" w:hAnsi="宋体" w:cs="宋体"/>
          <w:color w:val="auto"/>
          <w:sz w:val="24"/>
        </w:rPr>
      </w:pPr>
      <w:r>
        <w:rPr>
          <w:rFonts w:hint="eastAsia" w:ascii="宋体" w:hAnsi="宋体" w:cs="宋体"/>
          <w:color w:val="auto"/>
          <w:sz w:val="24"/>
        </w:rPr>
        <w:t>39.1凡参与公开招标的有关人员均应自觉接受有关主管部门的监督，不得向他人透露可能影响公平竞争的有关公开的其他情况。</w:t>
      </w:r>
    </w:p>
    <w:p>
      <w:pPr>
        <w:spacing w:line="360" w:lineRule="auto"/>
        <w:ind w:firstLine="480" w:firstLineChars="200"/>
        <w:rPr>
          <w:rFonts w:ascii="宋体" w:hAnsi="宋体" w:cs="宋体"/>
          <w:color w:val="auto"/>
          <w:sz w:val="24"/>
        </w:rPr>
      </w:pPr>
      <w:r>
        <w:rPr>
          <w:rFonts w:hint="eastAsia" w:ascii="宋体" w:hAnsi="宋体" w:cs="宋体"/>
          <w:color w:val="auto"/>
          <w:sz w:val="24"/>
        </w:rPr>
        <w:t>39.2领取本招标文件及其它相关资料者，应对文件进行保密，不得用作本次公开以外的任何用途。由采购人向供应商提供的技术资料和所有其它资料，均视为保密资料，除非得到采购人的同意，不得向第三方透露。</w:t>
      </w:r>
    </w:p>
    <w:p>
      <w:pPr>
        <w:spacing w:line="360" w:lineRule="auto"/>
        <w:ind w:firstLine="480" w:firstLineChars="200"/>
        <w:rPr>
          <w:rFonts w:ascii="宋体" w:hAnsi="宋体" w:cs="宋体"/>
          <w:color w:val="auto"/>
          <w:sz w:val="24"/>
        </w:rPr>
      </w:pPr>
      <w:r>
        <w:rPr>
          <w:rFonts w:hint="eastAsia" w:ascii="宋体" w:hAnsi="宋体" w:cs="宋体"/>
          <w:color w:val="auto"/>
          <w:sz w:val="24"/>
        </w:rPr>
        <w:t>39.3供应商不得与采购人串通公开，不得向采购人或者评标委员会成员行贿谋取中标，不得以他人名义参与公开或者以其它任何方式弄虚作假骗取参与公开；供应商不得以任何方式干扰、影响评标工作。如果供应商或者其他利害关系人通过捏造事实、伪造证明材料等方式提出质疑，干扰政府采购活动正常进行的，属于严重不良行为，采购人、采购代理机构将提请财政部门将其列入不良行为记录名单，并依法予以处罚。</w:t>
      </w:r>
    </w:p>
    <w:p>
      <w:pPr>
        <w:spacing w:line="360" w:lineRule="auto"/>
        <w:ind w:firstLine="480" w:firstLineChars="200"/>
        <w:rPr>
          <w:rFonts w:ascii="宋体" w:hAnsi="宋体" w:cs="宋体"/>
          <w:color w:val="auto"/>
          <w:sz w:val="24"/>
        </w:rPr>
      </w:pPr>
      <w:r>
        <w:rPr>
          <w:rFonts w:hint="eastAsia" w:ascii="宋体" w:hAnsi="宋体" w:cs="宋体"/>
          <w:color w:val="auto"/>
          <w:sz w:val="24"/>
        </w:rPr>
        <w:t>39.4供应商不得在公开采购过程中互相串通、结盟、损害公开的公正性和竞争性，或以任何方式影响其他供应商参与正当公开。扰乱公开市场，破坏公平竞争原则。如供应商在公开招标过程中互相串通，一经查实，将取消公开招标资格并不予退还其投标保证金。</w:t>
      </w:r>
    </w:p>
    <w:p>
      <w:pPr>
        <w:spacing w:line="360" w:lineRule="auto"/>
        <w:ind w:firstLine="480" w:firstLineChars="200"/>
        <w:rPr>
          <w:rFonts w:ascii="宋体" w:hAnsi="宋体" w:cs="宋体"/>
          <w:color w:val="auto"/>
          <w:sz w:val="24"/>
        </w:rPr>
      </w:pPr>
      <w:r>
        <w:rPr>
          <w:rFonts w:hint="eastAsia" w:ascii="宋体" w:hAnsi="宋体" w:cs="宋体"/>
          <w:color w:val="auto"/>
          <w:sz w:val="24"/>
        </w:rPr>
        <w:t>39.5 公开之日起直至授予</w:t>
      </w:r>
      <w:r>
        <w:rPr>
          <w:rFonts w:hint="eastAsia" w:ascii="宋体" w:hAnsi="宋体" w:cs="宋体"/>
          <w:color w:val="auto"/>
          <w:sz w:val="24"/>
          <w:szCs w:val="20"/>
        </w:rPr>
        <w:t>成交供应商</w:t>
      </w:r>
      <w:r>
        <w:rPr>
          <w:rFonts w:hint="eastAsia" w:ascii="宋体" w:hAnsi="宋体" w:cs="宋体"/>
          <w:color w:val="auto"/>
          <w:sz w:val="24"/>
        </w:rPr>
        <w:t>合同为止，凡属于对响应文件的审查、澄清、评价、比较有关的资料和成交供应商的推荐情况及与评审有关的其他任何情况均严格保密。</w:t>
      </w:r>
    </w:p>
    <w:p>
      <w:pPr>
        <w:spacing w:line="360" w:lineRule="auto"/>
        <w:ind w:firstLine="480" w:firstLineChars="200"/>
        <w:rPr>
          <w:rFonts w:ascii="宋体" w:hAnsi="宋体" w:cs="宋体"/>
          <w:color w:val="auto"/>
          <w:sz w:val="24"/>
        </w:rPr>
      </w:pPr>
      <w:r>
        <w:rPr>
          <w:rFonts w:hint="eastAsia" w:ascii="宋体" w:hAnsi="宋体" w:cs="宋体"/>
          <w:color w:val="auto"/>
          <w:sz w:val="24"/>
        </w:rPr>
        <w:t>39.6从公开之日起至授予合同期间，供应商试图向评标委员会、采购代理机构施加任何影响或对采购人的比较及授予合同的决定进行影响，都可能导致其响应文件被拒绝。</w:t>
      </w:r>
    </w:p>
    <w:p>
      <w:pPr>
        <w:spacing w:line="360" w:lineRule="auto"/>
        <w:ind w:firstLine="480" w:firstLineChars="200"/>
        <w:rPr>
          <w:rFonts w:ascii="宋体" w:hAnsi="宋体" w:cs="宋体"/>
          <w:color w:val="auto"/>
          <w:sz w:val="24"/>
        </w:rPr>
      </w:pPr>
      <w:r>
        <w:rPr>
          <w:rFonts w:hint="eastAsia" w:ascii="宋体" w:hAnsi="宋体" w:cs="宋体"/>
          <w:color w:val="auto"/>
          <w:sz w:val="24"/>
        </w:rPr>
        <w:t>39.7除供应商被要求对响应文件进行澄清外，从公开之时起至授予合同期间，供应商不得就与其响应文件有关的事项主动与评标委员会、采购代理机构以及采购人联系。</w:t>
      </w:r>
    </w:p>
    <w:p>
      <w:pPr>
        <w:spacing w:line="360" w:lineRule="auto"/>
        <w:ind w:firstLine="480" w:firstLineChars="200"/>
        <w:rPr>
          <w:rFonts w:ascii="宋体" w:hAnsi="宋体" w:cs="宋体"/>
          <w:color w:val="auto"/>
          <w:sz w:val="24"/>
        </w:rPr>
      </w:pPr>
      <w:r>
        <w:rPr>
          <w:rFonts w:hint="eastAsia" w:ascii="宋体" w:hAnsi="宋体" w:cs="宋体"/>
          <w:color w:val="auto"/>
          <w:sz w:val="24"/>
        </w:rPr>
        <w:t>39.8</w:t>
      </w:r>
      <w:r>
        <w:rPr>
          <w:rFonts w:hint="eastAsia" w:ascii="宋体" w:hAnsi="宋体" w:cs="宋体"/>
          <w:color w:val="auto"/>
          <w:sz w:val="24"/>
          <w:szCs w:val="20"/>
        </w:rPr>
        <w:t>成交供应商</w:t>
      </w:r>
      <w:r>
        <w:rPr>
          <w:rFonts w:hint="eastAsia" w:ascii="宋体" w:hAnsi="宋体" w:cs="宋体"/>
          <w:color w:val="auto"/>
          <w:sz w:val="24"/>
        </w:rPr>
        <w:t>确定后，采购人不对未成交供应商就评审过程以及未能</w:t>
      </w:r>
      <w:r>
        <w:rPr>
          <w:rFonts w:hint="eastAsia" w:ascii="宋体" w:hAnsi="宋体" w:cs="宋体"/>
          <w:color w:val="auto"/>
          <w:sz w:val="24"/>
          <w:szCs w:val="20"/>
        </w:rPr>
        <w:t>中标</w:t>
      </w:r>
      <w:r>
        <w:rPr>
          <w:rFonts w:hint="eastAsia" w:ascii="宋体" w:hAnsi="宋体" w:cs="宋体"/>
          <w:color w:val="auto"/>
          <w:sz w:val="24"/>
        </w:rPr>
        <w:t>原因作出任何解释，未成交供应商不得向评标委员会或其他有关人员询问评审过程的情况和索取评审过程的资料。</w:t>
      </w:r>
    </w:p>
    <w:p>
      <w:pPr>
        <w:pStyle w:val="13"/>
        <w:spacing w:line="360" w:lineRule="auto"/>
        <w:jc w:val="center"/>
        <w:outlineLvl w:val="1"/>
        <w:rPr>
          <w:rFonts w:hAnsi="宋体" w:cs="宋体"/>
          <w:b/>
          <w:bCs/>
          <w:color w:val="auto"/>
          <w:sz w:val="28"/>
          <w:szCs w:val="28"/>
        </w:rPr>
      </w:pPr>
      <w:r>
        <w:rPr>
          <w:rFonts w:hint="eastAsia" w:hAnsi="宋体" w:cs="宋体"/>
          <w:b/>
          <w:bCs/>
          <w:color w:val="auto"/>
          <w:sz w:val="28"/>
          <w:szCs w:val="28"/>
        </w:rPr>
        <w:t>六、授予合同</w:t>
      </w:r>
    </w:p>
    <w:p>
      <w:pPr>
        <w:pStyle w:val="13"/>
        <w:spacing w:line="360" w:lineRule="auto"/>
        <w:ind w:firstLine="480" w:firstLineChars="200"/>
        <w:outlineLvl w:val="1"/>
        <w:rPr>
          <w:rFonts w:hAnsi="宋体" w:cs="宋体"/>
          <w:bCs/>
          <w:color w:val="auto"/>
          <w:sz w:val="24"/>
          <w:szCs w:val="24"/>
        </w:rPr>
      </w:pPr>
      <w:r>
        <w:rPr>
          <w:rFonts w:hint="eastAsia" w:hAnsi="宋体" w:cs="宋体"/>
          <w:bCs/>
          <w:color w:val="auto"/>
          <w:sz w:val="24"/>
          <w:szCs w:val="24"/>
        </w:rPr>
        <w:t>40、授予合同标准</w:t>
      </w:r>
    </w:p>
    <w:p>
      <w:pPr>
        <w:pStyle w:val="13"/>
        <w:spacing w:line="360" w:lineRule="auto"/>
        <w:ind w:firstLine="480" w:firstLineChars="200"/>
        <w:rPr>
          <w:rFonts w:hAnsi="宋体" w:cs="宋体"/>
          <w:bCs/>
          <w:color w:val="auto"/>
          <w:sz w:val="24"/>
          <w:szCs w:val="24"/>
        </w:rPr>
      </w:pPr>
      <w:r>
        <w:rPr>
          <w:rFonts w:hint="eastAsia" w:hAnsi="宋体" w:cs="宋体"/>
          <w:bCs/>
          <w:color w:val="auto"/>
          <w:sz w:val="24"/>
          <w:szCs w:val="24"/>
        </w:rPr>
        <w:t>40.1本招标项目的采购合同将授予按本须知第36条确定成交供应商。</w:t>
      </w:r>
    </w:p>
    <w:p>
      <w:pPr>
        <w:pStyle w:val="13"/>
        <w:spacing w:line="360" w:lineRule="auto"/>
        <w:ind w:firstLine="480" w:firstLineChars="200"/>
        <w:outlineLvl w:val="1"/>
        <w:rPr>
          <w:rFonts w:hAnsi="宋体" w:cs="宋体"/>
          <w:color w:val="auto"/>
          <w:sz w:val="24"/>
          <w:szCs w:val="24"/>
        </w:rPr>
      </w:pPr>
      <w:bookmarkStart w:id="174" w:name="_Toc243907620"/>
      <w:bookmarkStart w:id="175" w:name="_Toc243906357"/>
      <w:bookmarkStart w:id="176" w:name="_Toc233274855"/>
      <w:bookmarkStart w:id="177" w:name="_Toc245897317"/>
      <w:r>
        <w:rPr>
          <w:rFonts w:hint="eastAsia" w:hAnsi="宋体" w:cs="宋体"/>
          <w:color w:val="auto"/>
          <w:sz w:val="24"/>
          <w:szCs w:val="24"/>
        </w:rPr>
        <w:t>41、签订合同</w:t>
      </w:r>
      <w:bookmarkEnd w:id="174"/>
      <w:bookmarkEnd w:id="175"/>
      <w:bookmarkEnd w:id="176"/>
      <w:bookmarkEnd w:id="177"/>
    </w:p>
    <w:p>
      <w:pPr>
        <w:pStyle w:val="13"/>
        <w:spacing w:line="360" w:lineRule="auto"/>
        <w:ind w:firstLine="480" w:firstLineChars="200"/>
        <w:rPr>
          <w:rFonts w:hAnsi="宋体" w:cs="宋体"/>
          <w:color w:val="auto"/>
          <w:sz w:val="24"/>
          <w:szCs w:val="24"/>
        </w:rPr>
      </w:pPr>
      <w:r>
        <w:rPr>
          <w:rFonts w:hint="eastAsia" w:hAnsi="宋体" w:cs="宋体"/>
          <w:color w:val="auto"/>
          <w:sz w:val="24"/>
          <w:szCs w:val="24"/>
        </w:rPr>
        <w:t>41.1成交供应商应当自成交通知书发出之日起三十日内，按照招标文件和成交供应商的响应文件订立书面合同。成交供应商不得要求订立背离本响应文件合同文本等响应文件实质性内容的其他协议。</w:t>
      </w:r>
    </w:p>
    <w:p>
      <w:pPr>
        <w:pStyle w:val="13"/>
        <w:spacing w:line="360" w:lineRule="auto"/>
        <w:ind w:firstLine="480" w:firstLineChars="200"/>
        <w:rPr>
          <w:rFonts w:hAnsi="宋体" w:cs="宋体"/>
          <w:color w:val="auto"/>
          <w:sz w:val="24"/>
          <w:szCs w:val="24"/>
        </w:rPr>
      </w:pPr>
      <w:r>
        <w:rPr>
          <w:rFonts w:hint="eastAsia" w:hAnsi="宋体" w:cs="宋体"/>
          <w:color w:val="auto"/>
          <w:sz w:val="24"/>
          <w:szCs w:val="24"/>
        </w:rPr>
        <w:t>41.2 成交通知书、成交供应商的响应文件及其技术规范及标准、项目采购需求、本招标文件（含修改文件或补充文件）及答疑纪要等，均为签订合同的依据。</w:t>
      </w:r>
    </w:p>
    <w:p>
      <w:pPr>
        <w:pStyle w:val="13"/>
        <w:spacing w:line="360" w:lineRule="auto"/>
        <w:ind w:firstLine="480" w:firstLineChars="200"/>
        <w:rPr>
          <w:rFonts w:hAnsi="宋体" w:cs="宋体"/>
          <w:color w:val="auto"/>
          <w:sz w:val="24"/>
          <w:szCs w:val="24"/>
        </w:rPr>
      </w:pPr>
      <w:r>
        <w:rPr>
          <w:rFonts w:hint="eastAsia" w:hAnsi="宋体" w:cs="宋体"/>
          <w:color w:val="auto"/>
          <w:sz w:val="24"/>
          <w:szCs w:val="24"/>
        </w:rPr>
        <w:t>41.3成交供应商如不按本须知41.1条规定与采购人签订合同，或者采购人、成交供应商签订背离合同实质性内容的协议，由监督管理部门责令其改正。</w:t>
      </w:r>
    </w:p>
    <w:p>
      <w:pPr>
        <w:pStyle w:val="13"/>
        <w:tabs>
          <w:tab w:val="left" w:pos="7770"/>
        </w:tabs>
        <w:spacing w:line="360" w:lineRule="auto"/>
        <w:ind w:firstLine="480" w:firstLineChars="200"/>
        <w:rPr>
          <w:rFonts w:hAnsi="宋体" w:cs="宋体"/>
          <w:color w:val="auto"/>
          <w:sz w:val="24"/>
          <w:szCs w:val="24"/>
        </w:rPr>
      </w:pPr>
      <w:r>
        <w:rPr>
          <w:rFonts w:hint="eastAsia" w:hAnsi="宋体" w:cs="宋体"/>
          <w:color w:val="auto"/>
          <w:sz w:val="24"/>
          <w:szCs w:val="24"/>
        </w:rPr>
        <w:t>41.4</w:t>
      </w:r>
      <w:r>
        <w:rPr>
          <w:rFonts w:hint="eastAsia" w:hAnsi="宋体" w:cs="宋体"/>
          <w:color w:val="auto"/>
          <w:sz w:val="24"/>
        </w:rPr>
        <w:t>成交供应商如不按本须知41.1条规定与采购人签订合同，则按违约处理，采购人将有权取消中标单位资格，不予退还其投标保证金，给采购人造成损失超过投标保证金数额的，还应当对超过部分予以赔偿，同时依法承担相应的法律责任。</w:t>
      </w:r>
    </w:p>
    <w:p>
      <w:pPr>
        <w:spacing w:line="360" w:lineRule="auto"/>
        <w:ind w:firstLine="482" w:firstLineChars="200"/>
        <w:rPr>
          <w:rFonts w:ascii="宋体" w:hAnsi="宋体" w:cs="宋体"/>
          <w:b/>
          <w:color w:val="auto"/>
          <w:sz w:val="24"/>
        </w:rPr>
      </w:pPr>
      <w:r>
        <w:rPr>
          <w:rFonts w:hint="eastAsia" w:ascii="宋体" w:hAnsi="宋体" w:cs="宋体"/>
          <w:b/>
          <w:color w:val="auto"/>
          <w:sz w:val="24"/>
        </w:rPr>
        <w:t>41.5成交供应商因不可抗力或者自身原因不能履行合同的，采购人可以与排位在成交供应商之后第一位的成交标候选人签订合同，以此类推。</w:t>
      </w:r>
    </w:p>
    <w:p>
      <w:pPr>
        <w:spacing w:line="360" w:lineRule="auto"/>
        <w:ind w:firstLine="480" w:firstLineChars="200"/>
        <w:outlineLvl w:val="1"/>
        <w:rPr>
          <w:rFonts w:ascii="宋体" w:hAnsi="宋体" w:cs="宋体"/>
          <w:color w:val="auto"/>
          <w:sz w:val="24"/>
        </w:rPr>
      </w:pPr>
      <w:bookmarkStart w:id="178" w:name="_Toc243907621"/>
      <w:bookmarkStart w:id="179" w:name="_Toc245897318"/>
      <w:r>
        <w:rPr>
          <w:rFonts w:hint="eastAsia" w:ascii="宋体" w:hAnsi="宋体" w:cs="宋体"/>
          <w:color w:val="auto"/>
          <w:sz w:val="24"/>
        </w:rPr>
        <w:t>42、合同的签订准则</w:t>
      </w:r>
      <w:bookmarkEnd w:id="178"/>
      <w:bookmarkEnd w:id="179"/>
    </w:p>
    <w:p>
      <w:pPr>
        <w:spacing w:line="360" w:lineRule="auto"/>
        <w:ind w:firstLine="480" w:firstLineChars="200"/>
        <w:rPr>
          <w:rFonts w:ascii="宋体" w:hAnsi="宋体" w:cs="宋体"/>
          <w:color w:val="auto"/>
          <w:sz w:val="24"/>
        </w:rPr>
      </w:pPr>
      <w:r>
        <w:rPr>
          <w:rFonts w:hint="eastAsia" w:ascii="宋体" w:hAnsi="宋体" w:cs="宋体"/>
          <w:color w:val="auto"/>
          <w:sz w:val="24"/>
        </w:rPr>
        <w:t>42.1合同签订必须由采购人、成交供应商双方法定代表人或其委托代理人签署并加盖法人公章后方能生效。</w:t>
      </w:r>
    </w:p>
    <w:p>
      <w:pPr>
        <w:spacing w:line="360" w:lineRule="auto"/>
        <w:ind w:firstLine="480" w:firstLineChars="200"/>
        <w:rPr>
          <w:rFonts w:ascii="宋体" w:hAnsi="宋体" w:cs="宋体"/>
          <w:color w:val="auto"/>
          <w:sz w:val="24"/>
        </w:rPr>
      </w:pPr>
      <w:r>
        <w:rPr>
          <w:rFonts w:hint="eastAsia" w:ascii="宋体" w:hAnsi="宋体" w:cs="宋体"/>
          <w:color w:val="auto"/>
          <w:sz w:val="24"/>
        </w:rPr>
        <w:t>42.2合同转包（实质性要求）</w:t>
      </w:r>
    </w:p>
    <w:p>
      <w:pPr>
        <w:spacing w:line="360" w:lineRule="auto"/>
        <w:ind w:firstLine="480" w:firstLineChars="200"/>
        <w:rPr>
          <w:rFonts w:ascii="宋体" w:hAnsi="宋体" w:cs="宋体"/>
          <w:color w:val="auto"/>
          <w:sz w:val="24"/>
        </w:rPr>
      </w:pPr>
      <w:r>
        <w:rPr>
          <w:rFonts w:hint="eastAsia" w:ascii="宋体" w:hAnsi="宋体" w:cs="宋体"/>
          <w:color w:val="auto"/>
          <w:sz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ascii="宋体" w:hAnsi="宋体" w:cs="宋体"/>
          <w:color w:val="auto"/>
          <w:sz w:val="24"/>
        </w:rPr>
      </w:pPr>
      <w:r>
        <w:rPr>
          <w:rFonts w:hint="eastAsia" w:ascii="宋体" w:hAnsi="宋体" w:cs="宋体"/>
          <w:color w:val="auto"/>
          <w:sz w:val="24"/>
        </w:rPr>
        <w:t>成交供应商转包的，视同拒绝履行政府采购合同义务，将依法追究法律责任。</w:t>
      </w:r>
    </w:p>
    <w:p>
      <w:pPr>
        <w:spacing w:line="360" w:lineRule="auto"/>
        <w:ind w:firstLine="480" w:firstLineChars="200"/>
        <w:rPr>
          <w:rFonts w:ascii="宋体" w:hAnsi="宋体" w:cs="宋体"/>
          <w:color w:val="auto"/>
          <w:sz w:val="24"/>
        </w:rPr>
      </w:pPr>
      <w:r>
        <w:rPr>
          <w:rFonts w:hint="eastAsia" w:ascii="宋体" w:hAnsi="宋体" w:cs="宋体"/>
          <w:color w:val="auto"/>
          <w:sz w:val="24"/>
        </w:rPr>
        <w:t>43、验收</w:t>
      </w:r>
    </w:p>
    <w:p>
      <w:pPr>
        <w:spacing w:line="360" w:lineRule="auto"/>
        <w:ind w:firstLine="480" w:firstLineChars="200"/>
        <w:rPr>
          <w:rFonts w:ascii="宋体" w:hAnsi="宋体" w:cs="宋体"/>
          <w:b/>
          <w:bCs/>
          <w:color w:val="auto"/>
          <w:sz w:val="24"/>
        </w:rPr>
      </w:pPr>
      <w:r>
        <w:rPr>
          <w:rFonts w:hint="eastAsia" w:ascii="宋体" w:hAnsi="宋体" w:cs="宋体"/>
          <w:color w:val="auto"/>
          <w:sz w:val="24"/>
        </w:rPr>
        <w:t>43.1本项目采购人将严格按照政府采购相关法律法规以及《克拉玛依市政府采购项目需求论证和履约验收管理办法》（克财发〔2016〕9号）的要求进行验收。</w:t>
      </w:r>
    </w:p>
    <w:p>
      <w:pPr>
        <w:snapToGrid w:val="0"/>
        <w:spacing w:line="360" w:lineRule="auto"/>
        <w:ind w:firstLine="562" w:firstLineChars="200"/>
        <w:jc w:val="center"/>
        <w:rPr>
          <w:rFonts w:ascii="宋体" w:hAnsi="宋体" w:cs="宋体"/>
          <w:color w:val="auto"/>
          <w:sz w:val="24"/>
        </w:rPr>
      </w:pPr>
      <w:r>
        <w:rPr>
          <w:rFonts w:hint="eastAsia" w:ascii="宋体" w:hAnsi="宋体" w:cs="宋体"/>
          <w:b/>
          <w:bCs/>
          <w:color w:val="auto"/>
          <w:kern w:val="0"/>
          <w:sz w:val="28"/>
          <w:szCs w:val="28"/>
        </w:rPr>
        <w:t>七、询问、质疑、投诉</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44、询问</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44.1供应商对采购活动事项有疑问的，可以向采购人或采购代理机构提出询问，采购人或采购代理机构应当在三个工作日内对供应商依法提出的询问作出答复，但答复的内容不得涉及商业秘密。</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45、质疑</w:t>
      </w:r>
    </w:p>
    <w:p>
      <w:pPr>
        <w:spacing w:line="360" w:lineRule="auto"/>
        <w:ind w:firstLine="480" w:firstLineChars="200"/>
        <w:rPr>
          <w:rFonts w:ascii="宋体" w:hAnsi="宋体" w:cs="宋体"/>
          <w:color w:val="auto"/>
          <w:sz w:val="24"/>
        </w:rPr>
      </w:pPr>
      <w:r>
        <w:rPr>
          <w:rFonts w:hint="eastAsia" w:ascii="宋体" w:hAnsi="宋体" w:cs="宋体"/>
          <w:color w:val="auto"/>
          <w:sz w:val="24"/>
        </w:rPr>
        <w:t>45.1 供应商认为招标文件、采购过程和中标结果使自己的合法权益受到损害的，可以在知道或者应知其权益受到损害之日起七个工作日内，将质疑文件原件和必要的证明材料送达采购代理机构。</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45.2上述应知其权益受到损害之日是指： </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（1）对招标文件提出质疑的，为招标文件公告期限届满之日起计算； </w:t>
      </w:r>
    </w:p>
    <w:p>
      <w:pPr>
        <w:spacing w:line="360" w:lineRule="auto"/>
        <w:ind w:firstLine="480" w:firstLineChars="200"/>
        <w:rPr>
          <w:rFonts w:ascii="宋体" w:hAnsi="宋体" w:cs="宋体"/>
          <w:color w:val="auto"/>
          <w:sz w:val="24"/>
        </w:rPr>
      </w:pPr>
      <w:r>
        <w:rPr>
          <w:rFonts w:hint="eastAsia" w:ascii="宋体" w:hAnsi="宋体" w:cs="宋体"/>
          <w:color w:val="auto"/>
          <w:sz w:val="24"/>
        </w:rPr>
        <w:t>（2）对采购过程提出质疑的，自采购程序环节结束之日起计算；</w:t>
      </w:r>
    </w:p>
    <w:p>
      <w:pPr>
        <w:spacing w:line="360" w:lineRule="auto"/>
        <w:ind w:firstLine="480" w:firstLineChars="200"/>
        <w:rPr>
          <w:rFonts w:ascii="宋体" w:hAnsi="宋体" w:cs="宋体"/>
          <w:color w:val="auto"/>
          <w:sz w:val="24"/>
        </w:rPr>
      </w:pPr>
      <w:r>
        <w:rPr>
          <w:rFonts w:hint="eastAsia" w:ascii="宋体" w:hAnsi="宋体" w:cs="宋体"/>
          <w:color w:val="auto"/>
          <w:sz w:val="24"/>
        </w:rPr>
        <w:t>（3）对中标结果提出质疑的，自中标或者中标结果公告期限届满之日起计算。</w:t>
      </w:r>
    </w:p>
    <w:p>
      <w:pPr>
        <w:spacing w:line="360" w:lineRule="auto"/>
        <w:ind w:firstLine="480" w:firstLineChars="200"/>
        <w:rPr>
          <w:rFonts w:ascii="宋体" w:hAnsi="宋体" w:cs="宋体"/>
          <w:color w:val="auto"/>
          <w:sz w:val="24"/>
        </w:rPr>
      </w:pPr>
      <w:r>
        <w:rPr>
          <w:rFonts w:hint="eastAsia" w:ascii="宋体" w:hAnsi="宋体" w:cs="宋体"/>
          <w:color w:val="auto"/>
          <w:sz w:val="24"/>
        </w:rPr>
        <w:t>45.3质疑供应商在法定质疑期内应当一次性提出针对同一采购环节提出质疑。</w:t>
      </w:r>
    </w:p>
    <w:p>
      <w:pPr>
        <w:pStyle w:val="65"/>
        <w:spacing w:line="360" w:lineRule="auto"/>
        <w:ind w:left="1" w:firstLine="482" w:firstLineChars="200"/>
        <w:rPr>
          <w:rFonts w:hAnsi="宋体" w:cs="宋体"/>
          <w:b/>
          <w:color w:val="auto"/>
          <w:sz w:val="24"/>
          <w:szCs w:val="24"/>
        </w:rPr>
      </w:pPr>
      <w:r>
        <w:rPr>
          <w:rFonts w:hint="eastAsia" w:hAnsi="宋体" w:cs="宋体"/>
          <w:b/>
          <w:color w:val="auto"/>
          <w:sz w:val="24"/>
          <w:szCs w:val="24"/>
        </w:rPr>
        <w:t>45.4质疑文件应包括以下主要内容，并按照“谁主张、谁举证”的原则，附上相关证明材料。否则，招标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（1）供应商的姓名或者名称、地址、邮编、联系人及联系电话（包括座机、手机、传真号码等）； </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（2）质疑项目的名称、招标文件编号、包号、招标公告发布时间、递交响应文件或响应文件截止时间； </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（3）具体、明确的质疑事项和与质疑事项相关的请求； </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（4）事实依据（具体条款，认为自己合法权益受到损害或可能受到损害的相关证据材料。如涉及到产品功能或技术指标的，应出具相关制造商的证明文件）； </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（5）必要的法律依据； </w:t>
      </w:r>
    </w:p>
    <w:p>
      <w:pPr>
        <w:spacing w:line="360" w:lineRule="auto"/>
        <w:ind w:firstLine="480" w:firstLineChars="200"/>
        <w:rPr>
          <w:rFonts w:ascii="宋体" w:hAnsi="宋体" w:cs="宋体"/>
          <w:color w:val="auto"/>
          <w:sz w:val="24"/>
        </w:rPr>
      </w:pPr>
      <w:r>
        <w:rPr>
          <w:rFonts w:hint="eastAsia" w:ascii="宋体" w:hAnsi="宋体" w:cs="宋体"/>
          <w:color w:val="auto"/>
          <w:sz w:val="24"/>
        </w:rPr>
        <w:t>（6）提起质疑的日期；</w:t>
      </w:r>
    </w:p>
    <w:p>
      <w:pPr>
        <w:spacing w:line="360" w:lineRule="auto"/>
        <w:ind w:firstLine="480" w:firstLineChars="200"/>
        <w:rPr>
          <w:rFonts w:ascii="宋体" w:hAnsi="宋体" w:cs="宋体"/>
          <w:color w:val="auto"/>
          <w:sz w:val="24"/>
        </w:rPr>
      </w:pPr>
      <w:r>
        <w:rPr>
          <w:rFonts w:hint="eastAsia" w:ascii="宋体" w:hAnsi="宋体" w:cs="宋体"/>
          <w:color w:val="auto"/>
          <w:sz w:val="24"/>
        </w:rPr>
        <w:t>（7）质疑文件应当署名，质疑人为自然人的，应当由本人签字并附有效身份证明；质疑人为法人或其他组织的，应当由法定代表人签字并加盖单位公章；</w:t>
      </w:r>
    </w:p>
    <w:p>
      <w:pPr>
        <w:spacing w:line="360" w:lineRule="auto"/>
        <w:ind w:firstLine="480" w:firstLineChars="200"/>
        <w:rPr>
          <w:rFonts w:ascii="宋体" w:hAnsi="宋体" w:cs="宋体"/>
          <w:color w:val="auto"/>
          <w:sz w:val="24"/>
        </w:rPr>
      </w:pPr>
      <w:r>
        <w:rPr>
          <w:rFonts w:hint="eastAsia" w:ascii="宋体" w:hAnsi="宋体" w:cs="宋体"/>
          <w:color w:val="auto"/>
          <w:sz w:val="24"/>
        </w:rPr>
        <w:t>（8）供应商委托代理质疑的，应当提交授权委托书，并载明代理人的姓名或者名称、代理事项、具体权限、期限和相关事项。</w:t>
      </w:r>
    </w:p>
    <w:p>
      <w:pPr>
        <w:spacing w:line="360" w:lineRule="auto"/>
        <w:ind w:firstLine="480" w:firstLineChars="200"/>
        <w:rPr>
          <w:rFonts w:ascii="宋体" w:hAnsi="宋体" w:cs="宋体"/>
          <w:color w:val="auto"/>
          <w:sz w:val="24"/>
        </w:rPr>
      </w:pPr>
      <w:r>
        <w:rPr>
          <w:rFonts w:hint="eastAsia" w:ascii="宋体" w:hAnsi="宋体" w:cs="宋体"/>
          <w:color w:val="auto"/>
          <w:sz w:val="24"/>
        </w:rPr>
        <w:t>45.5质疑供应商是指直接参加本项目采购活动的供应商，未参加政府采购活动的供应商或在采购活动中自身权益未受到损害的供应商所提出的质疑不予受理。</w:t>
      </w:r>
    </w:p>
    <w:p>
      <w:pPr>
        <w:spacing w:line="360" w:lineRule="auto"/>
        <w:ind w:firstLine="480" w:firstLineChars="200"/>
        <w:rPr>
          <w:rFonts w:ascii="宋体" w:hAnsi="宋体" w:cs="宋体"/>
          <w:color w:val="auto"/>
          <w:sz w:val="24"/>
        </w:rPr>
      </w:pPr>
      <w:r>
        <w:rPr>
          <w:rFonts w:hint="eastAsia" w:ascii="宋体" w:hAnsi="宋体" w:cs="宋体"/>
          <w:color w:val="auto"/>
          <w:sz w:val="24"/>
        </w:rPr>
        <w:t>45.6采购人、招标代理机构在收到供应商的书面质疑后将及时组织调查核实，在七个工作日内作出答复，并以书面形式通知质疑供应商和其他有关供应商，答复的内容不涉及商业秘密。</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46、投诉</w:t>
      </w:r>
    </w:p>
    <w:p>
      <w:pPr>
        <w:spacing w:line="360" w:lineRule="auto"/>
        <w:ind w:firstLine="480" w:firstLineChars="200"/>
        <w:rPr>
          <w:rFonts w:ascii="宋体" w:hAnsi="宋体" w:cs="宋体"/>
          <w:color w:val="auto"/>
          <w:sz w:val="24"/>
        </w:rPr>
      </w:pPr>
      <w:r>
        <w:rPr>
          <w:rFonts w:hint="eastAsia" w:ascii="宋体" w:hAnsi="宋体" w:cs="宋体"/>
          <w:color w:val="auto"/>
          <w:sz w:val="24"/>
        </w:rPr>
        <w:t>46.1 质疑供应商对采购人、招标代理机构的答复不满意，或采购人、招标代理机构未在规定的时间内作出答复的，可以在答复期满后十五个工作日内向采购项目同级财政部门提起投诉。</w:t>
      </w:r>
    </w:p>
    <w:p>
      <w:pPr>
        <w:spacing w:line="360" w:lineRule="auto"/>
        <w:ind w:firstLine="480" w:firstLineChars="200"/>
        <w:rPr>
          <w:rFonts w:ascii="宋体" w:hAnsi="宋体" w:cs="宋体"/>
          <w:color w:val="auto"/>
          <w:sz w:val="24"/>
        </w:rPr>
      </w:pPr>
      <w:r>
        <w:rPr>
          <w:rFonts w:hint="eastAsia" w:ascii="宋体" w:hAnsi="宋体" w:cs="宋体"/>
          <w:color w:val="auto"/>
          <w:sz w:val="24"/>
        </w:rPr>
        <w:t>46.2供应商投诉的事项不得超出已质疑事项的范围，但基于质疑答复内容提出的投诉事项除外。</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47、诚实信用</w:t>
      </w:r>
    </w:p>
    <w:p>
      <w:pPr>
        <w:spacing w:line="360" w:lineRule="auto"/>
        <w:ind w:firstLine="480" w:firstLineChars="200"/>
        <w:rPr>
          <w:rFonts w:ascii="宋体" w:hAnsi="宋体" w:cs="宋体"/>
          <w:color w:val="auto"/>
          <w:sz w:val="24"/>
        </w:rPr>
      </w:pPr>
      <w:r>
        <w:rPr>
          <w:rFonts w:hint="eastAsia" w:ascii="宋体" w:hAnsi="宋体" w:cs="宋体"/>
          <w:color w:val="auto"/>
          <w:sz w:val="24"/>
        </w:rPr>
        <w:t>48.1供应商不得虚假质疑和恶意质疑，并对质疑内容的真实性承担责任。如果供应商或者其他利害关系人通过捏造事实、伪造证明材料等方式提出质疑，干扰政府采购活动正常进行的，属于严重不良行为，采购人、招标代理机构将提请财政部门将其列入不良行为记录名单，并依法予以处罚。</w:t>
      </w:r>
    </w:p>
    <w:p>
      <w:pPr>
        <w:spacing w:line="360" w:lineRule="auto"/>
        <w:ind w:firstLine="480" w:firstLineChars="200"/>
        <w:rPr>
          <w:rFonts w:ascii="宋体" w:hAnsi="宋体" w:cs="宋体"/>
          <w:color w:val="auto"/>
          <w:sz w:val="24"/>
        </w:rPr>
      </w:pPr>
      <w:r>
        <w:rPr>
          <w:rFonts w:hint="eastAsia" w:ascii="宋体" w:hAnsi="宋体" w:cs="宋体"/>
          <w:color w:val="auto"/>
          <w:sz w:val="24"/>
        </w:rPr>
        <w:t>48.2 供应商不得虚假承诺，否则，按照提供虚假材料谋取中标处理。</w:t>
      </w:r>
    </w:p>
    <w:p>
      <w:pPr>
        <w:snapToGrid w:val="0"/>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八、义务、工作纪律</w:t>
      </w:r>
    </w:p>
    <w:p>
      <w:pPr>
        <w:tabs>
          <w:tab w:val="left" w:pos="7665"/>
        </w:tabs>
        <w:spacing w:line="360" w:lineRule="auto"/>
        <w:ind w:firstLine="482" w:firstLineChars="200"/>
        <w:rPr>
          <w:rFonts w:ascii="宋体" w:hAnsi="宋体" w:cs="宋体"/>
          <w:b/>
          <w:color w:val="auto"/>
          <w:sz w:val="24"/>
        </w:rPr>
      </w:pPr>
      <w:r>
        <w:rPr>
          <w:rFonts w:hint="eastAsia" w:ascii="宋体" w:hAnsi="宋体" w:cs="宋体"/>
          <w:b/>
          <w:color w:val="auto"/>
          <w:sz w:val="24"/>
        </w:rPr>
        <w:t>48、采购代理机构负责组织评标工作，并履行下列职责：</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rPr>
        <w:t>48.1核对评审专家身份和采购人代表授权函，对评审专家在政府采购活动中的职责履行情况予以记录，并及时将有关违法违规行为向财政部门报告；</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rPr>
        <w:t>48.2宣布评标纪律；</w:t>
      </w:r>
    </w:p>
    <w:p>
      <w:pPr>
        <w:tabs>
          <w:tab w:val="left" w:pos="7665"/>
        </w:tabs>
        <w:spacing w:line="360" w:lineRule="auto"/>
        <w:ind w:firstLine="240" w:firstLineChars="100"/>
        <w:rPr>
          <w:rFonts w:ascii="宋体" w:hAnsi="宋体" w:cs="宋体"/>
          <w:bCs/>
          <w:color w:val="auto"/>
          <w:sz w:val="24"/>
        </w:rPr>
      </w:pPr>
      <w:r>
        <w:rPr>
          <w:rFonts w:hint="eastAsia" w:ascii="宋体" w:hAnsi="宋体" w:cs="宋体"/>
          <w:bCs/>
          <w:color w:val="auto"/>
          <w:sz w:val="24"/>
        </w:rPr>
        <w:t xml:space="preserve">  48.3公布供应商名单，告知评审专家应当回避的情形；</w:t>
      </w:r>
    </w:p>
    <w:p>
      <w:pPr>
        <w:tabs>
          <w:tab w:val="left" w:pos="7665"/>
        </w:tabs>
        <w:spacing w:line="360" w:lineRule="auto"/>
        <w:ind w:firstLine="240" w:firstLineChars="100"/>
        <w:rPr>
          <w:rFonts w:ascii="宋体" w:hAnsi="宋体" w:cs="宋体"/>
          <w:bCs/>
          <w:color w:val="auto"/>
          <w:sz w:val="24"/>
        </w:rPr>
      </w:pPr>
      <w:r>
        <w:rPr>
          <w:rFonts w:hint="eastAsia" w:ascii="宋体" w:hAnsi="宋体" w:cs="宋体"/>
          <w:bCs/>
          <w:color w:val="auto"/>
          <w:sz w:val="24"/>
        </w:rPr>
        <w:t xml:space="preserve">  48.4组织评标委员会推选评标组长，采购人代表不得担任组长；</w:t>
      </w:r>
    </w:p>
    <w:p>
      <w:pPr>
        <w:tabs>
          <w:tab w:val="left" w:pos="7665"/>
        </w:tabs>
        <w:spacing w:line="360" w:lineRule="auto"/>
        <w:ind w:firstLine="240" w:firstLineChars="100"/>
        <w:rPr>
          <w:rFonts w:ascii="宋体" w:hAnsi="宋体" w:cs="宋体"/>
          <w:bCs/>
          <w:color w:val="auto"/>
          <w:sz w:val="24"/>
        </w:rPr>
      </w:pPr>
      <w:r>
        <w:rPr>
          <w:rFonts w:hint="eastAsia" w:ascii="宋体" w:hAnsi="宋体" w:cs="宋体"/>
          <w:bCs/>
          <w:color w:val="auto"/>
          <w:sz w:val="24"/>
        </w:rPr>
        <w:t xml:space="preserve">  48.5在评标期间采取必要的通讯管理措施，保证评标活动不受外界干扰；</w:t>
      </w:r>
    </w:p>
    <w:p>
      <w:pPr>
        <w:tabs>
          <w:tab w:val="left" w:pos="7665"/>
        </w:tabs>
        <w:spacing w:line="360" w:lineRule="auto"/>
        <w:ind w:firstLine="240" w:firstLineChars="100"/>
        <w:rPr>
          <w:rFonts w:ascii="宋体" w:hAnsi="宋体" w:cs="宋体"/>
          <w:bCs/>
          <w:color w:val="auto"/>
          <w:sz w:val="24"/>
        </w:rPr>
      </w:pPr>
      <w:r>
        <w:rPr>
          <w:rFonts w:hint="eastAsia" w:ascii="宋体" w:hAnsi="宋体" w:cs="宋体"/>
          <w:bCs/>
          <w:color w:val="auto"/>
          <w:sz w:val="24"/>
        </w:rPr>
        <w:t xml:space="preserve">  48.6根据评标委员会的要求介绍政府采购相关政策法规、招标文件；</w:t>
      </w:r>
    </w:p>
    <w:p>
      <w:pPr>
        <w:tabs>
          <w:tab w:val="left" w:pos="7665"/>
        </w:tabs>
        <w:spacing w:line="360" w:lineRule="auto"/>
        <w:ind w:firstLine="240" w:firstLineChars="100"/>
        <w:rPr>
          <w:rFonts w:ascii="宋体" w:hAnsi="宋体" w:cs="宋体"/>
          <w:bCs/>
          <w:color w:val="auto"/>
          <w:sz w:val="24"/>
        </w:rPr>
      </w:pPr>
      <w:r>
        <w:rPr>
          <w:rFonts w:hint="eastAsia" w:ascii="宋体" w:hAnsi="宋体" w:cs="宋体"/>
          <w:bCs/>
          <w:color w:val="auto"/>
          <w:sz w:val="24"/>
        </w:rPr>
        <w:t xml:space="preserve">  48.7维护评标秩序，监督评标委员会依照招标文件规定的评标程序、方法和标准进行独立评审，及时制止和纠正采购人代表、评审专家的倾向性言论或者违法违规行为；</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rPr>
        <w:t>48.8核对评标结果，有本办法第六十四条规定情形的，要求评标委员会复核或者书面说明理由，评标委员会拒绝的，应予记录并向本级财政部门报告；</w:t>
      </w:r>
    </w:p>
    <w:p>
      <w:pPr>
        <w:tabs>
          <w:tab w:val="left" w:pos="7665"/>
        </w:tabs>
        <w:spacing w:line="360" w:lineRule="auto"/>
        <w:ind w:firstLine="240" w:firstLineChars="100"/>
        <w:rPr>
          <w:rFonts w:ascii="宋体" w:hAnsi="宋体" w:cs="宋体"/>
          <w:bCs/>
          <w:color w:val="auto"/>
          <w:sz w:val="24"/>
        </w:rPr>
      </w:pPr>
      <w:r>
        <w:rPr>
          <w:rFonts w:hint="eastAsia" w:ascii="宋体" w:hAnsi="宋体" w:cs="宋体"/>
          <w:bCs/>
          <w:color w:val="auto"/>
          <w:sz w:val="24"/>
        </w:rPr>
        <w:t xml:space="preserve">  48.9评审工作完成后，按照规定向评审专家支付劳务报酬和异地评审差旅费，不得向评审专家以外的其他人员支付评审劳务报酬；</w:t>
      </w:r>
    </w:p>
    <w:p>
      <w:pPr>
        <w:tabs>
          <w:tab w:val="left" w:pos="7665"/>
        </w:tabs>
        <w:spacing w:line="360" w:lineRule="auto"/>
        <w:ind w:firstLine="240" w:firstLineChars="100"/>
        <w:rPr>
          <w:rFonts w:ascii="宋体" w:hAnsi="宋体" w:cs="宋体"/>
          <w:bCs/>
          <w:color w:val="auto"/>
          <w:sz w:val="24"/>
        </w:rPr>
      </w:pPr>
      <w:r>
        <w:rPr>
          <w:rFonts w:hint="eastAsia" w:ascii="宋体" w:hAnsi="宋体" w:cs="宋体"/>
          <w:bCs/>
          <w:color w:val="auto"/>
          <w:sz w:val="24"/>
        </w:rPr>
        <w:t xml:space="preserve">  48.10处理与评标有关的其他事项。</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rPr>
        <w:t>采购人可以在评标前说明项目背景和采购需求，说明内容不得含有歧视性、倾向性意见，不得超出招标文件所述范围。说明应当提交书面材料，并随招标文件一并存档。</w:t>
      </w:r>
    </w:p>
    <w:p>
      <w:pPr>
        <w:tabs>
          <w:tab w:val="left" w:pos="7665"/>
        </w:tabs>
        <w:spacing w:line="360" w:lineRule="auto"/>
        <w:ind w:firstLine="482" w:firstLineChars="200"/>
        <w:rPr>
          <w:rFonts w:ascii="宋体" w:hAnsi="宋体" w:cs="宋体"/>
          <w:b/>
          <w:color w:val="auto"/>
          <w:sz w:val="24"/>
        </w:rPr>
      </w:pPr>
      <w:r>
        <w:rPr>
          <w:rFonts w:hint="eastAsia" w:ascii="宋体" w:hAnsi="宋体" w:cs="宋体"/>
          <w:b/>
          <w:color w:val="auto"/>
          <w:sz w:val="24"/>
        </w:rPr>
        <w:t>49、评标委员会在政府采购活动中应当遵守以下工作纪律：</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rPr>
        <w:t>49.1不得参加与自己有《中华人民共和国政府采购法实施条例》第九条规定的利害关系的政府采购项目的评标活动。发现参加了与自己有利害关系的评审活动，须主动提出回避，退出评审；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rPr>
        <w:t>49.2评审前，应当将通讯工具或者相关电子设备交由招标代理机构统一保管；</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rPr>
        <w:t>49.3评审过程中，不得与外界联系，因发生不可预见情况，确实需要与外界联系的，应当在监督人员监督之下办理；</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rPr>
        <w:t>49.4评审过程中，不得发表影响评审公正的倾向性、歧视性言论，不得征询或者接受采购人的倾向性意见，不得明示或暗示供应商在澄清时表达与其响应文件原义不同的意见，不得以招标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rPr>
        <w:t>49.5在评审过程中和评审结束后，不得记录、复制或带走任何评审资料，不得向外界透露评审内容；</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rPr>
        <w:t>49.6评审现场服从招标代理机构工作人员的管理，接受现场监督人员的合法监督；</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rPr>
        <w:t>49.7遵守有关廉洁自律规定，不得私下接触供应商，不得收受供应商及有关业务单位和个人的财物或好处，不得接受招标代理机构的请托。</w:t>
      </w:r>
    </w:p>
    <w:p>
      <w:pPr>
        <w:tabs>
          <w:tab w:val="left" w:pos="7665"/>
        </w:tabs>
        <w:spacing w:line="360" w:lineRule="auto"/>
        <w:ind w:firstLine="482" w:firstLineChars="200"/>
        <w:rPr>
          <w:rFonts w:ascii="宋体" w:hAnsi="宋体" w:cs="宋体"/>
          <w:b/>
          <w:color w:val="auto"/>
          <w:sz w:val="24"/>
        </w:rPr>
      </w:pPr>
      <w:r>
        <w:rPr>
          <w:rFonts w:hint="eastAsia" w:ascii="宋体" w:hAnsi="宋体" w:cs="宋体"/>
          <w:b/>
          <w:color w:val="auto"/>
          <w:sz w:val="24"/>
        </w:rPr>
        <w:t>50、评标委员会负责具体评标事务，并独立履行下列职责：</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rPr>
        <w:t>50.1审查、评价响应文件是否符合招标文件的商务、技术等实质性要求；</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rPr>
        <w:t>50.2要求供应商对响应文件有关事项作出澄清或者说明；</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rPr>
        <w:t>50.3对响应文件进行比较和评价；</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rPr>
        <w:t>50.4确定成交供应商名单，以及根据采购人委托直接确定成交供应商；</w:t>
      </w:r>
    </w:p>
    <w:p>
      <w:pPr>
        <w:tabs>
          <w:tab w:val="left" w:pos="7665"/>
        </w:tabs>
        <w:spacing w:line="360" w:lineRule="auto"/>
        <w:ind w:firstLine="480" w:firstLineChars="200"/>
        <w:rPr>
          <w:rFonts w:ascii="宋体" w:hAnsi="宋体" w:cs="宋体"/>
          <w:bCs/>
          <w:color w:val="auto"/>
          <w:sz w:val="24"/>
        </w:rPr>
      </w:pPr>
      <w:r>
        <w:rPr>
          <w:rFonts w:hint="eastAsia" w:ascii="宋体" w:hAnsi="宋体" w:cs="宋体"/>
          <w:bCs/>
          <w:color w:val="auto"/>
          <w:sz w:val="24"/>
        </w:rPr>
        <w:t>50.5向采购人、招标代理机构或者有关部门报告评标中发现的违法行为。</w:t>
      </w:r>
    </w:p>
    <w:p>
      <w:pPr>
        <w:tabs>
          <w:tab w:val="left" w:pos="7665"/>
        </w:tabs>
        <w:spacing w:line="360" w:lineRule="auto"/>
        <w:ind w:firstLine="482" w:firstLineChars="200"/>
        <w:rPr>
          <w:rFonts w:ascii="宋体" w:hAnsi="宋体" w:cs="宋体"/>
          <w:b/>
          <w:color w:val="auto"/>
          <w:sz w:val="24"/>
        </w:rPr>
      </w:pPr>
      <w:r>
        <w:rPr>
          <w:rFonts w:hint="eastAsia" w:ascii="宋体" w:hAnsi="宋体" w:cs="宋体"/>
          <w:b/>
          <w:color w:val="auto"/>
          <w:sz w:val="24"/>
        </w:rPr>
        <w:t>51、采购代理服务费</w:t>
      </w:r>
    </w:p>
    <w:p>
      <w:pPr>
        <w:pStyle w:val="13"/>
        <w:adjustRightInd w:val="0"/>
        <w:snapToGrid w:val="0"/>
        <w:spacing w:line="360" w:lineRule="auto"/>
        <w:jc w:val="left"/>
        <w:rPr>
          <w:rFonts w:hAnsi="宋体" w:cs="宋体"/>
          <w:b/>
          <w:color w:val="auto"/>
          <w:sz w:val="28"/>
          <w:szCs w:val="28"/>
        </w:rPr>
      </w:pPr>
      <w:r>
        <w:rPr>
          <w:rFonts w:hint="eastAsia" w:hAnsi="宋体" w:cs="宋体"/>
          <w:b/>
          <w:color w:val="auto"/>
          <w:sz w:val="24"/>
          <w:szCs w:val="24"/>
        </w:rPr>
        <w:t xml:space="preserve">    51.1</w:t>
      </w:r>
      <w:r>
        <w:rPr>
          <w:rFonts w:hint="eastAsia" w:hAnsi="宋体" w:cs="宋体"/>
          <w:b/>
          <w:bCs/>
          <w:color w:val="auto"/>
          <w:sz w:val="24"/>
          <w:szCs w:val="24"/>
        </w:rPr>
        <w:t>采购代理服务费：经与采购人协商，本项目采购代理服务费由中标单位在领取成交通知书同时向采购代理机构支付，采购代理服务费为：¥15000元整（大写：人民币壹万伍仟元整），此部分费用供应商自行考虑计入本次投标报价中，不因供应商漏报或忽略而后期追加费用。</w:t>
      </w:r>
    </w:p>
    <w:p>
      <w:pPr>
        <w:pStyle w:val="13"/>
        <w:adjustRightInd w:val="0"/>
        <w:snapToGrid w:val="0"/>
        <w:spacing w:line="360" w:lineRule="auto"/>
        <w:jc w:val="center"/>
        <w:rPr>
          <w:rFonts w:hAnsi="宋体" w:cs="宋体"/>
          <w:b/>
          <w:color w:val="auto"/>
          <w:sz w:val="28"/>
          <w:szCs w:val="28"/>
        </w:rPr>
      </w:pPr>
    </w:p>
    <w:p>
      <w:pPr>
        <w:pStyle w:val="13"/>
        <w:adjustRightInd w:val="0"/>
        <w:snapToGrid w:val="0"/>
        <w:spacing w:line="360" w:lineRule="auto"/>
        <w:jc w:val="center"/>
        <w:rPr>
          <w:rFonts w:hAnsi="宋体" w:cs="宋体"/>
          <w:b/>
          <w:color w:val="auto"/>
          <w:sz w:val="28"/>
          <w:szCs w:val="28"/>
        </w:rPr>
      </w:pPr>
    </w:p>
    <w:p>
      <w:pPr>
        <w:pStyle w:val="13"/>
        <w:adjustRightInd w:val="0"/>
        <w:snapToGrid w:val="0"/>
        <w:spacing w:line="360" w:lineRule="auto"/>
        <w:jc w:val="center"/>
        <w:rPr>
          <w:rFonts w:hAnsi="宋体" w:cs="宋体"/>
          <w:b/>
          <w:color w:val="auto"/>
          <w:sz w:val="28"/>
          <w:szCs w:val="28"/>
        </w:rPr>
      </w:pPr>
    </w:p>
    <w:p>
      <w:pPr>
        <w:pStyle w:val="13"/>
        <w:adjustRightInd w:val="0"/>
        <w:snapToGrid w:val="0"/>
        <w:spacing w:line="360" w:lineRule="auto"/>
        <w:jc w:val="center"/>
        <w:rPr>
          <w:rFonts w:hAnsi="宋体" w:cs="宋体"/>
          <w:b/>
          <w:color w:val="auto"/>
          <w:sz w:val="28"/>
          <w:szCs w:val="28"/>
        </w:rPr>
      </w:pPr>
    </w:p>
    <w:p>
      <w:pPr>
        <w:pStyle w:val="13"/>
        <w:adjustRightInd w:val="0"/>
        <w:snapToGrid w:val="0"/>
        <w:spacing w:line="360" w:lineRule="auto"/>
        <w:jc w:val="center"/>
        <w:rPr>
          <w:rFonts w:hAnsi="宋体" w:cs="宋体"/>
          <w:b/>
          <w:color w:val="auto"/>
          <w:sz w:val="28"/>
          <w:szCs w:val="28"/>
        </w:rPr>
      </w:pPr>
    </w:p>
    <w:p>
      <w:pPr>
        <w:pStyle w:val="13"/>
        <w:adjustRightInd w:val="0"/>
        <w:snapToGrid w:val="0"/>
        <w:spacing w:line="360" w:lineRule="auto"/>
        <w:jc w:val="center"/>
        <w:rPr>
          <w:rFonts w:hAnsi="宋体" w:cs="宋体"/>
          <w:b/>
          <w:color w:val="auto"/>
          <w:sz w:val="28"/>
          <w:szCs w:val="28"/>
        </w:rPr>
      </w:pPr>
    </w:p>
    <w:p>
      <w:pPr>
        <w:pStyle w:val="13"/>
        <w:adjustRightInd w:val="0"/>
        <w:snapToGrid w:val="0"/>
        <w:spacing w:line="360" w:lineRule="auto"/>
        <w:jc w:val="center"/>
        <w:rPr>
          <w:rFonts w:hAnsi="宋体" w:cs="宋体"/>
          <w:b/>
          <w:color w:val="auto"/>
          <w:sz w:val="28"/>
          <w:szCs w:val="28"/>
        </w:rPr>
      </w:pPr>
    </w:p>
    <w:p>
      <w:pPr>
        <w:pStyle w:val="13"/>
        <w:adjustRightInd w:val="0"/>
        <w:snapToGrid w:val="0"/>
        <w:spacing w:line="360" w:lineRule="auto"/>
        <w:jc w:val="center"/>
        <w:rPr>
          <w:rFonts w:hAnsi="宋体" w:cs="宋体"/>
          <w:b/>
          <w:color w:val="auto"/>
          <w:sz w:val="28"/>
          <w:szCs w:val="28"/>
        </w:rPr>
      </w:pPr>
    </w:p>
    <w:p>
      <w:pPr>
        <w:pStyle w:val="13"/>
        <w:adjustRightInd w:val="0"/>
        <w:snapToGrid w:val="0"/>
        <w:spacing w:line="360" w:lineRule="auto"/>
        <w:jc w:val="center"/>
        <w:rPr>
          <w:rFonts w:hAnsi="宋体" w:cs="宋体"/>
          <w:b/>
          <w:color w:val="auto"/>
          <w:sz w:val="28"/>
          <w:szCs w:val="28"/>
        </w:rPr>
      </w:pPr>
    </w:p>
    <w:p>
      <w:pPr>
        <w:pStyle w:val="13"/>
        <w:adjustRightInd w:val="0"/>
        <w:snapToGrid w:val="0"/>
        <w:spacing w:line="360" w:lineRule="auto"/>
        <w:jc w:val="center"/>
        <w:rPr>
          <w:rFonts w:hAnsi="宋体" w:cs="宋体"/>
          <w:b/>
          <w:color w:val="auto"/>
          <w:sz w:val="28"/>
          <w:szCs w:val="28"/>
        </w:rPr>
      </w:pPr>
    </w:p>
    <w:p>
      <w:pPr>
        <w:pStyle w:val="13"/>
        <w:adjustRightInd w:val="0"/>
        <w:snapToGrid w:val="0"/>
        <w:spacing w:line="360" w:lineRule="auto"/>
        <w:jc w:val="center"/>
        <w:rPr>
          <w:rFonts w:hAnsi="宋体" w:cs="宋体"/>
          <w:b/>
          <w:color w:val="auto"/>
          <w:sz w:val="28"/>
          <w:szCs w:val="28"/>
        </w:rPr>
      </w:pPr>
    </w:p>
    <w:p>
      <w:pPr>
        <w:pStyle w:val="13"/>
        <w:adjustRightInd w:val="0"/>
        <w:snapToGrid w:val="0"/>
        <w:spacing w:line="360" w:lineRule="auto"/>
        <w:jc w:val="center"/>
        <w:rPr>
          <w:rFonts w:hAnsi="宋体" w:cs="宋体"/>
          <w:b/>
          <w:color w:val="auto"/>
          <w:sz w:val="28"/>
          <w:szCs w:val="28"/>
        </w:rPr>
      </w:pPr>
    </w:p>
    <w:p>
      <w:pPr>
        <w:pStyle w:val="13"/>
        <w:adjustRightInd w:val="0"/>
        <w:snapToGrid w:val="0"/>
        <w:spacing w:line="360" w:lineRule="auto"/>
        <w:jc w:val="center"/>
        <w:rPr>
          <w:rFonts w:hAnsi="宋体" w:cs="宋体"/>
          <w:b/>
          <w:color w:val="auto"/>
          <w:sz w:val="28"/>
          <w:szCs w:val="28"/>
        </w:rPr>
      </w:pPr>
    </w:p>
    <w:p>
      <w:pPr>
        <w:pStyle w:val="13"/>
        <w:adjustRightInd w:val="0"/>
        <w:snapToGrid w:val="0"/>
        <w:spacing w:line="360" w:lineRule="auto"/>
        <w:jc w:val="center"/>
        <w:rPr>
          <w:rFonts w:hAnsi="宋体" w:cs="宋体"/>
          <w:b/>
          <w:color w:val="auto"/>
          <w:sz w:val="28"/>
          <w:szCs w:val="28"/>
        </w:rPr>
      </w:pPr>
    </w:p>
    <w:p>
      <w:pPr>
        <w:pStyle w:val="13"/>
        <w:adjustRightInd w:val="0"/>
        <w:snapToGrid w:val="0"/>
        <w:spacing w:line="360" w:lineRule="auto"/>
        <w:jc w:val="center"/>
        <w:rPr>
          <w:rFonts w:hAnsi="宋体" w:cs="宋体"/>
          <w:b/>
          <w:color w:val="auto"/>
          <w:sz w:val="28"/>
          <w:szCs w:val="28"/>
        </w:rPr>
      </w:pPr>
    </w:p>
    <w:p>
      <w:pPr>
        <w:pStyle w:val="13"/>
        <w:adjustRightInd w:val="0"/>
        <w:snapToGrid w:val="0"/>
        <w:spacing w:line="360" w:lineRule="auto"/>
        <w:jc w:val="center"/>
        <w:rPr>
          <w:rFonts w:hAnsi="宋体" w:cs="宋体"/>
          <w:b/>
          <w:color w:val="auto"/>
          <w:sz w:val="28"/>
          <w:szCs w:val="28"/>
        </w:rPr>
      </w:pPr>
    </w:p>
    <w:p>
      <w:pPr>
        <w:pStyle w:val="13"/>
        <w:adjustRightInd w:val="0"/>
        <w:snapToGrid w:val="0"/>
        <w:spacing w:line="360" w:lineRule="auto"/>
        <w:jc w:val="center"/>
        <w:rPr>
          <w:rFonts w:hAnsi="宋体" w:cs="宋体"/>
          <w:b/>
          <w:color w:val="auto"/>
          <w:sz w:val="28"/>
          <w:szCs w:val="28"/>
        </w:rPr>
      </w:pPr>
    </w:p>
    <w:p>
      <w:pPr>
        <w:pStyle w:val="13"/>
        <w:adjustRightInd w:val="0"/>
        <w:snapToGrid w:val="0"/>
        <w:spacing w:line="360" w:lineRule="auto"/>
        <w:rPr>
          <w:rFonts w:hAnsi="宋体" w:cs="宋体"/>
          <w:b/>
          <w:color w:val="auto"/>
          <w:sz w:val="28"/>
          <w:szCs w:val="28"/>
        </w:rPr>
      </w:pPr>
    </w:p>
    <w:p>
      <w:pPr>
        <w:pStyle w:val="13"/>
        <w:adjustRightInd w:val="0"/>
        <w:snapToGrid w:val="0"/>
        <w:spacing w:line="360" w:lineRule="auto"/>
        <w:jc w:val="center"/>
        <w:rPr>
          <w:rFonts w:hAnsi="宋体" w:cs="宋体"/>
          <w:b/>
          <w:color w:val="auto"/>
          <w:sz w:val="28"/>
          <w:szCs w:val="28"/>
        </w:rPr>
      </w:pPr>
      <w:r>
        <w:rPr>
          <w:rFonts w:hint="eastAsia" w:hAnsi="宋体" w:cs="宋体"/>
          <w:b/>
          <w:color w:val="auto"/>
          <w:sz w:val="28"/>
          <w:szCs w:val="28"/>
        </w:rPr>
        <w:t>第三章  项目采购需求</w:t>
      </w:r>
    </w:p>
    <w:p>
      <w:pPr>
        <w:spacing w:line="450" w:lineRule="atLeast"/>
        <w:ind w:firstLine="480" w:firstLineChars="200"/>
        <w:rPr>
          <w:rFonts w:ascii="宋体" w:hAnsi="宋体" w:cs="宋体"/>
          <w:color w:val="auto"/>
          <w:sz w:val="24"/>
        </w:rPr>
      </w:pPr>
      <w:bookmarkStart w:id="180" w:name="_Toc490672253"/>
      <w:bookmarkStart w:id="181" w:name="_Toc9331675"/>
      <w:r>
        <w:rPr>
          <w:rFonts w:hint="eastAsia" w:ascii="宋体" w:hAnsi="宋体" w:cs="宋体"/>
          <w:color w:val="auto"/>
          <w:sz w:val="24"/>
        </w:rPr>
        <w:t>1、总则</w:t>
      </w:r>
    </w:p>
    <w:p>
      <w:pPr>
        <w:spacing w:line="450" w:lineRule="atLeast"/>
        <w:ind w:firstLine="480" w:firstLineChars="200"/>
        <w:rPr>
          <w:rFonts w:ascii="宋体" w:hAnsi="宋体" w:cs="宋体"/>
          <w:color w:val="auto"/>
          <w:sz w:val="24"/>
        </w:rPr>
      </w:pPr>
      <w:r>
        <w:rPr>
          <w:rFonts w:hint="eastAsia" w:ascii="宋体" w:hAnsi="宋体" w:cs="宋体"/>
          <w:color w:val="auto"/>
          <w:sz w:val="24"/>
        </w:rPr>
        <w:t>1.1本章条款仅限于克拉玛依市教育局及直属学校安保服务项目的采购。</w:t>
      </w:r>
    </w:p>
    <w:p>
      <w:pPr>
        <w:spacing w:line="450" w:lineRule="atLeast"/>
        <w:ind w:firstLine="480" w:firstLineChars="200"/>
        <w:rPr>
          <w:rFonts w:ascii="宋体" w:hAnsi="宋体" w:cs="宋体"/>
          <w:color w:val="auto"/>
          <w:sz w:val="24"/>
        </w:rPr>
      </w:pPr>
      <w:r>
        <w:rPr>
          <w:rFonts w:hint="eastAsia" w:ascii="宋体" w:hAnsi="宋体" w:cs="宋体"/>
          <w:color w:val="auto"/>
          <w:sz w:val="24"/>
        </w:rPr>
        <w:t>1.2本章条款提出的是最低限度的技术要求，并未对一切技术细节做出规定，也未引述有关规范条文，供应商不得以本文件未提出要求为理由而规避国家和行业强制规范、标准的规定，供应商应保证提供符合本章条款和相关标准的服务。</w:t>
      </w:r>
    </w:p>
    <w:p>
      <w:pPr>
        <w:spacing w:line="450" w:lineRule="atLeast"/>
        <w:ind w:firstLine="480" w:firstLineChars="200"/>
        <w:rPr>
          <w:rFonts w:ascii="宋体" w:hAnsi="宋体" w:cs="宋体"/>
          <w:color w:val="auto"/>
          <w:sz w:val="24"/>
        </w:rPr>
      </w:pPr>
      <w:r>
        <w:rPr>
          <w:rFonts w:hint="eastAsia" w:ascii="宋体" w:hAnsi="宋体" w:cs="宋体"/>
          <w:color w:val="auto"/>
          <w:sz w:val="24"/>
        </w:rPr>
        <w:t>1.3如果供应商没有以书面形式对本章条款提出异议，采购人就可以认为供应商提供的成果符合本章条款的要求。</w:t>
      </w:r>
    </w:p>
    <w:p>
      <w:pPr>
        <w:spacing w:line="450" w:lineRule="atLeast"/>
        <w:ind w:firstLine="480" w:firstLineChars="200"/>
        <w:rPr>
          <w:rFonts w:ascii="宋体" w:hAnsi="宋体" w:cs="宋体"/>
          <w:color w:val="auto"/>
          <w:sz w:val="24"/>
        </w:rPr>
      </w:pPr>
      <w:r>
        <w:rPr>
          <w:rFonts w:hint="eastAsia" w:ascii="宋体" w:hAnsi="宋体" w:cs="宋体"/>
          <w:color w:val="auto"/>
          <w:sz w:val="24"/>
        </w:rPr>
        <w:t>1.4供应商在响应文件中，应对采购文件中的服务进行详细的说明。</w:t>
      </w:r>
    </w:p>
    <w:p>
      <w:pPr>
        <w:spacing w:line="450" w:lineRule="atLeast"/>
        <w:ind w:firstLine="480" w:firstLineChars="200"/>
        <w:rPr>
          <w:rFonts w:ascii="宋体" w:hAnsi="宋体" w:cs="宋体"/>
          <w:color w:val="auto"/>
          <w:sz w:val="24"/>
        </w:rPr>
      </w:pPr>
      <w:r>
        <w:rPr>
          <w:rFonts w:hint="eastAsia" w:ascii="宋体" w:hAnsi="宋体" w:cs="宋体"/>
          <w:color w:val="auto"/>
          <w:sz w:val="24"/>
        </w:rPr>
        <w:t>1.5在签订合同之后，采购人有权提出因规范标准有变化而产生的一些补充要求。</w:t>
      </w:r>
    </w:p>
    <w:p>
      <w:pPr>
        <w:spacing w:line="450" w:lineRule="atLeast"/>
        <w:ind w:firstLine="480" w:firstLineChars="200"/>
        <w:rPr>
          <w:rFonts w:ascii="宋体" w:hAnsi="宋体" w:cs="宋体"/>
          <w:color w:val="auto"/>
          <w:sz w:val="24"/>
        </w:rPr>
      </w:pPr>
      <w:r>
        <w:rPr>
          <w:rFonts w:hint="eastAsia" w:ascii="宋体" w:hAnsi="宋体" w:cs="宋体"/>
          <w:color w:val="auto"/>
          <w:sz w:val="24"/>
        </w:rPr>
        <w:t>1.6本章条款使用标准如与供应商所执行标准发生矛盾时，按较高标准执行。</w:t>
      </w:r>
    </w:p>
    <w:p>
      <w:pPr>
        <w:spacing w:line="450" w:lineRule="atLeast"/>
        <w:ind w:firstLine="480" w:firstLineChars="200"/>
        <w:rPr>
          <w:rFonts w:ascii="宋体" w:hAnsi="宋体" w:cs="宋体"/>
          <w:color w:val="auto"/>
          <w:sz w:val="24"/>
        </w:rPr>
      </w:pPr>
      <w:r>
        <w:rPr>
          <w:rFonts w:hint="eastAsia" w:ascii="宋体" w:hAnsi="宋体" w:cs="宋体"/>
          <w:color w:val="auto"/>
          <w:sz w:val="24"/>
        </w:rPr>
        <w:t>2、执行的规范和标准</w:t>
      </w:r>
    </w:p>
    <w:p>
      <w:pPr>
        <w:spacing w:line="450" w:lineRule="atLeast"/>
        <w:ind w:firstLine="480" w:firstLineChars="200"/>
        <w:rPr>
          <w:rFonts w:ascii="宋体" w:hAnsi="宋体" w:cs="宋体"/>
          <w:color w:val="auto"/>
          <w:sz w:val="24"/>
        </w:rPr>
      </w:pPr>
      <w:r>
        <w:rPr>
          <w:rFonts w:hint="eastAsia" w:ascii="宋体" w:hAnsi="宋体" w:cs="宋体"/>
          <w:color w:val="auto"/>
          <w:sz w:val="24"/>
        </w:rPr>
        <w:t>本项目必须遵循国家规范和标准并应按最新版本执行，若标准、规范出现矛盾时，以最新、最高标准规范执行。</w:t>
      </w:r>
    </w:p>
    <w:bookmarkEnd w:id="180"/>
    <w:p>
      <w:pPr>
        <w:numPr>
          <w:ilvl w:val="0"/>
          <w:numId w:val="2"/>
        </w:numPr>
        <w:spacing w:line="450" w:lineRule="atLeast"/>
        <w:ind w:firstLine="482" w:firstLineChars="200"/>
        <w:rPr>
          <w:rFonts w:ascii="宋体" w:hAnsi="宋体" w:cs="宋体"/>
          <w:b/>
          <w:bCs/>
          <w:color w:val="auto"/>
          <w:sz w:val="24"/>
        </w:rPr>
      </w:pPr>
      <w:r>
        <w:rPr>
          <w:rFonts w:hint="eastAsia" w:ascii="宋体" w:hAnsi="宋体" w:cs="宋体"/>
          <w:b/>
          <w:bCs/>
          <w:color w:val="auto"/>
          <w:sz w:val="24"/>
        </w:rPr>
        <w:t>采购内容及要求</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校园（机关）大门安排专业保安值守，围栏处依靠技防、物防和保安巡逻；楼宇场馆等重点要害部位，以技防、物防和保安人员值守相结合；公共区域按网格划分，以技防、物防和专业保安巡逻相结合，具体管理事项如下：</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1.负责学校大门出入口管理，人员、车辆、物资进出门的管理和校园防火、防盗、防投毒、治安巡逻，维持校园秩序，维护校园稳定，及时发现和消除安全隐患。</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2.负责校园内安全秩序维护，交通秩序维护，车辆指挥与停放，根据学校规定，禁止非法违规悬挂横幅，张贴小广告。</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3.重点部位的外围定点守护与区域治安。</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4.校园内公共部位消防设施的日常管理，教学楼里的紫外线消毒灯的定时开关。</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5.校园内公共部位日常安全隐患检查、排出及上报，违规纠正，有针对性地开展安全教育和提示。</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6.制定校园突发事件处置、灾害预防、火灾扑救等防控预案，预防外来势力冲击，配合学校安全保卫处，及时受理校区内各类纠纷和治安案件，及时、正确处理校园内的各类突发事件，随时准备提供紧急援助。</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7.随时为师生提供紧急救助服务。</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8.校园内重大活动的安全警戒与秩序保障。   </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9.在安全保卫处的组织和领导下，做好校园内部治安综合治理。</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10.校园内公共部位日常安全隐患排查和及时上报，对校园内不良行为及时开展教育和友情提示。</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11.其它属于安全保卫专项工作及甲方临时交办的任务。</w:t>
      </w:r>
    </w:p>
    <w:p>
      <w:pPr>
        <w:spacing w:line="560" w:lineRule="exact"/>
        <w:rPr>
          <w:rFonts w:ascii="宋体" w:hAnsi="宋体" w:cs="宋体"/>
          <w:b/>
          <w:color w:val="auto"/>
          <w:sz w:val="24"/>
        </w:rPr>
      </w:pPr>
      <w:r>
        <w:rPr>
          <w:rFonts w:hint="eastAsia" w:ascii="宋体" w:hAnsi="宋体" w:cs="宋体"/>
          <w:b/>
          <w:color w:val="auto"/>
          <w:sz w:val="24"/>
        </w:rPr>
        <w:t>4、服务标准及考核办法</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1.投标人必须按招标人确定的实际功能需求，自行踏勘现场，配备安保力量。</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2.采购人有权根据学校的实际情况对学校保安岗位的设置进行更换调整。</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3.学校有权要求中标供应商撤换保安员。保安员有下列情况之一的，中标供应商必须在收到学校书面通知3个工作日内予以撤换。具体情况如下：</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3.1违反学校有关管理规定被有效投诉3次的。</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3.2工作失职给学校造成损失的。</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3.3工作期间聚众闲谈、睡觉或干工作无关的事项，影响恶劣的。</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3.4因其他原因违法犯罪被处罚的。</w:t>
      </w:r>
    </w:p>
    <w:p>
      <w:pPr>
        <w:spacing w:line="560" w:lineRule="exact"/>
        <w:rPr>
          <w:rFonts w:ascii="宋体" w:hAnsi="宋体" w:cs="宋体"/>
          <w:b/>
          <w:color w:val="auto"/>
          <w:sz w:val="24"/>
        </w:rPr>
      </w:pPr>
      <w:r>
        <w:rPr>
          <w:rFonts w:hint="eastAsia" w:ascii="宋体" w:hAnsi="宋体" w:cs="宋体"/>
          <w:b/>
          <w:color w:val="auto"/>
          <w:sz w:val="24"/>
        </w:rPr>
        <w:t>5、承担风险</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5.1学校安全保卫处将对安保服务质量进行全过程监控，中标单位日常工作不到位、不达标、或有违约现象，将依据合同约定，作出相应的违约处理与处罚。</w:t>
      </w:r>
    </w:p>
    <w:p>
      <w:pPr>
        <w:spacing w:line="560" w:lineRule="exact"/>
        <w:rPr>
          <w:rFonts w:ascii="宋体" w:hAnsi="宋体" w:cs="宋体"/>
          <w:b/>
          <w:color w:val="auto"/>
          <w:sz w:val="24"/>
        </w:rPr>
      </w:pPr>
      <w:r>
        <w:rPr>
          <w:rFonts w:hint="eastAsia" w:ascii="宋体" w:hAnsi="宋体" w:cs="宋体"/>
          <w:b/>
          <w:color w:val="auto"/>
          <w:sz w:val="24"/>
        </w:rPr>
        <w:t>违约处理与处罚规定：</w:t>
      </w:r>
    </w:p>
    <w:p>
      <w:pPr>
        <w:spacing w:line="560" w:lineRule="exact"/>
        <w:rPr>
          <w:rFonts w:ascii="宋体" w:hAnsi="宋体" w:cs="宋体"/>
          <w:b/>
          <w:color w:val="auto"/>
          <w:sz w:val="24"/>
        </w:rPr>
      </w:pPr>
      <w:r>
        <w:rPr>
          <w:rFonts w:hint="eastAsia" w:ascii="宋体" w:hAnsi="宋体" w:cs="宋体"/>
          <w:b/>
          <w:color w:val="auto"/>
          <w:sz w:val="24"/>
        </w:rPr>
        <w:t>中标方在合同执行期间，如果有下列情形之一者，学校有权从责任保证金中视情节轻重扣除50－1000元/次。</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（1）未按合同规定派足保安或未执行合同规定任务的。</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（2）未经学校同意，擅自更换班长或一次性更换2名以上保安队员的。</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（3）未经学校同意，擅自外调(借)队员的。</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（4）未按配置要求统一着装上岗并给投标方带来不良影响的。</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（5）校园内发生盗窃案件，经分析认定与保安人员工作失责或失误有明显关系的。</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（6）发生其他有损投标方形象或影响正常工作造成损失的。</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（7）校园发生火灾或公共场所公物损坏应该发现而未能及时发现、及时扑救上报的。</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（8）对学校指出的存在的问题与不足未能及时整改的。</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5.2学校安全保卫处每学期对保安服务质量征求师生员工的意见，综合满意率必须达到90%以上，综合满意率对比承诺标准，每低一个百分点，扣除本学期保安服务费的1%，同时成交供应商必须进行整改；综合满意率低于80%，学校有权解除合同，并处合同金额10%的违约金。</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5.3保安人员在岗履行工作职责期间，发生自身的人身伤害、伤亡，均由成交供应商负责处理并承担经济和道义上的责任，学校不承担任何责任。</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5.4成交供应商违反国家相关法规，与聘用人员发生纠纷，均由成交供应商负责调解与处理，学校不承担责任。</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5.5成交供应商在安保服务中违反国家相关法规或保安行业规范，因过失造成他人人身伤亡的，均由成交供应商负责处理并承担法律责任和善良道义责任，学校不承担任何责任。</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5.6中标单位派驻学校的安保人员不能保证年龄在22-45岁、男性保安不低于70%、少数民族保安不超过克拉玛依人口基数中少数民族所占的自然比例（30%）且具有服务岗位所需的汉语书写表达能力的，学校有权从责任保证金中扣除1000元/次，三次以上学校有权解除合同。</w:t>
      </w:r>
    </w:p>
    <w:p>
      <w:pPr>
        <w:spacing w:line="560" w:lineRule="exact"/>
        <w:rPr>
          <w:rFonts w:ascii="宋体" w:hAnsi="宋体" w:cs="宋体"/>
          <w:b/>
          <w:color w:val="auto"/>
          <w:sz w:val="24"/>
        </w:rPr>
      </w:pPr>
      <w:r>
        <w:rPr>
          <w:rFonts w:hint="eastAsia" w:ascii="宋体" w:hAnsi="宋体" w:cs="宋体"/>
          <w:b/>
          <w:color w:val="auto"/>
          <w:sz w:val="24"/>
        </w:rPr>
        <w:t>6、服务地点</w:t>
      </w:r>
    </w:p>
    <w:tbl>
      <w:tblPr>
        <w:tblStyle w:val="27"/>
        <w:tblW w:w="9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255"/>
        <w:gridCol w:w="2100"/>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8" w:type="dxa"/>
            <w:vAlign w:val="center"/>
          </w:tcPr>
          <w:p>
            <w:pPr>
              <w:spacing w:line="560" w:lineRule="exact"/>
              <w:rPr>
                <w:rFonts w:ascii="宋体" w:hAnsi="宋体" w:cs="宋体"/>
                <w:b/>
                <w:color w:val="auto"/>
                <w:sz w:val="24"/>
              </w:rPr>
            </w:pPr>
            <w:r>
              <w:rPr>
                <w:rFonts w:hint="eastAsia" w:ascii="宋体" w:hAnsi="宋体" w:cs="宋体"/>
                <w:b/>
                <w:color w:val="auto"/>
                <w:sz w:val="24"/>
              </w:rPr>
              <w:t>序号</w:t>
            </w:r>
          </w:p>
        </w:tc>
        <w:tc>
          <w:tcPr>
            <w:tcW w:w="3255" w:type="dxa"/>
            <w:vAlign w:val="center"/>
          </w:tcPr>
          <w:p>
            <w:pPr>
              <w:spacing w:line="560" w:lineRule="exact"/>
              <w:rPr>
                <w:rFonts w:ascii="宋体" w:hAnsi="宋体" w:cs="宋体"/>
                <w:b/>
                <w:color w:val="auto"/>
                <w:sz w:val="24"/>
              </w:rPr>
            </w:pPr>
            <w:r>
              <w:rPr>
                <w:rFonts w:hint="eastAsia" w:ascii="宋体" w:hAnsi="宋体" w:cs="宋体"/>
                <w:b/>
                <w:color w:val="auto"/>
                <w:sz w:val="24"/>
              </w:rPr>
              <w:t>值勤部位</w:t>
            </w:r>
          </w:p>
        </w:tc>
        <w:tc>
          <w:tcPr>
            <w:tcW w:w="2100" w:type="dxa"/>
            <w:vAlign w:val="center"/>
          </w:tcPr>
          <w:p>
            <w:pPr>
              <w:spacing w:line="560" w:lineRule="exact"/>
              <w:rPr>
                <w:rFonts w:ascii="宋体" w:hAnsi="宋体" w:cs="宋体"/>
                <w:b/>
                <w:color w:val="auto"/>
                <w:sz w:val="24"/>
              </w:rPr>
            </w:pPr>
            <w:r>
              <w:rPr>
                <w:rFonts w:hint="eastAsia" w:ascii="宋体" w:hAnsi="宋体" w:cs="宋体"/>
                <w:b/>
                <w:color w:val="auto"/>
                <w:sz w:val="24"/>
              </w:rPr>
              <w:t>保安配置人数</w:t>
            </w:r>
          </w:p>
        </w:tc>
        <w:tc>
          <w:tcPr>
            <w:tcW w:w="2319" w:type="dxa"/>
            <w:vAlign w:val="center"/>
          </w:tcPr>
          <w:p>
            <w:pPr>
              <w:spacing w:line="560" w:lineRule="exact"/>
              <w:rPr>
                <w:rFonts w:ascii="宋体" w:hAnsi="宋体" w:cs="宋体"/>
                <w:b/>
                <w:color w:val="auto"/>
                <w:sz w:val="24"/>
              </w:rPr>
            </w:pPr>
            <w:r>
              <w:rPr>
                <w:rFonts w:hint="eastAsia" w:ascii="宋体" w:hAnsi="宋体" w:cs="宋体"/>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8" w:type="dxa"/>
            <w:vAlign w:val="center"/>
          </w:tcPr>
          <w:p>
            <w:pPr>
              <w:spacing w:line="560" w:lineRule="exact"/>
              <w:rPr>
                <w:rFonts w:ascii="宋体" w:hAnsi="宋体" w:cs="宋体"/>
                <w:b/>
                <w:color w:val="auto"/>
                <w:sz w:val="24"/>
              </w:rPr>
            </w:pPr>
            <w:r>
              <w:rPr>
                <w:rFonts w:hint="eastAsia" w:ascii="宋体" w:hAnsi="宋体" w:cs="宋体"/>
                <w:b/>
                <w:color w:val="auto"/>
                <w:sz w:val="24"/>
              </w:rPr>
              <w:t>1</w:t>
            </w:r>
          </w:p>
        </w:tc>
        <w:tc>
          <w:tcPr>
            <w:tcW w:w="3255" w:type="dxa"/>
            <w:vAlign w:val="center"/>
          </w:tcPr>
          <w:p>
            <w:pPr>
              <w:spacing w:line="560" w:lineRule="exact"/>
              <w:rPr>
                <w:rFonts w:ascii="宋体" w:hAnsi="宋体" w:cs="宋体"/>
                <w:b/>
                <w:color w:val="auto"/>
                <w:sz w:val="24"/>
              </w:rPr>
            </w:pPr>
            <w:r>
              <w:rPr>
                <w:rFonts w:hint="eastAsia" w:ascii="宋体" w:hAnsi="宋体" w:cs="宋体"/>
                <w:b/>
                <w:color w:val="auto"/>
                <w:sz w:val="24"/>
              </w:rPr>
              <w:t>第二中学</w:t>
            </w:r>
          </w:p>
        </w:tc>
        <w:tc>
          <w:tcPr>
            <w:tcW w:w="2100" w:type="dxa"/>
            <w:vAlign w:val="center"/>
          </w:tcPr>
          <w:p>
            <w:pPr>
              <w:spacing w:line="560" w:lineRule="exact"/>
              <w:rPr>
                <w:rFonts w:ascii="宋体" w:hAnsi="宋体" w:cs="宋体"/>
                <w:b/>
                <w:color w:val="auto"/>
                <w:sz w:val="24"/>
              </w:rPr>
            </w:pPr>
            <w:r>
              <w:rPr>
                <w:rFonts w:hint="eastAsia" w:ascii="宋体" w:hAnsi="宋体" w:cs="宋体"/>
                <w:b/>
                <w:color w:val="auto"/>
                <w:sz w:val="24"/>
              </w:rPr>
              <w:t>10</w:t>
            </w:r>
          </w:p>
        </w:tc>
        <w:tc>
          <w:tcPr>
            <w:tcW w:w="2319" w:type="dxa"/>
            <w:vMerge w:val="restart"/>
            <w:vAlign w:val="center"/>
          </w:tcPr>
          <w:p>
            <w:pPr>
              <w:spacing w:line="560" w:lineRule="exact"/>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8" w:type="dxa"/>
            <w:vAlign w:val="center"/>
          </w:tcPr>
          <w:p>
            <w:pPr>
              <w:spacing w:line="560" w:lineRule="exact"/>
              <w:rPr>
                <w:rFonts w:ascii="宋体" w:hAnsi="宋体" w:cs="宋体"/>
                <w:b/>
                <w:color w:val="auto"/>
                <w:sz w:val="24"/>
              </w:rPr>
            </w:pPr>
            <w:r>
              <w:rPr>
                <w:rFonts w:hint="eastAsia" w:ascii="宋体" w:hAnsi="宋体" w:cs="宋体"/>
                <w:b/>
                <w:color w:val="auto"/>
                <w:sz w:val="24"/>
              </w:rPr>
              <w:t>2</w:t>
            </w:r>
          </w:p>
        </w:tc>
        <w:tc>
          <w:tcPr>
            <w:tcW w:w="3255" w:type="dxa"/>
            <w:vAlign w:val="center"/>
          </w:tcPr>
          <w:p>
            <w:pPr>
              <w:spacing w:line="560" w:lineRule="exact"/>
              <w:rPr>
                <w:rFonts w:ascii="宋体" w:hAnsi="宋体" w:cs="宋体"/>
                <w:b/>
                <w:color w:val="auto"/>
                <w:sz w:val="24"/>
              </w:rPr>
            </w:pPr>
            <w:r>
              <w:rPr>
                <w:rFonts w:hint="eastAsia" w:ascii="宋体" w:hAnsi="宋体" w:cs="宋体"/>
                <w:b/>
                <w:color w:val="auto"/>
                <w:sz w:val="24"/>
              </w:rPr>
              <w:t>高级中学</w:t>
            </w:r>
          </w:p>
        </w:tc>
        <w:tc>
          <w:tcPr>
            <w:tcW w:w="2100" w:type="dxa"/>
            <w:vAlign w:val="center"/>
          </w:tcPr>
          <w:p>
            <w:pPr>
              <w:spacing w:line="560" w:lineRule="exact"/>
              <w:rPr>
                <w:rFonts w:ascii="宋体" w:hAnsi="宋体" w:cs="宋体"/>
                <w:b/>
                <w:color w:val="auto"/>
                <w:sz w:val="24"/>
              </w:rPr>
            </w:pPr>
            <w:r>
              <w:rPr>
                <w:rFonts w:hint="eastAsia" w:ascii="宋体" w:hAnsi="宋体" w:cs="宋体"/>
                <w:b/>
                <w:color w:val="auto"/>
                <w:sz w:val="24"/>
              </w:rPr>
              <w:t>10</w:t>
            </w:r>
          </w:p>
        </w:tc>
        <w:tc>
          <w:tcPr>
            <w:tcW w:w="2319" w:type="dxa"/>
            <w:vMerge w:val="continue"/>
            <w:vAlign w:val="center"/>
          </w:tcPr>
          <w:p>
            <w:pPr>
              <w:spacing w:line="560" w:lineRule="exact"/>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8" w:type="dxa"/>
            <w:vAlign w:val="center"/>
          </w:tcPr>
          <w:p>
            <w:pPr>
              <w:spacing w:line="560" w:lineRule="exact"/>
              <w:rPr>
                <w:rFonts w:ascii="宋体" w:hAnsi="宋体" w:cs="宋体"/>
                <w:b/>
                <w:color w:val="auto"/>
                <w:sz w:val="24"/>
              </w:rPr>
            </w:pPr>
            <w:r>
              <w:rPr>
                <w:rFonts w:hint="eastAsia" w:ascii="宋体" w:hAnsi="宋体" w:cs="宋体"/>
                <w:b/>
                <w:color w:val="auto"/>
                <w:sz w:val="24"/>
              </w:rPr>
              <w:t>3</w:t>
            </w:r>
          </w:p>
        </w:tc>
        <w:tc>
          <w:tcPr>
            <w:tcW w:w="3255" w:type="dxa"/>
            <w:vAlign w:val="center"/>
          </w:tcPr>
          <w:p>
            <w:pPr>
              <w:spacing w:line="560" w:lineRule="exact"/>
              <w:rPr>
                <w:rFonts w:ascii="宋体" w:hAnsi="宋体" w:cs="宋体"/>
                <w:b/>
                <w:color w:val="auto"/>
                <w:sz w:val="24"/>
              </w:rPr>
            </w:pPr>
            <w:r>
              <w:rPr>
                <w:rFonts w:hint="eastAsia" w:ascii="宋体" w:hAnsi="宋体" w:cs="宋体"/>
                <w:b/>
                <w:color w:val="auto"/>
                <w:sz w:val="24"/>
              </w:rPr>
              <w:t>第六中学</w:t>
            </w:r>
          </w:p>
        </w:tc>
        <w:tc>
          <w:tcPr>
            <w:tcW w:w="2100" w:type="dxa"/>
            <w:vAlign w:val="center"/>
          </w:tcPr>
          <w:p>
            <w:pPr>
              <w:spacing w:line="560" w:lineRule="exact"/>
              <w:rPr>
                <w:rFonts w:ascii="宋体" w:hAnsi="宋体" w:cs="宋体"/>
                <w:b/>
                <w:color w:val="auto"/>
                <w:sz w:val="24"/>
              </w:rPr>
            </w:pPr>
            <w:r>
              <w:rPr>
                <w:rFonts w:hint="eastAsia" w:ascii="宋体" w:hAnsi="宋体" w:cs="宋体"/>
                <w:b/>
                <w:color w:val="auto"/>
                <w:sz w:val="24"/>
              </w:rPr>
              <w:t>10</w:t>
            </w:r>
          </w:p>
        </w:tc>
        <w:tc>
          <w:tcPr>
            <w:tcW w:w="2319" w:type="dxa"/>
            <w:vMerge w:val="continue"/>
            <w:vAlign w:val="center"/>
          </w:tcPr>
          <w:p>
            <w:pPr>
              <w:spacing w:line="560" w:lineRule="exact"/>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8" w:type="dxa"/>
            <w:vAlign w:val="center"/>
          </w:tcPr>
          <w:p>
            <w:pPr>
              <w:spacing w:line="560" w:lineRule="exact"/>
              <w:rPr>
                <w:rFonts w:ascii="宋体" w:hAnsi="宋体" w:cs="宋体"/>
                <w:b/>
                <w:color w:val="auto"/>
                <w:sz w:val="24"/>
              </w:rPr>
            </w:pPr>
            <w:r>
              <w:rPr>
                <w:rFonts w:hint="eastAsia" w:ascii="宋体" w:hAnsi="宋体" w:cs="宋体"/>
                <w:b/>
                <w:color w:val="auto"/>
                <w:sz w:val="24"/>
              </w:rPr>
              <w:t>4</w:t>
            </w:r>
          </w:p>
        </w:tc>
        <w:tc>
          <w:tcPr>
            <w:tcW w:w="3255" w:type="dxa"/>
            <w:vAlign w:val="center"/>
          </w:tcPr>
          <w:p>
            <w:pPr>
              <w:spacing w:line="560" w:lineRule="exact"/>
              <w:rPr>
                <w:rFonts w:ascii="宋体" w:hAnsi="宋体" w:cs="宋体"/>
                <w:b/>
                <w:color w:val="auto"/>
                <w:sz w:val="24"/>
              </w:rPr>
            </w:pPr>
            <w:r>
              <w:rPr>
                <w:rFonts w:hint="eastAsia" w:ascii="宋体" w:hAnsi="宋体" w:cs="宋体"/>
                <w:b/>
                <w:color w:val="auto"/>
                <w:sz w:val="24"/>
              </w:rPr>
              <w:t>少儿活动中心</w:t>
            </w:r>
          </w:p>
        </w:tc>
        <w:tc>
          <w:tcPr>
            <w:tcW w:w="2100" w:type="dxa"/>
            <w:vAlign w:val="center"/>
          </w:tcPr>
          <w:p>
            <w:pPr>
              <w:spacing w:line="560" w:lineRule="exact"/>
              <w:rPr>
                <w:rFonts w:ascii="宋体" w:hAnsi="宋体" w:cs="宋体"/>
                <w:b/>
                <w:color w:val="auto"/>
                <w:sz w:val="24"/>
              </w:rPr>
            </w:pPr>
            <w:r>
              <w:rPr>
                <w:rFonts w:hint="eastAsia" w:ascii="宋体" w:hAnsi="宋体" w:cs="宋体"/>
                <w:b/>
                <w:color w:val="auto"/>
                <w:sz w:val="24"/>
              </w:rPr>
              <w:t>8</w:t>
            </w:r>
          </w:p>
        </w:tc>
        <w:tc>
          <w:tcPr>
            <w:tcW w:w="2319" w:type="dxa"/>
            <w:vMerge w:val="continue"/>
            <w:vAlign w:val="center"/>
          </w:tcPr>
          <w:p>
            <w:pPr>
              <w:spacing w:line="560" w:lineRule="exact"/>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8" w:type="dxa"/>
            <w:vAlign w:val="center"/>
          </w:tcPr>
          <w:p>
            <w:pPr>
              <w:spacing w:line="560" w:lineRule="exact"/>
              <w:rPr>
                <w:rFonts w:ascii="宋体" w:hAnsi="宋体" w:cs="宋体"/>
                <w:b/>
                <w:color w:val="auto"/>
                <w:sz w:val="24"/>
              </w:rPr>
            </w:pPr>
            <w:r>
              <w:rPr>
                <w:rFonts w:hint="eastAsia" w:ascii="宋体" w:hAnsi="宋体" w:cs="宋体"/>
                <w:b/>
                <w:color w:val="auto"/>
                <w:sz w:val="24"/>
              </w:rPr>
              <w:t>5</w:t>
            </w:r>
          </w:p>
        </w:tc>
        <w:tc>
          <w:tcPr>
            <w:tcW w:w="3255" w:type="dxa"/>
            <w:vAlign w:val="center"/>
          </w:tcPr>
          <w:p>
            <w:pPr>
              <w:spacing w:line="560" w:lineRule="exact"/>
              <w:rPr>
                <w:rFonts w:ascii="宋体" w:hAnsi="宋体" w:cs="宋体"/>
                <w:b/>
                <w:color w:val="auto"/>
                <w:sz w:val="24"/>
              </w:rPr>
            </w:pPr>
            <w:r>
              <w:rPr>
                <w:rFonts w:hint="eastAsia" w:ascii="宋体" w:hAnsi="宋体" w:cs="宋体"/>
                <w:b/>
                <w:color w:val="auto"/>
                <w:sz w:val="24"/>
              </w:rPr>
              <w:t>教育局机关</w:t>
            </w:r>
          </w:p>
        </w:tc>
        <w:tc>
          <w:tcPr>
            <w:tcW w:w="2100" w:type="dxa"/>
            <w:vAlign w:val="center"/>
          </w:tcPr>
          <w:p>
            <w:pPr>
              <w:spacing w:line="560" w:lineRule="exact"/>
              <w:rPr>
                <w:rFonts w:ascii="宋体" w:hAnsi="宋体" w:cs="宋体"/>
                <w:b/>
                <w:color w:val="auto"/>
                <w:sz w:val="24"/>
              </w:rPr>
            </w:pPr>
            <w:r>
              <w:rPr>
                <w:rFonts w:hint="eastAsia" w:ascii="宋体" w:hAnsi="宋体" w:cs="宋体"/>
                <w:b/>
                <w:color w:val="auto"/>
                <w:sz w:val="24"/>
              </w:rPr>
              <w:t>6</w:t>
            </w:r>
          </w:p>
        </w:tc>
        <w:tc>
          <w:tcPr>
            <w:tcW w:w="2319" w:type="dxa"/>
            <w:vMerge w:val="continue"/>
            <w:vAlign w:val="center"/>
          </w:tcPr>
          <w:p>
            <w:pPr>
              <w:spacing w:line="560" w:lineRule="exact"/>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8" w:type="dxa"/>
            <w:vAlign w:val="center"/>
          </w:tcPr>
          <w:p>
            <w:pPr>
              <w:spacing w:line="560" w:lineRule="exact"/>
              <w:rPr>
                <w:rFonts w:ascii="宋体" w:hAnsi="宋体" w:cs="宋体"/>
                <w:b/>
                <w:color w:val="auto"/>
                <w:sz w:val="24"/>
              </w:rPr>
            </w:pPr>
          </w:p>
        </w:tc>
        <w:tc>
          <w:tcPr>
            <w:tcW w:w="3255" w:type="dxa"/>
            <w:vAlign w:val="center"/>
          </w:tcPr>
          <w:p>
            <w:pPr>
              <w:spacing w:line="560" w:lineRule="exact"/>
              <w:rPr>
                <w:rFonts w:ascii="宋体" w:hAnsi="宋体" w:cs="宋体"/>
                <w:b/>
                <w:color w:val="auto"/>
                <w:sz w:val="24"/>
              </w:rPr>
            </w:pPr>
            <w:r>
              <w:rPr>
                <w:rFonts w:hint="eastAsia" w:ascii="宋体" w:hAnsi="宋体" w:cs="宋体"/>
                <w:b/>
                <w:color w:val="auto"/>
                <w:sz w:val="24"/>
              </w:rPr>
              <w:t>合计（人）</w:t>
            </w:r>
          </w:p>
        </w:tc>
        <w:tc>
          <w:tcPr>
            <w:tcW w:w="2100" w:type="dxa"/>
            <w:vAlign w:val="center"/>
          </w:tcPr>
          <w:p>
            <w:pPr>
              <w:spacing w:line="560" w:lineRule="exact"/>
              <w:rPr>
                <w:rFonts w:ascii="宋体" w:hAnsi="宋体" w:cs="宋体"/>
                <w:b/>
                <w:color w:val="auto"/>
                <w:sz w:val="24"/>
              </w:rPr>
            </w:pPr>
            <w:r>
              <w:rPr>
                <w:rFonts w:hint="eastAsia" w:ascii="宋体" w:hAnsi="宋体" w:cs="宋体"/>
                <w:b/>
                <w:color w:val="auto"/>
                <w:sz w:val="24"/>
              </w:rPr>
              <w:t>44</w:t>
            </w:r>
          </w:p>
        </w:tc>
        <w:tc>
          <w:tcPr>
            <w:tcW w:w="2319" w:type="dxa"/>
            <w:vAlign w:val="center"/>
          </w:tcPr>
          <w:p>
            <w:pPr>
              <w:spacing w:line="560" w:lineRule="exact"/>
              <w:rPr>
                <w:rFonts w:ascii="宋体" w:hAnsi="宋体" w:cs="宋体"/>
                <w:b/>
                <w:color w:val="auto"/>
                <w:sz w:val="24"/>
              </w:rPr>
            </w:pPr>
          </w:p>
        </w:tc>
      </w:tr>
    </w:tbl>
    <w:p>
      <w:pPr>
        <w:pStyle w:val="68"/>
        <w:spacing w:line="460" w:lineRule="exact"/>
        <w:ind w:firstLine="0" w:firstLineChars="0"/>
        <w:rPr>
          <w:rFonts w:ascii="宋体" w:hAnsi="宋体" w:cs="宋体"/>
          <w:b/>
          <w:color w:val="auto"/>
          <w:sz w:val="24"/>
        </w:rPr>
      </w:pPr>
      <w:r>
        <w:rPr>
          <w:rFonts w:hint="eastAsia" w:ascii="宋体" w:hAnsi="宋体" w:cs="宋体"/>
          <w:b/>
          <w:color w:val="auto"/>
          <w:sz w:val="24"/>
        </w:rPr>
        <w:t>7、付款方式</w:t>
      </w:r>
    </w:p>
    <w:p>
      <w:pPr>
        <w:pStyle w:val="68"/>
        <w:spacing w:line="460" w:lineRule="exact"/>
        <w:ind w:firstLine="482"/>
        <w:rPr>
          <w:rFonts w:ascii="宋体" w:hAnsi="宋体" w:cs="宋体"/>
          <w:b/>
          <w:color w:val="auto"/>
          <w:sz w:val="24"/>
        </w:rPr>
      </w:pPr>
      <w:r>
        <w:rPr>
          <w:rFonts w:hint="eastAsia" w:ascii="宋体" w:hAnsi="宋体" w:cs="宋体"/>
          <w:b/>
          <w:color w:val="auto"/>
          <w:sz w:val="24"/>
        </w:rPr>
        <w:t>按照合同金额每季度支付25%。</w:t>
      </w:r>
      <w:bookmarkEnd w:id="181"/>
    </w:p>
    <w:p>
      <w:pPr>
        <w:pStyle w:val="68"/>
        <w:spacing w:line="460" w:lineRule="exact"/>
        <w:ind w:firstLine="482"/>
        <w:rPr>
          <w:rFonts w:ascii="宋体" w:hAnsi="宋体" w:cs="宋体"/>
          <w:b/>
          <w:color w:val="auto"/>
          <w:sz w:val="24"/>
        </w:rPr>
      </w:pPr>
    </w:p>
    <w:p>
      <w:pPr>
        <w:pStyle w:val="11"/>
        <w:ind w:left="0" w:leftChars="0"/>
        <w:rPr>
          <w:color w:val="auto"/>
        </w:rPr>
      </w:pPr>
    </w:p>
    <w:p>
      <w:pPr>
        <w:pStyle w:val="3"/>
        <w:spacing w:line="360" w:lineRule="auto"/>
        <w:jc w:val="both"/>
        <w:rPr>
          <w:rFonts w:ascii="宋体" w:hAnsi="宋体" w:cs="宋体"/>
          <w:bCs w:val="0"/>
          <w:color w:val="auto"/>
          <w:sz w:val="28"/>
          <w:szCs w:val="28"/>
        </w:rPr>
      </w:pPr>
    </w:p>
    <w:p>
      <w:pPr>
        <w:rPr>
          <w:rFonts w:ascii="宋体" w:hAnsi="宋体" w:cs="宋体"/>
          <w:bCs/>
          <w:color w:val="auto"/>
          <w:sz w:val="28"/>
          <w:szCs w:val="28"/>
        </w:rPr>
      </w:pPr>
    </w:p>
    <w:p>
      <w:pPr>
        <w:pStyle w:val="10"/>
        <w:rPr>
          <w:rFonts w:ascii="宋体" w:hAnsi="宋体" w:cs="宋体"/>
          <w:bCs/>
          <w:color w:val="auto"/>
          <w:sz w:val="28"/>
          <w:szCs w:val="28"/>
        </w:rPr>
      </w:pPr>
    </w:p>
    <w:p>
      <w:pPr>
        <w:pStyle w:val="11"/>
        <w:rPr>
          <w:rFonts w:ascii="宋体" w:hAnsi="宋体" w:cs="宋体"/>
          <w:bCs/>
          <w:color w:val="auto"/>
          <w:sz w:val="28"/>
          <w:szCs w:val="28"/>
        </w:rPr>
      </w:pPr>
    </w:p>
    <w:p>
      <w:pPr>
        <w:rPr>
          <w:rFonts w:ascii="宋体" w:hAnsi="宋体" w:cs="宋体"/>
          <w:bCs/>
          <w:color w:val="auto"/>
          <w:sz w:val="28"/>
          <w:szCs w:val="28"/>
        </w:rPr>
      </w:pPr>
    </w:p>
    <w:p>
      <w:pPr>
        <w:pStyle w:val="10"/>
        <w:rPr>
          <w:rFonts w:ascii="宋体" w:hAnsi="宋体" w:cs="宋体"/>
          <w:bCs/>
          <w:color w:val="auto"/>
          <w:sz w:val="28"/>
          <w:szCs w:val="28"/>
        </w:rPr>
      </w:pPr>
    </w:p>
    <w:p>
      <w:pPr>
        <w:pStyle w:val="11"/>
        <w:rPr>
          <w:rFonts w:ascii="宋体" w:hAnsi="宋体" w:cs="宋体"/>
          <w:bCs/>
          <w:color w:val="auto"/>
          <w:sz w:val="28"/>
          <w:szCs w:val="28"/>
        </w:rPr>
      </w:pPr>
    </w:p>
    <w:p>
      <w:pPr>
        <w:rPr>
          <w:rFonts w:ascii="宋体" w:hAnsi="宋体" w:cs="宋体"/>
          <w:bCs/>
          <w:color w:val="auto"/>
          <w:sz w:val="28"/>
          <w:szCs w:val="28"/>
        </w:rPr>
      </w:pPr>
    </w:p>
    <w:p>
      <w:pPr>
        <w:pStyle w:val="10"/>
        <w:rPr>
          <w:rFonts w:ascii="宋体" w:hAnsi="宋体" w:cs="宋体"/>
          <w:bCs/>
          <w:color w:val="auto"/>
          <w:sz w:val="28"/>
          <w:szCs w:val="28"/>
        </w:rPr>
      </w:pPr>
    </w:p>
    <w:p>
      <w:pPr>
        <w:pStyle w:val="11"/>
        <w:rPr>
          <w:rFonts w:ascii="宋体" w:hAnsi="宋体" w:cs="宋体"/>
          <w:bCs/>
          <w:color w:val="auto"/>
          <w:sz w:val="28"/>
          <w:szCs w:val="28"/>
        </w:rPr>
      </w:pPr>
    </w:p>
    <w:p>
      <w:pPr>
        <w:rPr>
          <w:rFonts w:ascii="宋体" w:hAnsi="宋体" w:cs="宋体"/>
          <w:bCs/>
          <w:color w:val="auto"/>
          <w:sz w:val="28"/>
          <w:szCs w:val="28"/>
        </w:rPr>
      </w:pPr>
    </w:p>
    <w:p>
      <w:pPr>
        <w:pStyle w:val="10"/>
        <w:rPr>
          <w:rFonts w:ascii="宋体" w:hAnsi="宋体" w:cs="宋体"/>
          <w:bCs/>
          <w:color w:val="auto"/>
          <w:sz w:val="28"/>
          <w:szCs w:val="28"/>
        </w:rPr>
      </w:pPr>
    </w:p>
    <w:p>
      <w:pPr>
        <w:pStyle w:val="11"/>
        <w:rPr>
          <w:rFonts w:ascii="宋体" w:hAnsi="宋体" w:cs="宋体"/>
          <w:bCs/>
          <w:color w:val="auto"/>
          <w:sz w:val="28"/>
          <w:szCs w:val="28"/>
        </w:rPr>
      </w:pPr>
    </w:p>
    <w:p>
      <w:pPr>
        <w:rPr>
          <w:rFonts w:ascii="宋体" w:hAnsi="宋体" w:cs="宋体"/>
          <w:bCs/>
          <w:color w:val="auto"/>
          <w:sz w:val="28"/>
          <w:szCs w:val="28"/>
        </w:rPr>
      </w:pPr>
    </w:p>
    <w:p>
      <w:pPr>
        <w:pStyle w:val="10"/>
        <w:rPr>
          <w:rFonts w:ascii="宋体" w:hAnsi="宋体" w:cs="宋体"/>
          <w:bCs/>
          <w:color w:val="auto"/>
          <w:sz w:val="28"/>
          <w:szCs w:val="28"/>
        </w:rPr>
      </w:pPr>
    </w:p>
    <w:p>
      <w:pPr>
        <w:pStyle w:val="11"/>
        <w:rPr>
          <w:rFonts w:ascii="宋体" w:hAnsi="宋体" w:cs="宋体"/>
          <w:bCs/>
          <w:color w:val="auto"/>
          <w:sz w:val="28"/>
          <w:szCs w:val="28"/>
        </w:rPr>
      </w:pPr>
    </w:p>
    <w:p>
      <w:pPr>
        <w:rPr>
          <w:rFonts w:ascii="宋体" w:hAnsi="宋体" w:cs="宋体"/>
          <w:bCs/>
          <w:color w:val="auto"/>
          <w:sz w:val="28"/>
          <w:szCs w:val="28"/>
        </w:rPr>
      </w:pPr>
    </w:p>
    <w:p>
      <w:pPr>
        <w:pStyle w:val="10"/>
        <w:rPr>
          <w:color w:val="auto"/>
        </w:rPr>
      </w:pPr>
    </w:p>
    <w:p>
      <w:pPr>
        <w:pStyle w:val="3"/>
        <w:spacing w:line="360" w:lineRule="auto"/>
        <w:jc w:val="center"/>
        <w:rPr>
          <w:rFonts w:ascii="仿宋_GB2312" w:hAnsi="宋体"/>
          <w:color w:val="auto"/>
          <w:sz w:val="28"/>
          <w:szCs w:val="28"/>
        </w:rPr>
      </w:pPr>
      <w:r>
        <w:rPr>
          <w:rFonts w:hint="eastAsia" w:ascii="宋体" w:hAnsi="宋体" w:cs="宋体"/>
          <w:bCs w:val="0"/>
          <w:color w:val="auto"/>
          <w:sz w:val="28"/>
          <w:szCs w:val="28"/>
        </w:rPr>
        <w:t>第四章  合同条款（仅为参考）</w:t>
      </w:r>
    </w:p>
    <w:p>
      <w:pPr>
        <w:spacing w:line="360" w:lineRule="auto"/>
        <w:ind w:firstLine="472" w:firstLineChars="196"/>
        <w:outlineLvl w:val="2"/>
        <w:rPr>
          <w:rFonts w:ascii="宋体" w:hAnsi="宋体" w:cs="宋体"/>
          <w:b/>
          <w:color w:val="auto"/>
        </w:rPr>
      </w:pPr>
      <w:r>
        <w:rPr>
          <w:rFonts w:hint="eastAsia" w:ascii="宋体" w:hAnsi="宋体" w:cs="宋体"/>
          <w:b/>
          <w:color w:val="auto"/>
          <w:sz w:val="24"/>
        </w:rPr>
        <w:t>1、定义</w:t>
      </w:r>
    </w:p>
    <w:p>
      <w:pPr>
        <w:spacing w:line="360" w:lineRule="auto"/>
        <w:ind w:firstLine="480" w:firstLineChars="200"/>
        <w:rPr>
          <w:rFonts w:ascii="宋体" w:hAnsi="宋体" w:cs="宋体"/>
          <w:color w:val="auto"/>
          <w:sz w:val="24"/>
        </w:rPr>
      </w:pPr>
      <w:r>
        <w:rPr>
          <w:rFonts w:hint="eastAsia" w:ascii="宋体" w:hAnsi="宋体" w:cs="宋体"/>
          <w:color w:val="auto"/>
          <w:sz w:val="24"/>
        </w:rPr>
        <w:t>1.1“合同”系指发、承包双方共同签署的、合同中载明的发、承包双方所达成的协议，包括：成交通知书；合同条款；响应文件及承诺；项目招标需求；招标文件（含补充文件、修改文件）及答疑纪要；双方约定的其他所有文件等构成合同的所有文件的总称。</w:t>
      </w:r>
    </w:p>
    <w:p>
      <w:pPr>
        <w:spacing w:line="360" w:lineRule="auto"/>
        <w:ind w:firstLine="480" w:firstLineChars="200"/>
        <w:rPr>
          <w:rFonts w:ascii="宋体" w:hAnsi="宋体" w:cs="宋体"/>
          <w:color w:val="auto"/>
          <w:sz w:val="24"/>
        </w:rPr>
      </w:pPr>
      <w:r>
        <w:rPr>
          <w:rFonts w:hint="eastAsia" w:ascii="宋体" w:hAnsi="宋体" w:cs="宋体"/>
          <w:color w:val="auto"/>
          <w:sz w:val="24"/>
        </w:rPr>
        <w:t>1.2“发包人”系指克拉玛依市教育局。</w:t>
      </w:r>
    </w:p>
    <w:p>
      <w:pPr>
        <w:spacing w:line="360" w:lineRule="auto"/>
        <w:ind w:firstLine="480" w:firstLineChars="200"/>
        <w:rPr>
          <w:rFonts w:ascii="宋体" w:hAnsi="宋体" w:cs="宋体"/>
          <w:color w:val="auto"/>
          <w:sz w:val="24"/>
        </w:rPr>
      </w:pPr>
      <w:r>
        <w:rPr>
          <w:rFonts w:hint="eastAsia" w:ascii="宋体" w:hAnsi="宋体" w:cs="宋体"/>
          <w:color w:val="auto"/>
          <w:sz w:val="24"/>
        </w:rPr>
        <w:t>1.3“承包人”系指取得中标资格，提供所需服务的成交供应商。</w:t>
      </w:r>
    </w:p>
    <w:p>
      <w:pPr>
        <w:spacing w:line="360" w:lineRule="auto"/>
        <w:ind w:firstLine="480" w:firstLineChars="200"/>
        <w:rPr>
          <w:rFonts w:ascii="宋体" w:hAnsi="宋体" w:cs="宋体"/>
          <w:color w:val="auto"/>
          <w:sz w:val="24"/>
        </w:rPr>
      </w:pPr>
      <w:r>
        <w:rPr>
          <w:rFonts w:hint="eastAsia" w:ascii="宋体" w:hAnsi="宋体" w:cs="宋体"/>
          <w:color w:val="auto"/>
          <w:sz w:val="24"/>
        </w:rPr>
        <w:t>1.4“合同价款”系指根据合同条款、技术规范及标准、项目采购需求、本招标文件的规定，承包人在正确、完整地履行合同义务后，发包人应支付给承包人提供服务的金额。</w:t>
      </w:r>
    </w:p>
    <w:p>
      <w:pPr>
        <w:spacing w:line="360" w:lineRule="auto"/>
        <w:ind w:firstLine="480" w:firstLineChars="200"/>
        <w:rPr>
          <w:rFonts w:ascii="宋体" w:hAnsi="宋体" w:cs="宋体"/>
          <w:color w:val="auto"/>
          <w:sz w:val="24"/>
        </w:rPr>
      </w:pPr>
      <w:r>
        <w:rPr>
          <w:rFonts w:hint="eastAsia" w:ascii="宋体" w:hAnsi="宋体" w:cs="宋体"/>
          <w:color w:val="auto"/>
          <w:sz w:val="24"/>
        </w:rPr>
        <w:t>1.5“服务”系指合同条款、技术规范及标准、项目采购需求、本招标文件规定，在服务期限内完成克拉玛依市克拉玛依市教育局及直属学校安保服务项目的全部工作内容以及项目采购需求及合同文本、本招标文件约定的全部内容。</w:t>
      </w:r>
    </w:p>
    <w:p>
      <w:pPr>
        <w:spacing w:line="360" w:lineRule="auto"/>
        <w:ind w:firstLine="480" w:firstLineChars="200"/>
        <w:rPr>
          <w:rFonts w:ascii="宋体" w:hAnsi="宋体" w:cs="宋体"/>
          <w:color w:val="auto"/>
          <w:sz w:val="24"/>
        </w:rPr>
      </w:pPr>
      <w:r>
        <w:rPr>
          <w:rFonts w:hint="eastAsia" w:ascii="宋体" w:hAnsi="宋体" w:cs="宋体"/>
          <w:color w:val="auto"/>
          <w:sz w:val="24"/>
        </w:rPr>
        <w:t>1.6“技术规范及标准”系指适用于本项目的规范及标准。当新的规范及标准颁布后以新颁布的规范及标准执行。</w:t>
      </w:r>
    </w:p>
    <w:p>
      <w:pPr>
        <w:spacing w:line="360" w:lineRule="auto"/>
        <w:ind w:firstLine="480" w:firstLineChars="200"/>
        <w:rPr>
          <w:rFonts w:ascii="宋体" w:hAnsi="宋体" w:cs="宋体"/>
          <w:color w:val="auto"/>
          <w:sz w:val="24"/>
        </w:rPr>
      </w:pPr>
      <w:r>
        <w:rPr>
          <w:rFonts w:hint="eastAsia" w:ascii="宋体" w:hAnsi="宋体" w:cs="宋体"/>
          <w:color w:val="auto"/>
          <w:sz w:val="24"/>
        </w:rPr>
        <w:t>1.7凡提及的“天、日期、星期、月份和年份”系指公历日历的日历天、日期、星期、月份和年份。</w:t>
      </w:r>
    </w:p>
    <w:p>
      <w:pPr>
        <w:spacing w:line="360" w:lineRule="auto"/>
        <w:ind w:firstLine="482" w:firstLineChars="200"/>
        <w:outlineLvl w:val="2"/>
        <w:rPr>
          <w:rFonts w:ascii="宋体" w:hAnsi="宋体" w:cs="宋体"/>
          <w:b/>
          <w:color w:val="auto"/>
          <w:sz w:val="24"/>
        </w:rPr>
      </w:pPr>
      <w:bookmarkStart w:id="182" w:name="_Toc246216233"/>
      <w:r>
        <w:rPr>
          <w:rFonts w:hint="eastAsia" w:ascii="宋体" w:hAnsi="宋体" w:cs="宋体"/>
          <w:b/>
          <w:color w:val="auto"/>
          <w:sz w:val="24"/>
        </w:rPr>
        <w:t>2、适用范围</w:t>
      </w:r>
      <w:bookmarkEnd w:id="182"/>
    </w:p>
    <w:p>
      <w:pPr>
        <w:spacing w:line="360" w:lineRule="auto"/>
        <w:ind w:firstLine="480" w:firstLineChars="200"/>
        <w:rPr>
          <w:rFonts w:ascii="宋体" w:hAnsi="宋体" w:cs="宋体"/>
          <w:color w:val="auto"/>
          <w:sz w:val="24"/>
        </w:rPr>
      </w:pPr>
      <w:r>
        <w:rPr>
          <w:rFonts w:hint="eastAsia" w:ascii="宋体" w:hAnsi="宋体" w:cs="宋体"/>
          <w:color w:val="auto"/>
          <w:sz w:val="24"/>
        </w:rPr>
        <w:t>2.1 本合同条款适用于本次克拉玛依市克拉玛依市教育局及直属学校安保服务项目。</w:t>
      </w:r>
    </w:p>
    <w:p>
      <w:pPr>
        <w:spacing w:line="360" w:lineRule="auto"/>
        <w:ind w:firstLine="480" w:firstLineChars="200"/>
        <w:rPr>
          <w:rFonts w:ascii="宋体" w:hAnsi="宋体" w:cs="宋体"/>
          <w:color w:val="auto"/>
          <w:sz w:val="24"/>
        </w:rPr>
      </w:pPr>
      <w:bookmarkStart w:id="183" w:name="_Toc246216234"/>
      <w:r>
        <w:rPr>
          <w:rFonts w:hint="eastAsia" w:ascii="宋体" w:hAnsi="宋体" w:cs="宋体"/>
          <w:color w:val="auto"/>
          <w:sz w:val="24"/>
        </w:rPr>
        <w:t>3、合同价格</w:t>
      </w:r>
      <w:bookmarkEnd w:id="183"/>
    </w:p>
    <w:p>
      <w:pPr>
        <w:spacing w:line="360" w:lineRule="auto"/>
        <w:ind w:firstLine="480" w:firstLineChars="200"/>
        <w:rPr>
          <w:rFonts w:ascii="宋体" w:hAnsi="宋体" w:cs="宋体"/>
          <w:color w:val="auto"/>
          <w:kern w:val="0"/>
          <w:sz w:val="24"/>
          <w:szCs w:val="20"/>
        </w:rPr>
      </w:pPr>
      <w:r>
        <w:rPr>
          <w:rFonts w:hint="eastAsia" w:ascii="宋体" w:hAnsi="宋体" w:cs="宋体"/>
          <w:color w:val="auto"/>
          <w:kern w:val="0"/>
          <w:sz w:val="24"/>
          <w:szCs w:val="20"/>
        </w:rPr>
        <w:t>3.1合同价款为：  万元(大写：人民币    )。</w:t>
      </w:r>
    </w:p>
    <w:p>
      <w:pPr>
        <w:spacing w:line="360" w:lineRule="auto"/>
        <w:ind w:firstLine="480" w:firstLineChars="200"/>
        <w:rPr>
          <w:rFonts w:hAnsi="宋体" w:cs="宋体"/>
          <w:color w:val="auto"/>
          <w:kern w:val="0"/>
          <w:sz w:val="24"/>
          <w:szCs w:val="20"/>
        </w:rPr>
      </w:pPr>
      <w:r>
        <w:rPr>
          <w:rFonts w:hint="eastAsia" w:hAnsi="宋体" w:cs="宋体"/>
          <w:color w:val="auto"/>
          <w:kern w:val="0"/>
          <w:sz w:val="24"/>
          <w:szCs w:val="20"/>
        </w:rPr>
        <w:t>3.2合同内容：在服务期内完成完成克拉玛依市克拉玛依市教育局及直属学校安保服务项目的全部工作内容以及项目采购需求及合同文本、本招标文件约定的全部内容。</w:t>
      </w:r>
    </w:p>
    <w:p>
      <w:pPr>
        <w:spacing w:line="360" w:lineRule="auto"/>
        <w:ind w:firstLine="480" w:firstLineChars="200"/>
        <w:rPr>
          <w:rFonts w:ascii="宋体" w:hAnsi="宋体" w:cs="宋体"/>
          <w:color w:val="auto"/>
          <w:sz w:val="24"/>
        </w:rPr>
      </w:pPr>
      <w:r>
        <w:rPr>
          <w:rFonts w:hint="eastAsia" w:ascii="宋体" w:hAnsi="宋体" w:cs="宋体"/>
          <w:color w:val="auto"/>
          <w:sz w:val="24"/>
        </w:rPr>
        <w:t>3.3合同价款调整</w:t>
      </w:r>
    </w:p>
    <w:p>
      <w:pPr>
        <w:spacing w:line="360" w:lineRule="auto"/>
        <w:ind w:firstLine="482" w:firstLineChars="200"/>
        <w:outlineLvl w:val="2"/>
        <w:rPr>
          <w:rFonts w:ascii="宋体" w:hAnsi="宋体" w:cs="宋体"/>
          <w:b/>
          <w:color w:val="auto"/>
          <w:sz w:val="24"/>
        </w:rPr>
      </w:pPr>
      <w:bookmarkStart w:id="184" w:name="_Toc246216235"/>
      <w:r>
        <w:rPr>
          <w:rFonts w:hint="eastAsia" w:ascii="宋体" w:hAnsi="宋体" w:cs="宋体"/>
          <w:b/>
          <w:color w:val="auto"/>
          <w:sz w:val="24"/>
        </w:rPr>
        <w:t>3.3.1本项目不因任何原因调整中标费用。</w:t>
      </w:r>
    </w:p>
    <w:bookmarkEnd w:id="184"/>
    <w:p>
      <w:pPr>
        <w:spacing w:line="360" w:lineRule="auto"/>
        <w:ind w:firstLine="482" w:firstLineChars="200"/>
        <w:outlineLvl w:val="2"/>
        <w:rPr>
          <w:rFonts w:ascii="宋体" w:hAnsi="宋体" w:cs="宋体"/>
          <w:b/>
          <w:color w:val="auto"/>
          <w:sz w:val="24"/>
        </w:rPr>
      </w:pPr>
      <w:bookmarkStart w:id="185" w:name="_Toc260246971"/>
      <w:bookmarkStart w:id="186" w:name="_Toc260247209"/>
      <w:bookmarkStart w:id="187" w:name="_Toc231451677"/>
      <w:bookmarkStart w:id="188" w:name="_Toc246216237"/>
      <w:bookmarkStart w:id="189" w:name="_Toc260247210"/>
      <w:bookmarkStart w:id="190" w:name="_Toc260246972"/>
      <w:r>
        <w:rPr>
          <w:rFonts w:hint="eastAsia" w:ascii="宋体" w:hAnsi="宋体" w:cs="宋体"/>
          <w:b/>
          <w:color w:val="auto"/>
          <w:sz w:val="24"/>
        </w:rPr>
        <w:t>4、支付条款</w:t>
      </w:r>
      <w:bookmarkEnd w:id="185"/>
      <w:bookmarkEnd w:id="186"/>
    </w:p>
    <w:p>
      <w:pPr>
        <w:spacing w:line="360" w:lineRule="auto"/>
        <w:ind w:firstLine="480" w:firstLineChars="200"/>
        <w:rPr>
          <w:rFonts w:ascii="宋体" w:hAnsi="宋体" w:cs="宋体"/>
          <w:color w:val="auto"/>
          <w:sz w:val="24"/>
        </w:rPr>
      </w:pPr>
      <w:r>
        <w:rPr>
          <w:rFonts w:hint="eastAsia" w:ascii="宋体" w:hAnsi="宋体" w:cs="宋体"/>
          <w:color w:val="auto"/>
          <w:sz w:val="24"/>
        </w:rPr>
        <w:t>4.1 本合同的支付币种为人民币。</w:t>
      </w:r>
    </w:p>
    <w:p>
      <w:pPr>
        <w:spacing w:line="360" w:lineRule="auto"/>
        <w:ind w:firstLine="482" w:firstLineChars="200"/>
        <w:rPr>
          <w:rFonts w:ascii="宋体" w:hAnsi="宋体" w:cs="宋体"/>
          <w:b/>
          <w:color w:val="auto"/>
          <w:sz w:val="24"/>
        </w:rPr>
      </w:pPr>
      <w:r>
        <w:rPr>
          <w:rFonts w:hint="eastAsia" w:ascii="宋体" w:hAnsi="宋体" w:cs="宋体"/>
          <w:b/>
          <w:color w:val="auto"/>
          <w:sz w:val="24"/>
        </w:rPr>
        <w:t>4.2本项目合同服务期限为三年，费用按照合同金额每季度支付25%。</w:t>
      </w:r>
    </w:p>
    <w:bookmarkEnd w:id="187"/>
    <w:bookmarkEnd w:id="188"/>
    <w:bookmarkEnd w:id="189"/>
    <w:bookmarkEnd w:id="190"/>
    <w:p>
      <w:pPr>
        <w:spacing w:line="360" w:lineRule="auto"/>
        <w:ind w:firstLine="482" w:firstLineChars="200"/>
        <w:rPr>
          <w:rFonts w:ascii="宋体" w:hAnsi="宋体" w:cs="宋体"/>
          <w:b/>
          <w:bCs/>
          <w:color w:val="auto"/>
          <w:sz w:val="24"/>
        </w:rPr>
      </w:pPr>
      <w:bookmarkStart w:id="191" w:name="_Toc258681753"/>
      <w:r>
        <w:rPr>
          <w:rFonts w:hint="eastAsia" w:ascii="宋体" w:hAnsi="宋体" w:cs="宋体"/>
          <w:b/>
          <w:bCs/>
          <w:color w:val="auto"/>
          <w:sz w:val="24"/>
        </w:rPr>
        <w:t>5、服务期限</w:t>
      </w:r>
    </w:p>
    <w:p>
      <w:pPr>
        <w:spacing w:line="360" w:lineRule="auto"/>
        <w:ind w:firstLine="480" w:firstLineChars="200"/>
        <w:rPr>
          <w:rFonts w:ascii="宋体" w:hAnsi="宋体" w:cs="宋体"/>
          <w:b/>
          <w:bCs/>
          <w:color w:val="auto"/>
          <w:sz w:val="24"/>
        </w:rPr>
      </w:pPr>
      <w:r>
        <w:rPr>
          <w:rFonts w:hint="eastAsia" w:ascii="宋体" w:hAnsi="宋体" w:cs="宋体"/>
          <w:color w:val="auto"/>
          <w:kern w:val="0"/>
          <w:sz w:val="24"/>
        </w:rPr>
        <w:t>2022年1月1日起至2024年12月31日止（服务期限三年，合同一年一签）</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6、考核办法</w:t>
      </w:r>
    </w:p>
    <w:p>
      <w:pPr>
        <w:spacing w:line="360" w:lineRule="auto"/>
        <w:ind w:firstLine="480" w:firstLineChars="200"/>
        <w:rPr>
          <w:rFonts w:ascii="宋体" w:hAnsi="宋体" w:cs="宋体"/>
          <w:color w:val="auto"/>
          <w:sz w:val="24"/>
        </w:rPr>
      </w:pPr>
      <w:r>
        <w:rPr>
          <w:rFonts w:hint="eastAsia" w:ascii="宋体" w:hAnsi="宋体" w:cs="宋体"/>
          <w:color w:val="auto"/>
          <w:sz w:val="24"/>
        </w:rPr>
        <w:t>6.1考核由日常考核、日常工作执行力考核二部分组成。</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6.2发包人依据相关工作标准及合同约定内容对承包人的工作进行全面考核。 </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7、发包人代表的职权：</w:t>
      </w:r>
    </w:p>
    <w:p>
      <w:pPr>
        <w:spacing w:line="360" w:lineRule="auto"/>
        <w:ind w:firstLine="480" w:firstLineChars="200"/>
        <w:rPr>
          <w:rFonts w:ascii="宋体" w:hAnsi="宋体" w:cs="宋体"/>
          <w:color w:val="auto"/>
          <w:sz w:val="24"/>
        </w:rPr>
      </w:pPr>
      <w:r>
        <w:rPr>
          <w:rFonts w:hint="eastAsia" w:ascii="宋体" w:hAnsi="宋体" w:cs="宋体"/>
          <w:color w:val="auto"/>
          <w:sz w:val="24"/>
        </w:rPr>
        <w:t>按照相关工作标准全面履行管理职责进行监督、质量认定、组织考核、检查、落实等与该项目有关的工作。</w:t>
      </w:r>
    </w:p>
    <w:bookmarkEnd w:id="191"/>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8、合同的生效、变更、解除和终止</w:t>
      </w:r>
    </w:p>
    <w:p>
      <w:pPr>
        <w:spacing w:line="360" w:lineRule="auto"/>
        <w:ind w:firstLine="480" w:firstLineChars="200"/>
        <w:rPr>
          <w:rFonts w:ascii="宋体" w:hAnsi="宋体" w:cs="宋体"/>
          <w:color w:val="auto"/>
          <w:sz w:val="24"/>
        </w:rPr>
      </w:pPr>
      <w:r>
        <w:rPr>
          <w:rFonts w:hint="eastAsia" w:ascii="宋体" w:hAnsi="宋体" w:cs="宋体"/>
          <w:color w:val="auto"/>
          <w:sz w:val="24"/>
        </w:rPr>
        <w:t>8.1本合同经双方法定代表（负责）人或委托代理人签字并加盖单位合同专用印章后生效。</w:t>
      </w:r>
    </w:p>
    <w:p>
      <w:pPr>
        <w:spacing w:line="360" w:lineRule="auto"/>
        <w:ind w:firstLine="480" w:firstLineChars="200"/>
        <w:rPr>
          <w:rFonts w:ascii="宋体" w:hAnsi="宋体" w:cs="宋体"/>
          <w:color w:val="auto"/>
          <w:sz w:val="24"/>
        </w:rPr>
      </w:pPr>
      <w:r>
        <w:rPr>
          <w:rFonts w:hint="eastAsia" w:ascii="宋体" w:hAnsi="宋体" w:cs="宋体"/>
          <w:color w:val="auto"/>
          <w:sz w:val="24"/>
        </w:rPr>
        <w:t>8.2本合同经双方协商一致，可以变更，合同变更协议应采用书面形式。</w:t>
      </w:r>
    </w:p>
    <w:p>
      <w:pPr>
        <w:spacing w:line="360" w:lineRule="auto"/>
        <w:ind w:firstLine="480" w:firstLineChars="200"/>
        <w:rPr>
          <w:rFonts w:ascii="宋体" w:hAnsi="宋体" w:cs="宋体"/>
          <w:color w:val="auto"/>
          <w:sz w:val="24"/>
        </w:rPr>
      </w:pPr>
      <w:r>
        <w:rPr>
          <w:rFonts w:hint="eastAsia" w:ascii="宋体" w:hAnsi="宋体" w:cs="宋体"/>
          <w:color w:val="auto"/>
          <w:sz w:val="24"/>
        </w:rPr>
        <w:t>8.3本合同解除条件:</w:t>
      </w:r>
    </w:p>
    <w:p>
      <w:pPr>
        <w:spacing w:line="360" w:lineRule="auto"/>
        <w:ind w:firstLine="480" w:firstLineChars="200"/>
        <w:rPr>
          <w:rFonts w:ascii="宋体" w:hAnsi="宋体" w:cs="宋体"/>
          <w:color w:val="auto"/>
          <w:sz w:val="24"/>
        </w:rPr>
      </w:pPr>
      <w:r>
        <w:rPr>
          <w:rFonts w:hint="eastAsia" w:ascii="宋体" w:hAnsi="宋体" w:cs="宋体"/>
          <w:color w:val="auto"/>
          <w:sz w:val="24"/>
        </w:rPr>
        <w:t>8.3.1因不可抗力致使不能实现合同目的的；</w:t>
      </w:r>
    </w:p>
    <w:p>
      <w:pPr>
        <w:spacing w:line="360" w:lineRule="auto"/>
        <w:ind w:firstLine="480" w:firstLineChars="200"/>
        <w:rPr>
          <w:rFonts w:ascii="宋体" w:hAnsi="宋体" w:cs="宋体"/>
          <w:color w:val="auto"/>
          <w:sz w:val="24"/>
        </w:rPr>
      </w:pPr>
      <w:r>
        <w:rPr>
          <w:rFonts w:hint="eastAsia" w:ascii="宋体" w:hAnsi="宋体" w:cs="宋体"/>
          <w:color w:val="auto"/>
          <w:sz w:val="24"/>
        </w:rPr>
        <w:t>8.3.2在履行期限届满之前，一方明确表示或者以自己实际行为表明其不履行合同义务的；</w:t>
      </w:r>
    </w:p>
    <w:p>
      <w:pPr>
        <w:spacing w:line="360" w:lineRule="auto"/>
        <w:ind w:firstLine="480" w:firstLineChars="200"/>
        <w:rPr>
          <w:rFonts w:ascii="宋体" w:hAnsi="宋体" w:cs="宋体"/>
          <w:color w:val="auto"/>
          <w:sz w:val="24"/>
        </w:rPr>
      </w:pPr>
      <w:r>
        <w:rPr>
          <w:rFonts w:hint="eastAsia" w:ascii="宋体" w:hAnsi="宋体" w:cs="宋体"/>
          <w:color w:val="auto"/>
          <w:sz w:val="24"/>
        </w:rPr>
        <w:t>8.3.3双方协商一致同意解除的；</w:t>
      </w:r>
    </w:p>
    <w:p>
      <w:pPr>
        <w:spacing w:line="360" w:lineRule="auto"/>
        <w:ind w:firstLine="480" w:firstLineChars="200"/>
        <w:rPr>
          <w:rFonts w:ascii="宋体" w:hAnsi="宋体" w:cs="宋体"/>
          <w:color w:val="auto"/>
          <w:sz w:val="24"/>
        </w:rPr>
      </w:pPr>
      <w:r>
        <w:rPr>
          <w:rFonts w:hint="eastAsia" w:ascii="宋体" w:hAnsi="宋体" w:cs="宋体"/>
          <w:color w:val="auto"/>
          <w:sz w:val="24"/>
        </w:rPr>
        <w:t>8.3.4承包人给发包人造成损失拒不赔偿的，发包人有权解除合同。</w:t>
      </w:r>
    </w:p>
    <w:p>
      <w:pPr>
        <w:spacing w:line="360" w:lineRule="auto"/>
        <w:ind w:firstLine="480" w:firstLineChars="200"/>
        <w:rPr>
          <w:rFonts w:ascii="宋体" w:hAnsi="宋体" w:cs="宋体"/>
          <w:color w:val="auto"/>
          <w:sz w:val="24"/>
        </w:rPr>
      </w:pPr>
      <w:r>
        <w:rPr>
          <w:rFonts w:hint="eastAsia" w:ascii="宋体" w:hAnsi="宋体" w:cs="宋体"/>
          <w:color w:val="auto"/>
          <w:sz w:val="24"/>
        </w:rPr>
        <w:t>8.3.5 因非自然因素或管理不到位造成的损失，发包人有权要求其进行无偿返工，返工不及时或未按标准整改，发包人有权安排第三方进行作业，所发生的各项费用，从服务费中扣除。情节严重且二次验收不合格的，发包人有权终止其合同。</w:t>
      </w:r>
    </w:p>
    <w:p>
      <w:pPr>
        <w:spacing w:line="360" w:lineRule="auto"/>
        <w:ind w:firstLine="480" w:firstLineChars="200"/>
        <w:rPr>
          <w:rFonts w:ascii="宋体" w:hAnsi="宋体" w:cs="宋体"/>
          <w:color w:val="auto"/>
          <w:sz w:val="24"/>
        </w:rPr>
      </w:pPr>
      <w:r>
        <w:rPr>
          <w:rFonts w:hint="eastAsia" w:ascii="宋体" w:hAnsi="宋体" w:cs="宋体"/>
          <w:color w:val="auto"/>
          <w:sz w:val="24"/>
        </w:rPr>
        <w:t>8.3.6承包人在服务期间，如未按照合同或未经发包人批准，进行项目分包、转包的，发包人有权终止合同，所有损失由承包人自行承担。</w:t>
      </w:r>
    </w:p>
    <w:p>
      <w:pPr>
        <w:spacing w:line="360" w:lineRule="auto"/>
        <w:ind w:firstLine="480" w:firstLineChars="200"/>
        <w:rPr>
          <w:rFonts w:ascii="宋体" w:hAnsi="宋体" w:cs="宋体"/>
          <w:color w:val="auto"/>
          <w:sz w:val="24"/>
        </w:rPr>
      </w:pPr>
      <w:r>
        <w:rPr>
          <w:rFonts w:hint="eastAsia" w:ascii="宋体" w:hAnsi="宋体" w:cs="宋体"/>
          <w:color w:val="auto"/>
          <w:sz w:val="24"/>
        </w:rPr>
        <w:t>8.4有下列情形之一的，本合同的权利义务终止：</w:t>
      </w:r>
    </w:p>
    <w:p>
      <w:pPr>
        <w:spacing w:line="360" w:lineRule="auto"/>
        <w:ind w:firstLine="480" w:firstLineChars="200"/>
        <w:rPr>
          <w:rFonts w:ascii="宋体" w:hAnsi="宋体" w:cs="宋体"/>
          <w:color w:val="auto"/>
          <w:sz w:val="24"/>
        </w:rPr>
      </w:pPr>
      <w:r>
        <w:rPr>
          <w:rFonts w:hint="eastAsia" w:ascii="宋体" w:hAnsi="宋体" w:cs="宋体"/>
          <w:color w:val="auto"/>
          <w:sz w:val="24"/>
        </w:rPr>
        <w:t>8.4.1合同已经按照约定时间履行完结；</w:t>
      </w:r>
    </w:p>
    <w:p>
      <w:pPr>
        <w:spacing w:line="360" w:lineRule="auto"/>
        <w:ind w:firstLine="480" w:firstLineChars="200"/>
        <w:rPr>
          <w:rFonts w:ascii="宋体" w:hAnsi="宋体" w:cs="宋体"/>
          <w:color w:val="auto"/>
          <w:sz w:val="24"/>
        </w:rPr>
      </w:pPr>
      <w:r>
        <w:rPr>
          <w:rFonts w:hint="eastAsia" w:ascii="宋体" w:hAnsi="宋体" w:cs="宋体"/>
          <w:color w:val="auto"/>
          <w:sz w:val="24"/>
        </w:rPr>
        <w:t>8.4.2双方协商解除合同；</w:t>
      </w:r>
    </w:p>
    <w:p>
      <w:pPr>
        <w:spacing w:line="360" w:lineRule="auto"/>
        <w:ind w:firstLine="480" w:firstLineChars="200"/>
        <w:rPr>
          <w:rFonts w:ascii="宋体" w:hAnsi="宋体" w:cs="宋体"/>
          <w:color w:val="auto"/>
          <w:sz w:val="24"/>
        </w:rPr>
      </w:pPr>
      <w:r>
        <w:rPr>
          <w:rFonts w:hint="eastAsia" w:ascii="宋体" w:hAnsi="宋体" w:cs="宋体"/>
          <w:color w:val="auto"/>
          <w:sz w:val="24"/>
        </w:rPr>
        <w:t>8.4.3法律规定的其它情形。</w:t>
      </w:r>
    </w:p>
    <w:p>
      <w:pPr>
        <w:spacing w:line="360" w:lineRule="auto"/>
        <w:ind w:firstLine="480" w:firstLineChars="200"/>
        <w:rPr>
          <w:rFonts w:ascii="宋体" w:hAnsi="宋体" w:cs="宋体"/>
          <w:color w:val="auto"/>
          <w:sz w:val="24"/>
        </w:rPr>
      </w:pPr>
      <w:r>
        <w:rPr>
          <w:rFonts w:hint="eastAsia" w:ascii="宋体" w:hAnsi="宋体" w:cs="宋体"/>
          <w:color w:val="auto"/>
          <w:sz w:val="24"/>
        </w:rPr>
        <w:t>8.4.4 合同变更、解除或终止，不能免除违约方应承担的违约责任，给对方造成损失的，还应承担赔偿责任。</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9、争议的解决：</w:t>
      </w:r>
    </w:p>
    <w:p>
      <w:pPr>
        <w:spacing w:line="360" w:lineRule="auto"/>
        <w:ind w:firstLine="480" w:firstLineChars="200"/>
        <w:rPr>
          <w:rFonts w:ascii="宋体" w:hAnsi="宋体" w:cs="宋体"/>
          <w:color w:val="auto"/>
          <w:sz w:val="24"/>
        </w:rPr>
      </w:pPr>
      <w:r>
        <w:rPr>
          <w:rFonts w:hint="eastAsia" w:ascii="宋体" w:hAnsi="宋体" w:cs="宋体"/>
          <w:color w:val="auto"/>
          <w:sz w:val="24"/>
        </w:rPr>
        <w:t>9.1本合同在履行过程中发生争议的，双方共同协商解决；协商不成时向克拉玛依仲裁委员会提请仲裁。</w:t>
      </w:r>
    </w:p>
    <w:p>
      <w:pPr>
        <w:spacing w:line="430" w:lineRule="exact"/>
        <w:ind w:firstLine="480" w:firstLineChars="200"/>
        <w:rPr>
          <w:rFonts w:ascii="宋体" w:hAnsi="宋体" w:cs="宋体"/>
          <w:color w:val="auto"/>
          <w:sz w:val="24"/>
        </w:rPr>
      </w:pPr>
      <w:r>
        <w:rPr>
          <w:rFonts w:hint="eastAsia" w:ascii="宋体" w:hAnsi="宋体" w:cs="宋体"/>
          <w:color w:val="auto"/>
          <w:sz w:val="24"/>
        </w:rPr>
        <w:t>10、合同份数：</w:t>
      </w:r>
    </w:p>
    <w:p>
      <w:pPr>
        <w:spacing w:line="430" w:lineRule="exact"/>
        <w:ind w:firstLine="480" w:firstLineChars="200"/>
        <w:rPr>
          <w:rFonts w:ascii="宋体" w:hAnsi="宋体" w:cs="宋体"/>
          <w:color w:val="auto"/>
          <w:sz w:val="24"/>
        </w:rPr>
      </w:pPr>
      <w:r>
        <w:rPr>
          <w:rFonts w:hint="eastAsia" w:ascii="宋体" w:hAnsi="宋体" w:cs="宋体"/>
          <w:color w:val="auto"/>
          <w:sz w:val="24"/>
        </w:rPr>
        <w:t>10.1双方可对本合同的条款进行补充，以书面形式签订补充协议，补充协议与本合同具有同等效力。</w:t>
      </w:r>
    </w:p>
    <w:p>
      <w:pPr>
        <w:spacing w:line="430" w:lineRule="exact"/>
        <w:ind w:firstLine="480" w:firstLineChars="200"/>
        <w:rPr>
          <w:rFonts w:ascii="宋体" w:hAnsi="宋体" w:cs="宋体"/>
          <w:color w:val="auto"/>
          <w:sz w:val="24"/>
        </w:rPr>
      </w:pPr>
      <w:r>
        <w:rPr>
          <w:rFonts w:hint="eastAsia" w:ascii="宋体" w:hAnsi="宋体" w:cs="宋体"/>
          <w:color w:val="auto"/>
          <w:sz w:val="24"/>
        </w:rPr>
        <w:t>10.2本合同一式捌份，发包人执贰份，承包人执陆份，每份具有同等法律效力。</w:t>
      </w:r>
    </w:p>
    <w:p>
      <w:pPr>
        <w:pStyle w:val="13"/>
        <w:kinsoku w:val="0"/>
        <w:spacing w:line="360" w:lineRule="auto"/>
        <w:ind w:firstLine="480" w:firstLineChars="200"/>
        <w:rPr>
          <w:rFonts w:hAnsi="宋体" w:cs="宋体"/>
          <w:color w:val="auto"/>
          <w:sz w:val="24"/>
          <w:szCs w:val="24"/>
        </w:rPr>
      </w:pPr>
      <w:r>
        <w:rPr>
          <w:rFonts w:hint="eastAsia" w:hAnsi="宋体" w:cs="宋体"/>
          <w:color w:val="auto"/>
          <w:sz w:val="24"/>
          <w:szCs w:val="24"/>
        </w:rPr>
        <w:t xml:space="preserve">  </w:t>
      </w:r>
    </w:p>
    <w:p>
      <w:pPr>
        <w:spacing w:line="440" w:lineRule="exact"/>
        <w:jc w:val="center"/>
        <w:rPr>
          <w:rFonts w:ascii="宋体" w:hAnsi="宋体" w:cs="宋体"/>
          <w:b/>
          <w:color w:val="auto"/>
          <w:sz w:val="28"/>
          <w:szCs w:val="28"/>
        </w:rPr>
      </w:pPr>
    </w:p>
    <w:p>
      <w:pPr>
        <w:pStyle w:val="10"/>
        <w:rPr>
          <w:rFonts w:ascii="宋体" w:hAnsi="宋体" w:cs="宋体"/>
          <w:b/>
          <w:color w:val="auto"/>
          <w:sz w:val="28"/>
          <w:szCs w:val="28"/>
        </w:rPr>
      </w:pPr>
    </w:p>
    <w:p>
      <w:pPr>
        <w:pStyle w:val="11"/>
        <w:rPr>
          <w:color w:val="auto"/>
        </w:rPr>
      </w:pPr>
    </w:p>
    <w:p>
      <w:pPr>
        <w:spacing w:line="440" w:lineRule="exact"/>
        <w:rPr>
          <w:rFonts w:ascii="宋体" w:hAnsi="宋体" w:cs="宋体"/>
          <w:b/>
          <w:color w:val="auto"/>
          <w:sz w:val="28"/>
          <w:szCs w:val="28"/>
        </w:rPr>
      </w:pPr>
    </w:p>
    <w:p>
      <w:pPr>
        <w:pStyle w:val="10"/>
        <w:rPr>
          <w:rFonts w:ascii="宋体" w:hAnsi="宋体" w:cs="宋体"/>
          <w:b/>
          <w:color w:val="auto"/>
          <w:sz w:val="28"/>
          <w:szCs w:val="28"/>
        </w:rPr>
      </w:pPr>
    </w:p>
    <w:p>
      <w:pPr>
        <w:pStyle w:val="11"/>
        <w:rPr>
          <w:rFonts w:ascii="宋体" w:hAnsi="宋体" w:cs="宋体"/>
          <w:b/>
          <w:color w:val="auto"/>
          <w:sz w:val="28"/>
          <w:szCs w:val="28"/>
        </w:rPr>
      </w:pPr>
    </w:p>
    <w:p>
      <w:pPr>
        <w:rPr>
          <w:rFonts w:ascii="宋体" w:hAnsi="宋体" w:cs="宋体"/>
          <w:b/>
          <w:color w:val="auto"/>
          <w:sz w:val="28"/>
          <w:szCs w:val="28"/>
        </w:rPr>
      </w:pPr>
    </w:p>
    <w:p>
      <w:pPr>
        <w:pStyle w:val="10"/>
        <w:rPr>
          <w:rFonts w:ascii="宋体" w:hAnsi="宋体" w:cs="宋体"/>
          <w:b/>
          <w:color w:val="auto"/>
          <w:sz w:val="28"/>
          <w:szCs w:val="28"/>
        </w:rPr>
      </w:pPr>
    </w:p>
    <w:p>
      <w:pPr>
        <w:pStyle w:val="11"/>
        <w:rPr>
          <w:rFonts w:ascii="宋体" w:hAnsi="宋体" w:cs="宋体"/>
          <w:b/>
          <w:color w:val="auto"/>
          <w:sz w:val="28"/>
          <w:szCs w:val="28"/>
        </w:rPr>
      </w:pPr>
    </w:p>
    <w:p>
      <w:pPr>
        <w:rPr>
          <w:rFonts w:ascii="宋体" w:hAnsi="宋体" w:cs="宋体"/>
          <w:b/>
          <w:color w:val="auto"/>
          <w:sz w:val="28"/>
          <w:szCs w:val="28"/>
        </w:rPr>
      </w:pPr>
    </w:p>
    <w:p>
      <w:pPr>
        <w:pStyle w:val="10"/>
        <w:rPr>
          <w:rFonts w:ascii="宋体" w:hAnsi="宋体" w:cs="宋体"/>
          <w:b/>
          <w:color w:val="auto"/>
          <w:sz w:val="28"/>
          <w:szCs w:val="28"/>
        </w:rPr>
      </w:pPr>
    </w:p>
    <w:p>
      <w:pPr>
        <w:pStyle w:val="11"/>
        <w:rPr>
          <w:rFonts w:ascii="宋体" w:hAnsi="宋体" w:cs="宋体"/>
          <w:b/>
          <w:color w:val="auto"/>
          <w:sz w:val="28"/>
          <w:szCs w:val="28"/>
        </w:rPr>
      </w:pPr>
    </w:p>
    <w:p>
      <w:pPr>
        <w:rPr>
          <w:rFonts w:ascii="宋体" w:hAnsi="宋体" w:cs="宋体"/>
          <w:b/>
          <w:color w:val="auto"/>
          <w:sz w:val="28"/>
          <w:szCs w:val="28"/>
        </w:rPr>
      </w:pPr>
    </w:p>
    <w:p>
      <w:pPr>
        <w:pStyle w:val="10"/>
        <w:rPr>
          <w:rFonts w:ascii="宋体" w:hAnsi="宋体" w:cs="宋体"/>
          <w:b/>
          <w:color w:val="auto"/>
          <w:sz w:val="28"/>
          <w:szCs w:val="28"/>
        </w:rPr>
      </w:pPr>
    </w:p>
    <w:p>
      <w:pPr>
        <w:pStyle w:val="11"/>
        <w:rPr>
          <w:rFonts w:ascii="宋体" w:hAnsi="宋体" w:cs="宋体"/>
          <w:b/>
          <w:color w:val="auto"/>
          <w:sz w:val="28"/>
          <w:szCs w:val="28"/>
        </w:rPr>
      </w:pPr>
    </w:p>
    <w:p>
      <w:pPr>
        <w:rPr>
          <w:rFonts w:ascii="宋体" w:hAnsi="宋体" w:cs="宋体"/>
          <w:b/>
          <w:color w:val="auto"/>
          <w:sz w:val="28"/>
          <w:szCs w:val="28"/>
        </w:rPr>
      </w:pPr>
    </w:p>
    <w:p>
      <w:pPr>
        <w:pStyle w:val="10"/>
        <w:rPr>
          <w:rFonts w:ascii="宋体" w:hAnsi="宋体" w:cs="宋体"/>
          <w:b/>
          <w:color w:val="auto"/>
          <w:sz w:val="28"/>
          <w:szCs w:val="28"/>
        </w:rPr>
      </w:pPr>
    </w:p>
    <w:p>
      <w:pPr>
        <w:pStyle w:val="11"/>
        <w:rPr>
          <w:rFonts w:ascii="宋体" w:hAnsi="宋体" w:cs="宋体"/>
          <w:b/>
          <w:color w:val="auto"/>
          <w:sz w:val="28"/>
          <w:szCs w:val="28"/>
        </w:rPr>
      </w:pPr>
    </w:p>
    <w:p>
      <w:pPr>
        <w:rPr>
          <w:rFonts w:ascii="宋体" w:hAnsi="宋体" w:cs="宋体"/>
          <w:b/>
          <w:color w:val="auto"/>
          <w:sz w:val="28"/>
          <w:szCs w:val="28"/>
        </w:rPr>
      </w:pPr>
    </w:p>
    <w:p>
      <w:pPr>
        <w:pStyle w:val="10"/>
        <w:rPr>
          <w:rFonts w:ascii="宋体" w:hAnsi="宋体" w:cs="宋体"/>
          <w:b/>
          <w:color w:val="auto"/>
          <w:sz w:val="28"/>
          <w:szCs w:val="28"/>
        </w:rPr>
      </w:pPr>
    </w:p>
    <w:p>
      <w:pPr>
        <w:pStyle w:val="11"/>
        <w:rPr>
          <w:rFonts w:ascii="宋体" w:hAnsi="宋体" w:cs="宋体"/>
          <w:b/>
          <w:color w:val="auto"/>
          <w:sz w:val="28"/>
          <w:szCs w:val="28"/>
        </w:rPr>
      </w:pPr>
    </w:p>
    <w:p>
      <w:pPr>
        <w:rPr>
          <w:rFonts w:ascii="宋体" w:hAnsi="宋体" w:cs="宋体"/>
          <w:b/>
          <w:color w:val="auto"/>
          <w:sz w:val="28"/>
          <w:szCs w:val="28"/>
        </w:rPr>
      </w:pPr>
    </w:p>
    <w:p>
      <w:pPr>
        <w:pStyle w:val="10"/>
        <w:rPr>
          <w:rFonts w:ascii="宋体" w:hAnsi="宋体" w:cs="宋体"/>
          <w:b/>
          <w:color w:val="auto"/>
          <w:sz w:val="28"/>
          <w:szCs w:val="28"/>
        </w:rPr>
      </w:pPr>
    </w:p>
    <w:p>
      <w:pPr>
        <w:pStyle w:val="11"/>
        <w:rPr>
          <w:rFonts w:ascii="宋体" w:hAnsi="宋体" w:cs="宋体"/>
          <w:b/>
          <w:color w:val="auto"/>
          <w:sz w:val="28"/>
          <w:szCs w:val="28"/>
        </w:rPr>
      </w:pPr>
    </w:p>
    <w:p>
      <w:pPr>
        <w:rPr>
          <w:rFonts w:ascii="宋体" w:hAnsi="宋体" w:cs="宋体"/>
          <w:b/>
          <w:color w:val="auto"/>
          <w:sz w:val="28"/>
          <w:szCs w:val="28"/>
        </w:rPr>
      </w:pPr>
    </w:p>
    <w:p>
      <w:pPr>
        <w:pStyle w:val="10"/>
        <w:rPr>
          <w:color w:val="auto"/>
        </w:rPr>
      </w:pPr>
    </w:p>
    <w:p>
      <w:pPr>
        <w:pStyle w:val="10"/>
        <w:rPr>
          <w:rFonts w:ascii="宋体" w:hAnsi="宋体" w:cs="宋体"/>
          <w:b/>
          <w:color w:val="auto"/>
          <w:sz w:val="28"/>
          <w:szCs w:val="28"/>
        </w:rPr>
      </w:pPr>
    </w:p>
    <w:p>
      <w:pPr>
        <w:pStyle w:val="11"/>
        <w:rPr>
          <w:color w:val="auto"/>
        </w:rPr>
      </w:pPr>
    </w:p>
    <w:p>
      <w:pPr>
        <w:rPr>
          <w:color w:val="auto"/>
        </w:rPr>
      </w:pPr>
    </w:p>
    <w:p>
      <w:pPr>
        <w:pStyle w:val="11"/>
        <w:rPr>
          <w:color w:val="auto"/>
        </w:rPr>
      </w:pPr>
    </w:p>
    <w:p>
      <w:pPr>
        <w:spacing w:line="440" w:lineRule="exact"/>
        <w:jc w:val="center"/>
        <w:rPr>
          <w:rFonts w:ascii="宋体" w:hAnsi="宋体" w:cs="宋体"/>
          <w:b/>
          <w:bCs/>
          <w:color w:val="auto"/>
          <w:sz w:val="28"/>
          <w:szCs w:val="28"/>
        </w:rPr>
      </w:pPr>
      <w:r>
        <w:rPr>
          <w:rFonts w:hint="eastAsia" w:ascii="宋体" w:hAnsi="宋体" w:cs="宋体"/>
          <w:b/>
          <w:color w:val="auto"/>
          <w:sz w:val="28"/>
          <w:szCs w:val="28"/>
        </w:rPr>
        <w:t xml:space="preserve">第五章 </w:t>
      </w:r>
      <w:r>
        <w:rPr>
          <w:rFonts w:hint="eastAsia" w:ascii="宋体" w:hAnsi="宋体" w:cs="宋体"/>
          <w:b/>
          <w:bCs/>
          <w:color w:val="auto"/>
          <w:sz w:val="28"/>
          <w:szCs w:val="28"/>
        </w:rPr>
        <w:t xml:space="preserve"> 响应文件格式</w:t>
      </w:r>
    </w:p>
    <w:p>
      <w:pPr>
        <w:spacing w:line="360" w:lineRule="auto"/>
        <w:jc w:val="left"/>
        <w:rPr>
          <w:rFonts w:ascii="宋体" w:hAnsi="宋体" w:cs="宋体"/>
          <w:color w:val="auto"/>
          <w:sz w:val="24"/>
        </w:rPr>
      </w:pPr>
    </w:p>
    <w:p>
      <w:pPr>
        <w:pStyle w:val="4"/>
        <w:spacing w:before="0" w:after="0" w:line="360" w:lineRule="auto"/>
        <w:ind w:firstLine="482" w:firstLineChars="200"/>
        <w:rPr>
          <w:rFonts w:ascii="宋体" w:hAnsi="宋体" w:eastAsia="宋体" w:cs="宋体"/>
          <w:color w:val="auto"/>
          <w:sz w:val="24"/>
        </w:rPr>
      </w:pPr>
      <w:r>
        <w:rPr>
          <w:rFonts w:hint="eastAsia" w:ascii="宋体" w:hAnsi="宋体" w:eastAsia="宋体" w:cs="宋体"/>
          <w:color w:val="auto"/>
          <w:sz w:val="24"/>
        </w:rPr>
        <w:t>响应文件封面</w:t>
      </w:r>
    </w:p>
    <w:p>
      <w:pPr>
        <w:spacing w:line="360" w:lineRule="auto"/>
        <w:ind w:firstLine="480" w:firstLineChars="200"/>
        <w:rPr>
          <w:rFonts w:ascii="宋体" w:hAnsi="宋体" w:cs="宋体"/>
          <w:color w:val="auto"/>
          <w:sz w:val="24"/>
        </w:rPr>
      </w:pPr>
      <w:r>
        <w:rPr>
          <w:rFonts w:hint="eastAsia" w:ascii="宋体" w:hAnsi="宋体" w:cs="宋体"/>
          <w:color w:val="auto"/>
          <w:sz w:val="24"/>
        </w:rPr>
        <w:t>格式1   法定代表人资格证明书</w:t>
      </w:r>
    </w:p>
    <w:p>
      <w:pPr>
        <w:spacing w:line="360" w:lineRule="auto"/>
        <w:ind w:firstLine="480" w:firstLineChars="200"/>
        <w:rPr>
          <w:rFonts w:ascii="宋体" w:hAnsi="宋体" w:cs="宋体"/>
          <w:color w:val="auto"/>
          <w:sz w:val="24"/>
        </w:rPr>
      </w:pPr>
      <w:r>
        <w:rPr>
          <w:rFonts w:hint="eastAsia" w:ascii="宋体" w:hAnsi="宋体" w:cs="宋体"/>
          <w:color w:val="auto"/>
          <w:sz w:val="24"/>
        </w:rPr>
        <w:t>格式2   法定代表人授权委托书</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格式3   供应商基本情况表</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格式4   项目负责人简历表</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格式4-1 主要管理人员表</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格式5   资格性/符合性自查表</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 xml:space="preserve">格式6   </w:t>
      </w:r>
      <w:r>
        <w:rPr>
          <w:rFonts w:hint="eastAsia" w:ascii="宋体" w:hAnsi="宋体" w:cs="宋体"/>
          <w:color w:val="auto"/>
          <w:sz w:val="24"/>
        </w:rPr>
        <w:t>投标函</w:t>
      </w:r>
    </w:p>
    <w:p>
      <w:pPr>
        <w:spacing w:line="360" w:lineRule="auto"/>
        <w:ind w:firstLine="480" w:firstLineChars="200"/>
        <w:rPr>
          <w:rFonts w:ascii="宋体" w:hAnsi="宋体" w:cs="宋体"/>
          <w:color w:val="auto"/>
          <w:sz w:val="24"/>
        </w:rPr>
      </w:pPr>
      <w:r>
        <w:rPr>
          <w:rFonts w:hint="eastAsia" w:ascii="宋体" w:hAnsi="宋体" w:cs="宋体"/>
          <w:bCs/>
          <w:color w:val="auto"/>
          <w:sz w:val="24"/>
        </w:rPr>
        <w:t>格式7   开标一览表</w:t>
      </w:r>
    </w:p>
    <w:p>
      <w:pPr>
        <w:spacing w:line="360" w:lineRule="auto"/>
        <w:ind w:firstLine="480" w:firstLineChars="200"/>
        <w:rPr>
          <w:rFonts w:ascii="宋体" w:hAnsi="宋体" w:cs="宋体"/>
          <w:color w:val="auto"/>
          <w:sz w:val="24"/>
        </w:rPr>
      </w:pPr>
      <w:r>
        <w:rPr>
          <w:rFonts w:hint="eastAsia" w:ascii="宋体" w:hAnsi="宋体" w:cs="宋体"/>
          <w:color w:val="auto"/>
          <w:sz w:val="24"/>
        </w:rPr>
        <w:t>格式8   商务条款偏离表</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格式9   中小企业声明函</w:t>
      </w:r>
    </w:p>
    <w:p>
      <w:pPr>
        <w:spacing w:line="360" w:lineRule="auto"/>
        <w:ind w:firstLine="480" w:firstLineChars="200"/>
        <w:rPr>
          <w:rFonts w:ascii="宋体" w:hAnsi="宋体" w:cs="宋体"/>
          <w:color w:val="auto"/>
          <w:sz w:val="24"/>
        </w:rPr>
      </w:pPr>
      <w:r>
        <w:rPr>
          <w:rFonts w:hint="eastAsia" w:ascii="宋体" w:hAnsi="宋体" w:cs="宋体"/>
          <w:bCs/>
          <w:color w:val="auto"/>
          <w:sz w:val="24"/>
        </w:rPr>
        <w:t>格式10   近三年（2018年1月1日至今）同类项目业绩表</w:t>
      </w:r>
    </w:p>
    <w:p>
      <w:pPr>
        <w:spacing w:line="360" w:lineRule="auto"/>
        <w:ind w:firstLine="480" w:firstLineChars="200"/>
        <w:rPr>
          <w:rFonts w:ascii="宋体" w:hAnsi="宋体" w:cs="宋体"/>
          <w:color w:val="auto"/>
          <w:sz w:val="24"/>
        </w:rPr>
      </w:pPr>
      <w:r>
        <w:rPr>
          <w:rFonts w:hint="eastAsia" w:ascii="宋体" w:hAnsi="宋体" w:cs="宋体"/>
          <w:bCs/>
          <w:color w:val="auto"/>
          <w:sz w:val="24"/>
        </w:rPr>
        <w:t>格式11  技术条款偏离表</w:t>
      </w:r>
    </w:p>
    <w:p>
      <w:pPr>
        <w:spacing w:line="360" w:lineRule="auto"/>
        <w:jc w:val="center"/>
        <w:rPr>
          <w:rFonts w:ascii="宋体" w:hAnsi="宋体" w:cs="宋体"/>
          <w:b/>
          <w:bCs/>
          <w:color w:val="auto"/>
          <w:sz w:val="36"/>
          <w:szCs w:val="36"/>
        </w:rPr>
      </w:pPr>
    </w:p>
    <w:p>
      <w:pPr>
        <w:spacing w:line="360" w:lineRule="auto"/>
        <w:jc w:val="center"/>
        <w:rPr>
          <w:rFonts w:ascii="宋体" w:hAnsi="宋体" w:cs="宋体"/>
          <w:b/>
          <w:bCs/>
          <w:color w:val="auto"/>
          <w:sz w:val="36"/>
          <w:szCs w:val="36"/>
        </w:rPr>
      </w:pPr>
    </w:p>
    <w:p>
      <w:pPr>
        <w:pStyle w:val="2"/>
        <w:rPr>
          <w:rFonts w:ascii="宋体" w:hAnsi="宋体" w:cs="宋体"/>
          <w:b w:val="0"/>
          <w:bCs w:val="0"/>
          <w:color w:val="auto"/>
          <w:sz w:val="36"/>
          <w:szCs w:val="36"/>
        </w:rPr>
      </w:pPr>
    </w:p>
    <w:p>
      <w:pPr>
        <w:rPr>
          <w:rFonts w:ascii="宋体" w:hAnsi="宋体" w:cs="宋体"/>
          <w:b/>
          <w:bCs/>
          <w:color w:val="auto"/>
          <w:sz w:val="36"/>
          <w:szCs w:val="36"/>
        </w:rPr>
      </w:pPr>
    </w:p>
    <w:p>
      <w:pPr>
        <w:pStyle w:val="2"/>
        <w:rPr>
          <w:color w:val="auto"/>
        </w:rPr>
      </w:pPr>
    </w:p>
    <w:p>
      <w:pPr>
        <w:spacing w:line="360" w:lineRule="auto"/>
        <w:jc w:val="center"/>
        <w:rPr>
          <w:rFonts w:ascii="宋体" w:hAnsi="宋体" w:cs="宋体"/>
          <w:b/>
          <w:bCs/>
          <w:color w:val="auto"/>
          <w:sz w:val="36"/>
          <w:szCs w:val="36"/>
        </w:rPr>
      </w:pPr>
    </w:p>
    <w:p>
      <w:pPr>
        <w:spacing w:line="360" w:lineRule="auto"/>
        <w:jc w:val="center"/>
        <w:rPr>
          <w:rFonts w:ascii="宋体" w:hAnsi="宋体" w:cs="宋体"/>
          <w:b/>
          <w:bCs/>
          <w:color w:val="auto"/>
          <w:sz w:val="36"/>
          <w:szCs w:val="36"/>
        </w:rPr>
      </w:pPr>
    </w:p>
    <w:p>
      <w:pPr>
        <w:spacing w:line="360" w:lineRule="auto"/>
        <w:jc w:val="center"/>
        <w:rPr>
          <w:rFonts w:ascii="宋体" w:hAnsi="宋体" w:cs="宋体"/>
          <w:b/>
          <w:bCs/>
          <w:color w:val="auto"/>
          <w:sz w:val="36"/>
          <w:szCs w:val="36"/>
        </w:rPr>
      </w:pPr>
    </w:p>
    <w:p>
      <w:pPr>
        <w:spacing w:line="360" w:lineRule="auto"/>
        <w:jc w:val="center"/>
        <w:rPr>
          <w:rFonts w:ascii="宋体" w:hAnsi="宋体" w:cs="宋体"/>
          <w:b/>
          <w:bCs/>
          <w:color w:val="auto"/>
          <w:sz w:val="36"/>
          <w:szCs w:val="36"/>
        </w:rPr>
      </w:pPr>
    </w:p>
    <w:p>
      <w:pPr>
        <w:spacing w:line="480" w:lineRule="auto"/>
        <w:rPr>
          <w:rFonts w:ascii="宋体" w:hAnsi="宋体" w:cs="宋体"/>
          <w:b/>
          <w:color w:val="auto"/>
          <w:sz w:val="52"/>
          <w:szCs w:val="52"/>
        </w:rPr>
      </w:pPr>
    </w:p>
    <w:p>
      <w:pPr>
        <w:pStyle w:val="2"/>
        <w:rPr>
          <w:color w:val="auto"/>
        </w:rPr>
      </w:pPr>
    </w:p>
    <w:p>
      <w:pPr>
        <w:spacing w:line="480" w:lineRule="auto"/>
        <w:jc w:val="center"/>
        <w:rPr>
          <w:rFonts w:ascii="宋体" w:hAnsi="宋体" w:cs="宋体"/>
          <w:b/>
          <w:color w:val="auto"/>
          <w:sz w:val="52"/>
          <w:szCs w:val="52"/>
        </w:rPr>
      </w:pPr>
      <w:r>
        <w:rPr>
          <w:rFonts w:hint="eastAsia" w:ascii="宋体" w:hAnsi="宋体" w:cs="宋体"/>
          <w:b/>
          <w:color w:val="auto"/>
          <w:sz w:val="52"/>
          <w:szCs w:val="52"/>
        </w:rPr>
        <w:t>克拉玛依市克拉玛依市教育局及直属学校安保服务项目</w:t>
      </w:r>
    </w:p>
    <w:p>
      <w:pPr>
        <w:jc w:val="center"/>
        <w:rPr>
          <w:rFonts w:ascii="宋体" w:hAnsi="宋体" w:cs="宋体"/>
          <w:b/>
          <w:color w:val="auto"/>
          <w:sz w:val="72"/>
          <w:szCs w:val="72"/>
        </w:rPr>
      </w:pPr>
    </w:p>
    <w:p>
      <w:pPr>
        <w:jc w:val="center"/>
        <w:rPr>
          <w:rFonts w:ascii="宋体" w:hAnsi="宋体" w:cs="宋体"/>
          <w:b/>
          <w:color w:val="auto"/>
          <w:sz w:val="72"/>
          <w:szCs w:val="72"/>
        </w:rPr>
      </w:pPr>
      <w:r>
        <w:rPr>
          <w:rFonts w:hint="eastAsia" w:ascii="宋体" w:hAnsi="宋体" w:cs="宋体"/>
          <w:b/>
          <w:color w:val="auto"/>
          <w:sz w:val="72"/>
          <w:szCs w:val="72"/>
        </w:rPr>
        <w:t>响  应 文  件</w:t>
      </w:r>
    </w:p>
    <w:p>
      <w:pPr>
        <w:overflowPunct w:val="0"/>
        <w:spacing w:line="500" w:lineRule="exact"/>
        <w:jc w:val="center"/>
        <w:rPr>
          <w:rFonts w:ascii="宋体" w:hAnsi="宋体" w:cs="宋体"/>
          <w:b/>
          <w:color w:val="auto"/>
          <w:kern w:val="0"/>
          <w:sz w:val="30"/>
          <w:szCs w:val="30"/>
        </w:rPr>
      </w:pPr>
    </w:p>
    <w:p>
      <w:pPr>
        <w:jc w:val="center"/>
        <w:rPr>
          <w:rFonts w:ascii="宋体" w:hAnsi="宋体" w:cs="宋体"/>
          <w:b/>
          <w:color w:val="auto"/>
          <w:sz w:val="30"/>
          <w:szCs w:val="30"/>
        </w:rPr>
      </w:pPr>
      <w:r>
        <w:rPr>
          <w:rFonts w:hint="eastAsia" w:ascii="宋体" w:hAnsi="宋体" w:cs="宋体"/>
          <w:b/>
          <w:color w:val="auto"/>
          <w:sz w:val="30"/>
          <w:szCs w:val="30"/>
        </w:rPr>
        <w:t>（招标文件编号：AZH[ZC]2021-17）</w:t>
      </w:r>
    </w:p>
    <w:p>
      <w:pPr>
        <w:pStyle w:val="2"/>
        <w:rPr>
          <w:rFonts w:ascii="宋体" w:hAnsi="宋体" w:cs="宋体"/>
          <w:color w:val="auto"/>
        </w:rPr>
      </w:pPr>
    </w:p>
    <w:p>
      <w:pPr>
        <w:rPr>
          <w:rFonts w:ascii="宋体" w:hAnsi="宋体" w:cs="宋体"/>
          <w:color w:val="auto"/>
        </w:rPr>
      </w:pPr>
    </w:p>
    <w:p>
      <w:pPr>
        <w:spacing w:line="360" w:lineRule="auto"/>
        <w:ind w:firstLine="602"/>
        <w:rPr>
          <w:rFonts w:ascii="宋体" w:hAnsi="宋体" w:cs="宋体"/>
          <w:b/>
          <w:color w:val="auto"/>
          <w:sz w:val="30"/>
          <w:szCs w:val="30"/>
        </w:rPr>
      </w:pPr>
      <w:r>
        <w:rPr>
          <w:rFonts w:hint="eastAsia" w:ascii="宋体" w:hAnsi="宋体" w:cs="宋体"/>
          <w:b/>
          <w:color w:val="auto"/>
          <w:sz w:val="30"/>
          <w:szCs w:val="30"/>
        </w:rPr>
        <w:t>供应商： （单位名称）盖章</w:t>
      </w:r>
    </w:p>
    <w:p>
      <w:pPr>
        <w:spacing w:line="360" w:lineRule="auto"/>
        <w:rPr>
          <w:rFonts w:ascii="宋体" w:hAnsi="宋体" w:cs="宋体"/>
          <w:b/>
          <w:color w:val="auto"/>
          <w:sz w:val="30"/>
          <w:szCs w:val="30"/>
        </w:rPr>
      </w:pPr>
    </w:p>
    <w:p>
      <w:pPr>
        <w:spacing w:line="360" w:lineRule="auto"/>
        <w:ind w:firstLine="602"/>
        <w:rPr>
          <w:rFonts w:ascii="宋体" w:hAnsi="宋体" w:cs="宋体"/>
          <w:b/>
          <w:color w:val="auto"/>
          <w:sz w:val="30"/>
          <w:szCs w:val="30"/>
        </w:rPr>
      </w:pPr>
      <w:r>
        <w:rPr>
          <w:rFonts w:hint="eastAsia" w:ascii="宋体" w:hAnsi="宋体" w:cs="宋体"/>
          <w:b/>
          <w:color w:val="auto"/>
          <w:sz w:val="30"/>
          <w:szCs w:val="30"/>
        </w:rPr>
        <w:t>单位地址：</w:t>
      </w:r>
    </w:p>
    <w:p>
      <w:pPr>
        <w:spacing w:line="360" w:lineRule="auto"/>
        <w:ind w:firstLine="602"/>
        <w:rPr>
          <w:rFonts w:ascii="宋体" w:hAnsi="宋体" w:cs="宋体"/>
          <w:b/>
          <w:color w:val="auto"/>
          <w:sz w:val="30"/>
          <w:szCs w:val="30"/>
        </w:rPr>
      </w:pPr>
    </w:p>
    <w:p>
      <w:pPr>
        <w:pStyle w:val="13"/>
        <w:ind w:firstLine="602" w:firstLineChars="200"/>
        <w:outlineLvl w:val="0"/>
        <w:rPr>
          <w:rFonts w:hAnsi="宋体" w:cs="宋体"/>
          <w:color w:val="auto"/>
          <w:sz w:val="24"/>
        </w:rPr>
      </w:pPr>
      <w:r>
        <w:rPr>
          <w:rFonts w:hint="eastAsia" w:hAnsi="宋体" w:cs="宋体"/>
          <w:b/>
          <w:color w:val="auto"/>
          <w:sz w:val="30"/>
          <w:szCs w:val="30"/>
        </w:rPr>
        <w:t>联系人：                   联系电话：</w:t>
      </w:r>
    </w:p>
    <w:p>
      <w:pPr>
        <w:tabs>
          <w:tab w:val="left" w:pos="360"/>
          <w:tab w:val="left" w:pos="1800"/>
        </w:tabs>
        <w:spacing w:line="360" w:lineRule="auto"/>
        <w:rPr>
          <w:rFonts w:ascii="宋体" w:hAnsi="宋体" w:cs="宋体"/>
          <w:b/>
          <w:bCs/>
          <w:color w:val="auto"/>
          <w:sz w:val="24"/>
        </w:rPr>
      </w:pPr>
    </w:p>
    <w:p>
      <w:pPr>
        <w:tabs>
          <w:tab w:val="left" w:pos="360"/>
          <w:tab w:val="left" w:pos="1800"/>
        </w:tabs>
        <w:spacing w:line="360" w:lineRule="auto"/>
        <w:jc w:val="center"/>
        <w:rPr>
          <w:rFonts w:ascii="宋体" w:hAnsi="宋体" w:cs="宋体"/>
          <w:b/>
          <w:bCs/>
          <w:color w:val="auto"/>
          <w:sz w:val="24"/>
        </w:rPr>
      </w:pPr>
    </w:p>
    <w:p>
      <w:pPr>
        <w:tabs>
          <w:tab w:val="left" w:pos="360"/>
          <w:tab w:val="left" w:pos="1800"/>
        </w:tabs>
        <w:spacing w:line="360" w:lineRule="auto"/>
        <w:jc w:val="center"/>
        <w:rPr>
          <w:rFonts w:ascii="宋体" w:hAnsi="宋体" w:cs="宋体"/>
          <w:bCs/>
          <w:color w:val="auto"/>
          <w:sz w:val="24"/>
        </w:rPr>
      </w:pPr>
      <w:r>
        <w:rPr>
          <w:rFonts w:hint="eastAsia" w:ascii="宋体" w:hAnsi="宋体" w:cs="宋体"/>
          <w:b/>
          <w:bCs/>
          <w:color w:val="auto"/>
          <w:sz w:val="24"/>
        </w:rPr>
        <w:t>格式1  法定代表人资格证明书</w:t>
      </w:r>
    </w:p>
    <w:p>
      <w:pPr>
        <w:shd w:val="clear" w:color="auto" w:fill="FFFFFF"/>
        <w:spacing w:line="480" w:lineRule="auto"/>
        <w:ind w:firstLine="480" w:firstLineChars="200"/>
        <w:rPr>
          <w:rFonts w:ascii="宋体" w:hAnsi="宋体" w:cs="宋体"/>
          <w:color w:val="auto"/>
          <w:sz w:val="24"/>
        </w:rPr>
      </w:pPr>
      <w:r>
        <w:rPr>
          <w:rFonts w:hint="eastAsia" w:ascii="宋体" w:hAnsi="宋体" w:cs="宋体"/>
          <w:color w:val="auto"/>
          <w:sz w:val="24"/>
        </w:rPr>
        <w:t>单位名称：</w:t>
      </w:r>
    </w:p>
    <w:p>
      <w:pPr>
        <w:shd w:val="clear" w:color="auto" w:fill="FFFFFF"/>
        <w:spacing w:line="480" w:lineRule="auto"/>
        <w:ind w:firstLine="480" w:firstLineChars="200"/>
        <w:rPr>
          <w:rFonts w:ascii="宋体" w:hAnsi="宋体" w:cs="宋体"/>
          <w:color w:val="auto"/>
          <w:sz w:val="24"/>
        </w:rPr>
      </w:pPr>
      <w:r>
        <w:rPr>
          <w:rFonts w:hint="eastAsia" w:ascii="宋体" w:hAnsi="宋体" w:cs="宋体"/>
          <w:color w:val="auto"/>
          <w:sz w:val="24"/>
        </w:rPr>
        <w:t>所属行业：</w:t>
      </w:r>
    </w:p>
    <w:p>
      <w:pPr>
        <w:shd w:val="clear" w:color="auto" w:fill="FFFFFF"/>
        <w:spacing w:line="480" w:lineRule="auto"/>
        <w:ind w:firstLine="480" w:firstLineChars="200"/>
        <w:rPr>
          <w:rFonts w:ascii="宋体" w:hAnsi="宋体" w:cs="宋体"/>
          <w:color w:val="auto"/>
          <w:sz w:val="24"/>
        </w:rPr>
      </w:pPr>
      <w:r>
        <w:rPr>
          <w:rFonts w:hint="eastAsia" w:ascii="宋体" w:hAnsi="宋体" w:cs="宋体"/>
          <w:color w:val="auto"/>
          <w:sz w:val="24"/>
        </w:rPr>
        <w:t>地址：</w:t>
      </w:r>
    </w:p>
    <w:p>
      <w:pPr>
        <w:shd w:val="clear" w:color="auto" w:fill="FFFFFF"/>
        <w:spacing w:line="480" w:lineRule="auto"/>
        <w:ind w:firstLine="480" w:firstLineChars="200"/>
        <w:rPr>
          <w:rFonts w:ascii="宋体" w:hAnsi="宋体" w:cs="宋体"/>
          <w:color w:val="auto"/>
          <w:sz w:val="24"/>
        </w:rPr>
      </w:pPr>
      <w:r>
        <w:rPr>
          <w:rFonts w:hint="eastAsia" w:ascii="宋体" w:hAnsi="宋体" w:cs="宋体"/>
          <w:color w:val="auto"/>
          <w:sz w:val="24"/>
        </w:rPr>
        <w:t>营业期限：</w:t>
      </w:r>
    </w:p>
    <w:p>
      <w:pPr>
        <w:shd w:val="clear" w:color="auto" w:fill="FFFFFF"/>
        <w:spacing w:line="480" w:lineRule="auto"/>
        <w:ind w:firstLine="480" w:firstLineChars="200"/>
        <w:rPr>
          <w:rFonts w:ascii="宋体" w:hAnsi="宋体" w:cs="宋体"/>
          <w:color w:val="auto"/>
          <w:sz w:val="24"/>
        </w:rPr>
      </w:pPr>
      <w:r>
        <w:rPr>
          <w:rFonts w:hint="eastAsia" w:ascii="宋体" w:hAnsi="宋体" w:cs="宋体"/>
          <w:color w:val="auto"/>
          <w:sz w:val="24"/>
        </w:rPr>
        <w:t>成立时间：</w:t>
      </w:r>
    </w:p>
    <w:p>
      <w:pPr>
        <w:shd w:val="clear" w:color="auto" w:fill="FFFFFF"/>
        <w:spacing w:line="480" w:lineRule="auto"/>
        <w:ind w:firstLine="480" w:firstLineChars="200"/>
        <w:rPr>
          <w:rFonts w:ascii="宋体" w:hAnsi="宋体" w:cs="宋体"/>
          <w:color w:val="auto"/>
          <w:sz w:val="24"/>
        </w:rPr>
      </w:pPr>
      <w:r>
        <w:rPr>
          <w:rFonts w:hint="eastAsia" w:ascii="宋体" w:hAnsi="宋体" w:cs="宋体"/>
          <w:color w:val="auto"/>
          <w:sz w:val="24"/>
        </w:rPr>
        <w:t>经营范围：</w:t>
      </w:r>
    </w:p>
    <w:p>
      <w:pPr>
        <w:tabs>
          <w:tab w:val="left" w:pos="360"/>
          <w:tab w:val="left" w:pos="720"/>
          <w:tab w:val="left" w:pos="900"/>
          <w:tab w:val="left" w:pos="1800"/>
        </w:tabs>
        <w:spacing w:line="480" w:lineRule="auto"/>
        <w:ind w:firstLine="480" w:firstLineChars="200"/>
        <w:rPr>
          <w:rFonts w:ascii="宋体" w:hAnsi="宋体" w:cs="宋体"/>
          <w:color w:val="auto"/>
          <w:sz w:val="24"/>
        </w:rPr>
      </w:pPr>
      <w:r>
        <w:rPr>
          <w:rFonts w:hint="eastAsia" w:ascii="宋体" w:hAnsi="宋体" w:cs="宋体"/>
          <w:color w:val="auto"/>
          <w:sz w:val="24"/>
        </w:rPr>
        <w:t xml:space="preserve">姓名：        性别：       年龄：         职务： </w:t>
      </w:r>
    </w:p>
    <w:p>
      <w:pPr>
        <w:tabs>
          <w:tab w:val="left" w:pos="360"/>
          <w:tab w:val="left" w:pos="1800"/>
        </w:tabs>
        <w:spacing w:line="480" w:lineRule="auto"/>
        <w:ind w:firstLine="480" w:firstLineChars="200"/>
        <w:jc w:val="left"/>
        <w:rPr>
          <w:rFonts w:ascii="宋体" w:hAnsi="宋体" w:cs="宋体"/>
          <w:color w:val="auto"/>
        </w:rPr>
      </w:pPr>
      <w:r>
        <w:rPr>
          <w:rFonts w:hint="eastAsia" w:ascii="宋体" w:hAnsi="宋体" w:cs="宋体"/>
          <w:color w:val="auto"/>
          <w:sz w:val="24"/>
        </w:rPr>
        <w:t>系</w:t>
      </w:r>
      <w:r>
        <w:rPr>
          <w:rFonts w:hint="eastAsia" w:ascii="宋体" w:hAnsi="宋体" w:cs="宋体"/>
          <w:color w:val="auto"/>
          <w:sz w:val="24"/>
          <w:u w:val="single"/>
        </w:rPr>
        <w:t xml:space="preserve">             （</w:t>
      </w:r>
      <w:r>
        <w:rPr>
          <w:rFonts w:hint="eastAsia" w:ascii="宋体" w:hAnsi="宋体" w:cs="宋体"/>
          <w:color w:val="auto"/>
          <w:sz w:val="24"/>
        </w:rPr>
        <w:t>供应商名称）的法定代表。</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601" w:hRule="atLeast"/>
          <w:jc w:val="center"/>
        </w:trPr>
        <w:tc>
          <w:tcPr>
            <w:tcW w:w="8580" w:type="dxa"/>
          </w:tcPr>
          <w:p>
            <w:pPr>
              <w:tabs>
                <w:tab w:val="left" w:pos="360"/>
                <w:tab w:val="left" w:pos="1800"/>
              </w:tabs>
              <w:spacing w:line="480" w:lineRule="auto"/>
              <w:jc w:val="center"/>
              <w:rPr>
                <w:rFonts w:ascii="宋体" w:hAnsi="宋体" w:cs="宋体"/>
                <w:color w:val="auto"/>
                <w:sz w:val="24"/>
              </w:rPr>
            </w:pPr>
          </w:p>
          <w:p>
            <w:pPr>
              <w:tabs>
                <w:tab w:val="left" w:pos="360"/>
                <w:tab w:val="left" w:pos="1800"/>
              </w:tabs>
              <w:spacing w:line="480" w:lineRule="auto"/>
              <w:jc w:val="center"/>
              <w:rPr>
                <w:rFonts w:ascii="宋体" w:hAnsi="宋体" w:cs="宋体"/>
                <w:color w:val="auto"/>
                <w:sz w:val="24"/>
              </w:rPr>
            </w:pPr>
          </w:p>
          <w:p>
            <w:pPr>
              <w:tabs>
                <w:tab w:val="left" w:pos="360"/>
                <w:tab w:val="left" w:pos="1800"/>
              </w:tabs>
              <w:spacing w:line="480" w:lineRule="auto"/>
              <w:jc w:val="center"/>
              <w:rPr>
                <w:rFonts w:ascii="宋体" w:hAnsi="宋体" w:cs="宋体"/>
                <w:color w:val="auto"/>
                <w:sz w:val="24"/>
              </w:rPr>
            </w:pPr>
            <w:r>
              <w:rPr>
                <w:rFonts w:hint="eastAsia" w:ascii="宋体" w:hAnsi="宋体" w:cs="宋体"/>
                <w:color w:val="auto"/>
                <w:sz w:val="24"/>
              </w:rPr>
              <w:t>法定代表人身份证复印件或扫描件（正、反两面）</w:t>
            </w:r>
          </w:p>
        </w:tc>
      </w:tr>
    </w:tbl>
    <w:p>
      <w:pPr>
        <w:tabs>
          <w:tab w:val="left" w:pos="360"/>
          <w:tab w:val="left" w:pos="1800"/>
        </w:tabs>
        <w:spacing w:line="480" w:lineRule="auto"/>
        <w:ind w:firstLine="720" w:firstLineChars="300"/>
        <w:rPr>
          <w:rFonts w:ascii="宋体" w:hAnsi="宋体" w:cs="宋体"/>
          <w:color w:val="auto"/>
          <w:sz w:val="24"/>
        </w:rPr>
      </w:pPr>
    </w:p>
    <w:p>
      <w:pPr>
        <w:tabs>
          <w:tab w:val="left" w:pos="360"/>
          <w:tab w:val="left" w:pos="1800"/>
        </w:tabs>
        <w:spacing w:line="480" w:lineRule="auto"/>
        <w:ind w:firstLine="480" w:firstLineChars="200"/>
        <w:rPr>
          <w:rFonts w:ascii="宋体" w:hAnsi="宋体" w:cs="宋体"/>
          <w:color w:val="auto"/>
          <w:sz w:val="24"/>
        </w:rPr>
      </w:pPr>
      <w:r>
        <w:rPr>
          <w:rFonts w:hint="eastAsia" w:ascii="宋体" w:hAnsi="宋体" w:cs="宋体"/>
          <w:color w:val="auto"/>
          <w:sz w:val="24"/>
        </w:rPr>
        <w:t>特此证明。</w:t>
      </w:r>
    </w:p>
    <w:p>
      <w:pPr>
        <w:tabs>
          <w:tab w:val="left" w:pos="360"/>
          <w:tab w:val="left" w:pos="1800"/>
        </w:tabs>
        <w:spacing w:line="480" w:lineRule="auto"/>
        <w:ind w:firstLine="480" w:firstLineChars="200"/>
        <w:rPr>
          <w:rFonts w:ascii="宋体" w:hAnsi="宋体" w:cs="宋体"/>
          <w:color w:val="auto"/>
          <w:sz w:val="24"/>
        </w:rPr>
      </w:pPr>
    </w:p>
    <w:p>
      <w:pPr>
        <w:tabs>
          <w:tab w:val="left" w:pos="360"/>
          <w:tab w:val="left" w:pos="1800"/>
        </w:tabs>
        <w:spacing w:line="480" w:lineRule="auto"/>
        <w:ind w:firstLine="480" w:firstLineChars="200"/>
        <w:rPr>
          <w:rFonts w:ascii="宋体" w:hAnsi="宋体" w:cs="宋体"/>
          <w:color w:val="auto"/>
          <w:sz w:val="24"/>
        </w:rPr>
      </w:pPr>
      <w:r>
        <w:rPr>
          <w:rFonts w:hint="eastAsia" w:ascii="宋体" w:hAnsi="宋体" w:cs="宋体"/>
          <w:color w:val="auto"/>
          <w:sz w:val="24"/>
        </w:rPr>
        <w:t>供应商：（盖章）</w:t>
      </w:r>
    </w:p>
    <w:p>
      <w:pPr>
        <w:shd w:val="clear" w:color="auto" w:fill="FFFFFF"/>
        <w:tabs>
          <w:tab w:val="left" w:pos="3780"/>
        </w:tabs>
        <w:spacing w:line="480" w:lineRule="auto"/>
        <w:ind w:firstLine="480" w:firstLineChars="200"/>
        <w:rPr>
          <w:rFonts w:ascii="宋体" w:hAnsi="宋体" w:cs="宋体"/>
          <w:color w:val="auto"/>
          <w:sz w:val="24"/>
        </w:rPr>
      </w:pPr>
      <w:r>
        <w:rPr>
          <w:rFonts w:hint="eastAsia" w:ascii="宋体" w:hAnsi="宋体" w:cs="宋体"/>
          <w:color w:val="auto"/>
          <w:sz w:val="24"/>
        </w:rPr>
        <w:t>法定代表人（签字或盖章）：</w:t>
      </w:r>
    </w:p>
    <w:p>
      <w:pPr>
        <w:tabs>
          <w:tab w:val="left" w:pos="360"/>
          <w:tab w:val="left" w:pos="1800"/>
        </w:tabs>
        <w:spacing w:line="480" w:lineRule="auto"/>
        <w:ind w:firstLine="480" w:firstLineChars="200"/>
        <w:rPr>
          <w:rFonts w:ascii="宋体" w:hAnsi="宋体" w:cs="宋体"/>
          <w:bCs/>
          <w:color w:val="auto"/>
          <w:sz w:val="24"/>
        </w:rPr>
      </w:pPr>
      <w:r>
        <w:rPr>
          <w:rFonts w:hint="eastAsia" w:ascii="宋体" w:hAnsi="宋体" w:cs="宋体"/>
          <w:color w:val="auto"/>
          <w:sz w:val="24"/>
        </w:rPr>
        <w:t>日期：    年   月   日</w:t>
      </w:r>
    </w:p>
    <w:p>
      <w:pPr>
        <w:tabs>
          <w:tab w:val="left" w:pos="360"/>
          <w:tab w:val="left" w:pos="1800"/>
        </w:tabs>
        <w:spacing w:line="360" w:lineRule="auto"/>
        <w:rPr>
          <w:rFonts w:ascii="宋体" w:hAnsi="宋体" w:cs="宋体"/>
          <w:bCs/>
          <w:color w:val="auto"/>
          <w:sz w:val="24"/>
        </w:rPr>
      </w:pPr>
    </w:p>
    <w:p>
      <w:pPr>
        <w:tabs>
          <w:tab w:val="left" w:pos="360"/>
          <w:tab w:val="left" w:pos="1800"/>
        </w:tabs>
        <w:spacing w:line="360" w:lineRule="auto"/>
        <w:rPr>
          <w:rFonts w:ascii="宋体" w:hAnsi="宋体" w:cs="宋体"/>
          <w:bCs/>
          <w:color w:val="auto"/>
          <w:sz w:val="24"/>
        </w:rPr>
      </w:pPr>
    </w:p>
    <w:p>
      <w:pPr>
        <w:tabs>
          <w:tab w:val="left" w:pos="360"/>
          <w:tab w:val="left" w:pos="1800"/>
        </w:tabs>
        <w:spacing w:line="360" w:lineRule="auto"/>
        <w:jc w:val="center"/>
        <w:rPr>
          <w:rFonts w:ascii="宋体" w:hAnsi="宋体" w:cs="宋体"/>
          <w:b/>
          <w:bCs/>
          <w:color w:val="auto"/>
          <w:sz w:val="24"/>
        </w:rPr>
      </w:pPr>
      <w:r>
        <w:rPr>
          <w:rFonts w:hint="eastAsia" w:ascii="宋体" w:hAnsi="宋体" w:cs="宋体"/>
          <w:b/>
          <w:bCs/>
          <w:color w:val="auto"/>
          <w:sz w:val="24"/>
        </w:rPr>
        <w:t>格式2  法定代表人授权委托书</w:t>
      </w:r>
    </w:p>
    <w:p>
      <w:pPr>
        <w:tabs>
          <w:tab w:val="left" w:pos="360"/>
          <w:tab w:val="left" w:pos="1800"/>
        </w:tabs>
        <w:spacing w:line="480" w:lineRule="auto"/>
        <w:ind w:left="19" w:leftChars="9" w:firstLine="458" w:firstLineChars="191"/>
        <w:rPr>
          <w:rFonts w:ascii="宋体" w:hAnsi="宋体" w:cs="宋体"/>
          <w:color w:val="auto"/>
          <w:sz w:val="24"/>
        </w:rPr>
      </w:pPr>
    </w:p>
    <w:p>
      <w:pPr>
        <w:tabs>
          <w:tab w:val="left" w:pos="360"/>
          <w:tab w:val="left" w:pos="1800"/>
        </w:tabs>
        <w:spacing w:line="480" w:lineRule="auto"/>
        <w:ind w:left="19" w:leftChars="9" w:firstLine="458" w:firstLineChars="191"/>
        <w:rPr>
          <w:rFonts w:ascii="宋体" w:hAnsi="宋体" w:cs="宋体"/>
          <w:color w:val="auto"/>
          <w:sz w:val="24"/>
        </w:rPr>
      </w:pPr>
      <w:r>
        <w:rPr>
          <w:rFonts w:hint="eastAsia" w:ascii="宋体" w:hAnsi="宋体" w:cs="宋体"/>
          <w:color w:val="auto"/>
          <w:sz w:val="24"/>
        </w:rPr>
        <w:t>本授权委托书声明：我</w:t>
      </w:r>
      <w:r>
        <w:rPr>
          <w:rFonts w:hint="eastAsia" w:ascii="宋体" w:hAnsi="宋体" w:cs="宋体"/>
          <w:color w:val="auto"/>
          <w:sz w:val="24"/>
          <w:u w:val="single"/>
        </w:rPr>
        <w:t xml:space="preserve">        </w:t>
      </w:r>
      <w:r>
        <w:rPr>
          <w:rFonts w:hint="eastAsia" w:ascii="宋体" w:hAnsi="宋体" w:cs="宋体"/>
          <w:color w:val="auto"/>
          <w:sz w:val="24"/>
        </w:rPr>
        <w:t>（姓名）系</w:t>
      </w:r>
      <w:r>
        <w:rPr>
          <w:rFonts w:hint="eastAsia" w:ascii="宋体" w:hAnsi="宋体" w:cs="宋体"/>
          <w:color w:val="auto"/>
          <w:sz w:val="24"/>
          <w:u w:val="single"/>
        </w:rPr>
        <w:t xml:space="preserve">      </w:t>
      </w:r>
      <w:r>
        <w:rPr>
          <w:rFonts w:hint="eastAsia" w:ascii="宋体" w:hAnsi="宋体" w:cs="宋体"/>
          <w:color w:val="auto"/>
          <w:sz w:val="24"/>
        </w:rPr>
        <w:t>（供应商名称）的法定代表人，现授权委托</w:t>
      </w:r>
      <w:r>
        <w:rPr>
          <w:rFonts w:hint="eastAsia" w:ascii="宋体" w:hAnsi="宋体" w:cs="宋体"/>
          <w:color w:val="auto"/>
          <w:sz w:val="24"/>
          <w:u w:val="single"/>
        </w:rPr>
        <w:t xml:space="preserve">        </w:t>
      </w:r>
      <w:r>
        <w:rPr>
          <w:rFonts w:hint="eastAsia" w:ascii="宋体" w:hAnsi="宋体" w:cs="宋体"/>
          <w:color w:val="auto"/>
          <w:sz w:val="24"/>
        </w:rPr>
        <w:t>（供应商名称）的</w:t>
      </w:r>
      <w:r>
        <w:rPr>
          <w:rFonts w:hint="eastAsia" w:ascii="宋体" w:hAnsi="宋体" w:cs="宋体"/>
          <w:color w:val="auto"/>
          <w:sz w:val="24"/>
          <w:u w:val="single"/>
        </w:rPr>
        <w:t xml:space="preserve">          </w:t>
      </w:r>
      <w:r>
        <w:rPr>
          <w:rFonts w:hint="eastAsia" w:ascii="宋体" w:hAnsi="宋体" w:cs="宋体"/>
          <w:color w:val="auto"/>
          <w:sz w:val="24"/>
        </w:rPr>
        <w:t>（姓名）为我公司代理人，以本公司的名义参加</w:t>
      </w:r>
    </w:p>
    <w:p>
      <w:pPr>
        <w:tabs>
          <w:tab w:val="left" w:pos="360"/>
          <w:tab w:val="left" w:pos="1800"/>
        </w:tabs>
        <w:spacing w:line="480" w:lineRule="auto"/>
        <w:rPr>
          <w:rFonts w:ascii="宋体" w:hAnsi="宋体" w:cs="宋体"/>
          <w:color w:val="auto"/>
          <w:sz w:val="24"/>
          <w:u w:val="single"/>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（采购人</w:t>
      </w:r>
      <w:r>
        <w:rPr>
          <w:rFonts w:hint="eastAsia" w:ascii="宋体" w:hAnsi="宋体" w:cs="宋体"/>
          <w:color w:val="auto"/>
          <w:sz w:val="24"/>
          <w:u w:val="single"/>
        </w:rPr>
        <w:t xml:space="preserve">）        </w:t>
      </w:r>
      <w:r>
        <w:rPr>
          <w:rFonts w:hint="eastAsia" w:ascii="宋体" w:hAnsi="宋体" w:cs="宋体"/>
          <w:color w:val="auto"/>
          <w:sz w:val="24"/>
        </w:rPr>
        <w:t>（项目名称）的投标活动。代理人在参加整个招标投标活动所签署的一切文件和处理与之相关的一切事物，我均予承认。</w:t>
      </w:r>
    </w:p>
    <w:p>
      <w:pPr>
        <w:tabs>
          <w:tab w:val="left" w:pos="360"/>
          <w:tab w:val="left" w:pos="1800"/>
        </w:tabs>
        <w:spacing w:line="480" w:lineRule="auto"/>
        <w:ind w:firstLine="480" w:firstLineChars="200"/>
        <w:rPr>
          <w:rFonts w:ascii="宋体" w:hAnsi="宋体" w:cs="宋体"/>
          <w:color w:val="auto"/>
          <w:sz w:val="24"/>
          <w:u w:val="single"/>
        </w:rPr>
      </w:pPr>
      <w:r>
        <w:rPr>
          <w:rFonts w:hint="eastAsia" w:ascii="宋体" w:hAnsi="宋体" w:cs="宋体"/>
          <w:color w:val="auto"/>
          <w:sz w:val="24"/>
        </w:rPr>
        <w:t>本授权委托书期限自</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日起至</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日止。被授权人在授权书有效期内签署的所有文件不因授权期限的终止而失效。</w:t>
      </w:r>
    </w:p>
    <w:p>
      <w:pPr>
        <w:tabs>
          <w:tab w:val="left" w:pos="360"/>
          <w:tab w:val="left" w:pos="1800"/>
        </w:tabs>
        <w:spacing w:line="480" w:lineRule="auto"/>
        <w:ind w:firstLine="480" w:firstLineChars="200"/>
        <w:rPr>
          <w:rFonts w:ascii="宋体" w:hAnsi="宋体" w:cs="宋体"/>
          <w:color w:val="auto"/>
          <w:sz w:val="24"/>
        </w:rPr>
      </w:pPr>
      <w:r>
        <w:rPr>
          <w:rFonts w:hint="eastAsia" w:ascii="宋体" w:hAnsi="宋体" w:cs="宋体"/>
          <w:color w:val="auto"/>
          <w:sz w:val="24"/>
        </w:rPr>
        <w:t>委托代理人无转委权。特此委托。</w:t>
      </w:r>
    </w:p>
    <w:p>
      <w:pPr>
        <w:tabs>
          <w:tab w:val="left" w:pos="360"/>
          <w:tab w:val="left" w:pos="1800"/>
        </w:tabs>
        <w:spacing w:line="480" w:lineRule="auto"/>
        <w:ind w:firstLine="480" w:firstLineChars="200"/>
        <w:rPr>
          <w:rFonts w:ascii="宋体" w:hAnsi="宋体" w:cs="宋体"/>
          <w:color w:val="auto"/>
          <w:sz w:val="24"/>
        </w:rPr>
      </w:pPr>
      <w:r>
        <w:rPr>
          <w:rFonts w:hint="eastAsia" w:ascii="宋体" w:hAnsi="宋体" w:cs="宋体"/>
          <w:color w:val="auto"/>
          <w:sz w:val="24"/>
        </w:rPr>
        <w:t>委托代理人：            性别：           年龄：</w:t>
      </w:r>
    </w:p>
    <w:p>
      <w:pPr>
        <w:tabs>
          <w:tab w:val="left" w:pos="360"/>
          <w:tab w:val="left" w:pos="1800"/>
        </w:tabs>
        <w:spacing w:line="480" w:lineRule="auto"/>
        <w:ind w:firstLine="480" w:firstLineChars="200"/>
        <w:rPr>
          <w:rFonts w:ascii="宋体" w:hAnsi="宋体" w:cs="宋体"/>
          <w:color w:val="auto"/>
          <w:sz w:val="24"/>
        </w:rPr>
      </w:pPr>
      <w:r>
        <w:rPr>
          <w:rFonts w:hint="eastAsia" w:ascii="宋体" w:hAnsi="宋体" w:cs="宋体"/>
          <w:color w:val="auto"/>
          <w:sz w:val="24"/>
        </w:rPr>
        <w:t>单位：                  部门：           职务：</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1" w:hRule="atLeast"/>
          <w:jc w:val="center"/>
        </w:trPr>
        <w:tc>
          <w:tcPr>
            <w:tcW w:w="8760" w:type="dxa"/>
          </w:tcPr>
          <w:p>
            <w:pPr>
              <w:tabs>
                <w:tab w:val="left" w:pos="360"/>
                <w:tab w:val="left" w:pos="1800"/>
              </w:tabs>
              <w:spacing w:line="360" w:lineRule="auto"/>
              <w:jc w:val="center"/>
              <w:rPr>
                <w:rFonts w:ascii="宋体" w:hAnsi="宋体" w:cs="宋体"/>
                <w:color w:val="auto"/>
                <w:sz w:val="24"/>
              </w:rPr>
            </w:pPr>
          </w:p>
          <w:p>
            <w:pPr>
              <w:tabs>
                <w:tab w:val="left" w:pos="360"/>
                <w:tab w:val="left" w:pos="1800"/>
              </w:tabs>
              <w:spacing w:line="360" w:lineRule="auto"/>
              <w:jc w:val="center"/>
              <w:rPr>
                <w:rFonts w:ascii="宋体" w:hAnsi="宋体" w:cs="宋体"/>
                <w:color w:val="auto"/>
                <w:sz w:val="24"/>
              </w:rPr>
            </w:pPr>
          </w:p>
          <w:p>
            <w:pPr>
              <w:tabs>
                <w:tab w:val="left" w:pos="360"/>
                <w:tab w:val="left" w:pos="1800"/>
              </w:tabs>
              <w:spacing w:line="360" w:lineRule="auto"/>
              <w:jc w:val="center"/>
              <w:rPr>
                <w:rFonts w:ascii="宋体" w:hAnsi="宋体" w:cs="宋体"/>
                <w:color w:val="auto"/>
                <w:sz w:val="24"/>
              </w:rPr>
            </w:pPr>
            <w:r>
              <w:rPr>
                <w:rFonts w:hint="eastAsia" w:ascii="宋体" w:hAnsi="宋体" w:cs="宋体"/>
                <w:color w:val="auto"/>
                <w:sz w:val="24"/>
              </w:rPr>
              <w:t>委托代理人身份证复印件或扫描件（正、反两面）</w:t>
            </w:r>
          </w:p>
        </w:tc>
      </w:tr>
    </w:tbl>
    <w:p>
      <w:pPr>
        <w:tabs>
          <w:tab w:val="left" w:pos="360"/>
          <w:tab w:val="left" w:pos="1800"/>
        </w:tabs>
        <w:spacing w:line="360" w:lineRule="auto"/>
        <w:ind w:firstLine="3600"/>
        <w:rPr>
          <w:rFonts w:ascii="宋体" w:hAnsi="宋体" w:cs="宋体"/>
          <w:color w:val="auto"/>
          <w:sz w:val="24"/>
        </w:rPr>
      </w:pPr>
    </w:p>
    <w:p>
      <w:pPr>
        <w:tabs>
          <w:tab w:val="left" w:pos="360"/>
          <w:tab w:val="left" w:pos="1800"/>
        </w:tabs>
        <w:spacing w:line="480" w:lineRule="auto"/>
        <w:ind w:firstLine="480" w:firstLineChars="200"/>
        <w:rPr>
          <w:rFonts w:ascii="宋体" w:hAnsi="宋体" w:cs="宋体"/>
          <w:color w:val="auto"/>
          <w:sz w:val="24"/>
        </w:rPr>
      </w:pPr>
      <w:r>
        <w:rPr>
          <w:rFonts w:hint="eastAsia" w:ascii="宋体" w:hAnsi="宋体" w:cs="宋体"/>
          <w:color w:val="auto"/>
          <w:sz w:val="24"/>
        </w:rPr>
        <w:t>供应商：（盖章）</w:t>
      </w:r>
    </w:p>
    <w:p>
      <w:pPr>
        <w:tabs>
          <w:tab w:val="left" w:pos="360"/>
          <w:tab w:val="left" w:pos="1800"/>
        </w:tabs>
        <w:spacing w:line="480" w:lineRule="auto"/>
        <w:ind w:firstLine="480" w:firstLineChars="200"/>
        <w:rPr>
          <w:rFonts w:ascii="宋体" w:hAnsi="宋体" w:cs="宋体"/>
          <w:color w:val="auto"/>
          <w:sz w:val="24"/>
        </w:rPr>
      </w:pPr>
      <w:r>
        <w:rPr>
          <w:rFonts w:hint="eastAsia" w:ascii="宋体" w:hAnsi="宋体" w:cs="宋体"/>
          <w:color w:val="auto"/>
          <w:sz w:val="24"/>
        </w:rPr>
        <w:t>法定代表：（签字或盖章）</w:t>
      </w:r>
    </w:p>
    <w:p>
      <w:pPr>
        <w:tabs>
          <w:tab w:val="left" w:pos="360"/>
          <w:tab w:val="left" w:pos="1800"/>
        </w:tabs>
        <w:spacing w:line="480" w:lineRule="auto"/>
        <w:ind w:firstLine="480" w:firstLineChars="200"/>
        <w:rPr>
          <w:rFonts w:ascii="宋体" w:hAnsi="宋体" w:cs="宋体"/>
          <w:color w:val="auto"/>
          <w:sz w:val="24"/>
        </w:rPr>
      </w:pPr>
      <w:r>
        <w:rPr>
          <w:rFonts w:hint="eastAsia" w:ascii="宋体" w:hAnsi="宋体" w:cs="宋体"/>
          <w:color w:val="auto"/>
          <w:sz w:val="24"/>
        </w:rPr>
        <w:t>委托代理人：（签字或盖章）</w:t>
      </w:r>
    </w:p>
    <w:p>
      <w:pPr>
        <w:tabs>
          <w:tab w:val="left" w:pos="360"/>
          <w:tab w:val="left" w:pos="1800"/>
        </w:tabs>
        <w:spacing w:line="480" w:lineRule="auto"/>
        <w:ind w:firstLine="480" w:firstLineChars="200"/>
        <w:rPr>
          <w:rFonts w:ascii="宋体" w:hAnsi="宋体" w:cs="宋体"/>
          <w:color w:val="auto"/>
          <w:sz w:val="24"/>
        </w:rPr>
      </w:pPr>
      <w:r>
        <w:rPr>
          <w:rFonts w:hint="eastAsia" w:ascii="宋体" w:hAnsi="宋体" w:cs="宋体"/>
          <w:color w:val="auto"/>
          <w:sz w:val="24"/>
        </w:rPr>
        <w:t>日期：      年     月     日</w:t>
      </w:r>
    </w:p>
    <w:p>
      <w:pPr>
        <w:pStyle w:val="2"/>
        <w:spacing w:before="0" w:after="0" w:line="360" w:lineRule="auto"/>
        <w:jc w:val="center"/>
        <w:rPr>
          <w:rFonts w:ascii="宋体" w:hAnsi="宋体" w:cs="宋体"/>
          <w:b w:val="0"/>
          <w:bCs w:val="0"/>
          <w:color w:val="auto"/>
          <w:sz w:val="24"/>
          <w:szCs w:val="24"/>
        </w:rPr>
      </w:pPr>
      <w:r>
        <w:rPr>
          <w:rFonts w:hint="eastAsia" w:ascii="宋体" w:hAnsi="宋体" w:cs="宋体"/>
          <w:color w:val="auto"/>
          <w:sz w:val="24"/>
          <w:szCs w:val="24"/>
        </w:rPr>
        <w:t>格式3  供应商基本情况表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549"/>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728" w:type="dxa"/>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供应商名称</w:t>
            </w:r>
          </w:p>
        </w:tc>
        <w:tc>
          <w:tcPr>
            <w:tcW w:w="7668" w:type="dxa"/>
            <w:gridSpan w:val="5"/>
            <w:vAlign w:val="center"/>
          </w:tcPr>
          <w:p>
            <w:pPr>
              <w:spacing w:line="360" w:lineRule="auto"/>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728" w:type="dxa"/>
            <w:vAlign w:val="center"/>
          </w:tcPr>
          <w:p>
            <w:pPr>
              <w:spacing w:line="360" w:lineRule="auto"/>
              <w:ind w:firstLine="210" w:firstLineChars="100"/>
              <w:jc w:val="center"/>
              <w:rPr>
                <w:rFonts w:ascii="宋体" w:hAnsi="宋体" w:cs="宋体"/>
                <w:bCs/>
                <w:color w:val="auto"/>
                <w:szCs w:val="21"/>
              </w:rPr>
            </w:pPr>
            <w:r>
              <w:rPr>
                <w:rFonts w:hint="eastAsia" w:ascii="宋体" w:hAnsi="宋体" w:cs="宋体"/>
                <w:bCs/>
                <w:color w:val="auto"/>
                <w:szCs w:val="21"/>
              </w:rPr>
              <w:t>地 址</w:t>
            </w:r>
          </w:p>
        </w:tc>
        <w:tc>
          <w:tcPr>
            <w:tcW w:w="7668" w:type="dxa"/>
            <w:gridSpan w:val="5"/>
            <w:vAlign w:val="center"/>
          </w:tcPr>
          <w:p>
            <w:pPr>
              <w:spacing w:line="360" w:lineRule="auto"/>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28" w:type="dxa"/>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主管部门</w:t>
            </w:r>
          </w:p>
        </w:tc>
        <w:tc>
          <w:tcPr>
            <w:tcW w:w="1380" w:type="dxa"/>
            <w:vAlign w:val="center"/>
          </w:tcPr>
          <w:p>
            <w:pPr>
              <w:spacing w:line="360" w:lineRule="auto"/>
              <w:jc w:val="center"/>
              <w:rPr>
                <w:rFonts w:ascii="宋体" w:hAnsi="宋体" w:cs="宋体"/>
                <w:bCs/>
                <w:color w:val="auto"/>
                <w:szCs w:val="21"/>
              </w:rPr>
            </w:pPr>
          </w:p>
        </w:tc>
        <w:tc>
          <w:tcPr>
            <w:tcW w:w="1549" w:type="dxa"/>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法定代表人</w:t>
            </w:r>
          </w:p>
        </w:tc>
        <w:tc>
          <w:tcPr>
            <w:tcW w:w="1549" w:type="dxa"/>
            <w:vAlign w:val="center"/>
          </w:tcPr>
          <w:p>
            <w:pPr>
              <w:spacing w:line="360" w:lineRule="auto"/>
              <w:jc w:val="center"/>
              <w:rPr>
                <w:rFonts w:ascii="宋体" w:hAnsi="宋体" w:cs="宋体"/>
                <w:bCs/>
                <w:color w:val="auto"/>
                <w:szCs w:val="21"/>
              </w:rPr>
            </w:pPr>
          </w:p>
        </w:tc>
        <w:tc>
          <w:tcPr>
            <w:tcW w:w="1583" w:type="dxa"/>
            <w:vAlign w:val="center"/>
          </w:tcPr>
          <w:p>
            <w:pPr>
              <w:spacing w:line="360" w:lineRule="auto"/>
              <w:ind w:firstLine="210" w:firstLineChars="100"/>
              <w:jc w:val="center"/>
              <w:rPr>
                <w:rFonts w:ascii="宋体" w:hAnsi="宋体" w:cs="宋体"/>
                <w:bCs/>
                <w:color w:val="auto"/>
                <w:szCs w:val="21"/>
              </w:rPr>
            </w:pPr>
            <w:r>
              <w:rPr>
                <w:rFonts w:hint="eastAsia" w:ascii="宋体" w:hAnsi="宋体" w:cs="宋体"/>
                <w:bCs/>
                <w:color w:val="auto"/>
                <w:szCs w:val="21"/>
              </w:rPr>
              <w:t>职 务</w:t>
            </w:r>
          </w:p>
        </w:tc>
        <w:tc>
          <w:tcPr>
            <w:tcW w:w="1607" w:type="dxa"/>
            <w:vAlign w:val="center"/>
          </w:tcPr>
          <w:p>
            <w:pPr>
              <w:spacing w:line="360" w:lineRule="auto"/>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728" w:type="dxa"/>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注册时间</w:t>
            </w:r>
          </w:p>
        </w:tc>
        <w:tc>
          <w:tcPr>
            <w:tcW w:w="2929" w:type="dxa"/>
            <w:gridSpan w:val="2"/>
            <w:vAlign w:val="center"/>
          </w:tcPr>
          <w:p>
            <w:pPr>
              <w:spacing w:line="360" w:lineRule="auto"/>
              <w:jc w:val="center"/>
              <w:rPr>
                <w:rFonts w:ascii="宋体" w:hAnsi="宋体" w:cs="宋体"/>
                <w:bCs/>
                <w:color w:val="auto"/>
                <w:szCs w:val="21"/>
              </w:rPr>
            </w:pPr>
          </w:p>
        </w:tc>
        <w:tc>
          <w:tcPr>
            <w:tcW w:w="1549" w:type="dxa"/>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经济类型</w:t>
            </w:r>
          </w:p>
        </w:tc>
        <w:tc>
          <w:tcPr>
            <w:tcW w:w="3190" w:type="dxa"/>
            <w:gridSpan w:val="2"/>
            <w:vAlign w:val="center"/>
          </w:tcPr>
          <w:p>
            <w:pPr>
              <w:spacing w:line="360" w:lineRule="auto"/>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657" w:type="dxa"/>
            <w:gridSpan w:val="3"/>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营业执照号</w:t>
            </w:r>
          </w:p>
        </w:tc>
        <w:tc>
          <w:tcPr>
            <w:tcW w:w="4739" w:type="dxa"/>
            <w:gridSpan w:val="3"/>
            <w:vAlign w:val="center"/>
          </w:tcPr>
          <w:p>
            <w:pPr>
              <w:spacing w:line="360" w:lineRule="auto"/>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657" w:type="dxa"/>
            <w:gridSpan w:val="3"/>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近三年内（2018年至2020年）经营活动中有无重大违法纪录</w:t>
            </w:r>
          </w:p>
        </w:tc>
        <w:tc>
          <w:tcPr>
            <w:tcW w:w="4739" w:type="dxa"/>
            <w:gridSpan w:val="3"/>
            <w:vAlign w:val="center"/>
          </w:tcPr>
          <w:p>
            <w:pPr>
              <w:spacing w:line="360" w:lineRule="auto"/>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1728" w:type="dxa"/>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是否依法缴纳税收</w:t>
            </w:r>
          </w:p>
        </w:tc>
        <w:tc>
          <w:tcPr>
            <w:tcW w:w="2929" w:type="dxa"/>
            <w:gridSpan w:val="2"/>
            <w:vAlign w:val="center"/>
          </w:tcPr>
          <w:p>
            <w:pPr>
              <w:spacing w:line="360" w:lineRule="auto"/>
              <w:jc w:val="center"/>
              <w:rPr>
                <w:rFonts w:ascii="宋体" w:hAnsi="宋体" w:cs="宋体"/>
                <w:bCs/>
                <w:color w:val="auto"/>
                <w:szCs w:val="21"/>
              </w:rPr>
            </w:pPr>
          </w:p>
        </w:tc>
        <w:tc>
          <w:tcPr>
            <w:tcW w:w="1549" w:type="dxa"/>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是否依法缴纳社会保障资金</w:t>
            </w:r>
          </w:p>
        </w:tc>
        <w:tc>
          <w:tcPr>
            <w:tcW w:w="3190" w:type="dxa"/>
            <w:gridSpan w:val="2"/>
            <w:vAlign w:val="center"/>
          </w:tcPr>
          <w:p>
            <w:pPr>
              <w:spacing w:line="360" w:lineRule="auto"/>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3" w:hRule="atLeast"/>
          <w:jc w:val="center"/>
        </w:trPr>
        <w:tc>
          <w:tcPr>
            <w:tcW w:w="1728" w:type="dxa"/>
            <w:vMerge w:val="restart"/>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单</w:t>
            </w:r>
          </w:p>
          <w:p>
            <w:pPr>
              <w:spacing w:line="360" w:lineRule="auto"/>
              <w:jc w:val="center"/>
              <w:rPr>
                <w:rFonts w:ascii="宋体" w:hAnsi="宋体" w:cs="宋体"/>
                <w:bCs/>
                <w:color w:val="auto"/>
                <w:szCs w:val="21"/>
              </w:rPr>
            </w:pPr>
            <w:r>
              <w:rPr>
                <w:rFonts w:hint="eastAsia" w:ascii="宋体" w:hAnsi="宋体" w:cs="宋体"/>
                <w:bCs/>
                <w:color w:val="auto"/>
                <w:szCs w:val="21"/>
              </w:rPr>
              <w:t>位</w:t>
            </w:r>
          </w:p>
          <w:p>
            <w:pPr>
              <w:spacing w:line="360" w:lineRule="auto"/>
              <w:jc w:val="center"/>
              <w:rPr>
                <w:rFonts w:ascii="宋体" w:hAnsi="宋体" w:cs="宋体"/>
                <w:bCs/>
                <w:color w:val="auto"/>
                <w:szCs w:val="21"/>
              </w:rPr>
            </w:pPr>
            <w:r>
              <w:rPr>
                <w:rFonts w:hint="eastAsia" w:ascii="宋体" w:hAnsi="宋体" w:cs="宋体"/>
                <w:bCs/>
                <w:color w:val="auto"/>
                <w:szCs w:val="21"/>
              </w:rPr>
              <w:t>概</w:t>
            </w:r>
          </w:p>
          <w:p>
            <w:pPr>
              <w:spacing w:line="360" w:lineRule="auto"/>
              <w:jc w:val="center"/>
              <w:rPr>
                <w:rFonts w:ascii="宋体" w:hAnsi="宋体" w:cs="宋体"/>
                <w:bCs/>
                <w:color w:val="auto"/>
                <w:szCs w:val="21"/>
              </w:rPr>
            </w:pPr>
            <w:r>
              <w:rPr>
                <w:rFonts w:hint="eastAsia" w:ascii="宋体" w:hAnsi="宋体" w:cs="宋体"/>
                <w:bCs/>
                <w:color w:val="auto"/>
                <w:szCs w:val="21"/>
              </w:rPr>
              <w:t>况</w:t>
            </w:r>
          </w:p>
        </w:tc>
        <w:tc>
          <w:tcPr>
            <w:tcW w:w="1380" w:type="dxa"/>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注册资本</w:t>
            </w:r>
          </w:p>
        </w:tc>
        <w:tc>
          <w:tcPr>
            <w:tcW w:w="1549" w:type="dxa"/>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万元</w:t>
            </w:r>
          </w:p>
        </w:tc>
        <w:tc>
          <w:tcPr>
            <w:tcW w:w="1549" w:type="dxa"/>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占地面积</w:t>
            </w:r>
          </w:p>
        </w:tc>
        <w:tc>
          <w:tcPr>
            <w:tcW w:w="3190" w:type="dxa"/>
            <w:gridSpan w:val="2"/>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728" w:type="dxa"/>
            <w:vMerge w:val="continue"/>
            <w:vAlign w:val="center"/>
          </w:tcPr>
          <w:p>
            <w:pPr>
              <w:spacing w:line="360" w:lineRule="auto"/>
              <w:jc w:val="center"/>
              <w:rPr>
                <w:rFonts w:ascii="宋体" w:hAnsi="宋体" w:cs="宋体"/>
                <w:bCs/>
                <w:color w:val="auto"/>
                <w:szCs w:val="21"/>
              </w:rPr>
            </w:pPr>
          </w:p>
        </w:tc>
        <w:tc>
          <w:tcPr>
            <w:tcW w:w="1380" w:type="dxa"/>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职工总数</w:t>
            </w:r>
          </w:p>
        </w:tc>
        <w:tc>
          <w:tcPr>
            <w:tcW w:w="1549" w:type="dxa"/>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人</w:t>
            </w:r>
          </w:p>
        </w:tc>
        <w:tc>
          <w:tcPr>
            <w:tcW w:w="1549" w:type="dxa"/>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建筑面积</w:t>
            </w:r>
          </w:p>
        </w:tc>
        <w:tc>
          <w:tcPr>
            <w:tcW w:w="3190" w:type="dxa"/>
            <w:gridSpan w:val="2"/>
            <w:vAlign w:val="center"/>
          </w:tcPr>
          <w:p>
            <w:pPr>
              <w:spacing w:line="360" w:lineRule="auto"/>
              <w:ind w:firstLine="1575" w:firstLineChars="750"/>
              <w:jc w:val="center"/>
              <w:rPr>
                <w:rFonts w:ascii="宋体" w:hAnsi="宋体" w:cs="宋体"/>
                <w:bCs/>
                <w:color w:val="auto"/>
                <w:szCs w:val="21"/>
              </w:rPr>
            </w:pPr>
            <w:r>
              <w:rPr>
                <w:rFonts w:hint="eastAsia" w:ascii="宋体" w:hAnsi="宋体" w:cs="宋体"/>
                <w:bCs/>
                <w:color w:val="auto"/>
                <w:szCs w:val="2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728" w:type="dxa"/>
            <w:vMerge w:val="continue"/>
            <w:vAlign w:val="center"/>
          </w:tcPr>
          <w:p>
            <w:pPr>
              <w:spacing w:line="360" w:lineRule="auto"/>
              <w:jc w:val="center"/>
              <w:rPr>
                <w:rFonts w:ascii="宋体" w:hAnsi="宋体" w:cs="宋体"/>
                <w:bCs/>
                <w:color w:val="auto"/>
                <w:szCs w:val="21"/>
              </w:rPr>
            </w:pPr>
          </w:p>
        </w:tc>
        <w:tc>
          <w:tcPr>
            <w:tcW w:w="1380" w:type="dxa"/>
            <w:vMerge w:val="restart"/>
            <w:vAlign w:val="center"/>
          </w:tcPr>
          <w:p>
            <w:pPr>
              <w:spacing w:line="360" w:lineRule="auto"/>
              <w:ind w:firstLine="210" w:firstLineChars="100"/>
              <w:jc w:val="center"/>
              <w:rPr>
                <w:rFonts w:ascii="宋体" w:hAnsi="宋体" w:cs="宋体"/>
                <w:bCs/>
                <w:color w:val="auto"/>
                <w:szCs w:val="21"/>
              </w:rPr>
            </w:pPr>
            <w:r>
              <w:rPr>
                <w:rFonts w:hint="eastAsia" w:ascii="宋体" w:hAnsi="宋体" w:cs="宋体"/>
                <w:bCs/>
                <w:color w:val="auto"/>
                <w:szCs w:val="21"/>
              </w:rPr>
              <w:t>资产</w:t>
            </w:r>
          </w:p>
          <w:p>
            <w:pPr>
              <w:spacing w:line="360" w:lineRule="auto"/>
              <w:ind w:firstLine="210" w:firstLineChars="100"/>
              <w:jc w:val="center"/>
              <w:rPr>
                <w:rFonts w:ascii="宋体" w:hAnsi="宋体" w:cs="宋体"/>
                <w:bCs/>
                <w:color w:val="auto"/>
                <w:szCs w:val="21"/>
              </w:rPr>
            </w:pPr>
            <w:r>
              <w:rPr>
                <w:rFonts w:hint="eastAsia" w:ascii="宋体" w:hAnsi="宋体" w:cs="宋体"/>
                <w:bCs/>
                <w:color w:val="auto"/>
                <w:szCs w:val="21"/>
              </w:rPr>
              <w:t>情况</w:t>
            </w:r>
          </w:p>
        </w:tc>
        <w:tc>
          <w:tcPr>
            <w:tcW w:w="3098" w:type="dxa"/>
            <w:gridSpan w:val="2"/>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净资产：        万元</w:t>
            </w:r>
          </w:p>
        </w:tc>
        <w:tc>
          <w:tcPr>
            <w:tcW w:w="3190" w:type="dxa"/>
            <w:gridSpan w:val="2"/>
            <w:vMerge w:val="restart"/>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固定资产原值 ：      万元</w:t>
            </w:r>
          </w:p>
          <w:p>
            <w:pPr>
              <w:spacing w:line="360" w:lineRule="auto"/>
              <w:jc w:val="center"/>
              <w:rPr>
                <w:rFonts w:ascii="宋体" w:hAnsi="宋体" w:cs="宋体"/>
                <w:bCs/>
                <w:color w:val="auto"/>
                <w:szCs w:val="21"/>
              </w:rPr>
            </w:pPr>
            <w:r>
              <w:rPr>
                <w:rFonts w:hint="eastAsia" w:ascii="宋体" w:hAnsi="宋体" w:cs="宋体"/>
                <w:bCs/>
                <w:color w:val="auto"/>
                <w:szCs w:val="21"/>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728" w:type="dxa"/>
            <w:vMerge w:val="continue"/>
            <w:vAlign w:val="center"/>
          </w:tcPr>
          <w:p>
            <w:pPr>
              <w:spacing w:line="360" w:lineRule="auto"/>
              <w:jc w:val="center"/>
              <w:rPr>
                <w:rFonts w:ascii="宋体" w:hAnsi="宋体" w:cs="宋体"/>
                <w:bCs/>
                <w:color w:val="auto"/>
                <w:szCs w:val="21"/>
              </w:rPr>
            </w:pPr>
          </w:p>
        </w:tc>
        <w:tc>
          <w:tcPr>
            <w:tcW w:w="1380" w:type="dxa"/>
            <w:vMerge w:val="continue"/>
            <w:vAlign w:val="center"/>
          </w:tcPr>
          <w:p>
            <w:pPr>
              <w:spacing w:line="360" w:lineRule="auto"/>
              <w:jc w:val="center"/>
              <w:rPr>
                <w:rFonts w:ascii="宋体" w:hAnsi="宋体" w:cs="宋体"/>
                <w:bCs/>
                <w:color w:val="auto"/>
                <w:szCs w:val="21"/>
              </w:rPr>
            </w:pPr>
          </w:p>
        </w:tc>
        <w:tc>
          <w:tcPr>
            <w:tcW w:w="3098" w:type="dxa"/>
            <w:gridSpan w:val="2"/>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负 债：         万元</w:t>
            </w:r>
          </w:p>
        </w:tc>
        <w:tc>
          <w:tcPr>
            <w:tcW w:w="3190" w:type="dxa"/>
            <w:gridSpan w:val="2"/>
            <w:vMerge w:val="continue"/>
            <w:vAlign w:val="center"/>
          </w:tcPr>
          <w:p>
            <w:pPr>
              <w:spacing w:line="360" w:lineRule="auto"/>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1728" w:type="dxa"/>
            <w:vMerge w:val="restart"/>
            <w:vAlign w:val="center"/>
          </w:tcPr>
          <w:p>
            <w:pPr>
              <w:spacing w:line="360" w:lineRule="auto"/>
              <w:ind w:firstLine="105" w:firstLineChars="50"/>
              <w:jc w:val="center"/>
              <w:rPr>
                <w:rFonts w:ascii="宋体" w:hAnsi="宋体" w:cs="宋体"/>
                <w:bCs/>
                <w:color w:val="auto"/>
                <w:szCs w:val="21"/>
              </w:rPr>
            </w:pPr>
            <w:r>
              <w:rPr>
                <w:rFonts w:hint="eastAsia" w:ascii="宋体" w:hAnsi="宋体" w:cs="宋体"/>
                <w:bCs/>
                <w:color w:val="auto"/>
                <w:szCs w:val="21"/>
              </w:rPr>
              <w:t>财务状况</w:t>
            </w:r>
          </w:p>
          <w:p>
            <w:pPr>
              <w:spacing w:line="360" w:lineRule="auto"/>
              <w:jc w:val="center"/>
              <w:rPr>
                <w:rFonts w:ascii="宋体" w:hAnsi="宋体" w:cs="宋体"/>
                <w:bCs/>
                <w:color w:val="auto"/>
                <w:szCs w:val="21"/>
              </w:rPr>
            </w:pPr>
            <w:r>
              <w:rPr>
                <w:rFonts w:hint="eastAsia" w:ascii="宋体" w:hAnsi="宋体" w:cs="宋体"/>
                <w:bCs/>
                <w:color w:val="auto"/>
                <w:szCs w:val="21"/>
              </w:rPr>
              <w:t>（近三年2018年至2020年）</w:t>
            </w:r>
          </w:p>
        </w:tc>
        <w:tc>
          <w:tcPr>
            <w:tcW w:w="1380" w:type="dxa"/>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年份</w:t>
            </w:r>
          </w:p>
        </w:tc>
        <w:tc>
          <w:tcPr>
            <w:tcW w:w="1549" w:type="dxa"/>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主营收入</w:t>
            </w:r>
          </w:p>
          <w:p>
            <w:pPr>
              <w:spacing w:line="360" w:lineRule="auto"/>
              <w:jc w:val="center"/>
              <w:rPr>
                <w:rFonts w:ascii="宋体" w:hAnsi="宋体" w:cs="宋体"/>
                <w:bCs/>
                <w:color w:val="auto"/>
                <w:szCs w:val="21"/>
              </w:rPr>
            </w:pPr>
            <w:r>
              <w:rPr>
                <w:rFonts w:hint="eastAsia" w:ascii="宋体" w:hAnsi="宋体" w:cs="宋体"/>
                <w:bCs/>
                <w:color w:val="auto"/>
                <w:szCs w:val="21"/>
              </w:rPr>
              <w:t>（万元）</w:t>
            </w:r>
          </w:p>
        </w:tc>
        <w:tc>
          <w:tcPr>
            <w:tcW w:w="1549" w:type="dxa"/>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收入总额</w:t>
            </w:r>
          </w:p>
          <w:p>
            <w:pPr>
              <w:spacing w:line="360" w:lineRule="auto"/>
              <w:jc w:val="center"/>
              <w:rPr>
                <w:rFonts w:ascii="宋体" w:hAnsi="宋体" w:cs="宋体"/>
                <w:bCs/>
                <w:color w:val="auto"/>
                <w:szCs w:val="21"/>
              </w:rPr>
            </w:pPr>
            <w:r>
              <w:rPr>
                <w:rFonts w:hint="eastAsia" w:ascii="宋体" w:hAnsi="宋体" w:cs="宋体"/>
                <w:bCs/>
                <w:color w:val="auto"/>
                <w:szCs w:val="21"/>
              </w:rPr>
              <w:t>（万元）</w:t>
            </w:r>
          </w:p>
        </w:tc>
        <w:tc>
          <w:tcPr>
            <w:tcW w:w="1583" w:type="dxa"/>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利润总额</w:t>
            </w:r>
          </w:p>
          <w:p>
            <w:pPr>
              <w:spacing w:line="360" w:lineRule="auto"/>
              <w:jc w:val="center"/>
              <w:rPr>
                <w:rFonts w:ascii="宋体" w:hAnsi="宋体" w:cs="宋体"/>
                <w:bCs/>
                <w:color w:val="auto"/>
                <w:szCs w:val="21"/>
              </w:rPr>
            </w:pPr>
            <w:r>
              <w:rPr>
                <w:rFonts w:hint="eastAsia" w:ascii="宋体" w:hAnsi="宋体" w:cs="宋体"/>
                <w:bCs/>
                <w:color w:val="auto"/>
                <w:szCs w:val="21"/>
              </w:rPr>
              <w:t>（万元）</w:t>
            </w:r>
          </w:p>
        </w:tc>
        <w:tc>
          <w:tcPr>
            <w:tcW w:w="1607" w:type="dxa"/>
            <w:vAlign w:val="center"/>
          </w:tcPr>
          <w:p>
            <w:pPr>
              <w:spacing w:line="360" w:lineRule="auto"/>
              <w:ind w:firstLine="210" w:firstLineChars="100"/>
              <w:jc w:val="center"/>
              <w:rPr>
                <w:rFonts w:ascii="宋体" w:hAnsi="宋体" w:cs="宋体"/>
                <w:bCs/>
                <w:color w:val="auto"/>
                <w:szCs w:val="21"/>
              </w:rPr>
            </w:pPr>
            <w:r>
              <w:rPr>
                <w:rFonts w:hint="eastAsia" w:ascii="宋体" w:hAnsi="宋体" w:cs="宋体"/>
                <w:bCs/>
                <w:color w:val="auto"/>
                <w:szCs w:val="21"/>
              </w:rPr>
              <w:t>净利润</w:t>
            </w:r>
          </w:p>
          <w:p>
            <w:pPr>
              <w:spacing w:line="360" w:lineRule="auto"/>
              <w:ind w:firstLine="210" w:firstLineChars="100"/>
              <w:jc w:val="center"/>
              <w:rPr>
                <w:rFonts w:ascii="宋体" w:hAnsi="宋体" w:cs="宋体"/>
                <w:bCs/>
                <w:color w:val="auto"/>
                <w:szCs w:val="21"/>
              </w:rPr>
            </w:pPr>
            <w:r>
              <w:rPr>
                <w:rFonts w:hint="eastAsia" w:ascii="宋体" w:hAnsi="宋体" w:cs="宋体"/>
                <w:bCs/>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728" w:type="dxa"/>
            <w:vMerge w:val="continue"/>
            <w:vAlign w:val="center"/>
          </w:tcPr>
          <w:p>
            <w:pPr>
              <w:spacing w:line="360" w:lineRule="auto"/>
              <w:jc w:val="center"/>
              <w:rPr>
                <w:rFonts w:ascii="宋体" w:hAnsi="宋体" w:cs="宋体"/>
                <w:bCs/>
                <w:color w:val="auto"/>
                <w:szCs w:val="21"/>
              </w:rPr>
            </w:pPr>
          </w:p>
        </w:tc>
        <w:tc>
          <w:tcPr>
            <w:tcW w:w="1380" w:type="dxa"/>
            <w:vAlign w:val="center"/>
          </w:tcPr>
          <w:p>
            <w:pPr>
              <w:spacing w:line="360" w:lineRule="auto"/>
              <w:jc w:val="center"/>
              <w:rPr>
                <w:rFonts w:ascii="宋体" w:hAnsi="宋体" w:cs="宋体"/>
                <w:bCs/>
                <w:color w:val="auto"/>
                <w:szCs w:val="21"/>
              </w:rPr>
            </w:pPr>
          </w:p>
        </w:tc>
        <w:tc>
          <w:tcPr>
            <w:tcW w:w="1549" w:type="dxa"/>
            <w:vAlign w:val="center"/>
          </w:tcPr>
          <w:p>
            <w:pPr>
              <w:spacing w:line="360" w:lineRule="auto"/>
              <w:jc w:val="center"/>
              <w:rPr>
                <w:rFonts w:ascii="宋体" w:hAnsi="宋体" w:cs="宋体"/>
                <w:bCs/>
                <w:color w:val="auto"/>
                <w:szCs w:val="21"/>
              </w:rPr>
            </w:pPr>
          </w:p>
        </w:tc>
        <w:tc>
          <w:tcPr>
            <w:tcW w:w="1549" w:type="dxa"/>
            <w:vAlign w:val="center"/>
          </w:tcPr>
          <w:p>
            <w:pPr>
              <w:spacing w:line="360" w:lineRule="auto"/>
              <w:jc w:val="center"/>
              <w:rPr>
                <w:rFonts w:ascii="宋体" w:hAnsi="宋体" w:cs="宋体"/>
                <w:bCs/>
                <w:color w:val="auto"/>
                <w:szCs w:val="21"/>
              </w:rPr>
            </w:pPr>
          </w:p>
        </w:tc>
        <w:tc>
          <w:tcPr>
            <w:tcW w:w="1583" w:type="dxa"/>
            <w:vAlign w:val="center"/>
          </w:tcPr>
          <w:p>
            <w:pPr>
              <w:spacing w:line="360" w:lineRule="auto"/>
              <w:jc w:val="center"/>
              <w:rPr>
                <w:rFonts w:ascii="宋体" w:hAnsi="宋体" w:cs="宋体"/>
                <w:bCs/>
                <w:color w:val="auto"/>
                <w:szCs w:val="21"/>
              </w:rPr>
            </w:pPr>
          </w:p>
        </w:tc>
        <w:tc>
          <w:tcPr>
            <w:tcW w:w="1607" w:type="dxa"/>
            <w:vAlign w:val="center"/>
          </w:tcPr>
          <w:p>
            <w:pPr>
              <w:spacing w:line="360" w:lineRule="auto"/>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728" w:type="dxa"/>
            <w:vMerge w:val="continue"/>
            <w:vAlign w:val="center"/>
          </w:tcPr>
          <w:p>
            <w:pPr>
              <w:spacing w:line="360" w:lineRule="auto"/>
              <w:jc w:val="center"/>
              <w:rPr>
                <w:rFonts w:ascii="宋体" w:hAnsi="宋体" w:cs="宋体"/>
                <w:bCs/>
                <w:color w:val="auto"/>
                <w:szCs w:val="21"/>
              </w:rPr>
            </w:pPr>
          </w:p>
        </w:tc>
        <w:tc>
          <w:tcPr>
            <w:tcW w:w="1380" w:type="dxa"/>
            <w:vAlign w:val="center"/>
          </w:tcPr>
          <w:p>
            <w:pPr>
              <w:spacing w:line="360" w:lineRule="auto"/>
              <w:jc w:val="center"/>
              <w:rPr>
                <w:rFonts w:ascii="宋体" w:hAnsi="宋体" w:cs="宋体"/>
                <w:bCs/>
                <w:color w:val="auto"/>
                <w:szCs w:val="21"/>
              </w:rPr>
            </w:pPr>
          </w:p>
        </w:tc>
        <w:tc>
          <w:tcPr>
            <w:tcW w:w="1549" w:type="dxa"/>
            <w:vAlign w:val="center"/>
          </w:tcPr>
          <w:p>
            <w:pPr>
              <w:spacing w:line="360" w:lineRule="auto"/>
              <w:jc w:val="center"/>
              <w:rPr>
                <w:rFonts w:ascii="宋体" w:hAnsi="宋体" w:cs="宋体"/>
                <w:bCs/>
                <w:color w:val="auto"/>
                <w:szCs w:val="21"/>
              </w:rPr>
            </w:pPr>
          </w:p>
        </w:tc>
        <w:tc>
          <w:tcPr>
            <w:tcW w:w="1549" w:type="dxa"/>
            <w:vAlign w:val="center"/>
          </w:tcPr>
          <w:p>
            <w:pPr>
              <w:spacing w:line="360" w:lineRule="auto"/>
              <w:jc w:val="center"/>
              <w:rPr>
                <w:rFonts w:ascii="宋体" w:hAnsi="宋体" w:cs="宋体"/>
                <w:bCs/>
                <w:color w:val="auto"/>
                <w:szCs w:val="21"/>
              </w:rPr>
            </w:pPr>
          </w:p>
        </w:tc>
        <w:tc>
          <w:tcPr>
            <w:tcW w:w="1583" w:type="dxa"/>
            <w:vAlign w:val="center"/>
          </w:tcPr>
          <w:p>
            <w:pPr>
              <w:spacing w:line="360" w:lineRule="auto"/>
              <w:jc w:val="center"/>
              <w:rPr>
                <w:rFonts w:ascii="宋体" w:hAnsi="宋体" w:cs="宋体"/>
                <w:bCs/>
                <w:color w:val="auto"/>
                <w:szCs w:val="21"/>
              </w:rPr>
            </w:pPr>
          </w:p>
        </w:tc>
        <w:tc>
          <w:tcPr>
            <w:tcW w:w="1607" w:type="dxa"/>
            <w:vAlign w:val="center"/>
          </w:tcPr>
          <w:p>
            <w:pPr>
              <w:spacing w:line="360" w:lineRule="auto"/>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728" w:type="dxa"/>
            <w:vMerge w:val="continue"/>
            <w:vAlign w:val="center"/>
          </w:tcPr>
          <w:p>
            <w:pPr>
              <w:spacing w:line="360" w:lineRule="auto"/>
              <w:jc w:val="center"/>
              <w:rPr>
                <w:rFonts w:ascii="宋体" w:hAnsi="宋体" w:cs="宋体"/>
                <w:bCs/>
                <w:color w:val="auto"/>
                <w:szCs w:val="21"/>
              </w:rPr>
            </w:pPr>
          </w:p>
        </w:tc>
        <w:tc>
          <w:tcPr>
            <w:tcW w:w="1380" w:type="dxa"/>
            <w:vAlign w:val="center"/>
          </w:tcPr>
          <w:p>
            <w:pPr>
              <w:spacing w:line="360" w:lineRule="auto"/>
              <w:jc w:val="center"/>
              <w:rPr>
                <w:rFonts w:ascii="宋体" w:hAnsi="宋体" w:cs="宋体"/>
                <w:bCs/>
                <w:color w:val="auto"/>
                <w:szCs w:val="21"/>
              </w:rPr>
            </w:pPr>
          </w:p>
        </w:tc>
        <w:tc>
          <w:tcPr>
            <w:tcW w:w="1549" w:type="dxa"/>
            <w:vAlign w:val="center"/>
          </w:tcPr>
          <w:p>
            <w:pPr>
              <w:spacing w:line="360" w:lineRule="auto"/>
              <w:jc w:val="center"/>
              <w:rPr>
                <w:rFonts w:ascii="宋体" w:hAnsi="宋体" w:cs="宋体"/>
                <w:bCs/>
                <w:color w:val="auto"/>
                <w:szCs w:val="21"/>
              </w:rPr>
            </w:pPr>
          </w:p>
        </w:tc>
        <w:tc>
          <w:tcPr>
            <w:tcW w:w="1549" w:type="dxa"/>
            <w:vAlign w:val="center"/>
          </w:tcPr>
          <w:p>
            <w:pPr>
              <w:spacing w:line="360" w:lineRule="auto"/>
              <w:jc w:val="center"/>
              <w:rPr>
                <w:rFonts w:ascii="宋体" w:hAnsi="宋体" w:cs="宋体"/>
                <w:bCs/>
                <w:color w:val="auto"/>
                <w:szCs w:val="21"/>
              </w:rPr>
            </w:pPr>
          </w:p>
        </w:tc>
        <w:tc>
          <w:tcPr>
            <w:tcW w:w="1583" w:type="dxa"/>
            <w:vAlign w:val="center"/>
          </w:tcPr>
          <w:p>
            <w:pPr>
              <w:spacing w:line="360" w:lineRule="auto"/>
              <w:jc w:val="center"/>
              <w:rPr>
                <w:rFonts w:ascii="宋体" w:hAnsi="宋体" w:cs="宋体"/>
                <w:bCs/>
                <w:color w:val="auto"/>
                <w:szCs w:val="21"/>
              </w:rPr>
            </w:pPr>
          </w:p>
        </w:tc>
        <w:tc>
          <w:tcPr>
            <w:tcW w:w="1607" w:type="dxa"/>
            <w:vAlign w:val="center"/>
          </w:tcPr>
          <w:p>
            <w:pPr>
              <w:spacing w:line="360" w:lineRule="auto"/>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728" w:type="dxa"/>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经营范围</w:t>
            </w:r>
          </w:p>
        </w:tc>
        <w:tc>
          <w:tcPr>
            <w:tcW w:w="7668" w:type="dxa"/>
            <w:gridSpan w:val="5"/>
            <w:vAlign w:val="center"/>
          </w:tcPr>
          <w:p>
            <w:pPr>
              <w:spacing w:line="360" w:lineRule="auto"/>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728" w:type="dxa"/>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备注</w:t>
            </w:r>
          </w:p>
        </w:tc>
        <w:tc>
          <w:tcPr>
            <w:tcW w:w="7668" w:type="dxa"/>
            <w:gridSpan w:val="5"/>
            <w:vAlign w:val="center"/>
          </w:tcPr>
          <w:p>
            <w:pPr>
              <w:spacing w:line="360" w:lineRule="auto"/>
              <w:jc w:val="center"/>
              <w:rPr>
                <w:rFonts w:ascii="宋体" w:hAnsi="宋体" w:cs="宋体"/>
                <w:bCs/>
                <w:color w:val="auto"/>
                <w:szCs w:val="21"/>
              </w:rPr>
            </w:pPr>
          </w:p>
        </w:tc>
      </w:tr>
    </w:tbl>
    <w:p>
      <w:pPr>
        <w:spacing w:line="480" w:lineRule="auto"/>
        <w:ind w:firstLine="420" w:firstLineChars="200"/>
        <w:rPr>
          <w:rFonts w:ascii="宋体" w:hAnsi="宋体" w:cs="宋体"/>
          <w:bCs/>
          <w:color w:val="auto"/>
          <w:szCs w:val="21"/>
        </w:rPr>
      </w:pPr>
      <w:r>
        <w:rPr>
          <w:rFonts w:hint="eastAsia" w:ascii="宋体" w:hAnsi="宋体" w:cs="宋体"/>
          <w:bCs/>
          <w:color w:val="auto"/>
          <w:szCs w:val="21"/>
        </w:rPr>
        <w:t>我们保证上述声明中的资料和数据是真实的、正确的，我们同意如贵方要求，可以出示相关证明文件。</w:t>
      </w:r>
    </w:p>
    <w:p>
      <w:pPr>
        <w:spacing w:line="480" w:lineRule="auto"/>
        <w:ind w:firstLine="420" w:firstLineChars="200"/>
        <w:rPr>
          <w:rFonts w:ascii="宋体" w:hAnsi="宋体" w:cs="宋体"/>
          <w:color w:val="auto"/>
        </w:rPr>
      </w:pPr>
      <w:r>
        <w:rPr>
          <w:rFonts w:hint="eastAsia" w:ascii="宋体" w:hAnsi="宋体" w:cs="宋体"/>
          <w:bCs/>
          <w:color w:val="auto"/>
          <w:szCs w:val="21"/>
        </w:rPr>
        <w:t>供应商（盖章）：</w:t>
      </w:r>
    </w:p>
    <w:p>
      <w:pPr>
        <w:spacing w:line="480" w:lineRule="auto"/>
        <w:ind w:firstLine="420" w:firstLineChars="200"/>
        <w:rPr>
          <w:rFonts w:ascii="宋体" w:hAnsi="宋体" w:cs="宋体"/>
          <w:bCs/>
          <w:color w:val="auto"/>
          <w:szCs w:val="21"/>
        </w:rPr>
      </w:pPr>
      <w:r>
        <w:rPr>
          <w:rFonts w:hint="eastAsia" w:ascii="宋体" w:hAnsi="宋体" w:cs="宋体"/>
          <w:bCs/>
          <w:color w:val="auto"/>
        </w:rPr>
        <w:t>法定代表人或委托代理人（签字或盖章）</w:t>
      </w:r>
      <w:r>
        <w:rPr>
          <w:rFonts w:hint="eastAsia" w:ascii="宋体" w:hAnsi="宋体" w:cs="宋体"/>
          <w:bCs/>
          <w:color w:val="auto"/>
          <w:szCs w:val="21"/>
        </w:rPr>
        <w:t>：</w:t>
      </w:r>
    </w:p>
    <w:p>
      <w:pPr>
        <w:spacing w:line="480" w:lineRule="auto"/>
        <w:ind w:firstLine="420" w:firstLineChars="200"/>
        <w:rPr>
          <w:rFonts w:ascii="宋体" w:hAnsi="宋体" w:cs="宋体"/>
          <w:bCs/>
          <w:color w:val="auto"/>
          <w:szCs w:val="21"/>
        </w:rPr>
      </w:pPr>
      <w:r>
        <w:rPr>
          <w:rFonts w:hint="eastAsia" w:ascii="宋体" w:hAnsi="宋体" w:cs="宋体"/>
          <w:bCs/>
          <w:color w:val="auto"/>
          <w:szCs w:val="21"/>
        </w:rPr>
        <w:t>电话号和传真号：</w:t>
      </w:r>
    </w:p>
    <w:p>
      <w:pPr>
        <w:pStyle w:val="13"/>
        <w:spacing w:line="360" w:lineRule="auto"/>
        <w:rPr>
          <w:rFonts w:hAnsi="宋体" w:cs="宋体"/>
          <w:color w:val="auto"/>
          <w:sz w:val="24"/>
          <w:szCs w:val="24"/>
        </w:rPr>
        <w:sectPr>
          <w:footerReference r:id="rId8" w:type="default"/>
          <w:pgSz w:w="11907" w:h="16840"/>
          <w:pgMar w:top="1440" w:right="1077" w:bottom="1440" w:left="1077" w:header="964" w:footer="992" w:gutter="0"/>
          <w:cols w:space="720" w:num="1"/>
          <w:docGrid w:linePitch="354" w:charSpace="0"/>
        </w:sectPr>
      </w:pPr>
    </w:p>
    <w:p>
      <w:pPr>
        <w:spacing w:line="360" w:lineRule="auto"/>
        <w:ind w:left="812" w:hanging="812" w:hangingChars="337"/>
        <w:jc w:val="center"/>
        <w:rPr>
          <w:rFonts w:ascii="宋体" w:hAnsi="宋体" w:cs="宋体"/>
          <w:bCs/>
          <w:color w:val="auto"/>
          <w:sz w:val="32"/>
          <w:szCs w:val="32"/>
        </w:rPr>
      </w:pPr>
      <w:r>
        <w:rPr>
          <w:rFonts w:hint="eastAsia" w:ascii="宋体" w:hAnsi="宋体" w:cs="宋体"/>
          <w:b/>
          <w:bCs/>
          <w:color w:val="auto"/>
          <w:sz w:val="24"/>
        </w:rPr>
        <w:t xml:space="preserve">格式4 </w:t>
      </w:r>
      <w:r>
        <w:rPr>
          <w:rFonts w:hint="eastAsia" w:ascii="宋体" w:hAnsi="宋体" w:cs="宋体"/>
          <w:b/>
          <w:color w:val="auto"/>
          <w:sz w:val="24"/>
        </w:rPr>
        <w:t>项目负责人简历表</w:t>
      </w:r>
    </w:p>
    <w:tbl>
      <w:tblPr>
        <w:tblStyle w:val="27"/>
        <w:tblpPr w:leftFromText="180" w:rightFromText="180" w:vertAnchor="text" w:horzAnchor="page" w:tblpX="1170" w:tblpY="399"/>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486"/>
        <w:gridCol w:w="1493"/>
        <w:gridCol w:w="995"/>
        <w:gridCol w:w="492"/>
        <w:gridCol w:w="1646"/>
        <w:gridCol w:w="1432"/>
        <w:gridCol w:w="308"/>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5" w:hRule="atLeast"/>
        </w:trPr>
        <w:tc>
          <w:tcPr>
            <w:tcW w:w="9520" w:type="dxa"/>
            <w:gridSpan w:val="8"/>
            <w:tcMar>
              <w:top w:w="0" w:type="dxa"/>
              <w:left w:w="108" w:type="dxa"/>
              <w:bottom w:w="0" w:type="dxa"/>
              <w:right w:w="108" w:type="dxa"/>
            </w:tcMar>
          </w:tcPr>
          <w:p>
            <w:pPr>
              <w:spacing w:line="400" w:lineRule="exact"/>
              <w:jc w:val="center"/>
              <w:rPr>
                <w:rFonts w:ascii="宋体" w:hAnsi="宋体" w:cs="华文仿宋"/>
                <w:b/>
                <w:color w:val="auto"/>
                <w:sz w:val="24"/>
              </w:rPr>
            </w:pPr>
            <w:r>
              <w:rPr>
                <w:rFonts w:hint="eastAsia" w:ascii="宋体" w:hAnsi="宋体" w:cs="华文仿宋"/>
                <w:b/>
                <w:color w:val="auto"/>
                <w:sz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5" w:hRule="atLeast"/>
        </w:trPr>
        <w:tc>
          <w:tcPr>
            <w:tcW w:w="1486" w:type="dxa"/>
            <w:tcMar>
              <w:top w:w="0" w:type="dxa"/>
              <w:left w:w="108" w:type="dxa"/>
              <w:bottom w:w="0" w:type="dxa"/>
              <w:right w:w="108" w:type="dxa"/>
            </w:tcMar>
          </w:tcPr>
          <w:p>
            <w:pPr>
              <w:spacing w:line="400" w:lineRule="exact"/>
              <w:rPr>
                <w:rFonts w:ascii="宋体" w:hAnsi="宋体" w:cs="华文仿宋"/>
                <w:b/>
                <w:color w:val="auto"/>
                <w:sz w:val="24"/>
              </w:rPr>
            </w:pPr>
            <w:r>
              <w:rPr>
                <w:rFonts w:hint="eastAsia" w:ascii="宋体" w:hAnsi="宋体" w:cs="华文仿宋"/>
                <w:b/>
                <w:color w:val="auto"/>
                <w:sz w:val="24"/>
              </w:rPr>
              <w:t>姓名</w:t>
            </w:r>
          </w:p>
        </w:tc>
        <w:tc>
          <w:tcPr>
            <w:tcW w:w="1493" w:type="dxa"/>
            <w:tcMar>
              <w:top w:w="0" w:type="dxa"/>
              <w:left w:w="108" w:type="dxa"/>
              <w:bottom w:w="0" w:type="dxa"/>
              <w:right w:w="108" w:type="dxa"/>
            </w:tcMar>
          </w:tcPr>
          <w:p>
            <w:pPr>
              <w:spacing w:line="400" w:lineRule="exact"/>
              <w:rPr>
                <w:rFonts w:ascii="宋体" w:hAnsi="宋体" w:cs="华文仿宋"/>
                <w:color w:val="auto"/>
                <w:sz w:val="24"/>
              </w:rPr>
            </w:pPr>
          </w:p>
        </w:tc>
        <w:tc>
          <w:tcPr>
            <w:tcW w:w="1487" w:type="dxa"/>
            <w:gridSpan w:val="2"/>
            <w:tcMar>
              <w:top w:w="0" w:type="dxa"/>
              <w:left w:w="108" w:type="dxa"/>
              <w:bottom w:w="0" w:type="dxa"/>
              <w:right w:w="108" w:type="dxa"/>
            </w:tcMar>
          </w:tcPr>
          <w:p>
            <w:pPr>
              <w:spacing w:line="400" w:lineRule="exact"/>
              <w:rPr>
                <w:rFonts w:ascii="宋体" w:hAnsi="宋体" w:cs="华文仿宋"/>
                <w:b/>
                <w:color w:val="auto"/>
                <w:sz w:val="24"/>
              </w:rPr>
            </w:pPr>
            <w:r>
              <w:rPr>
                <w:rFonts w:hint="eastAsia" w:ascii="宋体" w:hAnsi="宋体" w:cs="华文仿宋"/>
                <w:b/>
                <w:color w:val="auto"/>
                <w:sz w:val="24"/>
              </w:rPr>
              <w:t>性别</w:t>
            </w:r>
          </w:p>
        </w:tc>
        <w:tc>
          <w:tcPr>
            <w:tcW w:w="1646" w:type="dxa"/>
            <w:tcMar>
              <w:top w:w="0" w:type="dxa"/>
              <w:left w:w="108" w:type="dxa"/>
              <w:bottom w:w="0" w:type="dxa"/>
              <w:right w:w="108" w:type="dxa"/>
            </w:tcMar>
          </w:tcPr>
          <w:p>
            <w:pPr>
              <w:spacing w:line="400" w:lineRule="exact"/>
              <w:rPr>
                <w:rFonts w:ascii="宋体" w:hAnsi="宋体" w:cs="华文仿宋"/>
                <w:color w:val="auto"/>
                <w:sz w:val="24"/>
              </w:rPr>
            </w:pPr>
          </w:p>
        </w:tc>
        <w:tc>
          <w:tcPr>
            <w:tcW w:w="1432" w:type="dxa"/>
            <w:tcMar>
              <w:top w:w="0" w:type="dxa"/>
              <w:left w:w="108" w:type="dxa"/>
              <w:bottom w:w="0" w:type="dxa"/>
              <w:right w:w="108" w:type="dxa"/>
            </w:tcMar>
          </w:tcPr>
          <w:p>
            <w:pPr>
              <w:spacing w:line="400" w:lineRule="exact"/>
              <w:rPr>
                <w:rFonts w:ascii="宋体" w:hAnsi="宋体" w:cs="华文仿宋"/>
                <w:b/>
                <w:color w:val="auto"/>
                <w:sz w:val="24"/>
              </w:rPr>
            </w:pPr>
            <w:r>
              <w:rPr>
                <w:rFonts w:hint="eastAsia" w:ascii="宋体" w:hAnsi="宋体" w:cs="华文仿宋"/>
                <w:b/>
                <w:color w:val="auto"/>
                <w:sz w:val="24"/>
              </w:rPr>
              <w:t>年龄</w:t>
            </w:r>
          </w:p>
        </w:tc>
        <w:tc>
          <w:tcPr>
            <w:tcW w:w="1976" w:type="dxa"/>
            <w:gridSpan w:val="2"/>
            <w:tcMar>
              <w:top w:w="0" w:type="dxa"/>
              <w:left w:w="108" w:type="dxa"/>
              <w:bottom w:w="0" w:type="dxa"/>
              <w:right w:w="108" w:type="dxa"/>
            </w:tcMar>
          </w:tcPr>
          <w:p>
            <w:pPr>
              <w:spacing w:line="400" w:lineRule="exact"/>
              <w:rPr>
                <w:rFonts w:ascii="宋体" w:hAnsi="宋体"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5" w:hRule="atLeast"/>
        </w:trPr>
        <w:tc>
          <w:tcPr>
            <w:tcW w:w="1486" w:type="dxa"/>
            <w:tcMar>
              <w:top w:w="0" w:type="dxa"/>
              <w:left w:w="108" w:type="dxa"/>
              <w:bottom w:w="0" w:type="dxa"/>
              <w:right w:w="108" w:type="dxa"/>
            </w:tcMar>
          </w:tcPr>
          <w:p>
            <w:pPr>
              <w:spacing w:line="400" w:lineRule="exact"/>
              <w:rPr>
                <w:rFonts w:ascii="宋体" w:hAnsi="宋体" w:cs="华文仿宋"/>
                <w:b/>
                <w:color w:val="auto"/>
                <w:sz w:val="24"/>
              </w:rPr>
            </w:pPr>
            <w:r>
              <w:rPr>
                <w:rFonts w:hint="eastAsia" w:ascii="宋体" w:hAnsi="宋体" w:cs="华文仿宋"/>
                <w:b/>
                <w:color w:val="auto"/>
                <w:sz w:val="24"/>
              </w:rPr>
              <w:t>职务</w:t>
            </w:r>
          </w:p>
        </w:tc>
        <w:tc>
          <w:tcPr>
            <w:tcW w:w="1493" w:type="dxa"/>
            <w:tcMar>
              <w:top w:w="0" w:type="dxa"/>
              <w:left w:w="108" w:type="dxa"/>
              <w:bottom w:w="0" w:type="dxa"/>
              <w:right w:w="108" w:type="dxa"/>
            </w:tcMar>
          </w:tcPr>
          <w:p>
            <w:pPr>
              <w:spacing w:line="400" w:lineRule="exact"/>
              <w:rPr>
                <w:rFonts w:ascii="宋体" w:hAnsi="宋体" w:cs="华文仿宋"/>
                <w:color w:val="auto"/>
                <w:sz w:val="24"/>
              </w:rPr>
            </w:pPr>
          </w:p>
        </w:tc>
        <w:tc>
          <w:tcPr>
            <w:tcW w:w="1487" w:type="dxa"/>
            <w:gridSpan w:val="2"/>
            <w:tcMar>
              <w:top w:w="0" w:type="dxa"/>
              <w:left w:w="108" w:type="dxa"/>
              <w:bottom w:w="0" w:type="dxa"/>
              <w:right w:w="108" w:type="dxa"/>
            </w:tcMar>
          </w:tcPr>
          <w:p>
            <w:pPr>
              <w:spacing w:line="400" w:lineRule="exact"/>
              <w:rPr>
                <w:rFonts w:ascii="宋体" w:hAnsi="宋体" w:cs="华文仿宋"/>
                <w:b/>
                <w:color w:val="auto"/>
                <w:sz w:val="24"/>
              </w:rPr>
            </w:pPr>
            <w:r>
              <w:rPr>
                <w:rFonts w:hint="eastAsia" w:ascii="宋体" w:hAnsi="宋体" w:cs="华文仿宋"/>
                <w:b/>
                <w:color w:val="auto"/>
                <w:sz w:val="24"/>
              </w:rPr>
              <w:t>职称</w:t>
            </w:r>
          </w:p>
        </w:tc>
        <w:tc>
          <w:tcPr>
            <w:tcW w:w="1646" w:type="dxa"/>
            <w:tcMar>
              <w:top w:w="0" w:type="dxa"/>
              <w:left w:w="108" w:type="dxa"/>
              <w:bottom w:w="0" w:type="dxa"/>
              <w:right w:w="108" w:type="dxa"/>
            </w:tcMar>
          </w:tcPr>
          <w:p>
            <w:pPr>
              <w:spacing w:line="400" w:lineRule="exact"/>
              <w:rPr>
                <w:rFonts w:ascii="宋体" w:hAnsi="宋体" w:cs="华文仿宋"/>
                <w:color w:val="auto"/>
                <w:sz w:val="24"/>
              </w:rPr>
            </w:pPr>
          </w:p>
        </w:tc>
        <w:tc>
          <w:tcPr>
            <w:tcW w:w="1432" w:type="dxa"/>
            <w:tcMar>
              <w:top w:w="0" w:type="dxa"/>
              <w:left w:w="108" w:type="dxa"/>
              <w:bottom w:w="0" w:type="dxa"/>
              <w:right w:w="108" w:type="dxa"/>
            </w:tcMar>
          </w:tcPr>
          <w:p>
            <w:pPr>
              <w:spacing w:line="400" w:lineRule="exact"/>
              <w:rPr>
                <w:rFonts w:ascii="宋体" w:hAnsi="宋体" w:cs="华文仿宋"/>
                <w:b/>
                <w:color w:val="auto"/>
                <w:sz w:val="24"/>
              </w:rPr>
            </w:pPr>
            <w:r>
              <w:rPr>
                <w:rFonts w:hint="eastAsia" w:ascii="宋体" w:hAnsi="宋体" w:cs="华文仿宋"/>
                <w:b/>
                <w:color w:val="auto"/>
                <w:sz w:val="24"/>
              </w:rPr>
              <w:t>学历</w:t>
            </w:r>
          </w:p>
        </w:tc>
        <w:tc>
          <w:tcPr>
            <w:tcW w:w="1976" w:type="dxa"/>
            <w:gridSpan w:val="2"/>
            <w:tcMar>
              <w:top w:w="0" w:type="dxa"/>
              <w:left w:w="108" w:type="dxa"/>
              <w:bottom w:w="0" w:type="dxa"/>
              <w:right w:w="108" w:type="dxa"/>
            </w:tcMar>
          </w:tcPr>
          <w:p>
            <w:pPr>
              <w:spacing w:line="400" w:lineRule="exact"/>
              <w:rPr>
                <w:rFonts w:ascii="宋体" w:hAnsi="宋体"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5" w:hRule="atLeast"/>
        </w:trPr>
        <w:tc>
          <w:tcPr>
            <w:tcW w:w="2979" w:type="dxa"/>
            <w:gridSpan w:val="2"/>
            <w:tcMar>
              <w:top w:w="0" w:type="dxa"/>
              <w:left w:w="108" w:type="dxa"/>
              <w:bottom w:w="0" w:type="dxa"/>
              <w:right w:w="108" w:type="dxa"/>
            </w:tcMar>
          </w:tcPr>
          <w:p>
            <w:pPr>
              <w:spacing w:line="400" w:lineRule="exact"/>
              <w:ind w:firstLine="482"/>
              <w:rPr>
                <w:rFonts w:ascii="宋体" w:hAnsi="宋体" w:cs="华文仿宋"/>
                <w:b/>
                <w:color w:val="auto"/>
                <w:sz w:val="24"/>
              </w:rPr>
            </w:pPr>
            <w:r>
              <w:rPr>
                <w:rFonts w:hint="eastAsia" w:ascii="宋体" w:hAnsi="宋体" w:cs="华文仿宋"/>
                <w:b/>
                <w:color w:val="auto"/>
                <w:sz w:val="24"/>
              </w:rPr>
              <w:t>参加工作时间</w:t>
            </w:r>
          </w:p>
        </w:tc>
        <w:tc>
          <w:tcPr>
            <w:tcW w:w="1487" w:type="dxa"/>
            <w:gridSpan w:val="2"/>
            <w:tcMar>
              <w:top w:w="0" w:type="dxa"/>
              <w:left w:w="108" w:type="dxa"/>
              <w:bottom w:w="0" w:type="dxa"/>
              <w:right w:w="108" w:type="dxa"/>
            </w:tcMar>
          </w:tcPr>
          <w:p>
            <w:pPr>
              <w:spacing w:line="400" w:lineRule="exact"/>
              <w:rPr>
                <w:rFonts w:ascii="宋体" w:hAnsi="宋体" w:cs="华文仿宋"/>
                <w:color w:val="auto"/>
                <w:sz w:val="24"/>
              </w:rPr>
            </w:pPr>
          </w:p>
        </w:tc>
        <w:tc>
          <w:tcPr>
            <w:tcW w:w="3078" w:type="dxa"/>
            <w:gridSpan w:val="2"/>
            <w:tcMar>
              <w:top w:w="0" w:type="dxa"/>
              <w:left w:w="108" w:type="dxa"/>
              <w:bottom w:w="0" w:type="dxa"/>
              <w:right w:w="108" w:type="dxa"/>
            </w:tcMar>
          </w:tcPr>
          <w:p>
            <w:pPr>
              <w:spacing w:line="400" w:lineRule="exact"/>
              <w:rPr>
                <w:rFonts w:ascii="宋体" w:hAnsi="宋体" w:cs="华文仿宋"/>
                <w:b/>
                <w:color w:val="auto"/>
                <w:sz w:val="24"/>
              </w:rPr>
            </w:pPr>
            <w:r>
              <w:rPr>
                <w:rFonts w:hint="eastAsia" w:ascii="宋体" w:hAnsi="宋体" w:cs="华文仿宋"/>
                <w:b/>
                <w:color w:val="auto"/>
                <w:sz w:val="24"/>
              </w:rPr>
              <w:t>从事年限</w:t>
            </w:r>
          </w:p>
        </w:tc>
        <w:tc>
          <w:tcPr>
            <w:tcW w:w="1976" w:type="dxa"/>
            <w:gridSpan w:val="2"/>
            <w:tcMar>
              <w:top w:w="0" w:type="dxa"/>
              <w:left w:w="108" w:type="dxa"/>
              <w:bottom w:w="0" w:type="dxa"/>
              <w:right w:w="108" w:type="dxa"/>
            </w:tcMar>
          </w:tcPr>
          <w:p>
            <w:pPr>
              <w:spacing w:line="400" w:lineRule="exact"/>
              <w:rPr>
                <w:rFonts w:ascii="宋体" w:hAnsi="宋体"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5" w:hRule="atLeast"/>
        </w:trPr>
        <w:tc>
          <w:tcPr>
            <w:tcW w:w="9520" w:type="dxa"/>
            <w:gridSpan w:val="8"/>
            <w:tcMar>
              <w:top w:w="0" w:type="dxa"/>
              <w:left w:w="108" w:type="dxa"/>
              <w:bottom w:w="0" w:type="dxa"/>
              <w:right w:w="108" w:type="dxa"/>
            </w:tcMar>
          </w:tcPr>
          <w:p>
            <w:pPr>
              <w:spacing w:line="400" w:lineRule="exact"/>
              <w:rPr>
                <w:rFonts w:ascii="宋体" w:hAnsi="宋体" w:cs="华文仿宋"/>
                <w:b/>
                <w:color w:val="auto"/>
                <w:sz w:val="24"/>
              </w:rPr>
            </w:pPr>
            <w:r>
              <w:rPr>
                <w:rFonts w:hint="eastAsia" w:ascii="宋体" w:hAnsi="宋体" w:cs="华文仿宋"/>
                <w:b/>
                <w:color w:val="auto"/>
                <w:sz w:val="24"/>
              </w:rPr>
              <w:t>近三年承担同类或相近项目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5" w:hRule="atLeast"/>
        </w:trPr>
        <w:tc>
          <w:tcPr>
            <w:tcW w:w="1486" w:type="dxa"/>
            <w:tcMar>
              <w:top w:w="0" w:type="dxa"/>
              <w:left w:w="108" w:type="dxa"/>
              <w:bottom w:w="0" w:type="dxa"/>
              <w:right w:w="108" w:type="dxa"/>
            </w:tcMar>
          </w:tcPr>
          <w:p>
            <w:pPr>
              <w:spacing w:line="400" w:lineRule="exact"/>
              <w:rPr>
                <w:rFonts w:ascii="宋体" w:hAnsi="宋体" w:cs="华文仿宋"/>
                <w:b/>
                <w:color w:val="auto"/>
                <w:sz w:val="24"/>
              </w:rPr>
            </w:pPr>
            <w:r>
              <w:rPr>
                <w:rFonts w:hint="eastAsia" w:ascii="宋体" w:hAnsi="宋体" w:cs="华文仿宋"/>
                <w:b/>
                <w:color w:val="auto"/>
                <w:sz w:val="24"/>
              </w:rPr>
              <w:t>年份</w:t>
            </w:r>
          </w:p>
        </w:tc>
        <w:tc>
          <w:tcPr>
            <w:tcW w:w="2488" w:type="dxa"/>
            <w:gridSpan w:val="2"/>
            <w:tcMar>
              <w:top w:w="0" w:type="dxa"/>
              <w:left w:w="108" w:type="dxa"/>
              <w:bottom w:w="0" w:type="dxa"/>
              <w:right w:w="108" w:type="dxa"/>
            </w:tcMar>
          </w:tcPr>
          <w:p>
            <w:pPr>
              <w:spacing w:line="400" w:lineRule="exact"/>
              <w:rPr>
                <w:rFonts w:ascii="宋体" w:hAnsi="宋体" w:cs="华文仿宋"/>
                <w:b/>
                <w:color w:val="auto"/>
                <w:sz w:val="24"/>
              </w:rPr>
            </w:pPr>
            <w:r>
              <w:rPr>
                <w:rFonts w:hint="eastAsia" w:ascii="宋体" w:hAnsi="宋体" w:cs="华文仿宋"/>
                <w:b/>
                <w:color w:val="auto"/>
                <w:sz w:val="24"/>
              </w:rPr>
              <w:t>项目名称</w:t>
            </w:r>
          </w:p>
        </w:tc>
        <w:tc>
          <w:tcPr>
            <w:tcW w:w="2138" w:type="dxa"/>
            <w:gridSpan w:val="2"/>
            <w:tcMar>
              <w:top w:w="0" w:type="dxa"/>
              <w:left w:w="108" w:type="dxa"/>
              <w:bottom w:w="0" w:type="dxa"/>
              <w:right w:w="108" w:type="dxa"/>
            </w:tcMar>
            <w:vAlign w:val="center"/>
          </w:tcPr>
          <w:p>
            <w:pPr>
              <w:spacing w:line="360" w:lineRule="auto"/>
              <w:rPr>
                <w:rFonts w:ascii="宋体" w:hAnsi="宋体" w:cs="华文仿宋"/>
                <w:b/>
                <w:color w:val="auto"/>
                <w:sz w:val="24"/>
              </w:rPr>
            </w:pPr>
            <w:r>
              <w:rPr>
                <w:rFonts w:hint="eastAsia" w:ascii="宋体" w:hAnsi="宋体" w:cs="宋体"/>
                <w:b/>
                <w:color w:val="auto"/>
                <w:sz w:val="24"/>
              </w:rPr>
              <w:t>用户名称</w:t>
            </w:r>
          </w:p>
        </w:tc>
        <w:tc>
          <w:tcPr>
            <w:tcW w:w="1740" w:type="dxa"/>
            <w:gridSpan w:val="2"/>
            <w:tcMar>
              <w:top w:w="0" w:type="dxa"/>
              <w:left w:w="108" w:type="dxa"/>
              <w:bottom w:w="0" w:type="dxa"/>
              <w:right w:w="108" w:type="dxa"/>
            </w:tcMar>
            <w:vAlign w:val="center"/>
          </w:tcPr>
          <w:p>
            <w:pPr>
              <w:spacing w:line="360" w:lineRule="auto"/>
              <w:rPr>
                <w:rFonts w:ascii="宋体" w:hAnsi="宋体" w:cs="华文仿宋"/>
                <w:b/>
                <w:color w:val="auto"/>
                <w:sz w:val="24"/>
              </w:rPr>
            </w:pPr>
            <w:r>
              <w:rPr>
                <w:rFonts w:hint="eastAsia" w:ascii="宋体" w:hAnsi="宋体" w:cs="宋体"/>
                <w:b/>
                <w:color w:val="auto"/>
                <w:sz w:val="24"/>
              </w:rPr>
              <w:t>完成时间</w:t>
            </w:r>
          </w:p>
        </w:tc>
        <w:tc>
          <w:tcPr>
            <w:tcW w:w="1668" w:type="dxa"/>
            <w:tcMar>
              <w:top w:w="0" w:type="dxa"/>
              <w:left w:w="108" w:type="dxa"/>
              <w:bottom w:w="0" w:type="dxa"/>
              <w:right w:w="108" w:type="dxa"/>
            </w:tcMar>
            <w:vAlign w:val="center"/>
          </w:tcPr>
          <w:p>
            <w:pPr>
              <w:spacing w:line="360" w:lineRule="auto"/>
              <w:rPr>
                <w:rFonts w:ascii="宋体" w:hAnsi="宋体" w:cs="华文仿宋"/>
                <w:b/>
                <w:color w:val="auto"/>
                <w:sz w:val="24"/>
              </w:rPr>
            </w:pPr>
            <w:r>
              <w:rPr>
                <w:rFonts w:hint="eastAsia" w:ascii="宋体" w:hAnsi="宋体" w:cs="宋体"/>
                <w:b/>
                <w:color w:val="auto"/>
                <w:sz w:val="24"/>
              </w:rPr>
              <w:t>完成项目质量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5" w:hRule="atLeast"/>
        </w:trPr>
        <w:tc>
          <w:tcPr>
            <w:tcW w:w="1486" w:type="dxa"/>
            <w:tcMar>
              <w:top w:w="0" w:type="dxa"/>
              <w:left w:w="108" w:type="dxa"/>
              <w:bottom w:w="0" w:type="dxa"/>
              <w:right w:w="108" w:type="dxa"/>
            </w:tcMar>
            <w:vAlign w:val="center"/>
          </w:tcPr>
          <w:p>
            <w:pPr>
              <w:spacing w:line="400" w:lineRule="exact"/>
              <w:rPr>
                <w:rFonts w:ascii="宋体" w:hAnsi="宋体" w:cs="华文仿宋"/>
                <w:color w:val="auto"/>
                <w:sz w:val="24"/>
              </w:rPr>
            </w:pPr>
          </w:p>
        </w:tc>
        <w:tc>
          <w:tcPr>
            <w:tcW w:w="2488" w:type="dxa"/>
            <w:gridSpan w:val="2"/>
            <w:tcMar>
              <w:top w:w="0" w:type="dxa"/>
              <w:left w:w="108" w:type="dxa"/>
              <w:bottom w:w="0" w:type="dxa"/>
              <w:right w:w="108" w:type="dxa"/>
            </w:tcMar>
            <w:vAlign w:val="center"/>
          </w:tcPr>
          <w:p>
            <w:pPr>
              <w:spacing w:line="400" w:lineRule="exact"/>
              <w:rPr>
                <w:rFonts w:ascii="宋体" w:hAnsi="宋体" w:cs="华文仿宋"/>
                <w:color w:val="auto"/>
                <w:sz w:val="24"/>
              </w:rPr>
            </w:pPr>
          </w:p>
        </w:tc>
        <w:tc>
          <w:tcPr>
            <w:tcW w:w="2138" w:type="dxa"/>
            <w:gridSpan w:val="2"/>
            <w:tcMar>
              <w:top w:w="0" w:type="dxa"/>
              <w:left w:w="108" w:type="dxa"/>
              <w:bottom w:w="0" w:type="dxa"/>
              <w:right w:w="108" w:type="dxa"/>
            </w:tcMar>
            <w:vAlign w:val="center"/>
          </w:tcPr>
          <w:p>
            <w:pPr>
              <w:spacing w:line="400" w:lineRule="exact"/>
              <w:rPr>
                <w:rFonts w:ascii="宋体" w:hAnsi="宋体" w:cs="华文仿宋"/>
                <w:color w:val="auto"/>
                <w:sz w:val="24"/>
              </w:rPr>
            </w:pPr>
          </w:p>
        </w:tc>
        <w:tc>
          <w:tcPr>
            <w:tcW w:w="1740" w:type="dxa"/>
            <w:gridSpan w:val="2"/>
            <w:tcMar>
              <w:top w:w="0" w:type="dxa"/>
              <w:left w:w="108" w:type="dxa"/>
              <w:bottom w:w="0" w:type="dxa"/>
              <w:right w:w="108" w:type="dxa"/>
            </w:tcMar>
            <w:vAlign w:val="center"/>
          </w:tcPr>
          <w:p>
            <w:pPr>
              <w:spacing w:line="400" w:lineRule="exact"/>
              <w:rPr>
                <w:rFonts w:ascii="宋体" w:hAnsi="宋体" w:cs="华文仿宋"/>
                <w:color w:val="auto"/>
                <w:sz w:val="24"/>
              </w:rPr>
            </w:pPr>
          </w:p>
        </w:tc>
        <w:tc>
          <w:tcPr>
            <w:tcW w:w="1668" w:type="dxa"/>
            <w:tcMar>
              <w:top w:w="0" w:type="dxa"/>
              <w:left w:w="108" w:type="dxa"/>
              <w:bottom w:w="0" w:type="dxa"/>
              <w:right w:w="108" w:type="dxa"/>
            </w:tcMar>
            <w:vAlign w:val="center"/>
          </w:tcPr>
          <w:p>
            <w:pPr>
              <w:spacing w:line="400" w:lineRule="exact"/>
              <w:rPr>
                <w:rFonts w:ascii="宋体" w:hAnsi="宋体"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5" w:hRule="atLeast"/>
        </w:trPr>
        <w:tc>
          <w:tcPr>
            <w:tcW w:w="1486" w:type="dxa"/>
            <w:tcMar>
              <w:top w:w="0" w:type="dxa"/>
              <w:left w:w="108" w:type="dxa"/>
              <w:bottom w:w="0" w:type="dxa"/>
              <w:right w:w="108" w:type="dxa"/>
            </w:tcMar>
            <w:vAlign w:val="center"/>
          </w:tcPr>
          <w:p>
            <w:pPr>
              <w:spacing w:line="400" w:lineRule="exact"/>
              <w:rPr>
                <w:rFonts w:ascii="宋体" w:hAnsi="宋体" w:cs="华文仿宋"/>
                <w:color w:val="auto"/>
                <w:sz w:val="24"/>
              </w:rPr>
            </w:pPr>
          </w:p>
        </w:tc>
        <w:tc>
          <w:tcPr>
            <w:tcW w:w="2488" w:type="dxa"/>
            <w:gridSpan w:val="2"/>
            <w:tcMar>
              <w:top w:w="0" w:type="dxa"/>
              <w:left w:w="108" w:type="dxa"/>
              <w:bottom w:w="0" w:type="dxa"/>
              <w:right w:w="108" w:type="dxa"/>
            </w:tcMar>
            <w:vAlign w:val="center"/>
          </w:tcPr>
          <w:p>
            <w:pPr>
              <w:spacing w:line="400" w:lineRule="exact"/>
              <w:rPr>
                <w:rFonts w:ascii="宋体" w:hAnsi="宋体" w:cs="华文仿宋"/>
                <w:color w:val="auto"/>
                <w:sz w:val="24"/>
              </w:rPr>
            </w:pPr>
          </w:p>
        </w:tc>
        <w:tc>
          <w:tcPr>
            <w:tcW w:w="2138" w:type="dxa"/>
            <w:gridSpan w:val="2"/>
            <w:tcMar>
              <w:top w:w="0" w:type="dxa"/>
              <w:left w:w="108" w:type="dxa"/>
              <w:bottom w:w="0" w:type="dxa"/>
              <w:right w:w="108" w:type="dxa"/>
            </w:tcMar>
            <w:vAlign w:val="center"/>
          </w:tcPr>
          <w:p>
            <w:pPr>
              <w:spacing w:line="400" w:lineRule="exact"/>
              <w:rPr>
                <w:rFonts w:ascii="宋体" w:hAnsi="宋体" w:cs="华文仿宋"/>
                <w:color w:val="auto"/>
                <w:sz w:val="24"/>
              </w:rPr>
            </w:pPr>
          </w:p>
        </w:tc>
        <w:tc>
          <w:tcPr>
            <w:tcW w:w="1740" w:type="dxa"/>
            <w:gridSpan w:val="2"/>
            <w:tcMar>
              <w:top w:w="0" w:type="dxa"/>
              <w:left w:w="108" w:type="dxa"/>
              <w:bottom w:w="0" w:type="dxa"/>
              <w:right w:w="108" w:type="dxa"/>
            </w:tcMar>
            <w:vAlign w:val="center"/>
          </w:tcPr>
          <w:p>
            <w:pPr>
              <w:spacing w:line="400" w:lineRule="exact"/>
              <w:rPr>
                <w:rFonts w:ascii="宋体" w:hAnsi="宋体" w:cs="华文仿宋"/>
                <w:color w:val="auto"/>
                <w:sz w:val="24"/>
              </w:rPr>
            </w:pPr>
          </w:p>
        </w:tc>
        <w:tc>
          <w:tcPr>
            <w:tcW w:w="1668" w:type="dxa"/>
            <w:tcMar>
              <w:top w:w="0" w:type="dxa"/>
              <w:left w:w="108" w:type="dxa"/>
              <w:bottom w:w="0" w:type="dxa"/>
              <w:right w:w="108" w:type="dxa"/>
            </w:tcMar>
            <w:vAlign w:val="center"/>
          </w:tcPr>
          <w:p>
            <w:pPr>
              <w:spacing w:line="400" w:lineRule="exact"/>
              <w:rPr>
                <w:rFonts w:ascii="宋体" w:hAnsi="宋体"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5" w:hRule="atLeast"/>
        </w:trPr>
        <w:tc>
          <w:tcPr>
            <w:tcW w:w="1486" w:type="dxa"/>
            <w:tcMar>
              <w:top w:w="0" w:type="dxa"/>
              <w:left w:w="108" w:type="dxa"/>
              <w:bottom w:w="0" w:type="dxa"/>
              <w:right w:w="108" w:type="dxa"/>
            </w:tcMar>
            <w:vAlign w:val="center"/>
          </w:tcPr>
          <w:p>
            <w:pPr>
              <w:spacing w:line="400" w:lineRule="exact"/>
              <w:rPr>
                <w:rFonts w:ascii="宋体" w:hAnsi="宋体" w:cs="华文仿宋"/>
                <w:color w:val="auto"/>
                <w:sz w:val="24"/>
              </w:rPr>
            </w:pPr>
          </w:p>
        </w:tc>
        <w:tc>
          <w:tcPr>
            <w:tcW w:w="2488" w:type="dxa"/>
            <w:gridSpan w:val="2"/>
            <w:tcMar>
              <w:top w:w="0" w:type="dxa"/>
              <w:left w:w="108" w:type="dxa"/>
              <w:bottom w:w="0" w:type="dxa"/>
              <w:right w:w="108" w:type="dxa"/>
            </w:tcMar>
            <w:vAlign w:val="center"/>
          </w:tcPr>
          <w:p>
            <w:pPr>
              <w:spacing w:line="400" w:lineRule="exact"/>
              <w:rPr>
                <w:rFonts w:ascii="宋体" w:hAnsi="宋体" w:cs="华文仿宋"/>
                <w:color w:val="auto"/>
                <w:sz w:val="24"/>
              </w:rPr>
            </w:pPr>
          </w:p>
        </w:tc>
        <w:tc>
          <w:tcPr>
            <w:tcW w:w="2138" w:type="dxa"/>
            <w:gridSpan w:val="2"/>
            <w:tcMar>
              <w:top w:w="0" w:type="dxa"/>
              <w:left w:w="108" w:type="dxa"/>
              <w:bottom w:w="0" w:type="dxa"/>
              <w:right w:w="108" w:type="dxa"/>
            </w:tcMar>
            <w:vAlign w:val="center"/>
          </w:tcPr>
          <w:p>
            <w:pPr>
              <w:spacing w:line="400" w:lineRule="exact"/>
              <w:rPr>
                <w:rFonts w:ascii="宋体" w:hAnsi="宋体" w:cs="华文仿宋"/>
                <w:color w:val="auto"/>
                <w:sz w:val="24"/>
              </w:rPr>
            </w:pPr>
          </w:p>
        </w:tc>
        <w:tc>
          <w:tcPr>
            <w:tcW w:w="1740" w:type="dxa"/>
            <w:gridSpan w:val="2"/>
            <w:tcMar>
              <w:top w:w="0" w:type="dxa"/>
              <w:left w:w="108" w:type="dxa"/>
              <w:bottom w:w="0" w:type="dxa"/>
              <w:right w:w="108" w:type="dxa"/>
            </w:tcMar>
            <w:vAlign w:val="center"/>
          </w:tcPr>
          <w:p>
            <w:pPr>
              <w:spacing w:line="400" w:lineRule="exact"/>
              <w:rPr>
                <w:rFonts w:ascii="宋体" w:hAnsi="宋体" w:cs="华文仿宋"/>
                <w:color w:val="auto"/>
                <w:sz w:val="24"/>
              </w:rPr>
            </w:pPr>
          </w:p>
        </w:tc>
        <w:tc>
          <w:tcPr>
            <w:tcW w:w="1668" w:type="dxa"/>
            <w:tcMar>
              <w:top w:w="0" w:type="dxa"/>
              <w:left w:w="108" w:type="dxa"/>
              <w:bottom w:w="0" w:type="dxa"/>
              <w:right w:w="108" w:type="dxa"/>
            </w:tcMar>
            <w:vAlign w:val="center"/>
          </w:tcPr>
          <w:p>
            <w:pPr>
              <w:spacing w:line="400" w:lineRule="exact"/>
              <w:rPr>
                <w:rFonts w:ascii="宋体" w:hAnsi="宋体"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7" w:hRule="atLeast"/>
        </w:trPr>
        <w:tc>
          <w:tcPr>
            <w:tcW w:w="1486" w:type="dxa"/>
            <w:tcMar>
              <w:top w:w="0" w:type="dxa"/>
              <w:left w:w="108" w:type="dxa"/>
              <w:bottom w:w="0" w:type="dxa"/>
              <w:right w:w="108" w:type="dxa"/>
            </w:tcMar>
            <w:vAlign w:val="center"/>
          </w:tcPr>
          <w:p>
            <w:pPr>
              <w:spacing w:line="400" w:lineRule="exact"/>
              <w:rPr>
                <w:rFonts w:ascii="宋体" w:hAnsi="宋体" w:cs="华文仿宋"/>
                <w:color w:val="auto"/>
                <w:sz w:val="24"/>
              </w:rPr>
            </w:pPr>
          </w:p>
        </w:tc>
        <w:tc>
          <w:tcPr>
            <w:tcW w:w="2488" w:type="dxa"/>
            <w:gridSpan w:val="2"/>
            <w:tcMar>
              <w:top w:w="0" w:type="dxa"/>
              <w:left w:w="108" w:type="dxa"/>
              <w:bottom w:w="0" w:type="dxa"/>
              <w:right w:w="108" w:type="dxa"/>
            </w:tcMar>
            <w:vAlign w:val="center"/>
          </w:tcPr>
          <w:p>
            <w:pPr>
              <w:spacing w:line="400" w:lineRule="exact"/>
              <w:rPr>
                <w:rFonts w:ascii="宋体" w:hAnsi="宋体" w:cs="华文仿宋"/>
                <w:color w:val="auto"/>
                <w:sz w:val="24"/>
              </w:rPr>
            </w:pPr>
          </w:p>
        </w:tc>
        <w:tc>
          <w:tcPr>
            <w:tcW w:w="2138" w:type="dxa"/>
            <w:gridSpan w:val="2"/>
            <w:tcMar>
              <w:top w:w="0" w:type="dxa"/>
              <w:left w:w="108" w:type="dxa"/>
              <w:bottom w:w="0" w:type="dxa"/>
              <w:right w:w="108" w:type="dxa"/>
            </w:tcMar>
            <w:vAlign w:val="center"/>
          </w:tcPr>
          <w:p>
            <w:pPr>
              <w:spacing w:line="400" w:lineRule="exact"/>
              <w:rPr>
                <w:rFonts w:ascii="宋体" w:hAnsi="宋体" w:cs="华文仿宋"/>
                <w:color w:val="auto"/>
                <w:sz w:val="24"/>
              </w:rPr>
            </w:pPr>
          </w:p>
        </w:tc>
        <w:tc>
          <w:tcPr>
            <w:tcW w:w="1740" w:type="dxa"/>
            <w:gridSpan w:val="2"/>
            <w:tcMar>
              <w:top w:w="0" w:type="dxa"/>
              <w:left w:w="108" w:type="dxa"/>
              <w:bottom w:w="0" w:type="dxa"/>
              <w:right w:w="108" w:type="dxa"/>
            </w:tcMar>
            <w:vAlign w:val="center"/>
          </w:tcPr>
          <w:p>
            <w:pPr>
              <w:spacing w:line="400" w:lineRule="exact"/>
              <w:rPr>
                <w:rFonts w:ascii="宋体" w:hAnsi="宋体" w:cs="华文仿宋"/>
                <w:color w:val="auto"/>
                <w:sz w:val="24"/>
              </w:rPr>
            </w:pPr>
          </w:p>
        </w:tc>
        <w:tc>
          <w:tcPr>
            <w:tcW w:w="1668" w:type="dxa"/>
            <w:tcMar>
              <w:top w:w="0" w:type="dxa"/>
              <w:left w:w="108" w:type="dxa"/>
              <w:bottom w:w="0" w:type="dxa"/>
              <w:right w:w="108" w:type="dxa"/>
            </w:tcMar>
            <w:vAlign w:val="center"/>
          </w:tcPr>
          <w:p>
            <w:pPr>
              <w:spacing w:line="400" w:lineRule="exact"/>
              <w:rPr>
                <w:rFonts w:ascii="宋体" w:hAnsi="宋体"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7" w:hRule="atLeast"/>
        </w:trPr>
        <w:tc>
          <w:tcPr>
            <w:tcW w:w="9520" w:type="dxa"/>
            <w:gridSpan w:val="8"/>
            <w:tcMar>
              <w:top w:w="0" w:type="dxa"/>
              <w:left w:w="108" w:type="dxa"/>
              <w:bottom w:w="0" w:type="dxa"/>
              <w:right w:w="108" w:type="dxa"/>
            </w:tcMar>
            <w:vAlign w:val="center"/>
          </w:tcPr>
          <w:p>
            <w:pPr>
              <w:spacing w:line="400" w:lineRule="exact"/>
              <w:rPr>
                <w:rFonts w:ascii="宋体" w:hAnsi="宋体" w:cs="华文仿宋"/>
                <w:color w:val="auto"/>
                <w:sz w:val="24"/>
              </w:rPr>
            </w:pPr>
            <w:r>
              <w:rPr>
                <w:rFonts w:hint="eastAsia" w:ascii="宋体" w:hAnsi="宋体" w:cs="宋体"/>
                <w:b/>
                <w:color w:val="auto"/>
              </w:rPr>
              <w:t>注：由各供应商根据项目情况自行拟派主要管理人员，并附拟派人员的相关证明资料复印件。</w:t>
            </w:r>
          </w:p>
        </w:tc>
      </w:tr>
    </w:tbl>
    <w:p>
      <w:pPr>
        <w:pStyle w:val="6"/>
        <w:spacing w:line="360" w:lineRule="auto"/>
        <w:ind w:firstLine="0"/>
        <w:jc w:val="both"/>
        <w:rPr>
          <w:rFonts w:ascii="宋体" w:hAnsi="宋体" w:cs="宋体"/>
          <w:color w:val="auto"/>
        </w:rPr>
      </w:pPr>
    </w:p>
    <w:p>
      <w:pPr>
        <w:ind w:firstLine="480" w:firstLineChars="200"/>
        <w:rPr>
          <w:rFonts w:ascii="宋体" w:hAnsi="宋体" w:cs="宋体"/>
          <w:color w:val="auto"/>
          <w:sz w:val="24"/>
        </w:rPr>
      </w:pPr>
    </w:p>
    <w:p>
      <w:pPr>
        <w:ind w:firstLine="480" w:firstLineChars="200"/>
        <w:rPr>
          <w:rFonts w:ascii="宋体" w:hAnsi="宋体" w:cs="宋体"/>
          <w:color w:val="auto"/>
          <w:sz w:val="24"/>
        </w:rPr>
      </w:pPr>
      <w:r>
        <w:rPr>
          <w:rFonts w:hint="eastAsia" w:ascii="宋体" w:hAnsi="宋体" w:cs="宋体"/>
          <w:color w:val="auto"/>
          <w:sz w:val="24"/>
        </w:rPr>
        <w:t xml:space="preserve">供应商(盖章)： </w:t>
      </w:r>
    </w:p>
    <w:p>
      <w:pPr>
        <w:rPr>
          <w:rFonts w:ascii="宋体" w:hAnsi="宋体" w:cs="宋体"/>
          <w:color w:val="auto"/>
          <w:sz w:val="24"/>
        </w:rPr>
      </w:pPr>
    </w:p>
    <w:p>
      <w:pPr>
        <w:ind w:firstLine="480" w:firstLineChars="200"/>
        <w:rPr>
          <w:rFonts w:ascii="宋体" w:hAnsi="宋体" w:cs="宋体"/>
          <w:color w:val="auto"/>
          <w:sz w:val="24"/>
        </w:rPr>
      </w:pPr>
      <w:r>
        <w:rPr>
          <w:rFonts w:hint="eastAsia" w:ascii="宋体" w:hAnsi="宋体" w:cs="宋体"/>
          <w:color w:val="auto"/>
          <w:sz w:val="24"/>
        </w:rPr>
        <w:t>法定代表人或委托代理人（签字或盖章）：</w:t>
      </w:r>
    </w:p>
    <w:p>
      <w:pPr>
        <w:ind w:firstLine="480" w:firstLineChars="200"/>
        <w:rPr>
          <w:rFonts w:ascii="宋体" w:hAnsi="宋体" w:cs="宋体"/>
          <w:color w:val="auto"/>
          <w:sz w:val="24"/>
        </w:rPr>
      </w:pPr>
    </w:p>
    <w:p>
      <w:pPr>
        <w:ind w:firstLine="480" w:firstLineChars="200"/>
        <w:rPr>
          <w:rFonts w:ascii="宋体" w:hAnsi="宋体" w:cs="宋体"/>
          <w:b/>
          <w:color w:val="auto"/>
          <w:sz w:val="24"/>
        </w:rPr>
      </w:pPr>
      <w:r>
        <w:rPr>
          <w:rFonts w:hint="eastAsia" w:ascii="宋体" w:hAnsi="宋体" w:cs="宋体"/>
          <w:color w:val="auto"/>
          <w:sz w:val="24"/>
        </w:rPr>
        <w:t>日期：   年  月   日</w:t>
      </w:r>
    </w:p>
    <w:p>
      <w:pPr>
        <w:pStyle w:val="6"/>
        <w:spacing w:line="360" w:lineRule="auto"/>
        <w:ind w:firstLine="0"/>
        <w:jc w:val="both"/>
        <w:rPr>
          <w:rFonts w:ascii="宋体" w:hAnsi="宋体" w:cs="宋体"/>
          <w:color w:val="auto"/>
        </w:rPr>
      </w:pPr>
    </w:p>
    <w:p>
      <w:pPr>
        <w:pStyle w:val="6"/>
        <w:spacing w:line="360" w:lineRule="auto"/>
        <w:ind w:firstLine="0"/>
        <w:jc w:val="both"/>
        <w:rPr>
          <w:rFonts w:ascii="宋体" w:hAnsi="宋体" w:cs="宋体"/>
          <w:color w:val="auto"/>
        </w:rPr>
      </w:pPr>
    </w:p>
    <w:p>
      <w:pPr>
        <w:pStyle w:val="6"/>
        <w:spacing w:line="360" w:lineRule="auto"/>
        <w:ind w:firstLine="0"/>
        <w:jc w:val="both"/>
        <w:rPr>
          <w:rFonts w:ascii="宋体" w:hAnsi="宋体" w:cs="宋体"/>
          <w:color w:val="auto"/>
        </w:rPr>
      </w:pPr>
    </w:p>
    <w:p>
      <w:pPr>
        <w:pStyle w:val="6"/>
        <w:spacing w:line="360" w:lineRule="auto"/>
        <w:ind w:firstLine="0"/>
        <w:jc w:val="both"/>
        <w:rPr>
          <w:rFonts w:ascii="宋体" w:hAnsi="宋体" w:cs="宋体"/>
          <w:color w:val="auto"/>
        </w:rPr>
      </w:pPr>
    </w:p>
    <w:p>
      <w:pPr>
        <w:rPr>
          <w:rFonts w:ascii="宋体" w:hAnsi="宋体" w:cs="宋体"/>
          <w:color w:val="auto"/>
        </w:rPr>
      </w:pPr>
    </w:p>
    <w:p>
      <w:pPr>
        <w:pStyle w:val="10"/>
        <w:rPr>
          <w:rFonts w:ascii="宋体" w:hAnsi="宋体" w:cs="宋体"/>
          <w:color w:val="auto"/>
        </w:rPr>
      </w:pPr>
    </w:p>
    <w:p>
      <w:pPr>
        <w:pStyle w:val="11"/>
        <w:rPr>
          <w:rFonts w:ascii="宋体" w:hAnsi="宋体" w:cs="宋体"/>
          <w:color w:val="auto"/>
        </w:rPr>
      </w:pPr>
    </w:p>
    <w:p>
      <w:pPr>
        <w:rPr>
          <w:rFonts w:ascii="宋体" w:hAnsi="宋体" w:cs="宋体"/>
          <w:color w:val="auto"/>
        </w:rPr>
      </w:pPr>
    </w:p>
    <w:p>
      <w:pPr>
        <w:pStyle w:val="10"/>
        <w:rPr>
          <w:rFonts w:ascii="宋体" w:hAnsi="宋体" w:cs="宋体"/>
          <w:color w:val="auto"/>
        </w:rPr>
      </w:pPr>
    </w:p>
    <w:p>
      <w:pPr>
        <w:pStyle w:val="11"/>
        <w:rPr>
          <w:color w:val="auto"/>
        </w:rPr>
      </w:pPr>
    </w:p>
    <w:p>
      <w:pPr>
        <w:pStyle w:val="6"/>
        <w:spacing w:line="360" w:lineRule="auto"/>
        <w:ind w:firstLine="0"/>
        <w:jc w:val="both"/>
        <w:rPr>
          <w:rFonts w:ascii="宋体" w:hAnsi="宋体" w:cs="宋体"/>
          <w:color w:val="auto"/>
        </w:rPr>
      </w:pPr>
    </w:p>
    <w:p>
      <w:pPr>
        <w:spacing w:line="360" w:lineRule="auto"/>
        <w:ind w:left="812" w:hanging="812" w:hangingChars="337"/>
        <w:jc w:val="center"/>
        <w:rPr>
          <w:rFonts w:ascii="宋体" w:hAnsi="宋体" w:cs="宋体"/>
          <w:b/>
          <w:color w:val="auto"/>
          <w:sz w:val="24"/>
        </w:rPr>
      </w:pPr>
      <w:r>
        <w:rPr>
          <w:rFonts w:hint="eastAsia" w:ascii="宋体" w:hAnsi="宋体" w:cs="宋体"/>
          <w:b/>
          <w:bCs/>
          <w:color w:val="auto"/>
          <w:sz w:val="24"/>
        </w:rPr>
        <w:t>格式4-1</w:t>
      </w:r>
      <w:r>
        <w:rPr>
          <w:rFonts w:hint="eastAsia" w:ascii="宋体" w:hAnsi="宋体" w:cs="宋体"/>
          <w:b/>
          <w:color w:val="auto"/>
          <w:sz w:val="24"/>
        </w:rPr>
        <w:t xml:space="preserve">   主要管理人员表</w:t>
      </w:r>
    </w:p>
    <w:p>
      <w:pPr>
        <w:tabs>
          <w:tab w:val="left" w:pos="360"/>
          <w:tab w:val="left" w:pos="1800"/>
        </w:tabs>
        <w:spacing w:line="300" w:lineRule="exact"/>
        <w:jc w:val="center"/>
        <w:rPr>
          <w:rFonts w:ascii="宋体" w:hAnsi="宋体" w:cs="宋体"/>
          <w:b/>
          <w:bCs/>
          <w:color w:val="auto"/>
          <w:sz w:val="24"/>
        </w:rPr>
      </w:pPr>
    </w:p>
    <w:tbl>
      <w:tblPr>
        <w:tblStyle w:val="27"/>
        <w:tblpPr w:leftFromText="180" w:rightFromText="180" w:vertAnchor="text" w:horzAnchor="margin" w:tblpXSpec="center" w:tblpY="146"/>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851"/>
        <w:gridCol w:w="992"/>
        <w:gridCol w:w="1417"/>
        <w:gridCol w:w="1134"/>
        <w:gridCol w:w="3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51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color w:val="auto"/>
              </w:rPr>
            </w:pPr>
            <w:r>
              <w:rPr>
                <w:rFonts w:hint="eastAsia" w:ascii="宋体" w:hAnsi="宋体" w:cs="宋体"/>
                <w:color w:val="auto"/>
              </w:rPr>
              <w:t>人员</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color w:val="auto"/>
              </w:rPr>
            </w:pPr>
            <w:r>
              <w:rPr>
                <w:rFonts w:hint="eastAsia" w:ascii="宋体" w:hAnsi="宋体" w:cs="宋体"/>
                <w:color w:val="auto"/>
              </w:rPr>
              <w:t>姓名</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color w:val="auto"/>
              </w:rPr>
            </w:pPr>
            <w:r>
              <w:rPr>
                <w:rFonts w:hint="eastAsia" w:ascii="宋体" w:hAnsi="宋体" w:cs="宋体"/>
                <w:color w:val="auto"/>
              </w:rPr>
              <w:t>职务</w:t>
            </w: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宋体" w:hAnsi="宋体" w:cs="宋体"/>
                <w:color w:val="auto"/>
              </w:rPr>
            </w:pPr>
            <w:r>
              <w:rPr>
                <w:rFonts w:hint="eastAsia" w:ascii="宋体" w:hAnsi="宋体" w:cs="宋体"/>
                <w:color w:val="auto"/>
              </w:rPr>
              <w:t>职称/岗位证</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color w:val="auto"/>
              </w:rPr>
            </w:pPr>
            <w:r>
              <w:rPr>
                <w:rFonts w:hint="eastAsia" w:ascii="宋体" w:hAnsi="宋体" w:cs="宋体"/>
                <w:color w:val="auto"/>
              </w:rPr>
              <w:t>证书编号</w:t>
            </w:r>
          </w:p>
        </w:tc>
        <w:tc>
          <w:tcPr>
            <w:tcW w:w="321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color w:val="auto"/>
              </w:rPr>
            </w:pPr>
            <w:r>
              <w:rPr>
                <w:rFonts w:hint="eastAsia" w:ascii="宋体" w:hAnsi="宋体" w:cs="宋体"/>
                <w:color w:val="auto"/>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51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宋体" w:hAnsi="宋体" w:cs="宋体"/>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color w:val="auto"/>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color w:val="auto"/>
              </w:rPr>
            </w:pPr>
          </w:p>
        </w:tc>
        <w:tc>
          <w:tcPr>
            <w:tcW w:w="1417"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宋体" w:hAnsi="宋体" w:cs="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color w:val="auto"/>
              </w:rPr>
            </w:pPr>
          </w:p>
        </w:tc>
        <w:tc>
          <w:tcPr>
            <w:tcW w:w="321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51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宋体" w:hAnsi="宋体" w:cs="宋体"/>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color w:val="auto"/>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color w:val="auto"/>
              </w:rPr>
            </w:pPr>
          </w:p>
        </w:tc>
        <w:tc>
          <w:tcPr>
            <w:tcW w:w="1417"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宋体" w:hAnsi="宋体" w:cs="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color w:val="auto"/>
              </w:rPr>
            </w:pPr>
          </w:p>
        </w:tc>
        <w:tc>
          <w:tcPr>
            <w:tcW w:w="321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51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宋体" w:hAnsi="宋体" w:cs="宋体"/>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color w:val="auto"/>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color w:val="auto"/>
              </w:rPr>
            </w:pPr>
          </w:p>
        </w:tc>
        <w:tc>
          <w:tcPr>
            <w:tcW w:w="1417"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宋体" w:hAnsi="宋体" w:cs="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color w:val="auto"/>
              </w:rPr>
            </w:pPr>
          </w:p>
        </w:tc>
        <w:tc>
          <w:tcPr>
            <w:tcW w:w="321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51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宋体" w:hAnsi="宋体" w:cs="宋体"/>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color w:val="auto"/>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color w:val="auto"/>
              </w:rPr>
            </w:pPr>
          </w:p>
        </w:tc>
        <w:tc>
          <w:tcPr>
            <w:tcW w:w="1417"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宋体" w:hAnsi="宋体" w:cs="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color w:val="auto"/>
              </w:rPr>
            </w:pPr>
          </w:p>
        </w:tc>
        <w:tc>
          <w:tcPr>
            <w:tcW w:w="321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51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宋体" w:hAnsi="宋体" w:cs="宋体"/>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color w:val="auto"/>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color w:val="auto"/>
              </w:rPr>
            </w:pPr>
          </w:p>
        </w:tc>
        <w:tc>
          <w:tcPr>
            <w:tcW w:w="1417"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宋体" w:hAnsi="宋体" w:cs="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color w:val="auto"/>
              </w:rPr>
            </w:pPr>
          </w:p>
        </w:tc>
        <w:tc>
          <w:tcPr>
            <w:tcW w:w="321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51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宋体" w:hAnsi="宋体" w:cs="宋体"/>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color w:val="auto"/>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color w:val="auto"/>
              </w:rPr>
            </w:pPr>
          </w:p>
        </w:tc>
        <w:tc>
          <w:tcPr>
            <w:tcW w:w="1417"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宋体" w:hAnsi="宋体" w:cs="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color w:val="auto"/>
              </w:rPr>
            </w:pPr>
          </w:p>
        </w:tc>
        <w:tc>
          <w:tcPr>
            <w:tcW w:w="321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0125" w:type="dxa"/>
            <w:gridSpan w:val="6"/>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tLeast"/>
              <w:rPr>
                <w:rFonts w:ascii="宋体" w:hAnsi="宋体" w:cs="宋体"/>
                <w:b/>
                <w:color w:val="auto"/>
              </w:rPr>
            </w:pPr>
            <w:r>
              <w:rPr>
                <w:rFonts w:hint="eastAsia" w:ascii="宋体" w:hAnsi="宋体" w:cs="宋体"/>
                <w:b/>
                <w:color w:val="auto"/>
              </w:rPr>
              <w:t>注：由各供应商根据项目情况自行拟派主要管理人员，并附管理人员相关证书复印件。</w:t>
            </w:r>
          </w:p>
        </w:tc>
      </w:tr>
    </w:tbl>
    <w:p>
      <w:pPr>
        <w:tabs>
          <w:tab w:val="left" w:pos="360"/>
          <w:tab w:val="left" w:pos="1800"/>
        </w:tabs>
        <w:spacing w:line="480" w:lineRule="exact"/>
        <w:ind w:firstLine="210" w:firstLineChars="100"/>
        <w:rPr>
          <w:rFonts w:ascii="宋体" w:hAnsi="宋体" w:cs="宋体"/>
          <w:color w:val="auto"/>
        </w:rPr>
      </w:pPr>
      <w:r>
        <w:rPr>
          <w:rFonts w:hint="eastAsia" w:ascii="宋体" w:hAnsi="宋体" w:cs="宋体"/>
          <w:color w:val="auto"/>
        </w:rPr>
        <w:t xml:space="preserve">供应商：（盖章）             </w:t>
      </w:r>
    </w:p>
    <w:p>
      <w:pPr>
        <w:tabs>
          <w:tab w:val="left" w:pos="360"/>
          <w:tab w:val="left" w:pos="1800"/>
        </w:tabs>
        <w:spacing w:line="480" w:lineRule="exact"/>
        <w:ind w:firstLine="210" w:firstLineChars="100"/>
        <w:rPr>
          <w:rFonts w:ascii="宋体" w:hAnsi="宋体" w:cs="宋体"/>
          <w:color w:val="auto"/>
        </w:rPr>
      </w:pPr>
      <w:r>
        <w:rPr>
          <w:rFonts w:hint="eastAsia" w:ascii="宋体" w:hAnsi="宋体" w:cs="宋体"/>
          <w:color w:val="auto"/>
        </w:rPr>
        <w:t>法定代表人或委托代理人：（签字或盖章）</w:t>
      </w:r>
    </w:p>
    <w:p>
      <w:pPr>
        <w:tabs>
          <w:tab w:val="left" w:pos="360"/>
          <w:tab w:val="left" w:pos="1800"/>
        </w:tabs>
        <w:spacing w:line="360" w:lineRule="auto"/>
        <w:ind w:right="960" w:firstLine="4935" w:firstLineChars="2350"/>
        <w:rPr>
          <w:rFonts w:ascii="宋体" w:hAnsi="宋体" w:cs="宋体"/>
          <w:color w:val="auto"/>
        </w:rPr>
      </w:pPr>
      <w:r>
        <w:rPr>
          <w:rFonts w:hint="eastAsia" w:ascii="宋体" w:hAnsi="宋体" w:cs="宋体"/>
          <w:color w:val="auto"/>
        </w:rPr>
        <w:t>日期：     年   月   日</w:t>
      </w:r>
    </w:p>
    <w:p>
      <w:pPr>
        <w:rPr>
          <w:color w:val="auto"/>
        </w:rPr>
      </w:pPr>
    </w:p>
    <w:p>
      <w:pPr>
        <w:spacing w:line="360" w:lineRule="auto"/>
        <w:ind w:left="812" w:hanging="812" w:hangingChars="337"/>
        <w:jc w:val="center"/>
        <w:rPr>
          <w:rFonts w:ascii="宋体" w:hAnsi="宋体" w:cs="宋体"/>
          <w:b/>
          <w:bCs/>
          <w:color w:val="auto"/>
          <w:sz w:val="24"/>
        </w:rPr>
      </w:pPr>
    </w:p>
    <w:p>
      <w:pPr>
        <w:spacing w:line="360" w:lineRule="auto"/>
        <w:ind w:left="812" w:hanging="812" w:hangingChars="337"/>
        <w:jc w:val="center"/>
        <w:rPr>
          <w:rFonts w:ascii="宋体" w:hAnsi="宋体" w:cs="宋体"/>
          <w:b/>
          <w:bCs/>
          <w:color w:val="auto"/>
          <w:sz w:val="24"/>
        </w:rPr>
      </w:pPr>
    </w:p>
    <w:p>
      <w:pPr>
        <w:spacing w:line="360" w:lineRule="auto"/>
        <w:ind w:left="812" w:hanging="812" w:hangingChars="337"/>
        <w:jc w:val="center"/>
        <w:rPr>
          <w:rFonts w:ascii="宋体" w:hAnsi="宋体" w:cs="宋体"/>
          <w:b/>
          <w:bCs/>
          <w:color w:val="auto"/>
          <w:sz w:val="24"/>
        </w:rPr>
      </w:pPr>
    </w:p>
    <w:p>
      <w:pPr>
        <w:spacing w:line="360" w:lineRule="auto"/>
        <w:ind w:left="812" w:hanging="812" w:hangingChars="337"/>
        <w:jc w:val="center"/>
        <w:rPr>
          <w:rFonts w:ascii="宋体" w:hAnsi="宋体" w:cs="宋体"/>
          <w:b/>
          <w:bCs/>
          <w:color w:val="auto"/>
          <w:sz w:val="24"/>
        </w:rPr>
      </w:pPr>
    </w:p>
    <w:p>
      <w:pPr>
        <w:spacing w:line="360" w:lineRule="auto"/>
        <w:ind w:left="812" w:hanging="812" w:hangingChars="337"/>
        <w:jc w:val="center"/>
        <w:rPr>
          <w:rFonts w:ascii="宋体" w:hAnsi="宋体" w:cs="宋体"/>
          <w:b/>
          <w:bCs/>
          <w:color w:val="auto"/>
          <w:sz w:val="24"/>
        </w:rPr>
      </w:pPr>
    </w:p>
    <w:p>
      <w:pPr>
        <w:spacing w:line="360" w:lineRule="auto"/>
        <w:ind w:left="812" w:hanging="812" w:hangingChars="337"/>
        <w:jc w:val="center"/>
        <w:rPr>
          <w:rFonts w:ascii="宋体" w:hAnsi="宋体" w:cs="宋体"/>
          <w:b/>
          <w:bCs/>
          <w:color w:val="auto"/>
          <w:sz w:val="24"/>
        </w:rPr>
      </w:pPr>
    </w:p>
    <w:p>
      <w:pPr>
        <w:spacing w:line="360" w:lineRule="auto"/>
        <w:rPr>
          <w:rFonts w:ascii="宋体" w:hAnsi="宋体" w:cs="宋体"/>
          <w:b/>
          <w:bCs/>
          <w:color w:val="auto"/>
          <w:sz w:val="24"/>
        </w:rPr>
      </w:pPr>
    </w:p>
    <w:p>
      <w:pPr>
        <w:spacing w:line="360" w:lineRule="auto"/>
        <w:ind w:left="812" w:hanging="812" w:hangingChars="337"/>
        <w:jc w:val="center"/>
        <w:rPr>
          <w:rFonts w:ascii="宋体" w:hAnsi="宋体" w:cs="宋体"/>
          <w:b/>
          <w:bCs/>
          <w:color w:val="auto"/>
          <w:sz w:val="24"/>
        </w:rPr>
      </w:pPr>
    </w:p>
    <w:p>
      <w:pPr>
        <w:spacing w:line="360" w:lineRule="auto"/>
        <w:ind w:left="812" w:hanging="812" w:hangingChars="337"/>
        <w:jc w:val="center"/>
        <w:rPr>
          <w:rFonts w:ascii="宋体" w:hAnsi="宋体" w:cs="宋体"/>
          <w:bCs/>
          <w:color w:val="auto"/>
          <w:sz w:val="32"/>
          <w:szCs w:val="32"/>
        </w:rPr>
      </w:pPr>
      <w:r>
        <w:rPr>
          <w:rFonts w:hint="eastAsia" w:ascii="宋体" w:hAnsi="宋体" w:cs="宋体"/>
          <w:b/>
          <w:bCs/>
          <w:color w:val="auto"/>
          <w:sz w:val="24"/>
        </w:rPr>
        <w:t xml:space="preserve">格式5 </w:t>
      </w:r>
      <w:r>
        <w:rPr>
          <w:rFonts w:hint="eastAsia" w:ascii="宋体" w:hAnsi="宋体" w:cs="宋体"/>
          <w:b/>
          <w:color w:val="auto"/>
          <w:sz w:val="24"/>
        </w:rPr>
        <w:t>资格性/符合性自查表</w:t>
      </w:r>
    </w:p>
    <w:tbl>
      <w:tblPr>
        <w:tblStyle w:val="27"/>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734"/>
        <w:gridCol w:w="3295"/>
        <w:gridCol w:w="2106"/>
        <w:gridCol w:w="2533"/>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43" w:hRule="atLeast"/>
          <w:jc w:val="center"/>
        </w:trPr>
        <w:tc>
          <w:tcPr>
            <w:tcW w:w="1734"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color w:val="auto"/>
                <w:sz w:val="24"/>
              </w:rPr>
            </w:pPr>
            <w:r>
              <w:rPr>
                <w:rFonts w:hint="eastAsia" w:ascii="宋体" w:hAnsi="宋体" w:cs="宋体"/>
                <w:b/>
                <w:bCs/>
                <w:color w:val="auto"/>
                <w:spacing w:val="10"/>
                <w:sz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color w:val="auto"/>
                <w:sz w:val="24"/>
              </w:rPr>
            </w:pPr>
            <w:r>
              <w:rPr>
                <w:rFonts w:hint="eastAsia" w:ascii="宋体" w:hAnsi="宋体" w:cs="宋体"/>
                <w:b/>
                <w:bCs/>
                <w:color w:val="auto"/>
                <w:spacing w:val="10"/>
                <w:sz w:val="24"/>
              </w:rPr>
              <w:t>招标文件要求</w:t>
            </w:r>
            <w:r>
              <w:rPr>
                <w:rFonts w:hint="eastAsia" w:ascii="宋体" w:hAnsi="宋体" w:cs="宋体"/>
                <w:color w:val="auto"/>
                <w:sz w:val="24"/>
              </w:rPr>
              <w:br w:type="textWrapping"/>
            </w:r>
            <w:r>
              <w:rPr>
                <w:rFonts w:hint="eastAsia" w:ascii="宋体" w:hAnsi="宋体" w:cs="宋体"/>
                <w:color w:val="auto"/>
                <w:sz w:val="24"/>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color w:val="auto"/>
                <w:sz w:val="24"/>
              </w:rPr>
            </w:pPr>
            <w:r>
              <w:rPr>
                <w:rFonts w:hint="eastAsia" w:ascii="宋体" w:hAnsi="宋体" w:cs="宋体"/>
                <w:b/>
                <w:bCs/>
                <w:color w:val="auto"/>
                <w:spacing w:val="10"/>
                <w:sz w:val="24"/>
              </w:rPr>
              <w:t>自查结论</w:t>
            </w:r>
          </w:p>
        </w:tc>
        <w:tc>
          <w:tcPr>
            <w:tcW w:w="2533"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color w:val="auto"/>
                <w:sz w:val="24"/>
              </w:rPr>
            </w:pPr>
            <w:r>
              <w:rPr>
                <w:rFonts w:hint="eastAsia" w:ascii="宋体" w:hAnsi="宋体" w:cs="宋体"/>
                <w:b/>
                <w:bCs/>
                <w:color w:val="auto"/>
                <w:spacing w:val="10"/>
                <w:sz w:val="24"/>
              </w:rPr>
              <w:t>证明材料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restart"/>
            <w:tcBorders>
              <w:top w:val="outset" w:color="111111" w:sz="6" w:space="0"/>
              <w:left w:val="outset" w:color="111111" w:sz="6" w:space="0"/>
              <w:right w:val="outset" w:color="111111" w:sz="6" w:space="0"/>
            </w:tcBorders>
            <w:vAlign w:val="center"/>
          </w:tcPr>
          <w:p>
            <w:pPr>
              <w:widowControl/>
              <w:spacing w:line="360" w:lineRule="auto"/>
              <w:jc w:val="center"/>
              <w:rPr>
                <w:rFonts w:ascii="宋体" w:hAnsi="宋体" w:cs="宋体"/>
                <w:color w:val="auto"/>
                <w:kern w:val="0"/>
                <w:sz w:val="24"/>
              </w:rPr>
            </w:pPr>
            <w:r>
              <w:rPr>
                <w:rFonts w:hint="eastAsia" w:ascii="宋体" w:hAnsi="宋体" w:cs="宋体"/>
                <w:color w:val="auto"/>
                <w:kern w:val="0"/>
                <w:sz w:val="24"/>
              </w:rPr>
              <w:t>资格性审查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sz w:val="24"/>
              </w:rPr>
            </w:pPr>
            <w:r>
              <w:rPr>
                <w:rFonts w:hint="eastAsia" w:ascii="宋体" w:hAnsi="宋体" w:cs="宋体"/>
                <w:color w:val="auto"/>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sz w:val="24"/>
              </w:rPr>
            </w:pPr>
            <w:r>
              <w:rPr>
                <w:rFonts w:hint="eastAsia" w:ascii="宋体" w:hAnsi="宋体" w:cs="宋体"/>
                <w:color w:val="auto"/>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sz w:val="24"/>
              </w:rPr>
            </w:pPr>
            <w:r>
              <w:rPr>
                <w:rFonts w:hint="eastAsia" w:ascii="宋体" w:hAnsi="宋体" w:cs="宋体"/>
                <w:color w:val="auto"/>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sz w:val="24"/>
              </w:rPr>
            </w:pPr>
            <w:r>
              <w:rPr>
                <w:rFonts w:hint="eastAsia" w:ascii="宋体" w:hAnsi="宋体" w:cs="宋体"/>
                <w:color w:val="auto"/>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rPr>
            </w:pPr>
            <w:r>
              <w:rPr>
                <w:rFonts w:hint="eastAsia" w:ascii="宋体" w:hAnsi="宋体" w:cs="宋体"/>
                <w:color w:val="auto"/>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rPr>
            </w:pPr>
            <w:r>
              <w:rPr>
                <w:rFonts w:hint="eastAsia" w:ascii="宋体" w:hAnsi="宋体" w:cs="宋体"/>
                <w:color w:val="auto"/>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sz w:val="24"/>
              </w:rPr>
            </w:pPr>
            <w:r>
              <w:rPr>
                <w:rFonts w:hint="eastAsia" w:ascii="宋体" w:hAnsi="宋体" w:cs="宋体"/>
                <w:color w:val="auto"/>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sz w:val="24"/>
              </w:rPr>
            </w:pPr>
            <w:r>
              <w:rPr>
                <w:rFonts w:hint="eastAsia" w:ascii="宋体" w:hAnsi="宋体" w:cs="宋体"/>
                <w:color w:val="auto"/>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restart"/>
            <w:tcBorders>
              <w:top w:val="outset" w:color="111111" w:sz="6" w:space="0"/>
              <w:left w:val="outset" w:color="111111" w:sz="6" w:space="0"/>
              <w:right w:val="outset" w:color="111111" w:sz="6" w:space="0"/>
            </w:tcBorders>
            <w:vAlign w:val="center"/>
          </w:tcPr>
          <w:p>
            <w:pPr>
              <w:widowControl/>
              <w:spacing w:line="360" w:lineRule="auto"/>
              <w:jc w:val="center"/>
              <w:rPr>
                <w:rFonts w:ascii="宋体" w:hAnsi="宋体" w:cs="宋体"/>
                <w:color w:val="auto"/>
                <w:kern w:val="0"/>
                <w:sz w:val="24"/>
              </w:rPr>
            </w:pPr>
            <w:r>
              <w:rPr>
                <w:rFonts w:hint="eastAsia" w:ascii="宋体" w:hAnsi="宋体" w:cs="宋体"/>
                <w:color w:val="auto"/>
                <w:kern w:val="0"/>
                <w:sz w:val="24"/>
              </w:rPr>
              <w:t>符合性审查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sz w:val="24"/>
              </w:rPr>
            </w:pPr>
            <w:r>
              <w:rPr>
                <w:rFonts w:hint="eastAsia" w:ascii="宋体" w:hAnsi="宋体" w:cs="宋体"/>
                <w:color w:val="auto"/>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sz w:val="24"/>
              </w:rPr>
            </w:pPr>
            <w:r>
              <w:rPr>
                <w:rFonts w:hint="eastAsia" w:ascii="宋体" w:hAnsi="宋体" w:cs="宋体"/>
                <w:color w:val="auto"/>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sz w:val="24"/>
              </w:rPr>
            </w:pPr>
            <w:r>
              <w:rPr>
                <w:rFonts w:hint="eastAsia" w:ascii="宋体" w:hAnsi="宋体" w:cs="宋体"/>
                <w:color w:val="auto"/>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sz w:val="24"/>
              </w:rPr>
            </w:pPr>
            <w:r>
              <w:rPr>
                <w:rFonts w:hint="eastAsia" w:ascii="宋体" w:hAnsi="宋体" w:cs="宋体"/>
                <w:color w:val="auto"/>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sz w:val="24"/>
              </w:rPr>
            </w:pPr>
            <w:r>
              <w:rPr>
                <w:rFonts w:hint="eastAsia" w:ascii="宋体" w:hAnsi="宋体" w:cs="宋体"/>
                <w:color w:val="auto"/>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sz w:val="24"/>
              </w:rPr>
            </w:pPr>
            <w:r>
              <w:rPr>
                <w:rFonts w:hint="eastAsia" w:ascii="宋体" w:hAnsi="宋体" w:cs="宋体"/>
                <w:color w:val="auto"/>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sz w:val="24"/>
              </w:rPr>
            </w:pPr>
            <w:r>
              <w:rPr>
                <w:rFonts w:hint="eastAsia" w:ascii="宋体" w:hAnsi="宋体" w:cs="宋体"/>
                <w:color w:val="auto"/>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sz w:val="24"/>
              </w:rPr>
            </w:pPr>
            <w:r>
              <w:rPr>
                <w:rFonts w:hint="eastAsia" w:ascii="宋体" w:hAnsi="宋体" w:cs="宋体"/>
                <w:color w:val="auto"/>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sz w:val="24"/>
              </w:rPr>
            </w:pPr>
            <w:r>
              <w:rPr>
                <w:rFonts w:hint="eastAsia" w:ascii="宋体" w:hAnsi="宋体" w:cs="宋体"/>
                <w:color w:val="auto"/>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sz w:val="24"/>
              </w:rPr>
            </w:pPr>
            <w:r>
              <w:rPr>
                <w:rFonts w:hint="eastAsia" w:ascii="宋体" w:hAnsi="宋体" w:cs="宋体"/>
                <w:color w:val="auto"/>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sz w:val="24"/>
              </w:rPr>
            </w:pPr>
            <w:r>
              <w:rPr>
                <w:rFonts w:hint="eastAsia" w:ascii="宋体" w:hAnsi="宋体" w:cs="宋体"/>
                <w:color w:val="auto"/>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color w:val="auto"/>
                <w:sz w:val="24"/>
              </w:rPr>
            </w:pPr>
            <w:r>
              <w:rPr>
                <w:rFonts w:hint="eastAsia" w:ascii="宋体" w:hAnsi="宋体" w:cs="宋体"/>
                <w:color w:val="auto"/>
              </w:rPr>
              <w:t>见响应文件第（）页</w:t>
            </w:r>
          </w:p>
        </w:tc>
      </w:tr>
    </w:tbl>
    <w:p>
      <w:pPr>
        <w:pStyle w:val="6"/>
        <w:spacing w:line="360" w:lineRule="auto"/>
        <w:ind w:firstLine="0"/>
        <w:rPr>
          <w:rFonts w:ascii="宋体" w:hAnsi="宋体" w:cs="宋体"/>
          <w:b/>
          <w:color w:val="auto"/>
          <w:sz w:val="24"/>
          <w:szCs w:val="24"/>
        </w:rPr>
      </w:pPr>
      <w:r>
        <w:rPr>
          <w:rFonts w:hint="eastAsia" w:ascii="宋体" w:hAnsi="宋体" w:cs="宋体"/>
          <w:b/>
          <w:color w:val="auto"/>
          <w:sz w:val="24"/>
          <w:szCs w:val="24"/>
        </w:rPr>
        <w:t>注：1、以上材料将作为供应商有效性审核的重要内容之一，供应商必须严格按照其内容及序列要求在响应文件中对应如实提供，对资格性和符合性证明文件的任何缺漏和不符合项将会直接导致响应文件无效！供应商根据自查结论在对应的□打“√”。</w:t>
      </w:r>
    </w:p>
    <w:p>
      <w:pPr>
        <w:pStyle w:val="6"/>
        <w:spacing w:line="360" w:lineRule="auto"/>
        <w:ind w:firstLine="0"/>
        <w:rPr>
          <w:rFonts w:ascii="宋体" w:hAnsi="宋体" w:cs="宋体"/>
          <w:b/>
          <w:color w:val="auto"/>
          <w:sz w:val="24"/>
          <w:szCs w:val="24"/>
        </w:rPr>
      </w:pPr>
      <w:r>
        <w:rPr>
          <w:rFonts w:hint="eastAsia" w:ascii="宋体" w:hAnsi="宋体" w:cs="宋体"/>
          <w:b/>
          <w:color w:val="auto"/>
          <w:sz w:val="24"/>
          <w:szCs w:val="24"/>
        </w:rPr>
        <w:t>2、各供应商按此表格式填写，表格不够时可自行添加。</w:t>
      </w:r>
    </w:p>
    <w:p>
      <w:pPr>
        <w:pStyle w:val="6"/>
        <w:spacing w:line="360" w:lineRule="auto"/>
        <w:ind w:firstLine="0"/>
        <w:jc w:val="both"/>
        <w:rPr>
          <w:rFonts w:ascii="宋体" w:hAnsi="宋体" w:cs="宋体"/>
          <w:color w:val="auto"/>
        </w:rPr>
      </w:pPr>
    </w:p>
    <w:p>
      <w:pPr>
        <w:pStyle w:val="6"/>
        <w:spacing w:line="360" w:lineRule="auto"/>
        <w:ind w:firstLine="0"/>
        <w:jc w:val="both"/>
        <w:rPr>
          <w:rFonts w:ascii="宋体" w:hAnsi="宋体" w:cs="宋体"/>
          <w:color w:val="auto"/>
        </w:rPr>
      </w:pPr>
    </w:p>
    <w:p>
      <w:pPr>
        <w:pStyle w:val="6"/>
        <w:spacing w:line="360" w:lineRule="auto"/>
        <w:ind w:firstLine="0"/>
        <w:jc w:val="both"/>
        <w:rPr>
          <w:rFonts w:ascii="宋体" w:hAnsi="宋体" w:cs="宋体"/>
          <w:color w:val="auto"/>
        </w:rPr>
      </w:pPr>
    </w:p>
    <w:p>
      <w:pPr>
        <w:pStyle w:val="6"/>
        <w:spacing w:line="360" w:lineRule="auto"/>
        <w:ind w:firstLine="0"/>
        <w:jc w:val="both"/>
        <w:rPr>
          <w:rFonts w:ascii="宋体" w:hAnsi="宋体" w:cs="宋体"/>
          <w:color w:val="auto"/>
        </w:rPr>
      </w:pPr>
    </w:p>
    <w:p>
      <w:pPr>
        <w:pStyle w:val="6"/>
        <w:spacing w:line="360" w:lineRule="auto"/>
        <w:ind w:firstLine="0"/>
        <w:jc w:val="both"/>
        <w:rPr>
          <w:rFonts w:ascii="宋体" w:hAnsi="宋体" w:cs="宋体"/>
          <w:color w:val="auto"/>
        </w:rPr>
      </w:pPr>
    </w:p>
    <w:p>
      <w:pPr>
        <w:pStyle w:val="6"/>
        <w:spacing w:line="360" w:lineRule="auto"/>
        <w:ind w:firstLine="0"/>
        <w:jc w:val="both"/>
        <w:rPr>
          <w:rFonts w:ascii="宋体" w:hAnsi="宋体" w:cs="宋体"/>
          <w:color w:val="auto"/>
        </w:rPr>
      </w:pPr>
    </w:p>
    <w:p>
      <w:pPr>
        <w:pStyle w:val="4"/>
        <w:jc w:val="center"/>
        <w:rPr>
          <w:rFonts w:ascii="宋体" w:hAnsi="宋体" w:eastAsia="宋体" w:cs="宋体"/>
          <w:color w:val="auto"/>
          <w:sz w:val="24"/>
        </w:rPr>
      </w:pPr>
      <w:r>
        <w:rPr>
          <w:rFonts w:hint="eastAsia" w:ascii="宋体" w:hAnsi="宋体" w:eastAsia="宋体" w:cs="宋体"/>
          <w:color w:val="auto"/>
          <w:sz w:val="24"/>
        </w:rPr>
        <w:t>格式6  投标函</w:t>
      </w:r>
    </w:p>
    <w:p>
      <w:pPr>
        <w:spacing w:line="360" w:lineRule="auto"/>
        <w:ind w:firstLine="482" w:firstLineChars="200"/>
        <w:rPr>
          <w:rFonts w:ascii="宋体" w:hAnsi="宋体" w:cs="宋体"/>
          <w:color w:val="auto"/>
          <w:sz w:val="24"/>
        </w:rPr>
      </w:pPr>
      <w:r>
        <w:rPr>
          <w:rFonts w:hint="eastAsia" w:ascii="宋体" w:hAnsi="宋体" w:cs="宋体"/>
          <w:b/>
          <w:color w:val="auto"/>
          <w:kern w:val="0"/>
          <w:sz w:val="24"/>
        </w:rPr>
        <w:t>致：</w:t>
      </w:r>
      <w:r>
        <w:rPr>
          <w:rFonts w:hint="eastAsia" w:ascii="宋体" w:hAnsi="宋体" w:cs="宋体"/>
          <w:b/>
          <w:color w:val="auto"/>
          <w:kern w:val="0"/>
          <w:sz w:val="24"/>
          <w:u w:val="single"/>
        </w:rPr>
        <w:t>克拉玛依市教育局</w:t>
      </w:r>
    </w:p>
    <w:p>
      <w:pPr>
        <w:pStyle w:val="15"/>
        <w:ind w:left="0" w:firstLine="480" w:firstLineChars="200"/>
        <w:rPr>
          <w:rFonts w:ascii="宋体" w:hAnsi="宋体" w:cs="宋体"/>
          <w:b w:val="0"/>
          <w:bCs/>
          <w:color w:val="auto"/>
        </w:rPr>
      </w:pPr>
      <w:r>
        <w:rPr>
          <w:rFonts w:hint="eastAsia" w:ascii="宋体" w:hAnsi="宋体" w:cs="宋体"/>
          <w:b w:val="0"/>
          <w:bCs/>
          <w:color w:val="auto"/>
        </w:rPr>
        <w:t>我方全面研究了</w:t>
      </w:r>
      <w:r>
        <w:rPr>
          <w:rFonts w:hint="eastAsia" w:ascii="宋体" w:hAnsi="宋体" w:cs="宋体"/>
          <w:bCs/>
          <w:color w:val="auto"/>
        </w:rPr>
        <w:t>“</w:t>
      </w:r>
      <w:r>
        <w:rPr>
          <w:rFonts w:hint="eastAsia" w:ascii="宋体" w:hAnsi="宋体" w:cs="宋体"/>
          <w:bCs/>
          <w:color w:val="auto"/>
          <w:u w:val="single"/>
        </w:rPr>
        <w:t xml:space="preserve">           </w:t>
      </w:r>
      <w:r>
        <w:rPr>
          <w:rFonts w:hint="eastAsia" w:ascii="宋体" w:hAnsi="宋体" w:cs="宋体"/>
          <w:bCs/>
          <w:color w:val="auto"/>
        </w:rPr>
        <w:t>”</w:t>
      </w:r>
      <w:r>
        <w:rPr>
          <w:rFonts w:hint="eastAsia" w:ascii="宋体" w:hAnsi="宋体" w:cs="宋体"/>
          <w:b w:val="0"/>
          <w:bCs/>
          <w:color w:val="auto"/>
        </w:rPr>
        <w:t>项目招标文件（招标文件编号：</w:t>
      </w:r>
      <w:r>
        <w:rPr>
          <w:rFonts w:hint="eastAsia" w:ascii="宋体" w:hAnsi="宋体" w:cs="宋体"/>
          <w:b w:val="0"/>
          <w:bCs/>
          <w:color w:val="auto"/>
          <w:u w:val="single"/>
        </w:rPr>
        <w:t xml:space="preserve">        </w:t>
      </w:r>
      <w:r>
        <w:rPr>
          <w:rFonts w:hint="eastAsia" w:ascii="宋体" w:hAnsi="宋体" w:cs="宋体"/>
          <w:b w:val="0"/>
          <w:bCs/>
          <w:color w:val="auto"/>
        </w:rPr>
        <w:t>），决定参加本项目投标。我方授权</w:t>
      </w:r>
      <w:r>
        <w:rPr>
          <w:rFonts w:hint="eastAsia" w:ascii="宋体" w:hAnsi="宋体" w:cs="宋体"/>
          <w:b w:val="0"/>
          <w:bCs/>
          <w:color w:val="auto"/>
          <w:u w:val="single"/>
        </w:rPr>
        <w:t xml:space="preserve">        </w:t>
      </w:r>
      <w:r>
        <w:rPr>
          <w:rFonts w:hint="eastAsia" w:ascii="宋体" w:hAnsi="宋体" w:cs="宋体"/>
          <w:b w:val="0"/>
          <w:bCs/>
          <w:color w:val="auto"/>
        </w:rPr>
        <w:t>（姓名、职务）代表我方</w:t>
      </w:r>
      <w:r>
        <w:rPr>
          <w:rFonts w:hint="eastAsia" w:ascii="宋体" w:hAnsi="宋体" w:cs="宋体"/>
          <w:b w:val="0"/>
          <w:bCs/>
          <w:color w:val="auto"/>
          <w:u w:val="single"/>
        </w:rPr>
        <w:t xml:space="preserve">                 </w:t>
      </w:r>
      <w:r>
        <w:rPr>
          <w:rFonts w:hint="eastAsia" w:ascii="宋体" w:hAnsi="宋体" w:cs="宋体"/>
          <w:b w:val="0"/>
          <w:bCs/>
          <w:color w:val="auto"/>
        </w:rPr>
        <w:t>全权处理本项目投标的有关事宜。</w:t>
      </w:r>
    </w:p>
    <w:p>
      <w:pPr>
        <w:pStyle w:val="15"/>
        <w:numPr>
          <w:ilvl w:val="0"/>
          <w:numId w:val="3"/>
        </w:numPr>
        <w:ind w:left="0" w:firstLine="480" w:firstLineChars="200"/>
        <w:rPr>
          <w:rFonts w:ascii="宋体" w:hAnsi="宋体" w:cs="宋体"/>
          <w:b w:val="0"/>
          <w:color w:val="auto"/>
        </w:rPr>
      </w:pPr>
      <w:r>
        <w:rPr>
          <w:rFonts w:hint="eastAsia" w:ascii="宋体" w:hAnsi="宋体" w:cs="宋体"/>
          <w:b w:val="0"/>
          <w:bCs/>
          <w:color w:val="auto"/>
        </w:rPr>
        <w:t>我方自愿按照招标文件规定的各项要求向采购人提供所需服务,投标总价</w:t>
      </w:r>
    </w:p>
    <w:p>
      <w:pPr>
        <w:pStyle w:val="15"/>
        <w:ind w:left="420" w:leftChars="200" w:firstLine="0" w:firstLineChars="0"/>
        <w:rPr>
          <w:rFonts w:ascii="宋体" w:hAnsi="宋体" w:cs="宋体"/>
          <w:b w:val="0"/>
          <w:color w:val="auto"/>
        </w:rPr>
      </w:pPr>
      <w:r>
        <w:rPr>
          <w:rFonts w:hint="eastAsia" w:ascii="宋体" w:hAnsi="宋体" w:cs="宋体"/>
          <w:b w:val="0"/>
          <w:bCs/>
          <w:color w:val="auto"/>
        </w:rPr>
        <w:t>为¥</w:t>
      </w:r>
      <w:r>
        <w:rPr>
          <w:rFonts w:hint="eastAsia" w:ascii="宋体" w:hAnsi="宋体" w:cs="宋体"/>
          <w:b w:val="0"/>
          <w:bCs/>
          <w:color w:val="auto"/>
          <w:u w:val="single"/>
        </w:rPr>
        <w:t xml:space="preserve">        </w:t>
      </w:r>
      <w:r>
        <w:rPr>
          <w:rFonts w:hint="eastAsia" w:ascii="宋体" w:hAnsi="宋体" w:cs="宋体"/>
          <w:b w:val="0"/>
          <w:bCs/>
          <w:color w:val="auto"/>
        </w:rPr>
        <w:t>（万元）（大写：人民币            ）。</w:t>
      </w:r>
    </w:p>
    <w:p>
      <w:pPr>
        <w:pStyle w:val="15"/>
        <w:numPr>
          <w:ilvl w:val="0"/>
          <w:numId w:val="3"/>
        </w:numPr>
        <w:ind w:left="0" w:firstLine="480" w:firstLineChars="200"/>
        <w:rPr>
          <w:rFonts w:ascii="宋体" w:hAnsi="宋体" w:cs="宋体"/>
          <w:b w:val="0"/>
          <w:bCs/>
          <w:color w:val="auto"/>
        </w:rPr>
      </w:pPr>
      <w:r>
        <w:rPr>
          <w:rFonts w:hint="eastAsia" w:ascii="宋体" w:hAnsi="宋体" w:cs="宋体"/>
          <w:b w:val="0"/>
          <w:bCs/>
          <w:color w:val="auto"/>
        </w:rPr>
        <w:t>我方承诺本项目投标有效期：递交响应文件截止日起</w:t>
      </w:r>
      <w:r>
        <w:rPr>
          <w:rFonts w:hint="eastAsia" w:ascii="宋体" w:hAnsi="宋体" w:cs="宋体"/>
          <w:b w:val="0"/>
          <w:bCs/>
          <w:color w:val="auto"/>
          <w:u w:val="single"/>
        </w:rPr>
        <w:t>90</w:t>
      </w:r>
      <w:r>
        <w:rPr>
          <w:rFonts w:hint="eastAsia" w:ascii="宋体" w:hAnsi="宋体" w:cs="宋体"/>
          <w:b w:val="0"/>
          <w:bCs/>
          <w:color w:val="auto"/>
        </w:rPr>
        <w:t>天（日历日）。</w:t>
      </w:r>
    </w:p>
    <w:p>
      <w:pPr>
        <w:pStyle w:val="15"/>
        <w:numPr>
          <w:ilvl w:val="0"/>
          <w:numId w:val="3"/>
        </w:numPr>
        <w:ind w:left="0" w:firstLine="480" w:firstLineChars="200"/>
        <w:rPr>
          <w:rFonts w:ascii="宋体" w:hAnsi="宋体" w:cs="宋体"/>
          <w:b w:val="0"/>
          <w:bCs/>
          <w:color w:val="auto"/>
        </w:rPr>
      </w:pPr>
      <w:r>
        <w:rPr>
          <w:rFonts w:hint="eastAsia" w:ascii="宋体" w:hAnsi="宋体" w:cs="宋体"/>
          <w:b w:val="0"/>
          <w:bCs/>
          <w:color w:val="auto"/>
        </w:rPr>
        <w:t>若我方中标，我方将严格履行合同规定的责任和义务，保证按采购人要求及我方承诺完成所需服务及应尽义务。</w:t>
      </w:r>
    </w:p>
    <w:p>
      <w:pPr>
        <w:pStyle w:val="15"/>
        <w:numPr>
          <w:ilvl w:val="0"/>
          <w:numId w:val="3"/>
        </w:numPr>
        <w:ind w:left="0" w:firstLine="480" w:firstLineChars="200"/>
        <w:rPr>
          <w:rFonts w:ascii="宋体" w:hAnsi="宋体" w:cs="宋体"/>
          <w:b w:val="0"/>
          <w:bCs/>
          <w:color w:val="auto"/>
        </w:rPr>
      </w:pPr>
      <w:r>
        <w:rPr>
          <w:rFonts w:hint="eastAsia" w:ascii="宋体" w:hAnsi="宋体" w:cs="宋体"/>
          <w:b w:val="0"/>
          <w:bCs/>
          <w:color w:val="auto"/>
        </w:rPr>
        <w:t>我方为本项目提交的响应文件一式陆份，其中正本壹份，副本伍份，全部响应文件电子文档（不加密U盘）一式壹份。</w:t>
      </w:r>
    </w:p>
    <w:p>
      <w:pPr>
        <w:pStyle w:val="15"/>
        <w:numPr>
          <w:ilvl w:val="0"/>
          <w:numId w:val="3"/>
        </w:numPr>
        <w:ind w:left="0" w:firstLine="480" w:firstLineChars="200"/>
        <w:rPr>
          <w:rFonts w:ascii="宋体" w:hAnsi="宋体" w:cs="宋体"/>
          <w:b w:val="0"/>
          <w:bCs/>
          <w:color w:val="auto"/>
        </w:rPr>
      </w:pPr>
      <w:r>
        <w:rPr>
          <w:rFonts w:hint="eastAsia" w:ascii="宋体" w:hAnsi="宋体" w:cs="宋体"/>
          <w:b w:val="0"/>
          <w:bCs/>
          <w:color w:val="auto"/>
        </w:rPr>
        <w:t>我方愿意提供采购人可能另外要求的，与公开有关的文件资料，并保证我方已提供和将要提供的文件资料是真实、准确的。</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6、我方完全理解你们将不受必须接受其它任何响应文件的约束。</w:t>
      </w:r>
    </w:p>
    <w:p>
      <w:pPr>
        <w:pStyle w:val="15"/>
        <w:ind w:left="0" w:firstLine="480" w:firstLineChars="200"/>
        <w:rPr>
          <w:rFonts w:ascii="宋体" w:hAnsi="宋体" w:cs="宋体"/>
          <w:b w:val="0"/>
          <w:bCs/>
          <w:color w:val="auto"/>
        </w:rPr>
      </w:pPr>
    </w:p>
    <w:p>
      <w:pPr>
        <w:pStyle w:val="15"/>
        <w:ind w:left="0" w:firstLine="480" w:firstLineChars="200"/>
        <w:rPr>
          <w:rFonts w:ascii="宋体" w:hAnsi="宋体" w:cs="宋体"/>
          <w:b w:val="0"/>
          <w:bCs/>
          <w:color w:val="auto"/>
        </w:rPr>
      </w:pPr>
      <w:r>
        <w:rPr>
          <w:rFonts w:hint="eastAsia" w:ascii="宋体" w:hAnsi="宋体" w:cs="宋体"/>
          <w:b w:val="0"/>
          <w:bCs/>
          <w:color w:val="auto"/>
        </w:rPr>
        <w:t>供应商名称（盖章）：</w:t>
      </w:r>
    </w:p>
    <w:p>
      <w:pPr>
        <w:pStyle w:val="15"/>
        <w:ind w:left="0" w:firstLine="480" w:firstLineChars="200"/>
        <w:rPr>
          <w:rFonts w:ascii="宋体" w:hAnsi="宋体" w:cs="宋体"/>
          <w:b w:val="0"/>
          <w:bCs/>
          <w:color w:val="auto"/>
        </w:rPr>
      </w:pPr>
      <w:r>
        <w:rPr>
          <w:rFonts w:hint="eastAsia" w:ascii="宋体" w:hAnsi="宋体" w:cs="宋体"/>
          <w:b w:val="0"/>
          <w:bCs/>
          <w:color w:val="auto"/>
        </w:rPr>
        <w:t>法人代表人或委托代理人签字或盖章：</w:t>
      </w:r>
    </w:p>
    <w:p>
      <w:pPr>
        <w:pStyle w:val="15"/>
        <w:ind w:left="0" w:firstLine="480" w:firstLineChars="200"/>
        <w:rPr>
          <w:rFonts w:ascii="宋体" w:hAnsi="宋体" w:cs="宋体"/>
          <w:b w:val="0"/>
          <w:bCs/>
          <w:color w:val="auto"/>
        </w:rPr>
      </w:pPr>
      <w:r>
        <w:rPr>
          <w:rFonts w:hint="eastAsia" w:ascii="宋体" w:hAnsi="宋体" w:cs="宋体"/>
          <w:b w:val="0"/>
          <w:bCs/>
          <w:color w:val="auto"/>
        </w:rPr>
        <w:t>通讯地址：</w:t>
      </w:r>
    </w:p>
    <w:p>
      <w:pPr>
        <w:pStyle w:val="15"/>
        <w:ind w:left="0" w:firstLine="480" w:firstLineChars="200"/>
        <w:rPr>
          <w:rFonts w:ascii="宋体" w:hAnsi="宋体" w:cs="宋体"/>
          <w:b w:val="0"/>
          <w:bCs/>
          <w:color w:val="auto"/>
        </w:rPr>
      </w:pPr>
      <w:r>
        <w:rPr>
          <w:rFonts w:hint="eastAsia" w:ascii="宋体" w:hAnsi="宋体" w:cs="宋体"/>
          <w:b w:val="0"/>
          <w:bCs/>
          <w:color w:val="auto"/>
        </w:rPr>
        <w:t>邮政编码：</w:t>
      </w:r>
    </w:p>
    <w:p>
      <w:pPr>
        <w:pStyle w:val="15"/>
        <w:ind w:left="0" w:firstLine="480" w:firstLineChars="200"/>
        <w:rPr>
          <w:rFonts w:ascii="宋体" w:hAnsi="宋体" w:cs="宋体"/>
          <w:b w:val="0"/>
          <w:bCs/>
          <w:color w:val="auto"/>
        </w:rPr>
      </w:pPr>
      <w:r>
        <w:rPr>
          <w:rFonts w:hint="eastAsia" w:ascii="宋体" w:hAnsi="宋体" w:cs="宋体"/>
          <w:b w:val="0"/>
          <w:bCs/>
          <w:color w:val="auto"/>
        </w:rPr>
        <w:t>联系电话：</w:t>
      </w:r>
    </w:p>
    <w:p>
      <w:pPr>
        <w:pStyle w:val="15"/>
        <w:ind w:left="0" w:firstLine="480" w:firstLineChars="200"/>
        <w:rPr>
          <w:rFonts w:ascii="宋体" w:hAnsi="宋体" w:cs="宋体"/>
          <w:b w:val="0"/>
          <w:bCs/>
          <w:color w:val="auto"/>
        </w:rPr>
      </w:pPr>
      <w:r>
        <w:rPr>
          <w:rFonts w:hint="eastAsia" w:ascii="宋体" w:hAnsi="宋体" w:cs="宋体"/>
          <w:b w:val="0"/>
          <w:bCs/>
          <w:color w:val="auto"/>
        </w:rPr>
        <w:t>传    真：</w:t>
      </w:r>
    </w:p>
    <w:p>
      <w:pPr>
        <w:pStyle w:val="15"/>
        <w:ind w:left="0" w:firstLine="480" w:firstLineChars="200"/>
        <w:rPr>
          <w:rFonts w:ascii="宋体" w:hAnsi="宋体" w:cs="宋体"/>
          <w:b w:val="0"/>
          <w:bCs/>
          <w:color w:val="auto"/>
        </w:rPr>
      </w:pPr>
      <w:r>
        <w:rPr>
          <w:rFonts w:hint="eastAsia" w:ascii="宋体" w:hAnsi="宋体" w:cs="宋体"/>
          <w:b w:val="0"/>
          <w:bCs/>
          <w:color w:val="auto"/>
        </w:rPr>
        <w:t>日    期：   年    月    日</w:t>
      </w:r>
    </w:p>
    <w:p>
      <w:pPr>
        <w:pStyle w:val="6"/>
        <w:spacing w:line="360" w:lineRule="auto"/>
        <w:ind w:firstLine="0"/>
        <w:jc w:val="both"/>
        <w:rPr>
          <w:rFonts w:ascii="宋体" w:hAnsi="宋体" w:cs="宋体"/>
          <w:color w:val="auto"/>
        </w:rPr>
      </w:pPr>
    </w:p>
    <w:p>
      <w:pPr>
        <w:spacing w:line="360" w:lineRule="auto"/>
        <w:jc w:val="center"/>
        <w:rPr>
          <w:rFonts w:ascii="宋体" w:hAnsi="宋体" w:cs="宋体"/>
          <w:b/>
          <w:color w:val="auto"/>
          <w:sz w:val="24"/>
        </w:rPr>
      </w:pPr>
    </w:p>
    <w:p>
      <w:pPr>
        <w:spacing w:line="360" w:lineRule="auto"/>
        <w:jc w:val="center"/>
        <w:rPr>
          <w:rFonts w:ascii="宋体" w:hAnsi="宋体" w:cs="宋体"/>
          <w:b/>
          <w:color w:val="auto"/>
          <w:sz w:val="24"/>
        </w:rPr>
      </w:pPr>
    </w:p>
    <w:p>
      <w:pPr>
        <w:spacing w:line="360" w:lineRule="auto"/>
        <w:jc w:val="center"/>
        <w:rPr>
          <w:rFonts w:ascii="宋体" w:hAnsi="宋体" w:cs="宋体"/>
          <w:b/>
          <w:color w:val="auto"/>
          <w:sz w:val="24"/>
        </w:rPr>
      </w:pPr>
    </w:p>
    <w:p>
      <w:pPr>
        <w:spacing w:line="360" w:lineRule="auto"/>
        <w:jc w:val="center"/>
        <w:rPr>
          <w:rFonts w:ascii="宋体" w:hAnsi="宋体" w:cs="宋体"/>
          <w:b/>
          <w:color w:val="auto"/>
          <w:sz w:val="24"/>
        </w:rPr>
      </w:pPr>
    </w:p>
    <w:p>
      <w:pPr>
        <w:pStyle w:val="4"/>
        <w:spacing w:line="240" w:lineRule="auto"/>
        <w:jc w:val="center"/>
        <w:rPr>
          <w:rFonts w:ascii="宋体" w:hAnsi="宋体" w:eastAsia="宋体" w:cs="宋体"/>
          <w:color w:val="auto"/>
          <w:sz w:val="24"/>
        </w:rPr>
      </w:pPr>
      <w:r>
        <w:rPr>
          <w:rFonts w:hint="eastAsia" w:ascii="宋体" w:hAnsi="宋体" w:eastAsia="宋体" w:cs="宋体"/>
          <w:color w:val="auto"/>
          <w:sz w:val="24"/>
        </w:rPr>
        <w:t>格式7 开标一览表</w:t>
      </w:r>
    </w:p>
    <w:p>
      <w:pPr>
        <w:pStyle w:val="4"/>
        <w:spacing w:line="240" w:lineRule="auto"/>
        <w:jc w:val="left"/>
        <w:rPr>
          <w:rFonts w:ascii="宋体" w:hAnsi="宋体" w:eastAsia="宋体" w:cs="宋体"/>
          <w:color w:val="auto"/>
          <w:sz w:val="24"/>
          <w:szCs w:val="24"/>
        </w:rPr>
      </w:pPr>
      <w:r>
        <w:rPr>
          <w:rFonts w:hint="eastAsia" w:ascii="宋体" w:hAnsi="宋体" w:eastAsia="宋体" w:cs="宋体"/>
          <w:color w:val="auto"/>
          <w:sz w:val="24"/>
          <w:szCs w:val="24"/>
        </w:rPr>
        <w:t xml:space="preserve">项目名称：                                                        </w:t>
      </w:r>
      <w:r>
        <w:rPr>
          <w:rFonts w:hint="eastAsia" w:ascii="宋体" w:hAnsi="宋体" w:eastAsia="宋体" w:cs="宋体"/>
          <w:b w:val="0"/>
          <w:bCs w:val="0"/>
          <w:color w:val="auto"/>
          <w:sz w:val="24"/>
          <w:szCs w:val="24"/>
        </w:rPr>
        <w:t xml:space="preserve">币种：人民币 </w:t>
      </w:r>
      <w:r>
        <w:rPr>
          <w:rFonts w:hint="eastAsia" w:ascii="宋体" w:hAnsi="宋体" w:eastAsia="宋体" w:cs="宋体"/>
          <w:color w:val="auto"/>
          <w:sz w:val="24"/>
          <w:szCs w:val="24"/>
        </w:rPr>
        <w:t xml:space="preserve">     </w:t>
      </w:r>
    </w:p>
    <w:tbl>
      <w:tblPr>
        <w:tblStyle w:val="27"/>
        <w:tblpPr w:leftFromText="180" w:rightFromText="180" w:vertAnchor="text" w:horzAnchor="page" w:tblpX="1226" w:tblpY="12"/>
        <w:tblOverlap w:val="never"/>
        <w:tblW w:w="9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0"/>
        <w:gridCol w:w="2073"/>
        <w:gridCol w:w="4949"/>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trPr>
        <w:tc>
          <w:tcPr>
            <w:tcW w:w="720" w:type="dxa"/>
            <w:tcBorders>
              <w:top w:val="single" w:color="000000" w:sz="2" w:space="0"/>
              <w:left w:val="single" w:color="000000" w:sz="2" w:space="0"/>
              <w:right w:val="single" w:color="000000" w:sz="2"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序号</w:t>
            </w:r>
          </w:p>
        </w:tc>
        <w:tc>
          <w:tcPr>
            <w:tcW w:w="2073" w:type="dxa"/>
            <w:tcBorders>
              <w:top w:val="single" w:color="000000" w:sz="2" w:space="0"/>
              <w:left w:val="single" w:color="auto" w:sz="4" w:space="0"/>
              <w:right w:val="single" w:color="000000" w:sz="2"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采购内容</w:t>
            </w:r>
          </w:p>
        </w:tc>
        <w:tc>
          <w:tcPr>
            <w:tcW w:w="4949" w:type="dxa"/>
            <w:tcBorders>
              <w:top w:val="single" w:color="000000" w:sz="2" w:space="0"/>
              <w:left w:val="single" w:color="auto" w:sz="4" w:space="0"/>
              <w:right w:val="single" w:color="000000" w:sz="2" w:space="0"/>
            </w:tcBorders>
            <w:vAlign w:val="center"/>
          </w:tcPr>
          <w:p>
            <w:pPr>
              <w:spacing w:line="360" w:lineRule="auto"/>
              <w:jc w:val="center"/>
              <w:rPr>
                <w:rFonts w:ascii="宋体" w:hAnsi="宋体" w:cs="宋体"/>
                <w:color w:val="auto"/>
                <w:sz w:val="24"/>
              </w:rPr>
            </w:pPr>
            <w:r>
              <w:rPr>
                <w:rFonts w:hint="eastAsia" w:ascii="宋体" w:hAnsi="宋体" w:cs="宋体"/>
                <w:color w:val="auto"/>
                <w:kern w:val="0"/>
                <w:sz w:val="24"/>
              </w:rPr>
              <w:t>报价（万元）</w:t>
            </w:r>
          </w:p>
        </w:tc>
        <w:tc>
          <w:tcPr>
            <w:tcW w:w="1483" w:type="dxa"/>
            <w:tcBorders>
              <w:top w:val="single" w:color="000000" w:sz="2" w:space="0"/>
              <w:lef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8" w:hRule="atLeast"/>
        </w:trPr>
        <w:tc>
          <w:tcPr>
            <w:tcW w:w="720" w:type="dxa"/>
            <w:vMerge w:val="restart"/>
            <w:tcBorders>
              <w:top w:val="single" w:color="auto" w:sz="4" w:space="0"/>
              <w:left w:val="single" w:color="000000" w:sz="2" w:space="0"/>
              <w:right w:val="single" w:color="000000" w:sz="2"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1</w:t>
            </w:r>
          </w:p>
        </w:tc>
        <w:tc>
          <w:tcPr>
            <w:tcW w:w="2073" w:type="dxa"/>
            <w:vMerge w:val="restart"/>
            <w:tcBorders>
              <w:top w:val="single" w:color="auto" w:sz="4" w:space="0"/>
              <w:left w:val="single" w:color="auto" w:sz="4" w:space="0"/>
              <w:right w:val="single" w:color="000000" w:sz="2"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克拉玛依市教育局及直属学校安保服务项目</w:t>
            </w:r>
          </w:p>
        </w:tc>
        <w:tc>
          <w:tcPr>
            <w:tcW w:w="4949" w:type="dxa"/>
            <w:tcBorders>
              <w:left w:val="single" w:color="auto" w:sz="4" w:space="0"/>
              <w:right w:val="single" w:color="auto" w:sz="4" w:space="0"/>
            </w:tcBorders>
            <w:vAlign w:val="center"/>
          </w:tcPr>
          <w:p>
            <w:pPr>
              <w:spacing w:line="360" w:lineRule="auto"/>
              <w:rPr>
                <w:rFonts w:ascii="宋体" w:hAnsi="宋体" w:cs="宋体"/>
                <w:color w:val="auto"/>
                <w:sz w:val="24"/>
              </w:rPr>
            </w:pPr>
            <w:r>
              <w:rPr>
                <w:rFonts w:hint="eastAsia" w:ascii="宋体" w:hAnsi="宋体" w:cs="宋体"/>
                <w:color w:val="auto"/>
                <w:sz w:val="24"/>
              </w:rPr>
              <w:t>小写：¥</w:t>
            </w:r>
          </w:p>
        </w:tc>
        <w:tc>
          <w:tcPr>
            <w:tcW w:w="1483" w:type="dxa"/>
            <w:vMerge w:val="restart"/>
            <w:tcBorders>
              <w:left w:val="single" w:color="auto" w:sz="4" w:space="0"/>
              <w:right w:val="single" w:color="000000" w:sz="2" w:space="0"/>
            </w:tcBorders>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720" w:type="dxa"/>
            <w:vMerge w:val="continue"/>
            <w:tcBorders>
              <w:left w:val="single" w:color="000000" w:sz="2" w:space="0"/>
              <w:right w:val="single" w:color="000000" w:sz="2" w:space="0"/>
            </w:tcBorders>
            <w:vAlign w:val="center"/>
          </w:tcPr>
          <w:p>
            <w:pPr>
              <w:spacing w:line="360" w:lineRule="auto"/>
              <w:jc w:val="center"/>
              <w:rPr>
                <w:rFonts w:ascii="宋体" w:hAnsi="宋体" w:cs="宋体"/>
                <w:color w:val="auto"/>
                <w:sz w:val="24"/>
              </w:rPr>
            </w:pPr>
          </w:p>
        </w:tc>
        <w:tc>
          <w:tcPr>
            <w:tcW w:w="2073" w:type="dxa"/>
            <w:vMerge w:val="continue"/>
            <w:tcBorders>
              <w:left w:val="single" w:color="auto" w:sz="4" w:space="0"/>
              <w:right w:val="single" w:color="000000" w:sz="2" w:space="0"/>
            </w:tcBorders>
            <w:vAlign w:val="center"/>
          </w:tcPr>
          <w:p>
            <w:pPr>
              <w:spacing w:line="360" w:lineRule="auto"/>
              <w:jc w:val="center"/>
              <w:rPr>
                <w:rFonts w:ascii="宋体" w:hAnsi="宋体" w:cs="宋体"/>
                <w:color w:val="auto"/>
                <w:sz w:val="24"/>
              </w:rPr>
            </w:pPr>
          </w:p>
        </w:tc>
        <w:tc>
          <w:tcPr>
            <w:tcW w:w="4949" w:type="dxa"/>
            <w:tcBorders>
              <w:left w:val="single" w:color="auto" w:sz="4" w:space="0"/>
              <w:right w:val="single" w:color="auto" w:sz="4" w:space="0"/>
            </w:tcBorders>
            <w:vAlign w:val="center"/>
          </w:tcPr>
          <w:p>
            <w:pPr>
              <w:spacing w:line="360" w:lineRule="auto"/>
              <w:rPr>
                <w:rFonts w:ascii="宋体" w:hAnsi="宋体" w:cs="宋体"/>
                <w:color w:val="auto"/>
                <w:sz w:val="24"/>
              </w:rPr>
            </w:pPr>
            <w:r>
              <w:rPr>
                <w:rFonts w:hint="eastAsia" w:ascii="宋体" w:hAnsi="宋体" w:cs="宋体"/>
                <w:color w:val="auto"/>
                <w:sz w:val="24"/>
              </w:rPr>
              <w:t>大写：人民币</w:t>
            </w:r>
          </w:p>
        </w:tc>
        <w:tc>
          <w:tcPr>
            <w:tcW w:w="1483" w:type="dxa"/>
            <w:vMerge w:val="continue"/>
            <w:tcBorders>
              <w:left w:val="single" w:color="auto" w:sz="4" w:space="0"/>
              <w:right w:val="single" w:color="000000" w:sz="2" w:space="0"/>
            </w:tcBorders>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5" w:hRule="atLeast"/>
        </w:trPr>
        <w:tc>
          <w:tcPr>
            <w:tcW w:w="720"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4</w:t>
            </w:r>
          </w:p>
        </w:tc>
        <w:tc>
          <w:tcPr>
            <w:tcW w:w="2073" w:type="dxa"/>
            <w:tcBorders>
              <w:top w:val="single" w:color="auto" w:sz="4" w:space="0"/>
              <w:left w:val="single" w:color="auto" w:sz="4" w:space="0"/>
              <w:bottom w:val="single" w:color="000000" w:sz="2"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服务期限</w:t>
            </w:r>
          </w:p>
        </w:tc>
        <w:tc>
          <w:tcPr>
            <w:tcW w:w="6432" w:type="dxa"/>
            <w:gridSpan w:val="2"/>
            <w:tcBorders>
              <w:top w:val="single" w:color="auto" w:sz="4" w:space="0"/>
              <w:left w:val="single" w:color="auto" w:sz="4" w:space="0"/>
              <w:bottom w:val="single" w:color="000000" w:sz="2" w:space="0"/>
              <w:right w:val="single" w:color="000000" w:sz="2" w:space="0"/>
            </w:tcBorders>
            <w:vAlign w:val="center"/>
          </w:tcPr>
          <w:p>
            <w:pPr>
              <w:pStyle w:val="11"/>
              <w:spacing w:line="400" w:lineRule="exact"/>
              <w:jc w:val="center"/>
              <w:rPr>
                <w:rFonts w:ascii="宋体" w:hAnsi="宋体" w:cs="宋体"/>
                <w:color w:val="auto"/>
                <w:sz w:val="24"/>
              </w:rPr>
            </w:pPr>
            <w:r>
              <w:rPr>
                <w:rFonts w:hint="eastAsia" w:ascii="宋体" w:hAnsi="宋体" w:cs="宋体"/>
                <w:color w:val="auto"/>
                <w:sz w:val="24"/>
              </w:rPr>
              <w:t>2022年1月1日起至2024年12月31日止（服务期限三年，合同一年一签）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trPr>
        <w:tc>
          <w:tcPr>
            <w:tcW w:w="720"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5</w:t>
            </w:r>
          </w:p>
        </w:tc>
        <w:tc>
          <w:tcPr>
            <w:tcW w:w="2073" w:type="dxa"/>
            <w:tcBorders>
              <w:top w:val="single" w:color="auto" w:sz="4" w:space="0"/>
              <w:left w:val="single" w:color="auto" w:sz="4" w:space="0"/>
              <w:bottom w:val="single" w:color="000000" w:sz="2" w:space="0"/>
              <w:right w:val="single" w:color="000000" w:sz="2" w:space="0"/>
            </w:tcBorders>
            <w:vAlign w:val="center"/>
          </w:tcPr>
          <w:p>
            <w:pPr>
              <w:spacing w:line="360" w:lineRule="auto"/>
              <w:ind w:firstLine="90"/>
              <w:jc w:val="center"/>
              <w:rPr>
                <w:rFonts w:ascii="宋体" w:hAnsi="宋体" w:cs="宋体"/>
                <w:color w:val="auto"/>
                <w:sz w:val="24"/>
              </w:rPr>
            </w:pPr>
            <w:r>
              <w:rPr>
                <w:rFonts w:hint="eastAsia" w:ascii="宋体" w:hAnsi="宋体" w:cs="宋体"/>
                <w:b/>
                <w:color w:val="auto"/>
                <w:sz w:val="24"/>
              </w:rPr>
              <w:t>供应商其它说明（由各供应商根据本采购项目要求自行列出需说明及承诺内容）</w:t>
            </w:r>
          </w:p>
        </w:tc>
        <w:tc>
          <w:tcPr>
            <w:tcW w:w="643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95" w:hRule="exact"/>
        </w:trPr>
        <w:tc>
          <w:tcPr>
            <w:tcW w:w="9225" w:type="dxa"/>
            <w:gridSpan w:val="4"/>
            <w:tcBorders>
              <w:top w:val="single" w:color="auto" w:sz="4" w:space="0"/>
              <w:left w:val="single" w:color="000000" w:sz="2" w:space="0"/>
              <w:bottom w:val="single" w:color="000000" w:sz="2" w:space="0"/>
              <w:right w:val="single" w:color="000000" w:sz="2" w:space="0"/>
            </w:tcBorders>
            <w:vAlign w:val="center"/>
          </w:tcPr>
          <w:p>
            <w:pPr>
              <w:spacing w:line="360" w:lineRule="auto"/>
              <w:jc w:val="left"/>
              <w:rPr>
                <w:rFonts w:ascii="宋体" w:hAnsi="宋体" w:cs="宋体"/>
                <w:b/>
                <w:bCs/>
                <w:color w:val="auto"/>
                <w:szCs w:val="21"/>
              </w:rPr>
            </w:pPr>
            <w:r>
              <w:rPr>
                <w:rFonts w:hint="eastAsia" w:ascii="宋体" w:hAnsi="宋体" w:cs="宋体"/>
                <w:b/>
                <w:color w:val="auto"/>
                <w:sz w:val="24"/>
              </w:rPr>
              <w:t>注：</w:t>
            </w:r>
            <w:r>
              <w:rPr>
                <w:rFonts w:hint="eastAsia" w:ascii="宋体" w:hAnsi="宋体" w:cs="宋体"/>
                <w:b/>
                <w:bCs/>
                <w:color w:val="auto"/>
                <w:szCs w:val="21"/>
              </w:rPr>
              <w:t>（1）完成克拉玛依市教育局及直属学校安保服务项目的全部工作内容以及项目采购需求及合同文本、本招标文件约定的全部内容。</w:t>
            </w:r>
          </w:p>
          <w:p>
            <w:pPr>
              <w:spacing w:line="360" w:lineRule="auto"/>
              <w:ind w:firstLine="482"/>
              <w:jc w:val="left"/>
              <w:rPr>
                <w:rFonts w:ascii="宋体" w:hAnsi="宋体" w:cs="宋体"/>
                <w:b/>
                <w:bCs/>
                <w:color w:val="auto"/>
                <w:szCs w:val="21"/>
              </w:rPr>
            </w:pPr>
            <w:r>
              <w:rPr>
                <w:rFonts w:hint="eastAsia" w:ascii="宋体" w:hAnsi="宋体" w:cs="宋体"/>
                <w:b/>
                <w:bCs/>
                <w:color w:val="auto"/>
                <w:szCs w:val="21"/>
              </w:rPr>
              <w:t>（2）如果投标方在中标并签署合同后，服务期限内出现的任何遗漏，均由中标方负责，采购方将不再支付任何费用。</w:t>
            </w:r>
          </w:p>
          <w:p>
            <w:pPr>
              <w:spacing w:line="360" w:lineRule="auto"/>
              <w:ind w:firstLine="482"/>
              <w:jc w:val="left"/>
              <w:rPr>
                <w:color w:val="auto"/>
              </w:rPr>
            </w:pPr>
            <w:r>
              <w:rPr>
                <w:rFonts w:hint="eastAsia" w:ascii="宋体" w:hAnsi="宋体" w:cs="宋体"/>
                <w:b/>
                <w:bCs/>
                <w:color w:val="auto"/>
                <w:szCs w:val="21"/>
              </w:rPr>
              <w:t xml:space="preserve">（3）投标报价应包含完成本项目所需的人力成本、设备成本、利润、税金、交通及其他相关费用等，采购人将不予支付除招标文件及规划合同约定的由供应商承担的风险因素之外的任何补偿。 </w:t>
            </w:r>
          </w:p>
        </w:tc>
      </w:tr>
    </w:tbl>
    <w:p>
      <w:pPr>
        <w:ind w:firstLine="480" w:firstLineChars="200"/>
        <w:rPr>
          <w:rFonts w:ascii="宋体" w:hAnsi="宋体" w:cs="宋体"/>
          <w:color w:val="auto"/>
          <w:sz w:val="24"/>
        </w:rPr>
      </w:pPr>
    </w:p>
    <w:p>
      <w:pPr>
        <w:ind w:firstLine="480" w:firstLineChars="200"/>
        <w:rPr>
          <w:rFonts w:ascii="宋体" w:hAnsi="宋体" w:cs="宋体"/>
          <w:color w:val="auto"/>
          <w:sz w:val="24"/>
        </w:rPr>
      </w:pPr>
      <w:r>
        <w:rPr>
          <w:rFonts w:hint="eastAsia" w:ascii="宋体" w:hAnsi="宋体" w:cs="宋体"/>
          <w:color w:val="auto"/>
          <w:sz w:val="24"/>
        </w:rPr>
        <w:t xml:space="preserve">供应商(盖章)： </w:t>
      </w:r>
    </w:p>
    <w:p>
      <w:pPr>
        <w:rPr>
          <w:rFonts w:ascii="宋体" w:hAnsi="宋体" w:cs="宋体"/>
          <w:color w:val="auto"/>
          <w:sz w:val="24"/>
        </w:rPr>
      </w:pPr>
    </w:p>
    <w:p>
      <w:pPr>
        <w:ind w:firstLine="480" w:firstLineChars="200"/>
        <w:rPr>
          <w:rFonts w:ascii="宋体" w:hAnsi="宋体" w:cs="宋体"/>
          <w:color w:val="auto"/>
          <w:sz w:val="24"/>
        </w:rPr>
      </w:pPr>
      <w:r>
        <w:rPr>
          <w:rFonts w:hint="eastAsia" w:ascii="宋体" w:hAnsi="宋体" w:cs="宋体"/>
          <w:color w:val="auto"/>
          <w:sz w:val="24"/>
        </w:rPr>
        <w:t>法定代表人或委托代理人（签字或盖章）：</w:t>
      </w:r>
    </w:p>
    <w:p>
      <w:pPr>
        <w:ind w:firstLine="480" w:firstLineChars="200"/>
        <w:rPr>
          <w:rFonts w:ascii="宋体" w:hAnsi="宋体" w:cs="宋体"/>
          <w:color w:val="auto"/>
          <w:sz w:val="24"/>
        </w:rPr>
      </w:pPr>
    </w:p>
    <w:p>
      <w:pPr>
        <w:ind w:firstLine="480" w:firstLineChars="200"/>
        <w:rPr>
          <w:rFonts w:ascii="宋体" w:hAnsi="宋体" w:cs="宋体"/>
          <w:b/>
          <w:color w:val="auto"/>
          <w:sz w:val="24"/>
        </w:rPr>
      </w:pPr>
      <w:r>
        <w:rPr>
          <w:rFonts w:hint="eastAsia" w:ascii="宋体" w:hAnsi="宋体" w:cs="宋体"/>
          <w:color w:val="auto"/>
          <w:sz w:val="24"/>
        </w:rPr>
        <w:t>日期：   年  月   日</w:t>
      </w:r>
    </w:p>
    <w:p>
      <w:pPr>
        <w:spacing w:line="360" w:lineRule="auto"/>
        <w:jc w:val="center"/>
        <w:rPr>
          <w:rFonts w:ascii="宋体" w:hAnsi="宋体" w:cs="宋体"/>
          <w:color w:val="auto"/>
          <w:sz w:val="24"/>
        </w:rPr>
      </w:pPr>
    </w:p>
    <w:p>
      <w:pPr>
        <w:spacing w:line="360" w:lineRule="auto"/>
        <w:jc w:val="center"/>
        <w:rPr>
          <w:rFonts w:ascii="宋体" w:hAnsi="宋体" w:cs="宋体"/>
          <w:color w:val="auto"/>
          <w:sz w:val="24"/>
        </w:rPr>
      </w:pPr>
    </w:p>
    <w:p>
      <w:pPr>
        <w:spacing w:line="360" w:lineRule="auto"/>
        <w:jc w:val="center"/>
        <w:rPr>
          <w:rFonts w:ascii="宋体" w:hAnsi="宋体" w:cs="宋体"/>
          <w:color w:val="auto"/>
          <w:sz w:val="24"/>
        </w:rPr>
      </w:pPr>
    </w:p>
    <w:p>
      <w:pPr>
        <w:spacing w:line="360" w:lineRule="auto"/>
        <w:jc w:val="center"/>
        <w:rPr>
          <w:rFonts w:ascii="宋体" w:hAnsi="宋体" w:cs="宋体"/>
          <w:color w:val="auto"/>
          <w:sz w:val="24"/>
        </w:rPr>
      </w:pPr>
    </w:p>
    <w:p>
      <w:pPr>
        <w:spacing w:line="360" w:lineRule="auto"/>
        <w:jc w:val="center"/>
        <w:rPr>
          <w:rFonts w:ascii="宋体" w:hAnsi="宋体" w:cs="宋体"/>
          <w:color w:val="auto"/>
          <w:sz w:val="24"/>
        </w:rPr>
      </w:pPr>
    </w:p>
    <w:p>
      <w:pPr>
        <w:spacing w:line="360" w:lineRule="auto"/>
        <w:jc w:val="center"/>
        <w:rPr>
          <w:rFonts w:ascii="宋体" w:hAnsi="宋体" w:cs="宋体"/>
          <w:b/>
          <w:bCs/>
          <w:color w:val="auto"/>
          <w:sz w:val="24"/>
        </w:rPr>
      </w:pPr>
      <w:r>
        <w:rPr>
          <w:rFonts w:hint="eastAsia" w:ascii="宋体" w:hAnsi="宋体" w:cs="宋体"/>
          <w:color w:val="auto"/>
          <w:sz w:val="24"/>
        </w:rPr>
        <w:t>格式8</w:t>
      </w:r>
      <w:r>
        <w:rPr>
          <w:rFonts w:hint="eastAsia" w:ascii="宋体" w:hAnsi="宋体" w:cs="宋体"/>
          <w:b/>
          <w:color w:val="auto"/>
          <w:sz w:val="24"/>
        </w:rPr>
        <w:t xml:space="preserve">  商务条款偏离表</w:t>
      </w:r>
    </w:p>
    <w:p>
      <w:pPr>
        <w:spacing w:line="360" w:lineRule="auto"/>
        <w:rPr>
          <w:rFonts w:ascii="宋体" w:hAnsi="宋体" w:cs="宋体"/>
          <w:b/>
          <w:bCs/>
          <w:color w:val="auto"/>
          <w:sz w:val="24"/>
        </w:rPr>
      </w:pPr>
      <w:r>
        <w:rPr>
          <w:rFonts w:hint="eastAsia" w:ascii="宋体" w:hAnsi="宋体" w:cs="宋体"/>
          <w:b/>
          <w:bCs/>
          <w:color w:val="auto"/>
          <w:sz w:val="24"/>
        </w:rPr>
        <w:t xml:space="preserve">项目名称：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2228"/>
        <w:gridCol w:w="2228"/>
        <w:gridCol w:w="2228"/>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jc w:val="center"/>
              <w:rPr>
                <w:rFonts w:ascii="宋体" w:hAnsi="宋体" w:cs="宋体"/>
                <w:b/>
                <w:bCs/>
                <w:color w:val="auto"/>
                <w:sz w:val="24"/>
              </w:rPr>
            </w:pPr>
            <w:r>
              <w:rPr>
                <w:rFonts w:hint="eastAsia" w:ascii="宋体" w:hAnsi="宋体" w:cs="宋体"/>
                <w:b/>
                <w:bCs/>
                <w:color w:val="auto"/>
                <w:sz w:val="24"/>
              </w:rPr>
              <w:t>序号</w:t>
            </w:r>
          </w:p>
        </w:tc>
        <w:tc>
          <w:tcPr>
            <w:tcW w:w="2228" w:type="dxa"/>
            <w:vAlign w:val="center"/>
          </w:tcPr>
          <w:p>
            <w:pPr>
              <w:jc w:val="center"/>
              <w:rPr>
                <w:rFonts w:ascii="宋体" w:hAnsi="宋体" w:cs="宋体"/>
                <w:b/>
                <w:bCs/>
                <w:color w:val="auto"/>
                <w:sz w:val="24"/>
              </w:rPr>
            </w:pPr>
            <w:r>
              <w:rPr>
                <w:rFonts w:hint="eastAsia" w:ascii="宋体" w:hAnsi="宋体" w:cs="宋体"/>
                <w:b/>
                <w:bCs/>
                <w:color w:val="auto"/>
                <w:sz w:val="24"/>
              </w:rPr>
              <w:t>条款序号</w:t>
            </w:r>
          </w:p>
        </w:tc>
        <w:tc>
          <w:tcPr>
            <w:tcW w:w="2228" w:type="dxa"/>
            <w:vAlign w:val="center"/>
          </w:tcPr>
          <w:p>
            <w:pPr>
              <w:jc w:val="center"/>
              <w:rPr>
                <w:rFonts w:ascii="宋体" w:hAnsi="宋体" w:cs="宋体"/>
                <w:b/>
                <w:bCs/>
                <w:color w:val="auto"/>
                <w:sz w:val="24"/>
              </w:rPr>
            </w:pPr>
            <w:r>
              <w:rPr>
                <w:rFonts w:hint="eastAsia" w:ascii="宋体" w:hAnsi="宋体" w:cs="宋体"/>
                <w:b/>
                <w:bCs/>
                <w:color w:val="auto"/>
                <w:sz w:val="24"/>
              </w:rPr>
              <w:t>招标商务条款</w:t>
            </w:r>
          </w:p>
        </w:tc>
        <w:tc>
          <w:tcPr>
            <w:tcW w:w="2228" w:type="dxa"/>
            <w:vAlign w:val="center"/>
          </w:tcPr>
          <w:p>
            <w:pPr>
              <w:jc w:val="center"/>
              <w:rPr>
                <w:rFonts w:ascii="宋体" w:hAnsi="宋体" w:cs="宋体"/>
                <w:b/>
                <w:bCs/>
                <w:color w:val="auto"/>
                <w:sz w:val="24"/>
              </w:rPr>
            </w:pPr>
            <w:r>
              <w:rPr>
                <w:rFonts w:hint="eastAsia" w:ascii="宋体" w:hAnsi="宋体" w:cs="宋体"/>
                <w:b/>
                <w:bCs/>
                <w:color w:val="auto"/>
                <w:sz w:val="24"/>
              </w:rPr>
              <w:t>投标商务条款</w:t>
            </w:r>
          </w:p>
        </w:tc>
        <w:tc>
          <w:tcPr>
            <w:tcW w:w="2228" w:type="dxa"/>
            <w:vAlign w:val="center"/>
          </w:tcPr>
          <w:p>
            <w:pPr>
              <w:jc w:val="center"/>
              <w:rPr>
                <w:rFonts w:ascii="宋体" w:hAnsi="宋体" w:cs="宋体"/>
                <w:b/>
                <w:bCs/>
                <w:color w:val="auto"/>
                <w:sz w:val="24"/>
              </w:rPr>
            </w:pPr>
            <w:r>
              <w:rPr>
                <w:rFonts w:hint="eastAsia" w:ascii="宋体" w:hAnsi="宋体" w:cs="宋体"/>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rPr>
                <w:rFonts w:ascii="宋体" w:hAnsi="宋体" w:cs="宋体"/>
                <w:b/>
                <w:bCs/>
                <w:color w:val="auto"/>
                <w:sz w:val="24"/>
              </w:rPr>
            </w:pPr>
          </w:p>
        </w:tc>
        <w:tc>
          <w:tcPr>
            <w:tcW w:w="2228" w:type="dxa"/>
            <w:vAlign w:val="center"/>
          </w:tcPr>
          <w:p>
            <w:pPr>
              <w:rPr>
                <w:rFonts w:ascii="宋体" w:hAnsi="宋体" w:cs="宋体"/>
                <w:b/>
                <w:bCs/>
                <w:color w:val="auto"/>
                <w:sz w:val="24"/>
              </w:rPr>
            </w:pPr>
          </w:p>
        </w:tc>
        <w:tc>
          <w:tcPr>
            <w:tcW w:w="2228" w:type="dxa"/>
            <w:vAlign w:val="center"/>
          </w:tcPr>
          <w:p>
            <w:pPr>
              <w:rPr>
                <w:rFonts w:ascii="宋体" w:hAnsi="宋体" w:cs="宋体"/>
                <w:b/>
                <w:bCs/>
                <w:color w:val="auto"/>
                <w:sz w:val="24"/>
              </w:rPr>
            </w:pPr>
          </w:p>
        </w:tc>
        <w:tc>
          <w:tcPr>
            <w:tcW w:w="2228" w:type="dxa"/>
            <w:vAlign w:val="center"/>
          </w:tcPr>
          <w:p>
            <w:pPr>
              <w:rPr>
                <w:rFonts w:ascii="宋体" w:hAnsi="宋体" w:cs="宋体"/>
                <w:b/>
                <w:bCs/>
                <w:color w:val="auto"/>
                <w:sz w:val="24"/>
              </w:rPr>
            </w:pPr>
          </w:p>
        </w:tc>
        <w:tc>
          <w:tcPr>
            <w:tcW w:w="2228" w:type="dxa"/>
            <w:vAlign w:val="center"/>
          </w:tcPr>
          <w:p>
            <w:pPr>
              <w:rPr>
                <w:rFonts w:ascii="宋体" w:hAnsi="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r>
    </w:tbl>
    <w:p>
      <w:pPr>
        <w:rPr>
          <w:rFonts w:ascii="宋体" w:hAnsi="宋体" w:cs="宋体"/>
          <w:color w:val="auto"/>
        </w:rPr>
      </w:pPr>
    </w:p>
    <w:p>
      <w:pPr>
        <w:ind w:firstLine="482" w:firstLineChars="200"/>
        <w:rPr>
          <w:rFonts w:ascii="宋体" w:hAnsi="宋体" w:cs="宋体"/>
          <w:bCs/>
          <w:color w:val="auto"/>
          <w:sz w:val="24"/>
        </w:rPr>
      </w:pPr>
      <w:r>
        <w:rPr>
          <w:rFonts w:hint="eastAsia" w:ascii="宋体" w:hAnsi="宋体" w:cs="宋体"/>
          <w:b/>
          <w:bCs/>
          <w:color w:val="auto"/>
          <w:sz w:val="24"/>
        </w:rPr>
        <w:t>注：供应商按此表格式列出不影响投标实质性响应的商务偏差，没有说明的其他条款将被认为完全满足招标文件的规定。</w:t>
      </w:r>
    </w:p>
    <w:p>
      <w:pPr>
        <w:pStyle w:val="13"/>
        <w:spacing w:line="360" w:lineRule="auto"/>
        <w:ind w:firstLine="480" w:firstLineChars="200"/>
        <w:rPr>
          <w:rFonts w:hAnsi="宋体" w:cs="宋体"/>
          <w:bCs/>
          <w:color w:val="auto"/>
          <w:sz w:val="24"/>
          <w:szCs w:val="24"/>
        </w:rPr>
      </w:pPr>
    </w:p>
    <w:p>
      <w:pPr>
        <w:ind w:firstLine="480" w:firstLineChars="200"/>
        <w:rPr>
          <w:rFonts w:ascii="宋体" w:hAnsi="宋体" w:cs="宋体"/>
          <w:color w:val="auto"/>
          <w:sz w:val="24"/>
        </w:rPr>
      </w:pPr>
      <w:r>
        <w:rPr>
          <w:rFonts w:hint="eastAsia" w:ascii="宋体" w:hAnsi="宋体" w:cs="宋体"/>
          <w:color w:val="auto"/>
          <w:sz w:val="24"/>
        </w:rPr>
        <w:t xml:space="preserve">供应商(盖章)： </w:t>
      </w:r>
    </w:p>
    <w:p>
      <w:pPr>
        <w:ind w:firstLine="480" w:firstLineChars="200"/>
        <w:rPr>
          <w:rFonts w:ascii="宋体" w:hAnsi="宋体" w:cs="宋体"/>
          <w:color w:val="auto"/>
          <w:sz w:val="24"/>
        </w:rPr>
      </w:pPr>
    </w:p>
    <w:p>
      <w:pPr>
        <w:ind w:firstLine="480" w:firstLineChars="200"/>
        <w:rPr>
          <w:rFonts w:ascii="宋体" w:hAnsi="宋体" w:cs="宋体"/>
          <w:color w:val="auto"/>
          <w:sz w:val="24"/>
        </w:rPr>
      </w:pPr>
    </w:p>
    <w:p>
      <w:pPr>
        <w:ind w:firstLine="480" w:firstLineChars="200"/>
        <w:rPr>
          <w:rFonts w:ascii="宋体" w:hAnsi="宋体" w:cs="宋体"/>
          <w:color w:val="auto"/>
          <w:sz w:val="24"/>
        </w:rPr>
      </w:pPr>
      <w:r>
        <w:rPr>
          <w:rFonts w:hint="eastAsia" w:ascii="宋体" w:hAnsi="宋体" w:cs="宋体"/>
          <w:color w:val="auto"/>
          <w:sz w:val="24"/>
        </w:rPr>
        <w:t>法定代表人或委托代理人（签字或盖章）：</w:t>
      </w:r>
    </w:p>
    <w:p>
      <w:pPr>
        <w:ind w:firstLine="480" w:firstLineChars="200"/>
        <w:rPr>
          <w:rFonts w:ascii="宋体" w:hAnsi="宋体" w:cs="宋体"/>
          <w:color w:val="auto"/>
          <w:sz w:val="24"/>
        </w:rPr>
      </w:pPr>
    </w:p>
    <w:p>
      <w:pPr>
        <w:ind w:firstLine="480" w:firstLineChars="200"/>
        <w:rPr>
          <w:rFonts w:ascii="宋体" w:hAnsi="宋体" w:cs="宋体"/>
          <w:color w:val="auto"/>
          <w:sz w:val="24"/>
        </w:rPr>
      </w:pPr>
    </w:p>
    <w:p>
      <w:pPr>
        <w:ind w:firstLine="480" w:firstLineChars="200"/>
        <w:rPr>
          <w:rFonts w:ascii="宋体" w:hAnsi="宋体" w:cs="宋体"/>
          <w:color w:val="auto"/>
          <w:sz w:val="24"/>
        </w:rPr>
      </w:pPr>
      <w:r>
        <w:rPr>
          <w:rFonts w:hint="eastAsia" w:ascii="宋体" w:hAnsi="宋体" w:cs="宋体"/>
          <w:color w:val="auto"/>
          <w:sz w:val="24"/>
        </w:rPr>
        <w:t>日期：   年  月   日</w:t>
      </w:r>
    </w:p>
    <w:p>
      <w:pPr>
        <w:spacing w:line="360" w:lineRule="auto"/>
        <w:jc w:val="center"/>
        <w:rPr>
          <w:rFonts w:ascii="宋体" w:hAnsi="宋体" w:cs="宋体"/>
          <w:b/>
          <w:color w:val="auto"/>
          <w:sz w:val="24"/>
        </w:rPr>
      </w:pPr>
    </w:p>
    <w:p>
      <w:pPr>
        <w:spacing w:line="360" w:lineRule="auto"/>
        <w:jc w:val="center"/>
        <w:rPr>
          <w:rFonts w:ascii="宋体" w:hAnsi="宋体" w:cs="宋体"/>
          <w:b/>
          <w:color w:val="auto"/>
          <w:sz w:val="24"/>
        </w:rPr>
      </w:pPr>
    </w:p>
    <w:p>
      <w:pPr>
        <w:rPr>
          <w:rFonts w:ascii="宋体" w:hAnsi="宋体" w:cs="宋体"/>
          <w:b/>
          <w:bCs/>
          <w:color w:val="auto"/>
          <w:sz w:val="24"/>
        </w:rPr>
      </w:pPr>
    </w:p>
    <w:p>
      <w:pPr>
        <w:rPr>
          <w:rFonts w:ascii="宋体" w:hAnsi="宋体" w:cs="宋体"/>
          <w:b/>
          <w:bCs/>
          <w:color w:val="auto"/>
          <w:sz w:val="24"/>
        </w:rPr>
      </w:pPr>
    </w:p>
    <w:p>
      <w:pPr>
        <w:rPr>
          <w:rFonts w:ascii="宋体" w:hAnsi="宋体" w:cs="宋体"/>
          <w:b/>
          <w:bCs/>
          <w:color w:val="auto"/>
          <w:sz w:val="24"/>
        </w:rPr>
      </w:pPr>
    </w:p>
    <w:p>
      <w:pPr>
        <w:jc w:val="center"/>
        <w:rPr>
          <w:rFonts w:ascii="宋体" w:hAnsi="宋体" w:cs="宋体"/>
          <w:b/>
          <w:bCs/>
          <w:color w:val="auto"/>
          <w:sz w:val="24"/>
        </w:rPr>
      </w:pPr>
    </w:p>
    <w:p>
      <w:pPr>
        <w:jc w:val="center"/>
        <w:rPr>
          <w:rFonts w:ascii="宋体" w:hAnsi="宋体" w:cs="宋体"/>
          <w:b/>
          <w:bCs/>
          <w:color w:val="auto"/>
          <w:sz w:val="24"/>
        </w:rPr>
      </w:pPr>
    </w:p>
    <w:p>
      <w:pPr>
        <w:jc w:val="center"/>
        <w:rPr>
          <w:rFonts w:ascii="宋体" w:hAnsi="宋体" w:cs="宋体"/>
          <w:b/>
          <w:bCs/>
          <w:color w:val="auto"/>
          <w:sz w:val="24"/>
        </w:rPr>
      </w:pPr>
      <w:r>
        <w:rPr>
          <w:rFonts w:hint="eastAsia" w:ascii="宋体" w:hAnsi="宋体" w:cs="宋体"/>
          <w:b/>
          <w:color w:val="auto"/>
          <w:sz w:val="24"/>
        </w:rPr>
        <w:t>格式9</w:t>
      </w:r>
      <w:r>
        <w:rPr>
          <w:rFonts w:hint="eastAsia" w:ascii="宋体" w:hAnsi="宋体" w:cs="宋体"/>
          <w:b/>
          <w:bCs/>
          <w:color w:val="auto"/>
          <w:sz w:val="24"/>
        </w:rPr>
        <w:t xml:space="preserve">  中小企业声明函</w:t>
      </w:r>
    </w:p>
    <w:p>
      <w:pPr>
        <w:spacing w:line="360" w:lineRule="auto"/>
        <w:rPr>
          <w:rFonts w:ascii="宋体" w:hAnsi="宋体" w:cs="宋体"/>
          <w:color w:val="auto"/>
          <w:sz w:val="24"/>
        </w:rPr>
      </w:pPr>
    </w:p>
    <w:p>
      <w:pPr>
        <w:spacing w:line="360" w:lineRule="auto"/>
        <w:ind w:firstLine="480"/>
        <w:rPr>
          <w:rFonts w:ascii="宋体" w:hAnsi="宋体" w:cs="宋体"/>
          <w:color w:val="auto"/>
          <w:sz w:val="24"/>
        </w:rPr>
      </w:pPr>
      <w:r>
        <w:rPr>
          <w:rFonts w:hint="eastAsia" w:ascii="宋体" w:hAnsi="宋体" w:cs="宋体"/>
          <w:color w:val="auto"/>
          <w:sz w:val="24"/>
        </w:rPr>
        <w:t>本公司郑重声明，根据财政部工业和信息化部《关于印发&lt;政府采购促进中小企业发展暂行办法&gt;的通知》（财库〔2020〕46号）的规定，本公司参加</w:t>
      </w:r>
      <w:r>
        <w:rPr>
          <w:rFonts w:hint="eastAsia" w:ascii="宋体" w:hAnsi="宋体" w:cs="宋体"/>
          <w:color w:val="auto"/>
          <w:sz w:val="24"/>
          <w:u w:val="single"/>
        </w:rPr>
        <w:t xml:space="preserve">  （单位名称）</w:t>
      </w:r>
      <w:r>
        <w:rPr>
          <w:rFonts w:hint="eastAsia" w:ascii="宋体" w:hAnsi="宋体" w:cs="宋体"/>
          <w:color w:val="auto"/>
          <w:sz w:val="24"/>
        </w:rPr>
        <w:t>的</w:t>
      </w:r>
      <w:r>
        <w:rPr>
          <w:rFonts w:hint="eastAsia" w:ascii="宋体" w:hAnsi="宋体" w:cs="宋体"/>
          <w:color w:val="auto"/>
          <w:sz w:val="24"/>
          <w:u w:val="single"/>
        </w:rPr>
        <w:t>（项目名称）</w:t>
      </w:r>
      <w:r>
        <w:rPr>
          <w:rFonts w:hint="eastAsia" w:ascii="宋体" w:hAnsi="宋体" w:cs="宋体"/>
          <w:color w:val="auto"/>
          <w:sz w:val="24"/>
        </w:rPr>
        <w:t>采购活动，服务全部由符合政策要求的中小企业承接。相关企业</w:t>
      </w:r>
      <w:r>
        <w:rPr>
          <w:rFonts w:hint="eastAsia" w:ascii="宋体" w:hAnsi="宋体" w:cs="宋体"/>
          <w:color w:val="auto"/>
          <w:sz w:val="24"/>
          <w:u w:val="single"/>
        </w:rPr>
        <w:t>（含联合体中的中小企业、签订分包意向协议的中小企业）</w:t>
      </w:r>
      <w:r>
        <w:rPr>
          <w:rFonts w:hint="eastAsia" w:ascii="宋体" w:hAnsi="宋体" w:cs="宋体"/>
          <w:color w:val="auto"/>
          <w:sz w:val="24"/>
        </w:rPr>
        <w:t>的具体情况如下：</w:t>
      </w:r>
    </w:p>
    <w:p>
      <w:pPr>
        <w:spacing w:line="360" w:lineRule="auto"/>
        <w:ind w:firstLine="48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（招标文件中明确的所属行业）</w:t>
      </w:r>
      <w:r>
        <w:rPr>
          <w:rFonts w:hint="eastAsia" w:ascii="宋体" w:hAnsi="宋体" w:cs="宋体"/>
          <w:color w:val="auto"/>
          <w:sz w:val="24"/>
        </w:rPr>
        <w:t>；承接企业为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（中型企业、小型企业、微型企业）</w:t>
      </w:r>
      <w:r>
        <w:rPr>
          <w:rFonts w:hint="eastAsia" w:ascii="宋体" w:hAnsi="宋体" w:cs="宋体"/>
          <w:color w:val="auto"/>
          <w:sz w:val="24"/>
        </w:rPr>
        <w:t>；</w:t>
      </w:r>
    </w:p>
    <w:p>
      <w:pPr>
        <w:spacing w:line="360" w:lineRule="auto"/>
        <w:ind w:firstLine="48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（招标文件中明确的所属行业）</w:t>
      </w:r>
      <w:r>
        <w:rPr>
          <w:rFonts w:hint="eastAsia" w:ascii="宋体" w:hAnsi="宋体" w:cs="宋体"/>
          <w:color w:val="auto"/>
          <w:sz w:val="24"/>
        </w:rPr>
        <w:t>；承接企业为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（中型企业、小型企业、微型企业）</w:t>
      </w:r>
      <w:r>
        <w:rPr>
          <w:rFonts w:hint="eastAsia" w:ascii="宋体" w:hAnsi="宋体" w:cs="宋体"/>
          <w:color w:val="auto"/>
          <w:sz w:val="24"/>
        </w:rPr>
        <w:t>；</w:t>
      </w:r>
    </w:p>
    <w:p>
      <w:pPr>
        <w:spacing w:line="360" w:lineRule="auto"/>
        <w:ind w:firstLine="480"/>
        <w:rPr>
          <w:rFonts w:ascii="宋体" w:hAnsi="宋体" w:cs="宋体"/>
          <w:color w:val="auto"/>
          <w:sz w:val="24"/>
        </w:rPr>
      </w:pPr>
      <w:r>
        <w:rPr>
          <w:rFonts w:hint="eastAsia" w:ascii="宋体" w:hAnsi="宋体" w:cs="宋体"/>
          <w:color w:val="auto"/>
          <w:sz w:val="24"/>
        </w:rPr>
        <w:t>……</w:t>
      </w:r>
    </w:p>
    <w:p>
      <w:pPr>
        <w:spacing w:line="360" w:lineRule="auto"/>
        <w:ind w:firstLine="480"/>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pPr>
        <w:spacing w:line="360" w:lineRule="auto"/>
        <w:ind w:firstLine="480"/>
        <w:rPr>
          <w:rFonts w:ascii="宋体" w:hAnsi="宋体" w:cs="宋体"/>
          <w:color w:val="auto"/>
          <w:sz w:val="24"/>
        </w:rPr>
      </w:pPr>
      <w:r>
        <w:rPr>
          <w:rFonts w:hint="eastAsia" w:ascii="宋体" w:hAnsi="宋体" w:cs="宋体"/>
          <w:color w:val="auto"/>
          <w:sz w:val="24"/>
        </w:rPr>
        <w:t>本公司对上述声明的真实性负责。如有虚假，将依法承担相应责任。</w:t>
      </w:r>
    </w:p>
    <w:p>
      <w:pPr>
        <w:spacing w:line="360" w:lineRule="auto"/>
        <w:ind w:firstLine="480"/>
        <w:rPr>
          <w:rFonts w:ascii="宋体" w:hAnsi="宋体" w:cs="宋体"/>
          <w:color w:val="auto"/>
          <w:sz w:val="24"/>
        </w:rPr>
      </w:pPr>
    </w:p>
    <w:p>
      <w:pPr>
        <w:spacing w:line="360" w:lineRule="auto"/>
        <w:ind w:firstLine="480"/>
        <w:rPr>
          <w:rFonts w:ascii="宋体" w:hAnsi="宋体" w:cs="宋体"/>
          <w:color w:val="auto"/>
          <w:sz w:val="24"/>
        </w:rPr>
      </w:pPr>
    </w:p>
    <w:p>
      <w:pPr>
        <w:spacing w:line="360" w:lineRule="auto"/>
        <w:ind w:firstLine="5280" w:firstLineChars="2200"/>
        <w:rPr>
          <w:rFonts w:ascii="宋体" w:hAnsi="宋体" w:cs="宋体"/>
          <w:color w:val="auto"/>
          <w:sz w:val="24"/>
        </w:rPr>
      </w:pPr>
      <w:r>
        <w:rPr>
          <w:rFonts w:hint="eastAsia" w:ascii="宋体" w:hAnsi="宋体" w:cs="宋体"/>
          <w:color w:val="auto"/>
          <w:sz w:val="24"/>
        </w:rPr>
        <w:t>企业名称（盖章）：</w:t>
      </w:r>
    </w:p>
    <w:p>
      <w:pPr>
        <w:pStyle w:val="13"/>
        <w:spacing w:line="360" w:lineRule="auto"/>
        <w:ind w:firstLine="480"/>
        <w:rPr>
          <w:rFonts w:hAnsi="宋体" w:cs="宋体"/>
          <w:color w:val="auto"/>
          <w:sz w:val="24"/>
          <w:szCs w:val="24"/>
        </w:rPr>
      </w:pPr>
      <w:r>
        <w:rPr>
          <w:rFonts w:hint="eastAsia" w:hAnsi="宋体" w:cs="宋体"/>
          <w:color w:val="auto"/>
          <w:sz w:val="24"/>
          <w:szCs w:val="24"/>
        </w:rPr>
        <w:t xml:space="preserve">                           </w:t>
      </w:r>
    </w:p>
    <w:p>
      <w:pPr>
        <w:pStyle w:val="13"/>
        <w:spacing w:line="360" w:lineRule="auto"/>
        <w:ind w:firstLine="5280" w:firstLineChars="2200"/>
        <w:rPr>
          <w:rFonts w:hAnsi="宋体" w:cs="宋体"/>
          <w:color w:val="auto"/>
          <w:sz w:val="24"/>
          <w:szCs w:val="24"/>
        </w:rPr>
      </w:pPr>
      <w:r>
        <w:rPr>
          <w:rFonts w:hint="eastAsia" w:hAnsi="宋体" w:cs="宋体"/>
          <w:color w:val="auto"/>
          <w:sz w:val="24"/>
          <w:szCs w:val="24"/>
        </w:rPr>
        <w:t>日期：</w:t>
      </w:r>
    </w:p>
    <w:p>
      <w:pPr>
        <w:pStyle w:val="13"/>
        <w:spacing w:line="360" w:lineRule="auto"/>
        <w:ind w:firstLine="5280" w:firstLineChars="2200"/>
        <w:rPr>
          <w:rFonts w:hAnsi="宋体" w:cs="宋体"/>
          <w:color w:val="auto"/>
          <w:sz w:val="24"/>
          <w:szCs w:val="24"/>
        </w:rPr>
      </w:pPr>
    </w:p>
    <w:p>
      <w:pPr>
        <w:pStyle w:val="13"/>
        <w:spacing w:line="360" w:lineRule="auto"/>
        <w:ind w:firstLine="5280" w:firstLineChars="2200"/>
        <w:rPr>
          <w:rFonts w:hAnsi="宋体" w:cs="宋体"/>
          <w:color w:val="auto"/>
          <w:sz w:val="24"/>
          <w:szCs w:val="24"/>
        </w:rPr>
      </w:pPr>
    </w:p>
    <w:p>
      <w:pPr>
        <w:pStyle w:val="13"/>
        <w:spacing w:line="360" w:lineRule="auto"/>
        <w:ind w:firstLine="5280" w:firstLineChars="2200"/>
        <w:rPr>
          <w:rFonts w:hAnsi="宋体" w:cs="宋体"/>
          <w:color w:val="auto"/>
          <w:sz w:val="24"/>
          <w:szCs w:val="24"/>
        </w:rPr>
      </w:pPr>
    </w:p>
    <w:p>
      <w:pPr>
        <w:pStyle w:val="13"/>
        <w:spacing w:line="360" w:lineRule="auto"/>
        <w:ind w:firstLine="5280" w:firstLineChars="2200"/>
        <w:rPr>
          <w:rFonts w:hAnsi="宋体" w:cs="宋体"/>
          <w:color w:val="auto"/>
          <w:sz w:val="24"/>
          <w:szCs w:val="24"/>
        </w:rPr>
      </w:pPr>
    </w:p>
    <w:p>
      <w:pPr>
        <w:pStyle w:val="13"/>
        <w:spacing w:line="360" w:lineRule="auto"/>
        <w:rPr>
          <w:rFonts w:hAnsi="宋体" w:cs="宋体"/>
          <w:color w:val="auto"/>
          <w:szCs w:val="21"/>
        </w:rPr>
        <w:sectPr>
          <w:footerReference r:id="rId9" w:type="default"/>
          <w:pgSz w:w="11907" w:h="16840"/>
          <w:pgMar w:top="1440" w:right="1077" w:bottom="1440" w:left="1077" w:header="964" w:footer="992" w:gutter="0"/>
          <w:cols w:space="720" w:num="1"/>
          <w:docGrid w:linePitch="354" w:charSpace="0"/>
        </w:sectPr>
      </w:pPr>
      <w:r>
        <w:rPr>
          <w:rFonts w:hint="eastAsia" w:hAnsi="宋体" w:cs="宋体"/>
          <w:color w:val="auto"/>
          <w:szCs w:val="21"/>
        </w:rPr>
        <w:t>（注：从业人员、营业收入、资产总额填报上一年度数据，无上一年数据的新成立企业可不填报。）</w:t>
      </w:r>
    </w:p>
    <w:p>
      <w:pPr>
        <w:spacing w:line="360" w:lineRule="auto"/>
        <w:jc w:val="center"/>
        <w:rPr>
          <w:rFonts w:ascii="宋体" w:hAnsi="宋体" w:cs="宋体"/>
          <w:b/>
          <w:color w:val="auto"/>
          <w:sz w:val="24"/>
        </w:rPr>
      </w:pPr>
      <w:r>
        <w:rPr>
          <w:rFonts w:hint="eastAsia" w:ascii="宋体" w:hAnsi="宋体" w:cs="宋体"/>
          <w:b/>
          <w:bCs/>
          <w:color w:val="auto"/>
          <w:sz w:val="24"/>
        </w:rPr>
        <w:t>格式10</w:t>
      </w:r>
      <w:r>
        <w:rPr>
          <w:rFonts w:hint="eastAsia" w:ascii="宋体" w:hAnsi="宋体" w:cs="宋体"/>
          <w:b/>
          <w:color w:val="auto"/>
          <w:sz w:val="24"/>
        </w:rPr>
        <w:t xml:space="preserve"> 近三年（2018年1月1日至今）同类项目业绩表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609"/>
        <w:gridCol w:w="100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tcBorders>
            <w:vAlign w:val="bottom"/>
          </w:tcPr>
          <w:p>
            <w:pPr>
              <w:spacing w:line="360" w:lineRule="auto"/>
              <w:ind w:firstLine="105" w:firstLineChars="50"/>
              <w:jc w:val="center"/>
              <w:rPr>
                <w:rFonts w:ascii="宋体" w:hAnsi="宋体" w:cs="宋体"/>
                <w:b/>
                <w:color w:val="auto"/>
              </w:rPr>
            </w:pPr>
            <w:r>
              <w:rPr>
                <w:rFonts w:hint="eastAsia" w:ascii="宋体" w:hAnsi="宋体" w:cs="宋体"/>
                <w:b/>
                <w:color w:val="auto"/>
              </w:rPr>
              <w:t>年份</w:t>
            </w:r>
          </w:p>
        </w:tc>
        <w:tc>
          <w:tcPr>
            <w:tcW w:w="1440" w:type="dxa"/>
            <w:vAlign w:val="bottom"/>
          </w:tcPr>
          <w:p>
            <w:pPr>
              <w:spacing w:line="360" w:lineRule="auto"/>
              <w:jc w:val="center"/>
              <w:rPr>
                <w:rFonts w:ascii="宋体" w:hAnsi="宋体" w:cs="宋体"/>
                <w:b/>
                <w:color w:val="auto"/>
              </w:rPr>
            </w:pPr>
            <w:r>
              <w:rPr>
                <w:rFonts w:hint="eastAsia" w:ascii="宋体" w:hAnsi="宋体" w:cs="宋体"/>
                <w:b/>
                <w:color w:val="auto"/>
              </w:rPr>
              <w:t>项目名称</w:t>
            </w:r>
          </w:p>
        </w:tc>
        <w:tc>
          <w:tcPr>
            <w:tcW w:w="1320" w:type="dxa"/>
            <w:vAlign w:val="bottom"/>
          </w:tcPr>
          <w:p>
            <w:pPr>
              <w:spacing w:line="360" w:lineRule="auto"/>
              <w:jc w:val="center"/>
              <w:rPr>
                <w:rFonts w:ascii="宋体" w:hAnsi="宋体" w:cs="宋体"/>
                <w:b/>
                <w:color w:val="auto"/>
              </w:rPr>
            </w:pPr>
            <w:r>
              <w:rPr>
                <w:rFonts w:hint="eastAsia" w:ascii="宋体" w:hAnsi="宋体" w:cs="宋体"/>
                <w:b/>
                <w:color w:val="auto"/>
              </w:rPr>
              <w:t>用户名称</w:t>
            </w:r>
          </w:p>
        </w:tc>
        <w:tc>
          <w:tcPr>
            <w:tcW w:w="1161" w:type="dxa"/>
            <w:vAlign w:val="bottom"/>
          </w:tcPr>
          <w:p>
            <w:pPr>
              <w:spacing w:line="360" w:lineRule="auto"/>
              <w:jc w:val="center"/>
              <w:rPr>
                <w:rFonts w:ascii="宋体" w:hAnsi="宋体" w:cs="宋体"/>
                <w:b/>
                <w:color w:val="auto"/>
              </w:rPr>
            </w:pPr>
            <w:r>
              <w:rPr>
                <w:rFonts w:hint="eastAsia" w:ascii="宋体" w:hAnsi="宋体" w:cs="宋体"/>
                <w:b/>
                <w:color w:val="auto"/>
              </w:rPr>
              <w:t>完成时间</w:t>
            </w:r>
          </w:p>
        </w:tc>
        <w:tc>
          <w:tcPr>
            <w:tcW w:w="1260" w:type="dxa"/>
            <w:vAlign w:val="bottom"/>
          </w:tcPr>
          <w:p>
            <w:pPr>
              <w:spacing w:line="360" w:lineRule="auto"/>
              <w:ind w:firstLine="105" w:firstLineChars="50"/>
              <w:jc w:val="center"/>
              <w:rPr>
                <w:rFonts w:ascii="宋体" w:hAnsi="宋体" w:cs="宋体"/>
                <w:b/>
                <w:color w:val="auto"/>
              </w:rPr>
            </w:pPr>
            <w:r>
              <w:rPr>
                <w:rFonts w:hint="eastAsia" w:ascii="宋体" w:hAnsi="宋体" w:cs="宋体"/>
                <w:b/>
                <w:color w:val="auto"/>
              </w:rPr>
              <w:t>合同金额</w:t>
            </w:r>
          </w:p>
        </w:tc>
        <w:tc>
          <w:tcPr>
            <w:tcW w:w="1374" w:type="dxa"/>
            <w:gridSpan w:val="3"/>
            <w:tcBorders>
              <w:right w:val="single" w:color="auto" w:sz="4" w:space="0"/>
            </w:tcBorders>
            <w:vAlign w:val="bottom"/>
          </w:tcPr>
          <w:p>
            <w:pPr>
              <w:spacing w:line="360" w:lineRule="auto"/>
              <w:jc w:val="center"/>
              <w:rPr>
                <w:rFonts w:ascii="宋体" w:hAnsi="宋体" w:cs="宋体"/>
                <w:b/>
                <w:color w:val="auto"/>
              </w:rPr>
            </w:pPr>
            <w:r>
              <w:rPr>
                <w:rFonts w:hint="eastAsia" w:ascii="宋体" w:hAnsi="宋体" w:cs="宋体"/>
                <w:b/>
                <w:color w:val="auto"/>
              </w:rPr>
              <w:t>完成项目质量</w:t>
            </w:r>
          </w:p>
        </w:tc>
        <w:tc>
          <w:tcPr>
            <w:tcW w:w="1609" w:type="dxa"/>
            <w:tcBorders>
              <w:left w:val="single" w:color="auto" w:sz="4" w:space="0"/>
            </w:tcBorders>
            <w:vAlign w:val="bottom"/>
          </w:tcPr>
          <w:p>
            <w:pPr>
              <w:spacing w:line="360" w:lineRule="auto"/>
              <w:jc w:val="center"/>
              <w:rPr>
                <w:rFonts w:ascii="宋体" w:hAnsi="宋体" w:cs="宋体"/>
                <w:b/>
                <w:color w:val="auto"/>
              </w:rPr>
            </w:pPr>
            <w:r>
              <w:rPr>
                <w:rFonts w:hint="eastAsia" w:ascii="宋体" w:hAnsi="宋体" w:cs="宋体"/>
                <w:b/>
                <w:color w:val="auto"/>
              </w:rPr>
              <w:t>用户联系电话</w:t>
            </w:r>
          </w:p>
        </w:tc>
        <w:tc>
          <w:tcPr>
            <w:tcW w:w="1001" w:type="dxa"/>
            <w:tcBorders>
              <w:left w:val="single" w:color="auto" w:sz="4" w:space="0"/>
            </w:tcBorders>
            <w:vAlign w:val="bottom"/>
          </w:tcPr>
          <w:p>
            <w:pPr>
              <w:spacing w:line="360" w:lineRule="auto"/>
              <w:ind w:firstLine="103" w:firstLineChars="49"/>
              <w:jc w:val="center"/>
              <w:rPr>
                <w:rFonts w:ascii="宋体" w:hAnsi="宋体" w:cs="宋体"/>
                <w:b/>
                <w:color w:val="auto"/>
              </w:rPr>
            </w:pPr>
            <w:r>
              <w:rPr>
                <w:rFonts w:hint="eastAsia" w:ascii="宋体" w:hAnsi="宋体" w:cs="宋体"/>
                <w:b/>
                <w:color w:val="auto"/>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color w:val="auto"/>
              </w:rPr>
            </w:pPr>
          </w:p>
        </w:tc>
        <w:tc>
          <w:tcPr>
            <w:tcW w:w="1440" w:type="dxa"/>
            <w:vAlign w:val="center"/>
          </w:tcPr>
          <w:p>
            <w:pPr>
              <w:spacing w:line="360" w:lineRule="auto"/>
              <w:jc w:val="center"/>
              <w:rPr>
                <w:rFonts w:ascii="宋体" w:hAnsi="宋体" w:cs="宋体"/>
                <w:color w:val="auto"/>
              </w:rPr>
            </w:pPr>
          </w:p>
        </w:tc>
        <w:tc>
          <w:tcPr>
            <w:tcW w:w="1320" w:type="dxa"/>
            <w:vAlign w:val="center"/>
          </w:tcPr>
          <w:p>
            <w:pPr>
              <w:spacing w:line="360" w:lineRule="auto"/>
              <w:jc w:val="center"/>
              <w:rPr>
                <w:rFonts w:ascii="宋体" w:hAnsi="宋体" w:cs="宋体"/>
                <w:color w:val="auto"/>
              </w:rPr>
            </w:pPr>
          </w:p>
        </w:tc>
        <w:tc>
          <w:tcPr>
            <w:tcW w:w="1161" w:type="dxa"/>
            <w:vAlign w:val="center"/>
          </w:tcPr>
          <w:p>
            <w:pPr>
              <w:spacing w:line="360" w:lineRule="auto"/>
              <w:jc w:val="center"/>
              <w:rPr>
                <w:rFonts w:ascii="宋体" w:hAnsi="宋体" w:cs="宋体"/>
                <w:color w:val="auto"/>
              </w:rPr>
            </w:pPr>
          </w:p>
        </w:tc>
        <w:tc>
          <w:tcPr>
            <w:tcW w:w="1260" w:type="dxa"/>
            <w:vAlign w:val="center"/>
          </w:tcPr>
          <w:p>
            <w:pPr>
              <w:spacing w:line="360" w:lineRule="auto"/>
              <w:jc w:val="center"/>
              <w:rPr>
                <w:rFonts w:ascii="宋体" w:hAnsi="宋体" w:cs="宋体"/>
                <w:color w:val="auto"/>
              </w:rPr>
            </w:pPr>
          </w:p>
        </w:tc>
        <w:tc>
          <w:tcPr>
            <w:tcW w:w="1374" w:type="dxa"/>
            <w:gridSpan w:val="3"/>
            <w:tcBorders>
              <w:right w:val="single" w:color="auto" w:sz="4" w:space="0"/>
            </w:tcBorders>
            <w:vAlign w:val="center"/>
          </w:tcPr>
          <w:p>
            <w:pPr>
              <w:spacing w:line="360" w:lineRule="auto"/>
              <w:jc w:val="center"/>
              <w:rPr>
                <w:rFonts w:ascii="宋体" w:hAnsi="宋体" w:cs="宋体"/>
                <w:color w:val="auto"/>
              </w:rPr>
            </w:pPr>
          </w:p>
        </w:tc>
        <w:tc>
          <w:tcPr>
            <w:tcW w:w="1609" w:type="dxa"/>
            <w:tcBorders>
              <w:left w:val="single" w:color="auto" w:sz="4" w:space="0"/>
            </w:tcBorders>
            <w:vAlign w:val="center"/>
          </w:tcPr>
          <w:p>
            <w:pPr>
              <w:spacing w:line="360" w:lineRule="auto"/>
              <w:jc w:val="center"/>
              <w:rPr>
                <w:rFonts w:ascii="宋体" w:hAnsi="宋体" w:cs="宋体"/>
                <w:color w:val="auto"/>
              </w:rPr>
            </w:pPr>
          </w:p>
        </w:tc>
        <w:tc>
          <w:tcPr>
            <w:tcW w:w="1001" w:type="dxa"/>
            <w:tcBorders>
              <w:left w:val="single" w:color="auto" w:sz="4" w:space="0"/>
            </w:tcBorders>
          </w:tcPr>
          <w:p>
            <w:pPr>
              <w:spacing w:line="360" w:lineRule="auto"/>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color w:val="auto"/>
              </w:rPr>
            </w:pPr>
          </w:p>
        </w:tc>
        <w:tc>
          <w:tcPr>
            <w:tcW w:w="1440" w:type="dxa"/>
            <w:vAlign w:val="center"/>
          </w:tcPr>
          <w:p>
            <w:pPr>
              <w:spacing w:line="360" w:lineRule="auto"/>
              <w:jc w:val="center"/>
              <w:rPr>
                <w:rFonts w:ascii="宋体" w:hAnsi="宋体" w:cs="宋体"/>
                <w:color w:val="auto"/>
              </w:rPr>
            </w:pPr>
          </w:p>
        </w:tc>
        <w:tc>
          <w:tcPr>
            <w:tcW w:w="1320" w:type="dxa"/>
            <w:vAlign w:val="center"/>
          </w:tcPr>
          <w:p>
            <w:pPr>
              <w:spacing w:line="360" w:lineRule="auto"/>
              <w:jc w:val="center"/>
              <w:rPr>
                <w:rFonts w:ascii="宋体" w:hAnsi="宋体" w:cs="宋体"/>
                <w:color w:val="auto"/>
              </w:rPr>
            </w:pPr>
          </w:p>
        </w:tc>
        <w:tc>
          <w:tcPr>
            <w:tcW w:w="1161" w:type="dxa"/>
            <w:vAlign w:val="center"/>
          </w:tcPr>
          <w:p>
            <w:pPr>
              <w:spacing w:line="360" w:lineRule="auto"/>
              <w:jc w:val="center"/>
              <w:rPr>
                <w:rFonts w:ascii="宋体" w:hAnsi="宋体" w:cs="宋体"/>
                <w:color w:val="auto"/>
              </w:rPr>
            </w:pPr>
          </w:p>
        </w:tc>
        <w:tc>
          <w:tcPr>
            <w:tcW w:w="1260" w:type="dxa"/>
            <w:vAlign w:val="center"/>
          </w:tcPr>
          <w:p>
            <w:pPr>
              <w:spacing w:line="360" w:lineRule="auto"/>
              <w:jc w:val="center"/>
              <w:rPr>
                <w:rFonts w:ascii="宋体" w:hAnsi="宋体" w:cs="宋体"/>
                <w:color w:val="auto"/>
              </w:rPr>
            </w:pPr>
          </w:p>
        </w:tc>
        <w:tc>
          <w:tcPr>
            <w:tcW w:w="1374" w:type="dxa"/>
            <w:gridSpan w:val="3"/>
            <w:tcBorders>
              <w:right w:val="single" w:color="auto" w:sz="4" w:space="0"/>
            </w:tcBorders>
            <w:vAlign w:val="center"/>
          </w:tcPr>
          <w:p>
            <w:pPr>
              <w:spacing w:line="360" w:lineRule="auto"/>
              <w:jc w:val="center"/>
              <w:rPr>
                <w:rFonts w:ascii="宋体" w:hAnsi="宋体" w:cs="宋体"/>
                <w:color w:val="auto"/>
              </w:rPr>
            </w:pPr>
          </w:p>
        </w:tc>
        <w:tc>
          <w:tcPr>
            <w:tcW w:w="1609" w:type="dxa"/>
            <w:tcBorders>
              <w:left w:val="single" w:color="auto" w:sz="4" w:space="0"/>
            </w:tcBorders>
            <w:vAlign w:val="center"/>
          </w:tcPr>
          <w:p>
            <w:pPr>
              <w:spacing w:line="360" w:lineRule="auto"/>
              <w:jc w:val="center"/>
              <w:rPr>
                <w:rFonts w:ascii="宋体" w:hAnsi="宋体" w:cs="宋体"/>
                <w:color w:val="auto"/>
              </w:rPr>
            </w:pPr>
          </w:p>
        </w:tc>
        <w:tc>
          <w:tcPr>
            <w:tcW w:w="1001" w:type="dxa"/>
            <w:tcBorders>
              <w:left w:val="single" w:color="auto" w:sz="4" w:space="0"/>
            </w:tcBorders>
          </w:tcPr>
          <w:p>
            <w:pPr>
              <w:spacing w:line="360" w:lineRule="auto"/>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color w:val="auto"/>
              </w:rPr>
            </w:pPr>
          </w:p>
        </w:tc>
        <w:tc>
          <w:tcPr>
            <w:tcW w:w="1440" w:type="dxa"/>
            <w:vAlign w:val="center"/>
          </w:tcPr>
          <w:p>
            <w:pPr>
              <w:spacing w:line="360" w:lineRule="auto"/>
              <w:jc w:val="center"/>
              <w:rPr>
                <w:rFonts w:ascii="宋体" w:hAnsi="宋体" w:cs="宋体"/>
                <w:color w:val="auto"/>
              </w:rPr>
            </w:pPr>
          </w:p>
        </w:tc>
        <w:tc>
          <w:tcPr>
            <w:tcW w:w="1320" w:type="dxa"/>
            <w:vAlign w:val="center"/>
          </w:tcPr>
          <w:p>
            <w:pPr>
              <w:spacing w:line="360" w:lineRule="auto"/>
              <w:jc w:val="center"/>
              <w:rPr>
                <w:rFonts w:ascii="宋体" w:hAnsi="宋体" w:cs="宋体"/>
                <w:color w:val="auto"/>
              </w:rPr>
            </w:pPr>
          </w:p>
        </w:tc>
        <w:tc>
          <w:tcPr>
            <w:tcW w:w="1161" w:type="dxa"/>
            <w:vAlign w:val="center"/>
          </w:tcPr>
          <w:p>
            <w:pPr>
              <w:spacing w:line="360" w:lineRule="auto"/>
              <w:jc w:val="center"/>
              <w:rPr>
                <w:rFonts w:ascii="宋体" w:hAnsi="宋体" w:cs="宋体"/>
                <w:color w:val="auto"/>
              </w:rPr>
            </w:pPr>
          </w:p>
        </w:tc>
        <w:tc>
          <w:tcPr>
            <w:tcW w:w="1260" w:type="dxa"/>
            <w:vAlign w:val="center"/>
          </w:tcPr>
          <w:p>
            <w:pPr>
              <w:spacing w:line="360" w:lineRule="auto"/>
              <w:jc w:val="center"/>
              <w:rPr>
                <w:rFonts w:ascii="宋体" w:hAnsi="宋体" w:cs="宋体"/>
                <w:color w:val="auto"/>
              </w:rPr>
            </w:pPr>
          </w:p>
        </w:tc>
        <w:tc>
          <w:tcPr>
            <w:tcW w:w="1374" w:type="dxa"/>
            <w:gridSpan w:val="3"/>
            <w:tcBorders>
              <w:right w:val="single" w:color="auto" w:sz="4" w:space="0"/>
            </w:tcBorders>
            <w:vAlign w:val="center"/>
          </w:tcPr>
          <w:p>
            <w:pPr>
              <w:spacing w:line="360" w:lineRule="auto"/>
              <w:jc w:val="center"/>
              <w:rPr>
                <w:rFonts w:ascii="宋体" w:hAnsi="宋体" w:cs="宋体"/>
                <w:color w:val="auto"/>
              </w:rPr>
            </w:pPr>
          </w:p>
        </w:tc>
        <w:tc>
          <w:tcPr>
            <w:tcW w:w="1609" w:type="dxa"/>
            <w:tcBorders>
              <w:left w:val="single" w:color="auto" w:sz="4" w:space="0"/>
            </w:tcBorders>
            <w:vAlign w:val="center"/>
          </w:tcPr>
          <w:p>
            <w:pPr>
              <w:spacing w:line="360" w:lineRule="auto"/>
              <w:jc w:val="center"/>
              <w:rPr>
                <w:rFonts w:ascii="宋体" w:hAnsi="宋体" w:cs="宋体"/>
                <w:color w:val="auto"/>
              </w:rPr>
            </w:pPr>
          </w:p>
        </w:tc>
        <w:tc>
          <w:tcPr>
            <w:tcW w:w="1001" w:type="dxa"/>
            <w:tcBorders>
              <w:left w:val="single" w:color="auto" w:sz="4" w:space="0"/>
            </w:tcBorders>
          </w:tcPr>
          <w:p>
            <w:pPr>
              <w:spacing w:line="360" w:lineRule="auto"/>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color w:val="auto"/>
              </w:rPr>
            </w:pPr>
          </w:p>
        </w:tc>
        <w:tc>
          <w:tcPr>
            <w:tcW w:w="1440" w:type="dxa"/>
            <w:tcBorders>
              <w:right w:val="single" w:color="auto" w:sz="4" w:space="0"/>
            </w:tcBorders>
            <w:vAlign w:val="center"/>
          </w:tcPr>
          <w:p>
            <w:pPr>
              <w:spacing w:line="360" w:lineRule="auto"/>
              <w:jc w:val="center"/>
              <w:rPr>
                <w:rFonts w:ascii="宋体" w:hAnsi="宋体" w:cs="宋体"/>
                <w:color w:val="auto"/>
              </w:rPr>
            </w:pPr>
          </w:p>
        </w:tc>
        <w:tc>
          <w:tcPr>
            <w:tcW w:w="1320" w:type="dxa"/>
            <w:tcBorders>
              <w:left w:val="single" w:color="auto" w:sz="4" w:space="0"/>
            </w:tcBorders>
            <w:vAlign w:val="center"/>
          </w:tcPr>
          <w:p>
            <w:pPr>
              <w:spacing w:line="360" w:lineRule="auto"/>
              <w:jc w:val="center"/>
              <w:rPr>
                <w:rFonts w:ascii="宋体" w:hAnsi="宋体" w:cs="宋体"/>
                <w:color w:val="auto"/>
              </w:rPr>
            </w:pPr>
          </w:p>
        </w:tc>
        <w:tc>
          <w:tcPr>
            <w:tcW w:w="1161" w:type="dxa"/>
            <w:vAlign w:val="center"/>
          </w:tcPr>
          <w:p>
            <w:pPr>
              <w:spacing w:line="360" w:lineRule="auto"/>
              <w:jc w:val="center"/>
              <w:rPr>
                <w:rFonts w:ascii="宋体" w:hAnsi="宋体" w:cs="宋体"/>
                <w:color w:val="auto"/>
              </w:rPr>
            </w:pPr>
          </w:p>
        </w:tc>
        <w:tc>
          <w:tcPr>
            <w:tcW w:w="1260" w:type="dxa"/>
            <w:vAlign w:val="center"/>
          </w:tcPr>
          <w:p>
            <w:pPr>
              <w:spacing w:line="360" w:lineRule="auto"/>
              <w:jc w:val="center"/>
              <w:rPr>
                <w:rFonts w:ascii="宋体" w:hAnsi="宋体" w:cs="宋体"/>
                <w:color w:val="auto"/>
              </w:rPr>
            </w:pPr>
          </w:p>
        </w:tc>
        <w:tc>
          <w:tcPr>
            <w:tcW w:w="1374" w:type="dxa"/>
            <w:gridSpan w:val="3"/>
            <w:tcBorders>
              <w:right w:val="single" w:color="auto" w:sz="4" w:space="0"/>
            </w:tcBorders>
            <w:vAlign w:val="center"/>
          </w:tcPr>
          <w:p>
            <w:pPr>
              <w:spacing w:line="360" w:lineRule="auto"/>
              <w:jc w:val="center"/>
              <w:rPr>
                <w:rFonts w:ascii="宋体" w:hAnsi="宋体" w:cs="宋体"/>
                <w:color w:val="auto"/>
              </w:rPr>
            </w:pPr>
          </w:p>
        </w:tc>
        <w:tc>
          <w:tcPr>
            <w:tcW w:w="1609" w:type="dxa"/>
            <w:tcBorders>
              <w:left w:val="single" w:color="auto" w:sz="4" w:space="0"/>
            </w:tcBorders>
            <w:vAlign w:val="center"/>
          </w:tcPr>
          <w:p>
            <w:pPr>
              <w:spacing w:line="360" w:lineRule="auto"/>
              <w:jc w:val="center"/>
              <w:rPr>
                <w:rFonts w:ascii="宋体" w:hAnsi="宋体" w:cs="宋体"/>
                <w:color w:val="auto"/>
              </w:rPr>
            </w:pPr>
          </w:p>
        </w:tc>
        <w:tc>
          <w:tcPr>
            <w:tcW w:w="1001" w:type="dxa"/>
            <w:tcBorders>
              <w:left w:val="single" w:color="auto" w:sz="4" w:space="0"/>
            </w:tcBorders>
          </w:tcPr>
          <w:p>
            <w:pPr>
              <w:spacing w:line="360" w:lineRule="auto"/>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right w:val="single" w:color="auto" w:sz="4" w:space="0"/>
            </w:tcBorders>
            <w:vAlign w:val="center"/>
          </w:tcPr>
          <w:p>
            <w:pPr>
              <w:spacing w:line="360" w:lineRule="auto"/>
              <w:rPr>
                <w:rFonts w:ascii="宋体" w:hAnsi="宋体" w:cs="宋体"/>
                <w:color w:val="auto"/>
              </w:rPr>
            </w:pPr>
          </w:p>
        </w:tc>
        <w:tc>
          <w:tcPr>
            <w:tcW w:w="1440" w:type="dxa"/>
            <w:tcBorders>
              <w:left w:val="single" w:color="auto" w:sz="4" w:space="0"/>
              <w:right w:val="single" w:color="auto" w:sz="4" w:space="0"/>
            </w:tcBorders>
            <w:vAlign w:val="center"/>
          </w:tcPr>
          <w:p>
            <w:pPr>
              <w:spacing w:line="360" w:lineRule="auto"/>
              <w:rPr>
                <w:rFonts w:ascii="宋体" w:hAnsi="宋体" w:cs="宋体"/>
                <w:color w:val="auto"/>
              </w:rPr>
            </w:pPr>
          </w:p>
        </w:tc>
        <w:tc>
          <w:tcPr>
            <w:tcW w:w="1320" w:type="dxa"/>
            <w:tcBorders>
              <w:left w:val="single" w:color="auto" w:sz="4" w:space="0"/>
              <w:right w:val="single" w:color="auto" w:sz="4" w:space="0"/>
            </w:tcBorders>
            <w:vAlign w:val="center"/>
          </w:tcPr>
          <w:p>
            <w:pPr>
              <w:spacing w:line="360" w:lineRule="auto"/>
              <w:rPr>
                <w:rFonts w:ascii="宋体" w:hAnsi="宋体" w:cs="宋体"/>
                <w:color w:val="auto"/>
              </w:rPr>
            </w:pPr>
          </w:p>
        </w:tc>
        <w:tc>
          <w:tcPr>
            <w:tcW w:w="1161" w:type="dxa"/>
            <w:tcBorders>
              <w:left w:val="single" w:color="auto" w:sz="4" w:space="0"/>
              <w:right w:val="single" w:color="auto" w:sz="4" w:space="0"/>
            </w:tcBorders>
            <w:vAlign w:val="center"/>
          </w:tcPr>
          <w:p>
            <w:pPr>
              <w:spacing w:line="360" w:lineRule="auto"/>
              <w:rPr>
                <w:rFonts w:ascii="宋体" w:hAnsi="宋体" w:cs="宋体"/>
                <w:color w:val="auto"/>
              </w:rPr>
            </w:pPr>
          </w:p>
        </w:tc>
        <w:tc>
          <w:tcPr>
            <w:tcW w:w="1269" w:type="dxa"/>
            <w:gridSpan w:val="2"/>
            <w:tcBorders>
              <w:left w:val="single" w:color="auto" w:sz="4" w:space="0"/>
              <w:right w:val="single" w:color="auto" w:sz="4" w:space="0"/>
            </w:tcBorders>
            <w:vAlign w:val="center"/>
          </w:tcPr>
          <w:p>
            <w:pPr>
              <w:spacing w:line="360" w:lineRule="auto"/>
              <w:rPr>
                <w:rFonts w:ascii="宋体" w:hAnsi="宋体" w:cs="宋体"/>
                <w:color w:val="auto"/>
              </w:rPr>
            </w:pPr>
          </w:p>
        </w:tc>
        <w:tc>
          <w:tcPr>
            <w:tcW w:w="1365" w:type="dxa"/>
            <w:gridSpan w:val="2"/>
            <w:tcBorders>
              <w:left w:val="single" w:color="auto" w:sz="4" w:space="0"/>
              <w:right w:val="single" w:color="auto" w:sz="4" w:space="0"/>
            </w:tcBorders>
            <w:vAlign w:val="center"/>
          </w:tcPr>
          <w:p>
            <w:pPr>
              <w:spacing w:line="360" w:lineRule="auto"/>
              <w:rPr>
                <w:rFonts w:ascii="宋体" w:hAnsi="宋体" w:cs="宋体"/>
                <w:color w:val="auto"/>
              </w:rPr>
            </w:pPr>
          </w:p>
        </w:tc>
        <w:tc>
          <w:tcPr>
            <w:tcW w:w="1609" w:type="dxa"/>
            <w:tcBorders>
              <w:left w:val="single" w:color="auto" w:sz="4" w:space="0"/>
            </w:tcBorders>
            <w:vAlign w:val="center"/>
          </w:tcPr>
          <w:p>
            <w:pPr>
              <w:spacing w:line="360" w:lineRule="auto"/>
              <w:rPr>
                <w:rFonts w:ascii="宋体" w:hAnsi="宋体" w:cs="宋体"/>
                <w:color w:val="auto"/>
              </w:rPr>
            </w:pPr>
          </w:p>
        </w:tc>
        <w:tc>
          <w:tcPr>
            <w:tcW w:w="1001" w:type="dxa"/>
            <w:tcBorders>
              <w:left w:val="single" w:color="auto" w:sz="4" w:space="0"/>
            </w:tcBorders>
          </w:tcPr>
          <w:p>
            <w:pPr>
              <w:spacing w:line="360" w:lineRule="auto"/>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rPr>
                <w:rFonts w:ascii="宋体" w:hAnsi="宋体" w:cs="宋体"/>
                <w:color w:val="auto"/>
              </w:rPr>
            </w:pPr>
          </w:p>
        </w:tc>
        <w:tc>
          <w:tcPr>
            <w:tcW w:w="1440" w:type="dxa"/>
            <w:vAlign w:val="center"/>
          </w:tcPr>
          <w:p>
            <w:pPr>
              <w:spacing w:line="360" w:lineRule="auto"/>
              <w:rPr>
                <w:rFonts w:ascii="宋体" w:hAnsi="宋体" w:cs="宋体"/>
                <w:color w:val="auto"/>
              </w:rPr>
            </w:pPr>
          </w:p>
        </w:tc>
        <w:tc>
          <w:tcPr>
            <w:tcW w:w="1320" w:type="dxa"/>
            <w:vAlign w:val="center"/>
          </w:tcPr>
          <w:p>
            <w:pPr>
              <w:spacing w:line="360" w:lineRule="auto"/>
              <w:rPr>
                <w:rFonts w:ascii="宋体" w:hAnsi="宋体" w:cs="宋体"/>
                <w:color w:val="auto"/>
              </w:rPr>
            </w:pPr>
          </w:p>
        </w:tc>
        <w:tc>
          <w:tcPr>
            <w:tcW w:w="1161" w:type="dxa"/>
            <w:vAlign w:val="center"/>
          </w:tcPr>
          <w:p>
            <w:pPr>
              <w:spacing w:line="360" w:lineRule="auto"/>
              <w:rPr>
                <w:rFonts w:ascii="宋体" w:hAnsi="宋体" w:cs="宋体"/>
                <w:color w:val="auto"/>
              </w:rPr>
            </w:pPr>
          </w:p>
        </w:tc>
        <w:tc>
          <w:tcPr>
            <w:tcW w:w="1269" w:type="dxa"/>
            <w:gridSpan w:val="2"/>
            <w:tcBorders>
              <w:right w:val="single" w:color="auto" w:sz="4" w:space="0"/>
            </w:tcBorders>
            <w:vAlign w:val="center"/>
          </w:tcPr>
          <w:p>
            <w:pPr>
              <w:spacing w:line="360" w:lineRule="auto"/>
              <w:rPr>
                <w:rFonts w:ascii="宋体" w:hAnsi="宋体" w:cs="宋体"/>
                <w:color w:val="auto"/>
              </w:rPr>
            </w:pPr>
          </w:p>
        </w:tc>
        <w:tc>
          <w:tcPr>
            <w:tcW w:w="1356" w:type="dxa"/>
            <w:tcBorders>
              <w:left w:val="single" w:color="auto" w:sz="4" w:space="0"/>
              <w:right w:val="single" w:color="auto" w:sz="4" w:space="0"/>
            </w:tcBorders>
            <w:vAlign w:val="center"/>
          </w:tcPr>
          <w:p>
            <w:pPr>
              <w:spacing w:line="360" w:lineRule="auto"/>
              <w:rPr>
                <w:rFonts w:ascii="宋体" w:hAnsi="宋体" w:cs="宋体"/>
                <w:color w:val="auto"/>
              </w:rPr>
            </w:pPr>
          </w:p>
        </w:tc>
        <w:tc>
          <w:tcPr>
            <w:tcW w:w="1618" w:type="dxa"/>
            <w:gridSpan w:val="2"/>
            <w:tcBorders>
              <w:left w:val="single" w:color="auto" w:sz="4" w:space="0"/>
            </w:tcBorders>
            <w:vAlign w:val="center"/>
          </w:tcPr>
          <w:p>
            <w:pPr>
              <w:spacing w:line="360" w:lineRule="auto"/>
              <w:rPr>
                <w:rFonts w:ascii="宋体" w:hAnsi="宋体" w:cs="宋体"/>
                <w:color w:val="auto"/>
              </w:rPr>
            </w:pPr>
          </w:p>
        </w:tc>
        <w:tc>
          <w:tcPr>
            <w:tcW w:w="1001" w:type="dxa"/>
            <w:tcBorders>
              <w:left w:val="single" w:color="auto" w:sz="4" w:space="0"/>
            </w:tcBorders>
          </w:tcPr>
          <w:p>
            <w:pPr>
              <w:spacing w:line="360" w:lineRule="auto"/>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color w:val="auto"/>
              </w:rPr>
            </w:pPr>
          </w:p>
        </w:tc>
        <w:tc>
          <w:tcPr>
            <w:tcW w:w="1440" w:type="dxa"/>
            <w:vAlign w:val="center"/>
          </w:tcPr>
          <w:p>
            <w:pPr>
              <w:spacing w:line="360" w:lineRule="auto"/>
              <w:jc w:val="center"/>
              <w:rPr>
                <w:rFonts w:ascii="宋体" w:hAnsi="宋体" w:cs="宋体"/>
                <w:color w:val="auto"/>
              </w:rPr>
            </w:pPr>
          </w:p>
        </w:tc>
        <w:tc>
          <w:tcPr>
            <w:tcW w:w="1320" w:type="dxa"/>
            <w:vAlign w:val="center"/>
          </w:tcPr>
          <w:p>
            <w:pPr>
              <w:spacing w:line="360" w:lineRule="auto"/>
              <w:jc w:val="center"/>
              <w:rPr>
                <w:rFonts w:ascii="宋体" w:hAnsi="宋体" w:cs="宋体"/>
                <w:color w:val="auto"/>
              </w:rPr>
            </w:pPr>
          </w:p>
        </w:tc>
        <w:tc>
          <w:tcPr>
            <w:tcW w:w="1161" w:type="dxa"/>
            <w:vAlign w:val="center"/>
          </w:tcPr>
          <w:p>
            <w:pPr>
              <w:spacing w:line="360" w:lineRule="auto"/>
              <w:jc w:val="center"/>
              <w:rPr>
                <w:rFonts w:ascii="宋体" w:hAnsi="宋体" w:cs="宋体"/>
                <w:color w:val="auto"/>
              </w:rPr>
            </w:pPr>
          </w:p>
        </w:tc>
        <w:tc>
          <w:tcPr>
            <w:tcW w:w="1269" w:type="dxa"/>
            <w:gridSpan w:val="2"/>
            <w:tcBorders>
              <w:right w:val="single" w:color="auto" w:sz="4" w:space="0"/>
            </w:tcBorders>
            <w:vAlign w:val="center"/>
          </w:tcPr>
          <w:p>
            <w:pPr>
              <w:spacing w:line="360" w:lineRule="auto"/>
              <w:jc w:val="center"/>
              <w:rPr>
                <w:rFonts w:ascii="宋体" w:hAnsi="宋体" w:cs="宋体"/>
                <w:color w:val="auto"/>
              </w:rPr>
            </w:pPr>
          </w:p>
        </w:tc>
        <w:tc>
          <w:tcPr>
            <w:tcW w:w="1356" w:type="dxa"/>
            <w:tcBorders>
              <w:left w:val="single" w:color="auto" w:sz="4" w:space="0"/>
              <w:right w:val="single" w:color="auto" w:sz="4" w:space="0"/>
            </w:tcBorders>
            <w:vAlign w:val="center"/>
          </w:tcPr>
          <w:p>
            <w:pPr>
              <w:spacing w:line="360" w:lineRule="auto"/>
              <w:jc w:val="center"/>
              <w:rPr>
                <w:rFonts w:ascii="宋体" w:hAnsi="宋体" w:cs="宋体"/>
                <w:color w:val="auto"/>
              </w:rPr>
            </w:pPr>
          </w:p>
        </w:tc>
        <w:tc>
          <w:tcPr>
            <w:tcW w:w="1618" w:type="dxa"/>
            <w:gridSpan w:val="2"/>
            <w:tcBorders>
              <w:left w:val="single" w:color="auto" w:sz="4" w:space="0"/>
            </w:tcBorders>
            <w:vAlign w:val="center"/>
          </w:tcPr>
          <w:p>
            <w:pPr>
              <w:spacing w:line="360" w:lineRule="auto"/>
              <w:jc w:val="center"/>
              <w:rPr>
                <w:rFonts w:ascii="宋体" w:hAnsi="宋体" w:cs="宋体"/>
                <w:color w:val="auto"/>
              </w:rPr>
            </w:pPr>
          </w:p>
        </w:tc>
        <w:tc>
          <w:tcPr>
            <w:tcW w:w="1001" w:type="dxa"/>
            <w:tcBorders>
              <w:left w:val="single" w:color="auto" w:sz="4" w:space="0"/>
            </w:tcBorders>
          </w:tcPr>
          <w:p>
            <w:pPr>
              <w:spacing w:line="360" w:lineRule="auto"/>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color w:val="auto"/>
              </w:rPr>
            </w:pPr>
          </w:p>
        </w:tc>
        <w:tc>
          <w:tcPr>
            <w:tcW w:w="1440" w:type="dxa"/>
            <w:vAlign w:val="center"/>
          </w:tcPr>
          <w:p>
            <w:pPr>
              <w:spacing w:line="360" w:lineRule="auto"/>
              <w:jc w:val="center"/>
              <w:rPr>
                <w:rFonts w:ascii="宋体" w:hAnsi="宋体" w:cs="宋体"/>
                <w:color w:val="auto"/>
              </w:rPr>
            </w:pPr>
          </w:p>
        </w:tc>
        <w:tc>
          <w:tcPr>
            <w:tcW w:w="1320" w:type="dxa"/>
            <w:vAlign w:val="center"/>
          </w:tcPr>
          <w:p>
            <w:pPr>
              <w:spacing w:line="360" w:lineRule="auto"/>
              <w:jc w:val="center"/>
              <w:rPr>
                <w:rFonts w:ascii="宋体" w:hAnsi="宋体" w:cs="宋体"/>
                <w:color w:val="auto"/>
              </w:rPr>
            </w:pPr>
          </w:p>
        </w:tc>
        <w:tc>
          <w:tcPr>
            <w:tcW w:w="1161" w:type="dxa"/>
            <w:vAlign w:val="center"/>
          </w:tcPr>
          <w:p>
            <w:pPr>
              <w:spacing w:line="360" w:lineRule="auto"/>
              <w:jc w:val="center"/>
              <w:rPr>
                <w:rFonts w:ascii="宋体" w:hAnsi="宋体" w:cs="宋体"/>
                <w:color w:val="auto"/>
              </w:rPr>
            </w:pPr>
          </w:p>
        </w:tc>
        <w:tc>
          <w:tcPr>
            <w:tcW w:w="1269" w:type="dxa"/>
            <w:gridSpan w:val="2"/>
            <w:tcBorders>
              <w:right w:val="single" w:color="auto" w:sz="4" w:space="0"/>
            </w:tcBorders>
            <w:vAlign w:val="center"/>
          </w:tcPr>
          <w:p>
            <w:pPr>
              <w:spacing w:line="360" w:lineRule="auto"/>
              <w:jc w:val="center"/>
              <w:rPr>
                <w:rFonts w:ascii="宋体" w:hAnsi="宋体" w:cs="宋体"/>
                <w:color w:val="auto"/>
              </w:rPr>
            </w:pPr>
          </w:p>
        </w:tc>
        <w:tc>
          <w:tcPr>
            <w:tcW w:w="1356" w:type="dxa"/>
            <w:tcBorders>
              <w:left w:val="single" w:color="auto" w:sz="4" w:space="0"/>
              <w:right w:val="single" w:color="auto" w:sz="4" w:space="0"/>
            </w:tcBorders>
            <w:vAlign w:val="center"/>
          </w:tcPr>
          <w:p>
            <w:pPr>
              <w:spacing w:line="360" w:lineRule="auto"/>
              <w:jc w:val="center"/>
              <w:rPr>
                <w:rFonts w:ascii="宋体" w:hAnsi="宋体" w:cs="宋体"/>
                <w:color w:val="auto"/>
              </w:rPr>
            </w:pPr>
          </w:p>
        </w:tc>
        <w:tc>
          <w:tcPr>
            <w:tcW w:w="1618" w:type="dxa"/>
            <w:gridSpan w:val="2"/>
            <w:tcBorders>
              <w:left w:val="single" w:color="auto" w:sz="4" w:space="0"/>
            </w:tcBorders>
            <w:vAlign w:val="center"/>
          </w:tcPr>
          <w:p>
            <w:pPr>
              <w:spacing w:line="360" w:lineRule="auto"/>
              <w:jc w:val="center"/>
              <w:rPr>
                <w:rFonts w:ascii="宋体" w:hAnsi="宋体" w:cs="宋体"/>
                <w:color w:val="auto"/>
              </w:rPr>
            </w:pPr>
          </w:p>
        </w:tc>
        <w:tc>
          <w:tcPr>
            <w:tcW w:w="1001" w:type="dxa"/>
            <w:tcBorders>
              <w:left w:val="single" w:color="auto" w:sz="4" w:space="0"/>
            </w:tcBorders>
          </w:tcPr>
          <w:p>
            <w:pPr>
              <w:spacing w:line="360" w:lineRule="auto"/>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bottom w:val="single" w:color="auto" w:sz="4" w:space="0"/>
            </w:tcBorders>
            <w:vAlign w:val="center"/>
          </w:tcPr>
          <w:p>
            <w:pPr>
              <w:spacing w:line="360" w:lineRule="auto"/>
              <w:jc w:val="center"/>
              <w:rPr>
                <w:rFonts w:ascii="宋体" w:hAnsi="宋体" w:cs="宋体"/>
                <w:color w:val="auto"/>
              </w:rPr>
            </w:pPr>
          </w:p>
        </w:tc>
        <w:tc>
          <w:tcPr>
            <w:tcW w:w="1440" w:type="dxa"/>
            <w:tcBorders>
              <w:bottom w:val="single" w:color="auto" w:sz="4" w:space="0"/>
            </w:tcBorders>
            <w:vAlign w:val="center"/>
          </w:tcPr>
          <w:p>
            <w:pPr>
              <w:spacing w:line="360" w:lineRule="auto"/>
              <w:jc w:val="center"/>
              <w:rPr>
                <w:rFonts w:ascii="宋体" w:hAnsi="宋体" w:cs="宋体"/>
                <w:color w:val="auto"/>
              </w:rPr>
            </w:pPr>
          </w:p>
        </w:tc>
        <w:tc>
          <w:tcPr>
            <w:tcW w:w="1320" w:type="dxa"/>
            <w:tcBorders>
              <w:bottom w:val="single" w:color="auto" w:sz="4" w:space="0"/>
            </w:tcBorders>
            <w:vAlign w:val="center"/>
          </w:tcPr>
          <w:p>
            <w:pPr>
              <w:spacing w:line="360" w:lineRule="auto"/>
              <w:jc w:val="center"/>
              <w:rPr>
                <w:rFonts w:ascii="宋体" w:hAnsi="宋体" w:cs="宋体"/>
                <w:color w:val="auto"/>
              </w:rPr>
            </w:pPr>
          </w:p>
        </w:tc>
        <w:tc>
          <w:tcPr>
            <w:tcW w:w="1161" w:type="dxa"/>
            <w:tcBorders>
              <w:bottom w:val="single" w:color="auto" w:sz="4" w:space="0"/>
            </w:tcBorders>
            <w:vAlign w:val="center"/>
          </w:tcPr>
          <w:p>
            <w:pPr>
              <w:spacing w:line="360" w:lineRule="auto"/>
              <w:jc w:val="center"/>
              <w:rPr>
                <w:rFonts w:ascii="宋体" w:hAnsi="宋体" w:cs="宋体"/>
                <w:color w:val="auto"/>
              </w:rPr>
            </w:pPr>
          </w:p>
        </w:tc>
        <w:tc>
          <w:tcPr>
            <w:tcW w:w="1269" w:type="dxa"/>
            <w:gridSpan w:val="2"/>
            <w:tcBorders>
              <w:bottom w:val="single" w:color="auto" w:sz="4" w:space="0"/>
              <w:right w:val="single" w:color="auto" w:sz="4" w:space="0"/>
            </w:tcBorders>
            <w:vAlign w:val="center"/>
          </w:tcPr>
          <w:p>
            <w:pPr>
              <w:spacing w:line="360" w:lineRule="auto"/>
              <w:jc w:val="center"/>
              <w:rPr>
                <w:rFonts w:ascii="宋体" w:hAnsi="宋体" w:cs="宋体"/>
                <w:color w:val="auto"/>
              </w:rPr>
            </w:pPr>
          </w:p>
        </w:tc>
        <w:tc>
          <w:tcPr>
            <w:tcW w:w="1356" w:type="dxa"/>
            <w:tcBorders>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p>
        </w:tc>
        <w:tc>
          <w:tcPr>
            <w:tcW w:w="1618" w:type="dxa"/>
            <w:gridSpan w:val="2"/>
            <w:tcBorders>
              <w:left w:val="single" w:color="auto" w:sz="4" w:space="0"/>
              <w:bottom w:val="single" w:color="auto" w:sz="4" w:space="0"/>
            </w:tcBorders>
            <w:vAlign w:val="center"/>
          </w:tcPr>
          <w:p>
            <w:pPr>
              <w:spacing w:line="360" w:lineRule="auto"/>
              <w:jc w:val="center"/>
              <w:rPr>
                <w:rFonts w:ascii="宋体" w:hAnsi="宋体" w:cs="宋体"/>
                <w:color w:val="auto"/>
              </w:rPr>
            </w:pPr>
          </w:p>
        </w:tc>
        <w:tc>
          <w:tcPr>
            <w:tcW w:w="1001" w:type="dxa"/>
            <w:tcBorders>
              <w:left w:val="single" w:color="auto" w:sz="4" w:space="0"/>
              <w:bottom w:val="single" w:color="auto" w:sz="4" w:space="0"/>
            </w:tcBorders>
          </w:tcPr>
          <w:p>
            <w:pPr>
              <w:spacing w:line="360" w:lineRule="auto"/>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360" w:lineRule="auto"/>
              <w:jc w:val="center"/>
              <w:rPr>
                <w:rFonts w:ascii="宋体" w:hAnsi="宋体" w:cs="宋体"/>
                <w:color w:val="auto"/>
              </w:rPr>
            </w:pPr>
          </w:p>
        </w:tc>
        <w:tc>
          <w:tcPr>
            <w:tcW w:w="1440" w:type="dxa"/>
            <w:tcBorders>
              <w:top w:val="single" w:color="auto" w:sz="4" w:space="0"/>
              <w:bottom w:val="single" w:color="auto" w:sz="4" w:space="0"/>
            </w:tcBorders>
            <w:vAlign w:val="center"/>
          </w:tcPr>
          <w:p>
            <w:pPr>
              <w:spacing w:line="360" w:lineRule="auto"/>
              <w:jc w:val="center"/>
              <w:rPr>
                <w:rFonts w:ascii="宋体" w:hAnsi="宋体" w:cs="宋体"/>
                <w:color w:val="auto"/>
              </w:rPr>
            </w:pPr>
          </w:p>
        </w:tc>
        <w:tc>
          <w:tcPr>
            <w:tcW w:w="1320" w:type="dxa"/>
            <w:tcBorders>
              <w:top w:val="single" w:color="auto" w:sz="4" w:space="0"/>
              <w:bottom w:val="single" w:color="auto" w:sz="4" w:space="0"/>
            </w:tcBorders>
            <w:vAlign w:val="center"/>
          </w:tcPr>
          <w:p>
            <w:pPr>
              <w:spacing w:line="360" w:lineRule="auto"/>
              <w:jc w:val="center"/>
              <w:rPr>
                <w:rFonts w:ascii="宋体" w:hAnsi="宋体" w:cs="宋体"/>
                <w:color w:val="auto"/>
              </w:rPr>
            </w:pPr>
          </w:p>
        </w:tc>
        <w:tc>
          <w:tcPr>
            <w:tcW w:w="1161" w:type="dxa"/>
            <w:tcBorders>
              <w:top w:val="single" w:color="auto" w:sz="4" w:space="0"/>
              <w:bottom w:val="single" w:color="auto" w:sz="4" w:space="0"/>
            </w:tcBorders>
            <w:vAlign w:val="center"/>
          </w:tcPr>
          <w:p>
            <w:pPr>
              <w:spacing w:line="360" w:lineRule="auto"/>
              <w:jc w:val="center"/>
              <w:rPr>
                <w:rFonts w:ascii="宋体" w:hAnsi="宋体" w:cs="宋体"/>
                <w:color w:val="auto"/>
              </w:rPr>
            </w:pPr>
          </w:p>
        </w:tc>
        <w:tc>
          <w:tcPr>
            <w:tcW w:w="1269"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p>
        </w:tc>
        <w:tc>
          <w:tcPr>
            <w:tcW w:w="1618" w:type="dxa"/>
            <w:gridSpan w:val="2"/>
            <w:tcBorders>
              <w:top w:val="single" w:color="auto" w:sz="4" w:space="0"/>
              <w:left w:val="single" w:color="auto" w:sz="4" w:space="0"/>
              <w:bottom w:val="single" w:color="auto" w:sz="4" w:space="0"/>
            </w:tcBorders>
            <w:vAlign w:val="center"/>
          </w:tcPr>
          <w:p>
            <w:pPr>
              <w:spacing w:line="360" w:lineRule="auto"/>
              <w:jc w:val="center"/>
              <w:rPr>
                <w:rFonts w:ascii="宋体" w:hAnsi="宋体" w:cs="宋体"/>
                <w:color w:val="auto"/>
              </w:rPr>
            </w:pPr>
          </w:p>
        </w:tc>
        <w:tc>
          <w:tcPr>
            <w:tcW w:w="1001" w:type="dxa"/>
            <w:tcBorders>
              <w:top w:val="single" w:color="auto" w:sz="4" w:space="0"/>
              <w:left w:val="single" w:color="auto" w:sz="4" w:space="0"/>
              <w:bottom w:val="single" w:color="auto" w:sz="4" w:space="0"/>
            </w:tcBorders>
          </w:tcPr>
          <w:p>
            <w:pPr>
              <w:spacing w:line="360" w:lineRule="auto"/>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360" w:lineRule="auto"/>
              <w:jc w:val="center"/>
              <w:rPr>
                <w:rFonts w:ascii="宋体" w:hAnsi="宋体" w:cs="宋体"/>
                <w:color w:val="auto"/>
              </w:rPr>
            </w:pPr>
          </w:p>
        </w:tc>
        <w:tc>
          <w:tcPr>
            <w:tcW w:w="1440" w:type="dxa"/>
            <w:tcBorders>
              <w:top w:val="single" w:color="auto" w:sz="4" w:space="0"/>
              <w:bottom w:val="single" w:color="auto" w:sz="4" w:space="0"/>
            </w:tcBorders>
            <w:vAlign w:val="center"/>
          </w:tcPr>
          <w:p>
            <w:pPr>
              <w:spacing w:line="360" w:lineRule="auto"/>
              <w:jc w:val="center"/>
              <w:rPr>
                <w:rFonts w:ascii="宋体" w:hAnsi="宋体" w:cs="宋体"/>
                <w:color w:val="auto"/>
              </w:rPr>
            </w:pPr>
          </w:p>
        </w:tc>
        <w:tc>
          <w:tcPr>
            <w:tcW w:w="1320" w:type="dxa"/>
            <w:tcBorders>
              <w:top w:val="single" w:color="auto" w:sz="4" w:space="0"/>
              <w:bottom w:val="single" w:color="auto" w:sz="4" w:space="0"/>
            </w:tcBorders>
            <w:vAlign w:val="center"/>
          </w:tcPr>
          <w:p>
            <w:pPr>
              <w:spacing w:line="360" w:lineRule="auto"/>
              <w:jc w:val="center"/>
              <w:rPr>
                <w:rFonts w:ascii="宋体" w:hAnsi="宋体" w:cs="宋体"/>
                <w:color w:val="auto"/>
              </w:rPr>
            </w:pPr>
          </w:p>
        </w:tc>
        <w:tc>
          <w:tcPr>
            <w:tcW w:w="1161" w:type="dxa"/>
            <w:tcBorders>
              <w:top w:val="single" w:color="auto" w:sz="4" w:space="0"/>
              <w:bottom w:val="single" w:color="auto" w:sz="4" w:space="0"/>
            </w:tcBorders>
            <w:vAlign w:val="center"/>
          </w:tcPr>
          <w:p>
            <w:pPr>
              <w:spacing w:line="360" w:lineRule="auto"/>
              <w:jc w:val="center"/>
              <w:rPr>
                <w:rFonts w:ascii="宋体" w:hAnsi="宋体" w:cs="宋体"/>
                <w:color w:val="auto"/>
              </w:rPr>
            </w:pPr>
          </w:p>
        </w:tc>
        <w:tc>
          <w:tcPr>
            <w:tcW w:w="1269"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p>
        </w:tc>
        <w:tc>
          <w:tcPr>
            <w:tcW w:w="1618" w:type="dxa"/>
            <w:gridSpan w:val="2"/>
            <w:tcBorders>
              <w:top w:val="single" w:color="auto" w:sz="4" w:space="0"/>
              <w:left w:val="single" w:color="auto" w:sz="4" w:space="0"/>
              <w:bottom w:val="single" w:color="auto" w:sz="4" w:space="0"/>
            </w:tcBorders>
            <w:vAlign w:val="center"/>
          </w:tcPr>
          <w:p>
            <w:pPr>
              <w:spacing w:line="360" w:lineRule="auto"/>
              <w:jc w:val="center"/>
              <w:rPr>
                <w:rFonts w:ascii="宋体" w:hAnsi="宋体" w:cs="宋体"/>
                <w:color w:val="auto"/>
              </w:rPr>
            </w:pPr>
          </w:p>
        </w:tc>
        <w:tc>
          <w:tcPr>
            <w:tcW w:w="1001" w:type="dxa"/>
            <w:tcBorders>
              <w:top w:val="single" w:color="auto" w:sz="4" w:space="0"/>
              <w:left w:val="single" w:color="auto" w:sz="4" w:space="0"/>
              <w:bottom w:val="single" w:color="auto" w:sz="4" w:space="0"/>
            </w:tcBorders>
          </w:tcPr>
          <w:p>
            <w:pPr>
              <w:spacing w:line="360" w:lineRule="auto"/>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360" w:lineRule="auto"/>
              <w:jc w:val="center"/>
              <w:rPr>
                <w:rFonts w:ascii="宋体" w:hAnsi="宋体" w:cs="宋体"/>
                <w:color w:val="auto"/>
              </w:rPr>
            </w:pPr>
          </w:p>
        </w:tc>
        <w:tc>
          <w:tcPr>
            <w:tcW w:w="1440" w:type="dxa"/>
            <w:tcBorders>
              <w:top w:val="single" w:color="auto" w:sz="4" w:space="0"/>
              <w:bottom w:val="single" w:color="auto" w:sz="4" w:space="0"/>
            </w:tcBorders>
            <w:vAlign w:val="center"/>
          </w:tcPr>
          <w:p>
            <w:pPr>
              <w:spacing w:line="360" w:lineRule="auto"/>
              <w:jc w:val="center"/>
              <w:rPr>
                <w:rFonts w:ascii="宋体" w:hAnsi="宋体" w:cs="宋体"/>
                <w:color w:val="auto"/>
              </w:rPr>
            </w:pPr>
          </w:p>
        </w:tc>
        <w:tc>
          <w:tcPr>
            <w:tcW w:w="1320" w:type="dxa"/>
            <w:tcBorders>
              <w:top w:val="single" w:color="auto" w:sz="4" w:space="0"/>
              <w:bottom w:val="single" w:color="auto" w:sz="4" w:space="0"/>
            </w:tcBorders>
            <w:vAlign w:val="center"/>
          </w:tcPr>
          <w:p>
            <w:pPr>
              <w:spacing w:line="360" w:lineRule="auto"/>
              <w:jc w:val="center"/>
              <w:rPr>
                <w:rFonts w:ascii="宋体" w:hAnsi="宋体" w:cs="宋体"/>
                <w:color w:val="auto"/>
              </w:rPr>
            </w:pPr>
          </w:p>
        </w:tc>
        <w:tc>
          <w:tcPr>
            <w:tcW w:w="1161" w:type="dxa"/>
            <w:tcBorders>
              <w:top w:val="single" w:color="auto" w:sz="4" w:space="0"/>
              <w:bottom w:val="single" w:color="auto" w:sz="4" w:space="0"/>
            </w:tcBorders>
            <w:vAlign w:val="center"/>
          </w:tcPr>
          <w:p>
            <w:pPr>
              <w:spacing w:line="360" w:lineRule="auto"/>
              <w:jc w:val="center"/>
              <w:rPr>
                <w:rFonts w:ascii="宋体" w:hAnsi="宋体" w:cs="宋体"/>
                <w:color w:val="auto"/>
              </w:rPr>
            </w:pPr>
          </w:p>
        </w:tc>
        <w:tc>
          <w:tcPr>
            <w:tcW w:w="1269"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p>
        </w:tc>
        <w:tc>
          <w:tcPr>
            <w:tcW w:w="1618" w:type="dxa"/>
            <w:gridSpan w:val="2"/>
            <w:tcBorders>
              <w:top w:val="single" w:color="auto" w:sz="4" w:space="0"/>
              <w:left w:val="single" w:color="auto" w:sz="4" w:space="0"/>
              <w:bottom w:val="single" w:color="auto" w:sz="4" w:space="0"/>
            </w:tcBorders>
            <w:vAlign w:val="center"/>
          </w:tcPr>
          <w:p>
            <w:pPr>
              <w:spacing w:line="360" w:lineRule="auto"/>
              <w:jc w:val="center"/>
              <w:rPr>
                <w:rFonts w:ascii="宋体" w:hAnsi="宋体" w:cs="宋体"/>
                <w:color w:val="auto"/>
              </w:rPr>
            </w:pPr>
          </w:p>
        </w:tc>
        <w:tc>
          <w:tcPr>
            <w:tcW w:w="1001" w:type="dxa"/>
            <w:tcBorders>
              <w:top w:val="single" w:color="auto" w:sz="4" w:space="0"/>
              <w:left w:val="single" w:color="auto" w:sz="4" w:space="0"/>
              <w:bottom w:val="single" w:color="auto" w:sz="4" w:space="0"/>
            </w:tcBorders>
          </w:tcPr>
          <w:p>
            <w:pPr>
              <w:spacing w:line="360" w:lineRule="auto"/>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360" w:lineRule="auto"/>
              <w:jc w:val="center"/>
              <w:rPr>
                <w:rFonts w:ascii="宋体" w:hAnsi="宋体" w:cs="宋体"/>
                <w:color w:val="auto"/>
              </w:rPr>
            </w:pPr>
          </w:p>
        </w:tc>
        <w:tc>
          <w:tcPr>
            <w:tcW w:w="1440" w:type="dxa"/>
            <w:tcBorders>
              <w:top w:val="single" w:color="auto" w:sz="4" w:space="0"/>
              <w:bottom w:val="single" w:color="auto" w:sz="4" w:space="0"/>
            </w:tcBorders>
            <w:vAlign w:val="center"/>
          </w:tcPr>
          <w:p>
            <w:pPr>
              <w:spacing w:line="360" w:lineRule="auto"/>
              <w:jc w:val="center"/>
              <w:rPr>
                <w:rFonts w:ascii="宋体" w:hAnsi="宋体" w:cs="宋体"/>
                <w:color w:val="auto"/>
              </w:rPr>
            </w:pPr>
          </w:p>
        </w:tc>
        <w:tc>
          <w:tcPr>
            <w:tcW w:w="1320" w:type="dxa"/>
            <w:tcBorders>
              <w:top w:val="single" w:color="auto" w:sz="4" w:space="0"/>
              <w:bottom w:val="single" w:color="auto" w:sz="4" w:space="0"/>
            </w:tcBorders>
            <w:vAlign w:val="center"/>
          </w:tcPr>
          <w:p>
            <w:pPr>
              <w:spacing w:line="360" w:lineRule="auto"/>
              <w:jc w:val="center"/>
              <w:rPr>
                <w:rFonts w:ascii="宋体" w:hAnsi="宋体" w:cs="宋体"/>
                <w:color w:val="auto"/>
              </w:rPr>
            </w:pPr>
          </w:p>
        </w:tc>
        <w:tc>
          <w:tcPr>
            <w:tcW w:w="1161" w:type="dxa"/>
            <w:tcBorders>
              <w:top w:val="single" w:color="auto" w:sz="4" w:space="0"/>
              <w:bottom w:val="single" w:color="auto" w:sz="4" w:space="0"/>
            </w:tcBorders>
            <w:vAlign w:val="center"/>
          </w:tcPr>
          <w:p>
            <w:pPr>
              <w:spacing w:line="360" w:lineRule="auto"/>
              <w:jc w:val="center"/>
              <w:rPr>
                <w:rFonts w:ascii="宋体" w:hAnsi="宋体" w:cs="宋体"/>
                <w:color w:val="auto"/>
              </w:rPr>
            </w:pPr>
          </w:p>
        </w:tc>
        <w:tc>
          <w:tcPr>
            <w:tcW w:w="1269"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p>
        </w:tc>
        <w:tc>
          <w:tcPr>
            <w:tcW w:w="1618" w:type="dxa"/>
            <w:gridSpan w:val="2"/>
            <w:tcBorders>
              <w:top w:val="single" w:color="auto" w:sz="4" w:space="0"/>
              <w:left w:val="single" w:color="auto" w:sz="4" w:space="0"/>
              <w:bottom w:val="single" w:color="auto" w:sz="4" w:space="0"/>
            </w:tcBorders>
            <w:vAlign w:val="center"/>
          </w:tcPr>
          <w:p>
            <w:pPr>
              <w:spacing w:line="360" w:lineRule="auto"/>
              <w:jc w:val="center"/>
              <w:rPr>
                <w:rFonts w:ascii="宋体" w:hAnsi="宋体" w:cs="宋体"/>
                <w:color w:val="auto"/>
              </w:rPr>
            </w:pPr>
          </w:p>
        </w:tc>
        <w:tc>
          <w:tcPr>
            <w:tcW w:w="1001" w:type="dxa"/>
            <w:tcBorders>
              <w:top w:val="single" w:color="auto" w:sz="4" w:space="0"/>
              <w:left w:val="single" w:color="auto" w:sz="4" w:space="0"/>
              <w:bottom w:val="single" w:color="auto" w:sz="4" w:space="0"/>
            </w:tcBorders>
          </w:tcPr>
          <w:p>
            <w:pPr>
              <w:spacing w:line="360" w:lineRule="auto"/>
              <w:jc w:val="center"/>
              <w:rPr>
                <w:rFonts w:ascii="宋体" w:hAnsi="宋体" w:cs="宋体"/>
                <w:color w:val="auto"/>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ind w:firstLine="422" w:firstLineChars="200"/>
        <w:rPr>
          <w:rFonts w:ascii="宋体" w:hAnsi="宋体" w:cs="宋体"/>
          <w:b/>
          <w:bCs/>
          <w:color w:val="auto"/>
          <w:szCs w:val="21"/>
        </w:rPr>
      </w:pPr>
      <w:r>
        <w:rPr>
          <w:rFonts w:hint="eastAsia" w:ascii="宋体" w:hAnsi="宋体" w:cs="宋体"/>
          <w:b/>
          <w:bCs/>
          <w:color w:val="auto"/>
          <w:szCs w:val="21"/>
        </w:rPr>
        <w:t>注：供应商（仅限于供应商自身实施的）以上业绩需提供有关书面证明材料（如成交通知书/成交通知书或采购合同）。“合同金额”需提供合同复印件；“完成项目质量”需提供合同验收合格或用户单位书面证明材料。</w:t>
      </w:r>
    </w:p>
    <w:p>
      <w:pPr>
        <w:spacing w:line="360" w:lineRule="auto"/>
        <w:ind w:firstLine="480" w:firstLineChars="200"/>
        <w:rPr>
          <w:rFonts w:ascii="宋体" w:hAnsi="宋体" w:cs="宋体"/>
          <w:color w:val="auto"/>
          <w:sz w:val="24"/>
          <w:szCs w:val="20"/>
        </w:rPr>
      </w:pPr>
    </w:p>
    <w:p>
      <w:pPr>
        <w:ind w:firstLine="480" w:firstLineChars="200"/>
        <w:rPr>
          <w:rFonts w:ascii="宋体" w:hAnsi="宋体" w:cs="宋体"/>
          <w:color w:val="auto"/>
          <w:sz w:val="24"/>
        </w:rPr>
      </w:pPr>
      <w:r>
        <w:rPr>
          <w:rFonts w:hint="eastAsia" w:ascii="宋体" w:hAnsi="宋体" w:cs="宋体"/>
          <w:color w:val="auto"/>
          <w:sz w:val="24"/>
        </w:rPr>
        <w:t xml:space="preserve">供应商(盖章)： </w:t>
      </w:r>
    </w:p>
    <w:p>
      <w:pPr>
        <w:ind w:firstLine="480" w:firstLineChars="200"/>
        <w:rPr>
          <w:rFonts w:ascii="宋体" w:hAnsi="宋体" w:cs="宋体"/>
          <w:color w:val="auto"/>
          <w:sz w:val="24"/>
        </w:rPr>
      </w:pPr>
    </w:p>
    <w:p>
      <w:pPr>
        <w:ind w:firstLine="480" w:firstLineChars="200"/>
        <w:rPr>
          <w:rFonts w:ascii="宋体" w:hAnsi="宋体" w:cs="宋体"/>
          <w:color w:val="auto"/>
          <w:sz w:val="24"/>
        </w:rPr>
      </w:pPr>
    </w:p>
    <w:p>
      <w:pPr>
        <w:ind w:firstLine="480" w:firstLineChars="200"/>
        <w:rPr>
          <w:rFonts w:ascii="宋体" w:hAnsi="宋体" w:cs="宋体"/>
          <w:color w:val="auto"/>
          <w:sz w:val="24"/>
        </w:rPr>
      </w:pPr>
      <w:r>
        <w:rPr>
          <w:rFonts w:hint="eastAsia" w:ascii="宋体" w:hAnsi="宋体" w:cs="宋体"/>
          <w:color w:val="auto"/>
          <w:sz w:val="24"/>
        </w:rPr>
        <w:t>法定代表人或委托代理人（签字或盖章）：</w:t>
      </w:r>
    </w:p>
    <w:p>
      <w:pPr>
        <w:ind w:firstLine="480" w:firstLineChars="200"/>
        <w:rPr>
          <w:rFonts w:ascii="宋体" w:hAnsi="宋体" w:cs="宋体"/>
          <w:color w:val="auto"/>
          <w:sz w:val="24"/>
        </w:rPr>
      </w:pPr>
    </w:p>
    <w:p>
      <w:pPr>
        <w:ind w:firstLine="480" w:firstLineChars="200"/>
        <w:rPr>
          <w:rFonts w:ascii="宋体" w:hAnsi="宋体" w:cs="宋体"/>
          <w:color w:val="auto"/>
          <w:sz w:val="24"/>
        </w:rPr>
      </w:pPr>
    </w:p>
    <w:p>
      <w:pPr>
        <w:ind w:firstLine="480" w:firstLineChars="200"/>
        <w:rPr>
          <w:rFonts w:ascii="宋体" w:hAnsi="宋体" w:cs="宋体"/>
          <w:color w:val="auto"/>
          <w:sz w:val="24"/>
        </w:rPr>
      </w:pPr>
      <w:r>
        <w:rPr>
          <w:rFonts w:hint="eastAsia" w:ascii="宋体" w:hAnsi="宋体" w:cs="宋体"/>
          <w:color w:val="auto"/>
          <w:sz w:val="24"/>
        </w:rPr>
        <w:t>日期：   年  月   日</w:t>
      </w:r>
    </w:p>
    <w:p>
      <w:pPr>
        <w:spacing w:line="360" w:lineRule="auto"/>
        <w:rPr>
          <w:rFonts w:ascii="宋体" w:hAnsi="宋体" w:cs="宋体"/>
          <w:color w:val="auto"/>
          <w:sz w:val="24"/>
          <w:szCs w:val="20"/>
        </w:rPr>
      </w:pPr>
    </w:p>
    <w:p>
      <w:pPr>
        <w:pStyle w:val="6"/>
        <w:spacing w:line="360" w:lineRule="auto"/>
        <w:ind w:firstLine="0"/>
        <w:jc w:val="center"/>
        <w:rPr>
          <w:rFonts w:ascii="宋体" w:hAnsi="宋体" w:cs="宋体"/>
          <w:b/>
          <w:color w:val="auto"/>
          <w:sz w:val="24"/>
          <w:szCs w:val="24"/>
        </w:rPr>
      </w:pPr>
    </w:p>
    <w:p>
      <w:pPr>
        <w:pStyle w:val="6"/>
        <w:spacing w:line="360" w:lineRule="auto"/>
        <w:ind w:firstLine="0"/>
        <w:jc w:val="both"/>
        <w:rPr>
          <w:rFonts w:ascii="宋体" w:hAnsi="宋体" w:cs="宋体"/>
          <w:b/>
          <w:color w:val="auto"/>
          <w:sz w:val="24"/>
          <w:szCs w:val="24"/>
        </w:rPr>
      </w:pPr>
    </w:p>
    <w:p>
      <w:pPr>
        <w:spacing w:line="360" w:lineRule="auto"/>
        <w:jc w:val="center"/>
        <w:rPr>
          <w:rFonts w:ascii="宋体" w:hAnsi="宋体" w:cs="宋体"/>
          <w:b/>
          <w:color w:val="auto"/>
          <w:sz w:val="24"/>
        </w:rPr>
      </w:pPr>
      <w:r>
        <w:rPr>
          <w:rFonts w:hint="eastAsia" w:ascii="宋体" w:hAnsi="宋体" w:cs="宋体"/>
          <w:b/>
          <w:color w:val="auto"/>
          <w:sz w:val="24"/>
        </w:rPr>
        <w:t>格式11  技术规格响应偏离表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2228"/>
        <w:gridCol w:w="2228"/>
        <w:gridCol w:w="2228"/>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color w:val="auto"/>
                <w:sz w:val="24"/>
              </w:rPr>
            </w:pPr>
            <w:r>
              <w:rPr>
                <w:rFonts w:hint="eastAsia" w:ascii="宋体" w:hAnsi="宋体" w:cs="宋体"/>
                <w:color w:val="auto"/>
                <w:sz w:val="24"/>
              </w:rPr>
              <w:t>序号</w:t>
            </w:r>
          </w:p>
        </w:tc>
        <w:tc>
          <w:tcPr>
            <w:tcW w:w="2228" w:type="dxa"/>
            <w:vAlign w:val="center"/>
          </w:tcPr>
          <w:p>
            <w:pPr>
              <w:spacing w:line="360" w:lineRule="auto"/>
              <w:jc w:val="center"/>
              <w:rPr>
                <w:rFonts w:ascii="宋体" w:hAnsi="宋体" w:cs="宋体"/>
                <w:color w:val="auto"/>
                <w:sz w:val="24"/>
              </w:rPr>
            </w:pPr>
            <w:r>
              <w:rPr>
                <w:rFonts w:hint="eastAsia" w:ascii="宋体" w:hAnsi="宋体" w:cs="宋体"/>
                <w:color w:val="auto"/>
                <w:sz w:val="24"/>
              </w:rPr>
              <w:t>服务内容及要求</w:t>
            </w:r>
          </w:p>
        </w:tc>
        <w:tc>
          <w:tcPr>
            <w:tcW w:w="2228" w:type="dxa"/>
            <w:vAlign w:val="center"/>
          </w:tcPr>
          <w:p>
            <w:pPr>
              <w:spacing w:line="360" w:lineRule="auto"/>
              <w:jc w:val="center"/>
              <w:rPr>
                <w:rFonts w:ascii="宋体" w:hAnsi="宋体" w:cs="宋体"/>
                <w:color w:val="auto"/>
                <w:sz w:val="24"/>
              </w:rPr>
            </w:pPr>
            <w:r>
              <w:rPr>
                <w:rFonts w:hint="eastAsia" w:ascii="宋体" w:hAnsi="宋体" w:cs="宋体"/>
                <w:color w:val="auto"/>
                <w:sz w:val="24"/>
              </w:rPr>
              <w:t>招标要求</w:t>
            </w:r>
          </w:p>
        </w:tc>
        <w:tc>
          <w:tcPr>
            <w:tcW w:w="2228" w:type="dxa"/>
            <w:vAlign w:val="center"/>
          </w:tcPr>
          <w:p>
            <w:pPr>
              <w:spacing w:line="360" w:lineRule="auto"/>
              <w:jc w:val="center"/>
              <w:rPr>
                <w:rFonts w:ascii="宋体" w:hAnsi="宋体" w:cs="宋体"/>
                <w:color w:val="auto"/>
                <w:sz w:val="24"/>
              </w:rPr>
            </w:pPr>
            <w:r>
              <w:rPr>
                <w:rFonts w:hint="eastAsia" w:ascii="宋体" w:hAnsi="宋体" w:cs="宋体"/>
                <w:color w:val="auto"/>
                <w:sz w:val="24"/>
              </w:rPr>
              <w:t>投标规格</w:t>
            </w:r>
          </w:p>
        </w:tc>
        <w:tc>
          <w:tcPr>
            <w:tcW w:w="2228" w:type="dxa"/>
            <w:vAlign w:val="center"/>
          </w:tcPr>
          <w:p>
            <w:pPr>
              <w:spacing w:line="360" w:lineRule="auto"/>
              <w:jc w:val="center"/>
              <w:rPr>
                <w:rFonts w:ascii="宋体" w:hAnsi="宋体" w:cs="宋体"/>
                <w:color w:val="auto"/>
                <w:sz w:val="24"/>
              </w:rPr>
            </w:pPr>
            <w:r>
              <w:rPr>
                <w:rFonts w:hint="eastAsia" w:ascii="宋体" w:hAnsi="宋体" w:cs="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c>
          <w:tcPr>
            <w:tcW w:w="2228" w:type="dxa"/>
            <w:vAlign w:val="center"/>
          </w:tcPr>
          <w:p>
            <w:pPr>
              <w:spacing w:line="360" w:lineRule="auto"/>
              <w:jc w:val="center"/>
              <w:rPr>
                <w:rFonts w:ascii="宋体" w:hAnsi="宋体" w:cs="宋体"/>
                <w:color w:val="auto"/>
                <w:sz w:val="24"/>
              </w:rPr>
            </w:pPr>
          </w:p>
        </w:tc>
      </w:tr>
    </w:tbl>
    <w:p>
      <w:pPr>
        <w:ind w:left="482" w:hanging="482" w:hangingChars="200"/>
        <w:rPr>
          <w:rFonts w:ascii="宋体" w:hAnsi="宋体" w:cs="宋体"/>
          <w:b/>
          <w:color w:val="auto"/>
          <w:sz w:val="24"/>
        </w:rPr>
      </w:pPr>
      <w:r>
        <w:rPr>
          <w:rFonts w:hint="eastAsia" w:ascii="宋体" w:hAnsi="宋体" w:cs="宋体"/>
          <w:b/>
          <w:color w:val="auto"/>
          <w:sz w:val="24"/>
        </w:rPr>
        <w:t>注：1、没有说明的其他条款将被认为完全满足本招标项目技术条款要求。</w:t>
      </w:r>
    </w:p>
    <w:p>
      <w:pPr>
        <w:ind w:left="482" w:hanging="482" w:hangingChars="200"/>
        <w:rPr>
          <w:rFonts w:ascii="宋体" w:hAnsi="宋体" w:cs="宋体"/>
          <w:color w:val="auto"/>
          <w:sz w:val="24"/>
        </w:rPr>
      </w:pPr>
      <w:r>
        <w:rPr>
          <w:rFonts w:hint="eastAsia" w:ascii="宋体" w:hAnsi="宋体" w:cs="宋体"/>
          <w:b/>
          <w:color w:val="auto"/>
          <w:sz w:val="24"/>
        </w:rPr>
        <w:t>2、各供应商按此表格式自行填写，表格不够时可自行添加。</w:t>
      </w:r>
    </w:p>
    <w:p>
      <w:pPr>
        <w:ind w:left="480" w:hanging="480" w:hangingChars="200"/>
        <w:rPr>
          <w:rFonts w:ascii="宋体" w:hAnsi="宋体" w:cs="宋体"/>
          <w:color w:val="auto"/>
          <w:sz w:val="24"/>
        </w:rPr>
      </w:pPr>
    </w:p>
    <w:p>
      <w:pPr>
        <w:ind w:left="480" w:hanging="480" w:hangingChars="200"/>
        <w:rPr>
          <w:rFonts w:ascii="宋体" w:hAnsi="宋体" w:cs="宋体"/>
          <w:color w:val="auto"/>
          <w:sz w:val="24"/>
        </w:rPr>
      </w:pPr>
    </w:p>
    <w:p>
      <w:pPr>
        <w:ind w:left="480" w:hanging="480" w:hangingChars="200"/>
        <w:rPr>
          <w:rFonts w:ascii="宋体" w:hAnsi="宋体" w:cs="宋体"/>
          <w:color w:val="auto"/>
          <w:sz w:val="24"/>
        </w:rPr>
      </w:pPr>
      <w:r>
        <w:rPr>
          <w:rFonts w:hint="eastAsia" w:ascii="宋体" w:hAnsi="宋体" w:cs="宋体"/>
          <w:color w:val="auto"/>
          <w:sz w:val="24"/>
        </w:rPr>
        <w:t xml:space="preserve">供应商(盖章)： </w:t>
      </w:r>
    </w:p>
    <w:p>
      <w:pPr>
        <w:ind w:left="480" w:hanging="480" w:hangingChars="200"/>
        <w:rPr>
          <w:rFonts w:ascii="宋体" w:hAnsi="宋体" w:cs="宋体"/>
          <w:color w:val="auto"/>
          <w:sz w:val="24"/>
        </w:rPr>
      </w:pPr>
    </w:p>
    <w:p>
      <w:pPr>
        <w:ind w:left="480" w:hanging="480" w:hangingChars="200"/>
        <w:rPr>
          <w:rFonts w:ascii="宋体" w:hAnsi="宋体" w:cs="宋体"/>
          <w:color w:val="auto"/>
          <w:sz w:val="24"/>
        </w:rPr>
      </w:pPr>
    </w:p>
    <w:p>
      <w:pPr>
        <w:ind w:left="480" w:hanging="480" w:hangingChars="200"/>
        <w:rPr>
          <w:rFonts w:ascii="宋体" w:hAnsi="宋体" w:cs="宋体"/>
          <w:color w:val="auto"/>
          <w:sz w:val="24"/>
        </w:rPr>
      </w:pPr>
      <w:r>
        <w:rPr>
          <w:rFonts w:hint="eastAsia" w:ascii="宋体" w:hAnsi="宋体" w:cs="宋体"/>
          <w:color w:val="auto"/>
          <w:sz w:val="24"/>
        </w:rPr>
        <w:t>法定代表人或委托代理人（签字或盖章）：</w:t>
      </w:r>
    </w:p>
    <w:p>
      <w:pPr>
        <w:ind w:left="480" w:hanging="480" w:hangingChars="200"/>
        <w:rPr>
          <w:rFonts w:ascii="宋体" w:hAnsi="宋体" w:cs="宋体"/>
          <w:color w:val="auto"/>
          <w:sz w:val="24"/>
        </w:rPr>
      </w:pPr>
    </w:p>
    <w:p>
      <w:pPr>
        <w:ind w:left="480" w:hanging="480" w:hangingChars="200"/>
        <w:rPr>
          <w:rFonts w:ascii="宋体" w:hAnsi="宋体" w:cs="宋体"/>
          <w:color w:val="auto"/>
          <w:sz w:val="24"/>
        </w:rPr>
      </w:pPr>
    </w:p>
    <w:p>
      <w:pPr>
        <w:ind w:left="480" w:hanging="480" w:hangingChars="200"/>
        <w:rPr>
          <w:rFonts w:ascii="宋体" w:hAnsi="宋体" w:cs="宋体"/>
          <w:color w:val="auto"/>
          <w:sz w:val="24"/>
        </w:rPr>
      </w:pPr>
      <w:r>
        <w:rPr>
          <w:rFonts w:hint="eastAsia" w:ascii="宋体" w:hAnsi="宋体" w:cs="宋体"/>
          <w:color w:val="auto"/>
          <w:sz w:val="24"/>
        </w:rPr>
        <w:t>日期：   年  月   日</w:t>
      </w:r>
    </w:p>
    <w:p>
      <w:pPr>
        <w:spacing w:line="360" w:lineRule="auto"/>
        <w:jc w:val="center"/>
        <w:rPr>
          <w:rFonts w:ascii="宋体" w:hAnsi="宋体" w:cs="宋体"/>
          <w:b/>
          <w:color w:val="auto"/>
          <w:sz w:val="24"/>
        </w:rPr>
      </w:pPr>
    </w:p>
    <w:p>
      <w:pPr>
        <w:pStyle w:val="2"/>
        <w:rPr>
          <w:rFonts w:ascii="宋体" w:hAnsi="宋体" w:cs="宋体"/>
          <w:color w:val="auto"/>
        </w:rPr>
      </w:pPr>
    </w:p>
    <w:p>
      <w:pPr>
        <w:rPr>
          <w:rFonts w:ascii="宋体" w:hAnsi="宋体" w:cs="宋体"/>
          <w:color w:val="auto"/>
        </w:rPr>
      </w:pPr>
    </w:p>
    <w:p>
      <w:pPr>
        <w:spacing w:line="360" w:lineRule="auto"/>
        <w:rPr>
          <w:rFonts w:ascii="宋体" w:hAnsi="宋体" w:cs="宋体"/>
          <w:b/>
          <w:color w:val="auto"/>
          <w:sz w:val="24"/>
        </w:rPr>
      </w:pPr>
    </w:p>
    <w:p>
      <w:pPr>
        <w:spacing w:line="360" w:lineRule="auto"/>
        <w:jc w:val="center"/>
        <w:rPr>
          <w:rFonts w:ascii="宋体" w:hAnsi="宋体" w:cs="宋体"/>
          <w:b/>
          <w:color w:val="auto"/>
          <w:sz w:val="24"/>
        </w:rPr>
      </w:pPr>
    </w:p>
    <w:p>
      <w:pPr>
        <w:rPr>
          <w:rFonts w:ascii="宋体" w:hAnsi="宋体" w:cs="宋体"/>
          <w:color w:val="auto"/>
        </w:rPr>
      </w:pPr>
    </w:p>
    <w:p>
      <w:pPr>
        <w:spacing w:line="360" w:lineRule="auto"/>
        <w:jc w:val="center"/>
        <w:rPr>
          <w:rFonts w:ascii="宋体" w:hAnsi="宋体" w:cs="宋体"/>
          <w:b/>
          <w:bCs/>
          <w:color w:val="auto"/>
          <w:sz w:val="28"/>
          <w:szCs w:val="28"/>
        </w:rPr>
      </w:pPr>
      <w:r>
        <w:rPr>
          <w:rFonts w:hint="eastAsia" w:ascii="宋体" w:hAnsi="宋体" w:cs="宋体"/>
          <w:b/>
          <w:bCs/>
          <w:color w:val="auto"/>
          <w:sz w:val="28"/>
          <w:szCs w:val="28"/>
        </w:rPr>
        <w:t xml:space="preserve">第六章  </w:t>
      </w:r>
      <w:r>
        <w:rPr>
          <w:rFonts w:hint="eastAsia" w:ascii="宋体" w:hAnsi="宋体" w:cs="宋体"/>
          <w:b/>
          <w:color w:val="auto"/>
          <w:sz w:val="28"/>
          <w:szCs w:val="28"/>
        </w:rPr>
        <w:t>评审标准（综合评分法）</w:t>
      </w:r>
    </w:p>
    <w:p>
      <w:pPr>
        <w:spacing w:line="360" w:lineRule="auto"/>
        <w:rPr>
          <w:rFonts w:ascii="宋体" w:hAnsi="宋体" w:cs="宋体"/>
          <w:b/>
          <w:bCs/>
          <w:color w:val="auto"/>
          <w:sz w:val="24"/>
        </w:rPr>
      </w:pPr>
      <w:r>
        <w:rPr>
          <w:rFonts w:hint="eastAsia" w:ascii="宋体" w:hAnsi="宋体" w:cs="宋体"/>
          <w:b/>
          <w:bCs/>
          <w:color w:val="auto"/>
          <w:sz w:val="24"/>
        </w:rPr>
        <w:t>1、资格性审查</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4893"/>
        <w:gridCol w:w="3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934" w:type="dxa"/>
            <w:vAlign w:val="center"/>
          </w:tcPr>
          <w:p>
            <w:pPr>
              <w:spacing w:line="288" w:lineRule="auto"/>
              <w:jc w:val="center"/>
              <w:rPr>
                <w:rFonts w:ascii="宋体" w:hAnsi="宋体" w:cs="宋体"/>
                <w:color w:val="auto"/>
                <w:szCs w:val="21"/>
              </w:rPr>
            </w:pPr>
            <w:r>
              <w:rPr>
                <w:rFonts w:hint="eastAsia" w:ascii="宋体" w:hAnsi="宋体" w:cs="宋体"/>
                <w:color w:val="auto"/>
                <w:szCs w:val="21"/>
              </w:rPr>
              <w:t>序号</w:t>
            </w:r>
          </w:p>
        </w:tc>
        <w:tc>
          <w:tcPr>
            <w:tcW w:w="4893" w:type="dxa"/>
            <w:vAlign w:val="center"/>
          </w:tcPr>
          <w:p>
            <w:pPr>
              <w:spacing w:line="288" w:lineRule="auto"/>
              <w:jc w:val="center"/>
              <w:rPr>
                <w:rFonts w:ascii="宋体" w:hAnsi="宋体" w:cs="宋体"/>
                <w:color w:val="auto"/>
                <w:szCs w:val="21"/>
              </w:rPr>
            </w:pPr>
            <w:r>
              <w:rPr>
                <w:rFonts w:hint="eastAsia" w:ascii="宋体" w:hAnsi="宋体" w:cs="宋体"/>
                <w:color w:val="auto"/>
                <w:szCs w:val="21"/>
              </w:rPr>
              <w:t>评审因素</w:t>
            </w:r>
          </w:p>
        </w:tc>
        <w:tc>
          <w:tcPr>
            <w:tcW w:w="3932" w:type="dxa"/>
            <w:vAlign w:val="center"/>
          </w:tcPr>
          <w:p>
            <w:pPr>
              <w:spacing w:line="288" w:lineRule="auto"/>
              <w:jc w:val="center"/>
              <w:rPr>
                <w:rFonts w:ascii="宋体" w:hAnsi="宋体" w:cs="宋体"/>
                <w:color w:val="auto"/>
                <w:szCs w:val="21"/>
              </w:rPr>
            </w:pPr>
            <w:r>
              <w:rPr>
                <w:rFonts w:hint="eastAsia" w:ascii="宋体" w:hAnsi="宋体" w:cs="宋体"/>
                <w:color w:val="auto"/>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934" w:type="dxa"/>
            <w:vAlign w:val="center"/>
          </w:tcPr>
          <w:p>
            <w:pPr>
              <w:widowControl/>
              <w:spacing w:line="288" w:lineRule="auto"/>
              <w:jc w:val="center"/>
              <w:rPr>
                <w:rFonts w:ascii="宋体" w:hAnsi="宋体" w:cs="宋体"/>
                <w:color w:val="auto"/>
                <w:szCs w:val="21"/>
              </w:rPr>
            </w:pPr>
            <w:r>
              <w:rPr>
                <w:rFonts w:hint="eastAsia" w:ascii="宋体" w:hAnsi="宋体" w:cs="宋体"/>
                <w:color w:val="auto"/>
                <w:szCs w:val="21"/>
              </w:rPr>
              <w:t>1</w:t>
            </w:r>
          </w:p>
        </w:tc>
        <w:tc>
          <w:tcPr>
            <w:tcW w:w="4893" w:type="dxa"/>
            <w:vAlign w:val="center"/>
          </w:tcPr>
          <w:p>
            <w:pPr>
              <w:widowControl/>
              <w:spacing w:line="288" w:lineRule="auto"/>
              <w:rPr>
                <w:rFonts w:ascii="宋体" w:hAnsi="宋体" w:cs="宋体"/>
                <w:color w:val="auto"/>
                <w:szCs w:val="21"/>
              </w:rPr>
            </w:pPr>
            <w:r>
              <w:rPr>
                <w:rFonts w:hint="eastAsia" w:ascii="宋体" w:hAnsi="宋体" w:cs="宋体"/>
                <w:color w:val="auto"/>
                <w:szCs w:val="21"/>
              </w:rPr>
              <w:t>供应商须符合《中华人民共和国政府采购法》第二十二条</w:t>
            </w:r>
          </w:p>
        </w:tc>
        <w:tc>
          <w:tcPr>
            <w:tcW w:w="3932" w:type="dxa"/>
            <w:vAlign w:val="center"/>
          </w:tcPr>
          <w:p>
            <w:pPr>
              <w:widowControl/>
              <w:spacing w:line="288" w:lineRule="auto"/>
              <w:rPr>
                <w:rFonts w:ascii="宋体" w:hAnsi="宋体" w:cs="宋体"/>
                <w:color w:val="auto"/>
                <w:szCs w:val="21"/>
              </w:rPr>
            </w:pPr>
            <w:r>
              <w:rPr>
                <w:rFonts w:hint="eastAsia" w:ascii="宋体" w:hAnsi="宋体" w:cs="宋体"/>
                <w:color w:val="auto"/>
                <w:szCs w:val="21"/>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934" w:type="dxa"/>
            <w:vAlign w:val="center"/>
          </w:tcPr>
          <w:p>
            <w:pPr>
              <w:spacing w:line="288" w:lineRule="auto"/>
              <w:jc w:val="center"/>
              <w:rPr>
                <w:rFonts w:ascii="宋体" w:hAnsi="宋体" w:cs="宋体"/>
                <w:color w:val="auto"/>
                <w:szCs w:val="21"/>
              </w:rPr>
            </w:pPr>
            <w:r>
              <w:rPr>
                <w:rFonts w:hint="eastAsia" w:ascii="宋体" w:hAnsi="宋体" w:cs="宋体"/>
                <w:color w:val="auto"/>
                <w:szCs w:val="21"/>
              </w:rPr>
              <w:t>2</w:t>
            </w:r>
          </w:p>
        </w:tc>
        <w:tc>
          <w:tcPr>
            <w:tcW w:w="4893" w:type="dxa"/>
            <w:vAlign w:val="center"/>
          </w:tcPr>
          <w:p>
            <w:pPr>
              <w:widowControl/>
              <w:spacing w:line="288" w:lineRule="auto"/>
              <w:rPr>
                <w:rFonts w:ascii="宋体" w:hAnsi="宋体" w:cs="宋体"/>
                <w:color w:val="auto"/>
                <w:szCs w:val="21"/>
              </w:rPr>
            </w:pPr>
            <w:r>
              <w:rPr>
                <w:rFonts w:hint="eastAsia" w:ascii="宋体" w:hAnsi="宋体" w:cs="宋体"/>
                <w:color w:val="auto"/>
                <w:szCs w:val="21"/>
              </w:rPr>
              <w:t>在中华人民共和国境内注册，具有独立法人资格并依法取得企业营业执照且营业执照在有效期内（经营范围具有与本项目采购相关的内容）</w:t>
            </w:r>
          </w:p>
        </w:tc>
        <w:tc>
          <w:tcPr>
            <w:tcW w:w="3932" w:type="dxa"/>
            <w:vAlign w:val="center"/>
          </w:tcPr>
          <w:p>
            <w:pPr>
              <w:widowControl/>
              <w:spacing w:line="288" w:lineRule="auto"/>
              <w:rPr>
                <w:rFonts w:ascii="宋体" w:hAnsi="宋体" w:cs="宋体"/>
                <w:color w:val="auto"/>
                <w:szCs w:val="21"/>
              </w:rPr>
            </w:pPr>
            <w:r>
              <w:rPr>
                <w:rFonts w:hint="eastAsia" w:ascii="宋体" w:hAnsi="宋体" w:cs="宋体"/>
                <w:color w:val="auto"/>
                <w:szCs w:val="21"/>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934" w:type="dxa"/>
            <w:vAlign w:val="center"/>
          </w:tcPr>
          <w:p>
            <w:pPr>
              <w:spacing w:line="288" w:lineRule="auto"/>
              <w:jc w:val="center"/>
              <w:rPr>
                <w:rFonts w:ascii="宋体" w:hAnsi="宋体" w:cs="宋体"/>
                <w:color w:val="auto"/>
                <w:szCs w:val="21"/>
              </w:rPr>
            </w:pPr>
            <w:r>
              <w:rPr>
                <w:rFonts w:hint="eastAsia" w:ascii="宋体" w:hAnsi="宋体" w:cs="宋体"/>
                <w:color w:val="auto"/>
                <w:szCs w:val="21"/>
              </w:rPr>
              <w:t>3</w:t>
            </w:r>
          </w:p>
        </w:tc>
        <w:tc>
          <w:tcPr>
            <w:tcW w:w="4893" w:type="dxa"/>
            <w:vAlign w:val="center"/>
          </w:tcPr>
          <w:p>
            <w:pPr>
              <w:widowControl/>
              <w:spacing w:line="288" w:lineRule="auto"/>
              <w:rPr>
                <w:rFonts w:ascii="宋体" w:hAnsi="宋体" w:cs="宋体"/>
                <w:color w:val="auto"/>
                <w:szCs w:val="21"/>
              </w:rPr>
            </w:pPr>
            <w:r>
              <w:rPr>
                <w:rFonts w:hint="eastAsia" w:ascii="宋体" w:hAnsi="宋体" w:cs="宋体"/>
                <w:color w:val="auto"/>
                <w:szCs w:val="21"/>
              </w:rPr>
              <w:t>具备保安服务许可证。</w:t>
            </w:r>
          </w:p>
        </w:tc>
        <w:tc>
          <w:tcPr>
            <w:tcW w:w="3932" w:type="dxa"/>
            <w:vAlign w:val="center"/>
          </w:tcPr>
          <w:p>
            <w:pPr>
              <w:widowControl/>
              <w:spacing w:line="288" w:lineRule="auto"/>
              <w:rPr>
                <w:rFonts w:ascii="宋体" w:hAnsi="宋体" w:cs="宋体"/>
                <w:b/>
                <w:bCs/>
                <w:color w:val="auto"/>
                <w:szCs w:val="21"/>
              </w:rPr>
            </w:pPr>
            <w:r>
              <w:rPr>
                <w:rFonts w:hint="eastAsia" w:ascii="宋体" w:hAnsi="宋体" w:cs="宋体"/>
                <w:color w:val="auto"/>
                <w:szCs w:val="21"/>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934" w:type="dxa"/>
            <w:vAlign w:val="center"/>
          </w:tcPr>
          <w:p>
            <w:pPr>
              <w:spacing w:line="288" w:lineRule="auto"/>
              <w:jc w:val="center"/>
              <w:rPr>
                <w:rFonts w:ascii="宋体" w:hAnsi="宋体" w:cs="宋体"/>
                <w:color w:val="auto"/>
                <w:szCs w:val="21"/>
              </w:rPr>
            </w:pPr>
            <w:r>
              <w:rPr>
                <w:rFonts w:hint="eastAsia" w:ascii="宋体" w:hAnsi="宋体" w:cs="宋体"/>
                <w:color w:val="auto"/>
                <w:szCs w:val="21"/>
              </w:rPr>
              <w:t>4</w:t>
            </w:r>
          </w:p>
        </w:tc>
        <w:tc>
          <w:tcPr>
            <w:tcW w:w="4893" w:type="dxa"/>
            <w:vAlign w:val="center"/>
          </w:tcPr>
          <w:p>
            <w:pPr>
              <w:widowControl/>
              <w:spacing w:line="288" w:lineRule="auto"/>
              <w:rPr>
                <w:rFonts w:ascii="宋体" w:hAnsi="宋体" w:cs="宋体"/>
                <w:color w:val="auto"/>
                <w:szCs w:val="21"/>
              </w:rPr>
            </w:pPr>
            <w:r>
              <w:rPr>
                <w:rFonts w:hint="eastAsia" w:ascii="宋体" w:hAnsi="宋体" w:cs="宋体"/>
                <w:color w:val="auto"/>
                <w:szCs w:val="21"/>
              </w:rPr>
              <w:t>本项目不接受联合体投标</w:t>
            </w:r>
          </w:p>
        </w:tc>
        <w:tc>
          <w:tcPr>
            <w:tcW w:w="3932" w:type="dxa"/>
            <w:vAlign w:val="center"/>
          </w:tcPr>
          <w:p>
            <w:pPr>
              <w:widowControl/>
              <w:spacing w:line="288" w:lineRule="auto"/>
              <w:rPr>
                <w:rFonts w:ascii="宋体" w:hAnsi="宋体" w:cs="宋体"/>
                <w:color w:val="auto"/>
                <w:szCs w:val="21"/>
              </w:rPr>
            </w:pPr>
            <w:r>
              <w:rPr>
                <w:rFonts w:hint="eastAsia" w:ascii="宋体" w:hAnsi="宋体" w:cs="宋体"/>
                <w:color w:val="auto"/>
                <w:szCs w:val="21"/>
              </w:rPr>
              <w:t>符合招标文件规定</w:t>
            </w:r>
          </w:p>
        </w:tc>
      </w:tr>
    </w:tbl>
    <w:p>
      <w:pPr>
        <w:spacing w:line="360" w:lineRule="auto"/>
        <w:jc w:val="left"/>
        <w:rPr>
          <w:rFonts w:ascii="宋体" w:hAnsi="宋体" w:cs="宋体"/>
          <w:b/>
          <w:bCs/>
          <w:color w:val="auto"/>
          <w:sz w:val="24"/>
        </w:rPr>
      </w:pPr>
      <w:r>
        <w:rPr>
          <w:rFonts w:hint="eastAsia" w:ascii="宋体" w:hAnsi="宋体" w:cs="宋体"/>
          <w:b/>
          <w:bCs/>
          <w:color w:val="auto"/>
          <w:sz w:val="24"/>
        </w:rPr>
        <w:t>注：未通过资格审查的供应商不得进入评标程序。</w:t>
      </w:r>
    </w:p>
    <w:p>
      <w:pPr>
        <w:spacing w:line="360" w:lineRule="auto"/>
        <w:jc w:val="left"/>
        <w:rPr>
          <w:rFonts w:ascii="宋体" w:hAnsi="宋体" w:cs="宋体"/>
          <w:b/>
          <w:bCs/>
          <w:color w:val="auto"/>
          <w:sz w:val="24"/>
        </w:rPr>
      </w:pPr>
      <w:r>
        <w:rPr>
          <w:rFonts w:hint="eastAsia" w:ascii="宋体" w:hAnsi="宋体" w:cs="宋体"/>
          <w:b/>
          <w:bCs/>
          <w:color w:val="auto"/>
          <w:sz w:val="24"/>
        </w:rPr>
        <w:t>2、符合性审查</w:t>
      </w:r>
    </w:p>
    <w:tbl>
      <w:tblPr>
        <w:tblStyle w:val="27"/>
        <w:tblW w:w="10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149"/>
        <w:gridCol w:w="1953"/>
        <w:gridCol w:w="6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81" w:type="dxa"/>
            <w:vAlign w:val="center"/>
          </w:tcPr>
          <w:p>
            <w:pPr>
              <w:rPr>
                <w:rFonts w:ascii="宋体" w:hAnsi="宋体" w:cs="宋体"/>
                <w:color w:val="auto"/>
                <w:kern w:val="0"/>
                <w:szCs w:val="21"/>
              </w:rPr>
            </w:pPr>
            <w:r>
              <w:rPr>
                <w:rFonts w:hint="eastAsia" w:ascii="宋体" w:hAnsi="宋体" w:cs="宋体"/>
                <w:color w:val="auto"/>
                <w:kern w:val="0"/>
                <w:szCs w:val="21"/>
              </w:rPr>
              <w:t>序号</w:t>
            </w:r>
          </w:p>
        </w:tc>
        <w:tc>
          <w:tcPr>
            <w:tcW w:w="3102" w:type="dxa"/>
            <w:gridSpan w:val="2"/>
            <w:vAlign w:val="center"/>
          </w:tcPr>
          <w:p>
            <w:pPr>
              <w:rPr>
                <w:rFonts w:ascii="宋体" w:hAnsi="宋体" w:cs="宋体"/>
                <w:color w:val="auto"/>
                <w:kern w:val="0"/>
                <w:szCs w:val="21"/>
              </w:rPr>
            </w:pPr>
            <w:r>
              <w:rPr>
                <w:rFonts w:hint="eastAsia" w:ascii="宋体" w:hAnsi="宋体" w:cs="宋体"/>
                <w:color w:val="auto"/>
                <w:kern w:val="0"/>
                <w:szCs w:val="21"/>
              </w:rPr>
              <w:t>评审因素</w:t>
            </w:r>
          </w:p>
        </w:tc>
        <w:tc>
          <w:tcPr>
            <w:tcW w:w="6275" w:type="dxa"/>
            <w:vAlign w:val="center"/>
          </w:tcPr>
          <w:p>
            <w:pPr>
              <w:rPr>
                <w:rFonts w:ascii="宋体" w:hAnsi="宋体" w:cs="宋体"/>
                <w:color w:val="auto"/>
                <w:kern w:val="0"/>
                <w:szCs w:val="21"/>
              </w:rPr>
            </w:pPr>
            <w:r>
              <w:rPr>
                <w:rFonts w:hint="eastAsia" w:ascii="宋体" w:hAnsi="宋体" w:cs="宋体"/>
                <w:color w:val="auto"/>
                <w:kern w:val="0"/>
                <w:szCs w:val="21"/>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81" w:type="dxa"/>
            <w:vMerge w:val="restart"/>
            <w:vAlign w:val="center"/>
          </w:tcPr>
          <w:p>
            <w:pPr>
              <w:jc w:val="center"/>
              <w:rPr>
                <w:rFonts w:ascii="宋体" w:hAnsi="宋体" w:cs="宋体"/>
                <w:color w:val="auto"/>
                <w:kern w:val="0"/>
                <w:szCs w:val="21"/>
              </w:rPr>
            </w:pPr>
            <w:r>
              <w:rPr>
                <w:rFonts w:hint="eastAsia" w:ascii="宋体" w:hAnsi="宋体" w:cs="宋体"/>
                <w:color w:val="auto"/>
                <w:kern w:val="0"/>
                <w:szCs w:val="21"/>
              </w:rPr>
              <w:t>1</w:t>
            </w:r>
          </w:p>
        </w:tc>
        <w:tc>
          <w:tcPr>
            <w:tcW w:w="1149" w:type="dxa"/>
            <w:vMerge w:val="restart"/>
            <w:vAlign w:val="center"/>
          </w:tcPr>
          <w:p>
            <w:pPr>
              <w:rPr>
                <w:rFonts w:ascii="宋体" w:hAnsi="宋体" w:cs="宋体"/>
                <w:color w:val="auto"/>
                <w:kern w:val="0"/>
                <w:szCs w:val="21"/>
              </w:rPr>
            </w:pPr>
            <w:r>
              <w:rPr>
                <w:rFonts w:hint="eastAsia" w:ascii="宋体" w:hAnsi="宋体" w:cs="宋体"/>
                <w:color w:val="auto"/>
                <w:kern w:val="0"/>
                <w:szCs w:val="21"/>
              </w:rPr>
              <w:t>有效性审查</w:t>
            </w:r>
          </w:p>
        </w:tc>
        <w:tc>
          <w:tcPr>
            <w:tcW w:w="1953" w:type="dxa"/>
            <w:vAlign w:val="center"/>
          </w:tcPr>
          <w:p>
            <w:pPr>
              <w:rPr>
                <w:rFonts w:ascii="宋体" w:hAnsi="宋体" w:cs="宋体"/>
                <w:color w:val="auto"/>
                <w:kern w:val="0"/>
                <w:szCs w:val="21"/>
              </w:rPr>
            </w:pPr>
            <w:r>
              <w:rPr>
                <w:rFonts w:hint="eastAsia" w:ascii="宋体" w:hAnsi="宋体" w:cs="宋体"/>
                <w:color w:val="auto"/>
                <w:szCs w:val="21"/>
                <w:lang w:val="zh-CN"/>
              </w:rPr>
              <w:t>响应文件</w:t>
            </w:r>
            <w:r>
              <w:rPr>
                <w:rFonts w:hint="eastAsia" w:ascii="宋体" w:hAnsi="宋体" w:cs="宋体"/>
                <w:color w:val="auto"/>
                <w:szCs w:val="21"/>
              </w:rPr>
              <w:t>签署</w:t>
            </w:r>
          </w:p>
        </w:tc>
        <w:tc>
          <w:tcPr>
            <w:tcW w:w="6275" w:type="dxa"/>
            <w:vAlign w:val="center"/>
          </w:tcPr>
          <w:p>
            <w:pPr>
              <w:rPr>
                <w:rFonts w:ascii="宋体" w:hAnsi="宋体" w:cs="宋体"/>
                <w:color w:val="auto"/>
                <w:kern w:val="0"/>
                <w:szCs w:val="21"/>
              </w:rPr>
            </w:pPr>
            <w:r>
              <w:rPr>
                <w:rFonts w:hint="eastAsia" w:ascii="宋体" w:hAnsi="宋体" w:cs="宋体"/>
                <w:color w:val="auto"/>
                <w:szCs w:val="21"/>
                <w:lang w:val="zh-CN"/>
              </w:rPr>
              <w:t>响应文件</w:t>
            </w:r>
            <w:r>
              <w:rPr>
                <w:rFonts w:hint="eastAsia" w:ascii="宋体" w:hAnsi="宋体" w:cs="宋体"/>
                <w:color w:val="auto"/>
                <w:szCs w:val="21"/>
              </w:rPr>
              <w:t>中法定代表人或其授权代表人的签字齐全。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81" w:type="dxa"/>
            <w:vMerge w:val="continue"/>
            <w:vAlign w:val="center"/>
          </w:tcPr>
          <w:p>
            <w:pPr>
              <w:jc w:val="center"/>
              <w:rPr>
                <w:rFonts w:ascii="宋体" w:hAnsi="宋体" w:cs="宋体"/>
                <w:color w:val="auto"/>
                <w:kern w:val="0"/>
                <w:szCs w:val="21"/>
              </w:rPr>
            </w:pPr>
          </w:p>
        </w:tc>
        <w:tc>
          <w:tcPr>
            <w:tcW w:w="1149" w:type="dxa"/>
            <w:vMerge w:val="continue"/>
            <w:vAlign w:val="center"/>
          </w:tcPr>
          <w:p>
            <w:pPr>
              <w:rPr>
                <w:rFonts w:ascii="宋体" w:hAnsi="宋体" w:cs="宋体"/>
                <w:color w:val="auto"/>
                <w:kern w:val="0"/>
                <w:szCs w:val="21"/>
              </w:rPr>
            </w:pPr>
          </w:p>
        </w:tc>
        <w:tc>
          <w:tcPr>
            <w:tcW w:w="1953" w:type="dxa"/>
            <w:vAlign w:val="center"/>
          </w:tcPr>
          <w:p>
            <w:pPr>
              <w:rPr>
                <w:rFonts w:ascii="宋体" w:hAnsi="宋体" w:cs="宋体"/>
                <w:color w:val="auto"/>
                <w:szCs w:val="21"/>
              </w:rPr>
            </w:pPr>
            <w:r>
              <w:rPr>
                <w:rFonts w:hint="eastAsia" w:ascii="宋体" w:hAnsi="宋体" w:cs="宋体"/>
                <w:color w:val="auto"/>
                <w:szCs w:val="21"/>
              </w:rPr>
              <w:t>法定代表人身份证明及授权委托书</w:t>
            </w:r>
          </w:p>
        </w:tc>
        <w:tc>
          <w:tcPr>
            <w:tcW w:w="6275" w:type="dxa"/>
            <w:vAlign w:val="center"/>
          </w:tcPr>
          <w:p>
            <w:pPr>
              <w:rPr>
                <w:rFonts w:ascii="宋体" w:hAnsi="宋体" w:cs="宋体"/>
                <w:color w:val="auto"/>
                <w:szCs w:val="21"/>
              </w:rPr>
            </w:pPr>
            <w:r>
              <w:rPr>
                <w:rFonts w:hint="eastAsia" w:ascii="宋体" w:hAnsi="宋体" w:cs="宋体"/>
                <w:color w:val="auto"/>
                <w:szCs w:val="21"/>
              </w:rPr>
              <w:t>法定代表人身份证明及授权委托书有效，且符合招标文件规定的格式。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81" w:type="dxa"/>
            <w:vMerge w:val="continue"/>
            <w:vAlign w:val="center"/>
          </w:tcPr>
          <w:p>
            <w:pPr>
              <w:jc w:val="center"/>
              <w:rPr>
                <w:rFonts w:ascii="宋体" w:hAnsi="宋体" w:cs="宋体"/>
                <w:color w:val="auto"/>
                <w:kern w:val="0"/>
                <w:szCs w:val="21"/>
              </w:rPr>
            </w:pPr>
          </w:p>
        </w:tc>
        <w:tc>
          <w:tcPr>
            <w:tcW w:w="1149" w:type="dxa"/>
            <w:vMerge w:val="continue"/>
            <w:vAlign w:val="center"/>
          </w:tcPr>
          <w:p>
            <w:pPr>
              <w:rPr>
                <w:rFonts w:ascii="宋体" w:hAnsi="宋体" w:cs="宋体"/>
                <w:color w:val="auto"/>
                <w:kern w:val="0"/>
                <w:szCs w:val="21"/>
              </w:rPr>
            </w:pPr>
          </w:p>
        </w:tc>
        <w:tc>
          <w:tcPr>
            <w:tcW w:w="1953" w:type="dxa"/>
            <w:vAlign w:val="center"/>
          </w:tcPr>
          <w:p>
            <w:pPr>
              <w:rPr>
                <w:rFonts w:ascii="宋体" w:hAnsi="宋体" w:cs="宋体"/>
                <w:color w:val="auto"/>
                <w:szCs w:val="21"/>
              </w:rPr>
            </w:pPr>
            <w:r>
              <w:rPr>
                <w:rFonts w:hint="eastAsia" w:ascii="宋体" w:hAnsi="宋体" w:cs="宋体"/>
                <w:color w:val="auto"/>
                <w:szCs w:val="21"/>
                <w:lang w:val="zh-CN"/>
              </w:rPr>
              <w:t>投标方案</w:t>
            </w:r>
          </w:p>
        </w:tc>
        <w:tc>
          <w:tcPr>
            <w:tcW w:w="6275" w:type="dxa"/>
            <w:vAlign w:val="center"/>
          </w:tcPr>
          <w:p>
            <w:pPr>
              <w:rPr>
                <w:rFonts w:ascii="宋体" w:hAnsi="宋体" w:cs="宋体"/>
                <w:color w:val="auto"/>
                <w:szCs w:val="21"/>
              </w:rPr>
            </w:pPr>
            <w:r>
              <w:rPr>
                <w:rFonts w:hint="eastAsia" w:ascii="宋体" w:hAnsi="宋体" w:cs="宋体"/>
                <w:color w:val="auto"/>
                <w:szCs w:val="21"/>
                <w:lang w:val="zh-CN"/>
              </w:rPr>
              <w:t>只能有一个投标方案。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81" w:type="dxa"/>
            <w:vMerge w:val="continue"/>
            <w:vAlign w:val="center"/>
          </w:tcPr>
          <w:p>
            <w:pPr>
              <w:jc w:val="center"/>
              <w:rPr>
                <w:rFonts w:ascii="宋体" w:hAnsi="宋体" w:cs="宋体"/>
                <w:color w:val="auto"/>
                <w:kern w:val="0"/>
                <w:szCs w:val="21"/>
              </w:rPr>
            </w:pPr>
          </w:p>
        </w:tc>
        <w:tc>
          <w:tcPr>
            <w:tcW w:w="1149" w:type="dxa"/>
            <w:vMerge w:val="continue"/>
            <w:vAlign w:val="center"/>
          </w:tcPr>
          <w:p>
            <w:pPr>
              <w:rPr>
                <w:rFonts w:ascii="宋体" w:hAnsi="宋体" w:cs="宋体"/>
                <w:color w:val="auto"/>
                <w:kern w:val="0"/>
                <w:szCs w:val="21"/>
              </w:rPr>
            </w:pPr>
          </w:p>
        </w:tc>
        <w:tc>
          <w:tcPr>
            <w:tcW w:w="1953" w:type="dxa"/>
            <w:vAlign w:val="center"/>
          </w:tcPr>
          <w:p>
            <w:pPr>
              <w:rPr>
                <w:rFonts w:ascii="宋体" w:hAnsi="宋体" w:cs="宋体"/>
                <w:color w:val="auto"/>
                <w:szCs w:val="21"/>
                <w:lang w:val="zh-CN"/>
              </w:rPr>
            </w:pPr>
            <w:r>
              <w:rPr>
                <w:rFonts w:hint="eastAsia" w:ascii="宋体" w:hAnsi="宋体" w:cs="宋体"/>
                <w:color w:val="auto"/>
                <w:szCs w:val="21"/>
              </w:rPr>
              <w:t>报价唯一</w:t>
            </w:r>
          </w:p>
        </w:tc>
        <w:tc>
          <w:tcPr>
            <w:tcW w:w="6275" w:type="dxa"/>
            <w:vAlign w:val="center"/>
          </w:tcPr>
          <w:p>
            <w:pPr>
              <w:rPr>
                <w:rFonts w:ascii="宋体" w:hAnsi="宋体" w:cs="宋体"/>
                <w:color w:val="auto"/>
                <w:szCs w:val="21"/>
              </w:rPr>
            </w:pPr>
            <w:r>
              <w:rPr>
                <w:rFonts w:hint="eastAsia" w:ascii="宋体" w:hAnsi="宋体" w:cs="宋体"/>
                <w:color w:val="auto"/>
                <w:szCs w:val="21"/>
                <w:lang w:val="zh-CN"/>
              </w:rPr>
              <w:t>报价在采购项目预算额内，</w:t>
            </w:r>
            <w:r>
              <w:rPr>
                <w:rFonts w:hint="eastAsia" w:ascii="宋体" w:hAnsi="宋体" w:cs="宋体"/>
                <w:color w:val="auto"/>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81" w:type="dxa"/>
            <w:vMerge w:val="restart"/>
            <w:vAlign w:val="center"/>
          </w:tcPr>
          <w:p>
            <w:pPr>
              <w:jc w:val="center"/>
              <w:rPr>
                <w:rFonts w:ascii="宋体" w:hAnsi="宋体" w:cs="宋体"/>
                <w:color w:val="auto"/>
                <w:kern w:val="0"/>
                <w:szCs w:val="21"/>
              </w:rPr>
            </w:pPr>
            <w:r>
              <w:rPr>
                <w:rFonts w:hint="eastAsia" w:ascii="宋体" w:hAnsi="宋体" w:cs="宋体"/>
                <w:color w:val="auto"/>
                <w:kern w:val="0"/>
                <w:szCs w:val="21"/>
              </w:rPr>
              <w:t>2</w:t>
            </w:r>
          </w:p>
        </w:tc>
        <w:tc>
          <w:tcPr>
            <w:tcW w:w="1149" w:type="dxa"/>
            <w:vMerge w:val="restart"/>
            <w:vAlign w:val="center"/>
          </w:tcPr>
          <w:p>
            <w:pPr>
              <w:rPr>
                <w:rFonts w:ascii="宋体" w:hAnsi="宋体" w:cs="宋体"/>
                <w:color w:val="auto"/>
                <w:kern w:val="0"/>
                <w:szCs w:val="21"/>
              </w:rPr>
            </w:pPr>
            <w:r>
              <w:rPr>
                <w:rFonts w:hint="eastAsia" w:ascii="宋体" w:hAnsi="宋体" w:cs="宋体"/>
                <w:color w:val="auto"/>
                <w:kern w:val="0"/>
                <w:szCs w:val="21"/>
              </w:rPr>
              <w:t>完整性审查</w:t>
            </w:r>
          </w:p>
        </w:tc>
        <w:tc>
          <w:tcPr>
            <w:tcW w:w="1953" w:type="dxa"/>
            <w:vAlign w:val="center"/>
          </w:tcPr>
          <w:p>
            <w:pPr>
              <w:rPr>
                <w:rFonts w:ascii="宋体" w:hAnsi="宋体" w:cs="宋体"/>
                <w:color w:val="auto"/>
                <w:kern w:val="0"/>
                <w:szCs w:val="21"/>
              </w:rPr>
            </w:pPr>
            <w:r>
              <w:rPr>
                <w:rFonts w:hint="eastAsia" w:ascii="宋体" w:hAnsi="宋体" w:cs="宋体"/>
                <w:color w:val="auto"/>
                <w:szCs w:val="21"/>
                <w:lang w:val="zh-CN"/>
              </w:rPr>
              <w:t>响应文件份数</w:t>
            </w:r>
          </w:p>
        </w:tc>
        <w:tc>
          <w:tcPr>
            <w:tcW w:w="6275" w:type="dxa"/>
            <w:vAlign w:val="center"/>
          </w:tcPr>
          <w:p>
            <w:pPr>
              <w:rPr>
                <w:rFonts w:ascii="宋体" w:hAnsi="宋体" w:cs="宋体"/>
                <w:color w:val="auto"/>
                <w:kern w:val="0"/>
                <w:szCs w:val="21"/>
              </w:rPr>
            </w:pPr>
            <w:r>
              <w:rPr>
                <w:rFonts w:hint="eastAsia" w:ascii="宋体" w:hAnsi="宋体" w:cs="宋体"/>
                <w:color w:val="auto"/>
                <w:szCs w:val="21"/>
                <w:lang w:val="zh-CN"/>
              </w:rPr>
              <w:t>响应文件正本、副本等响应文件数量符合</w:t>
            </w:r>
            <w:r>
              <w:rPr>
                <w:rFonts w:hint="eastAsia" w:ascii="宋体" w:hAnsi="宋体" w:cs="宋体"/>
                <w:color w:val="auto"/>
                <w:kern w:val="0"/>
                <w:szCs w:val="21"/>
              </w:rPr>
              <w:t>招标</w:t>
            </w:r>
            <w:r>
              <w:rPr>
                <w:rFonts w:hint="eastAsia" w:ascii="宋体" w:hAnsi="宋体" w:cs="宋体"/>
                <w:color w:val="auto"/>
                <w:szCs w:val="21"/>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81" w:type="dxa"/>
            <w:vMerge w:val="continue"/>
            <w:vAlign w:val="center"/>
          </w:tcPr>
          <w:p>
            <w:pPr>
              <w:jc w:val="center"/>
              <w:rPr>
                <w:rFonts w:ascii="宋体" w:hAnsi="宋体" w:cs="宋体"/>
                <w:color w:val="auto"/>
                <w:kern w:val="0"/>
                <w:szCs w:val="21"/>
              </w:rPr>
            </w:pPr>
          </w:p>
        </w:tc>
        <w:tc>
          <w:tcPr>
            <w:tcW w:w="1149" w:type="dxa"/>
            <w:vMerge w:val="continue"/>
            <w:vAlign w:val="center"/>
          </w:tcPr>
          <w:p>
            <w:pPr>
              <w:rPr>
                <w:rFonts w:ascii="宋体" w:hAnsi="宋体" w:cs="宋体"/>
                <w:color w:val="auto"/>
                <w:kern w:val="0"/>
                <w:szCs w:val="21"/>
              </w:rPr>
            </w:pPr>
          </w:p>
        </w:tc>
        <w:tc>
          <w:tcPr>
            <w:tcW w:w="1953" w:type="dxa"/>
            <w:vAlign w:val="center"/>
          </w:tcPr>
          <w:p>
            <w:pPr>
              <w:rPr>
                <w:rFonts w:ascii="宋体" w:hAnsi="宋体" w:cs="宋体"/>
                <w:color w:val="auto"/>
                <w:szCs w:val="21"/>
                <w:lang w:val="zh-CN"/>
              </w:rPr>
            </w:pPr>
            <w:r>
              <w:rPr>
                <w:rFonts w:hint="eastAsia" w:ascii="宋体" w:hAnsi="宋体" w:cs="宋体"/>
                <w:color w:val="auto"/>
                <w:szCs w:val="21"/>
                <w:lang w:val="zh-CN"/>
              </w:rPr>
              <w:t>响应文件内容</w:t>
            </w:r>
          </w:p>
        </w:tc>
        <w:tc>
          <w:tcPr>
            <w:tcW w:w="6275" w:type="dxa"/>
            <w:vAlign w:val="center"/>
          </w:tcPr>
          <w:p>
            <w:pPr>
              <w:rPr>
                <w:rFonts w:ascii="宋体" w:hAnsi="宋体" w:cs="宋体"/>
                <w:color w:val="auto"/>
                <w:kern w:val="0"/>
                <w:szCs w:val="21"/>
                <w:lang w:val="zh-CN"/>
              </w:rPr>
            </w:pPr>
            <w:r>
              <w:rPr>
                <w:rFonts w:hint="eastAsia" w:ascii="宋体" w:hAnsi="宋体" w:cs="宋体"/>
                <w:color w:val="auto"/>
                <w:kern w:val="0"/>
                <w:szCs w:val="21"/>
                <w:lang w:val="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81" w:type="dxa"/>
            <w:vMerge w:val="restart"/>
            <w:vAlign w:val="center"/>
          </w:tcPr>
          <w:p>
            <w:pPr>
              <w:jc w:val="center"/>
              <w:rPr>
                <w:rFonts w:ascii="宋体" w:hAnsi="宋体" w:cs="宋体"/>
                <w:color w:val="auto"/>
                <w:kern w:val="0"/>
                <w:szCs w:val="21"/>
              </w:rPr>
            </w:pPr>
            <w:r>
              <w:rPr>
                <w:rFonts w:hint="eastAsia" w:ascii="宋体" w:hAnsi="宋体" w:cs="宋体"/>
                <w:color w:val="auto"/>
                <w:kern w:val="0"/>
                <w:szCs w:val="21"/>
              </w:rPr>
              <w:t>3</w:t>
            </w:r>
          </w:p>
        </w:tc>
        <w:tc>
          <w:tcPr>
            <w:tcW w:w="1149" w:type="dxa"/>
            <w:vMerge w:val="restart"/>
            <w:vAlign w:val="center"/>
          </w:tcPr>
          <w:p>
            <w:pPr>
              <w:rPr>
                <w:rFonts w:ascii="宋体" w:hAnsi="宋体" w:cs="宋体"/>
                <w:color w:val="auto"/>
                <w:szCs w:val="21"/>
                <w:lang w:val="zh-CN"/>
              </w:rPr>
            </w:pPr>
            <w:r>
              <w:rPr>
                <w:rFonts w:hint="eastAsia" w:ascii="宋体" w:hAnsi="宋体" w:cs="宋体"/>
                <w:color w:val="auto"/>
                <w:kern w:val="0"/>
                <w:szCs w:val="21"/>
              </w:rPr>
              <w:t>招标文件的响应程度审查</w:t>
            </w:r>
          </w:p>
        </w:tc>
        <w:tc>
          <w:tcPr>
            <w:tcW w:w="1953" w:type="dxa"/>
            <w:vAlign w:val="center"/>
          </w:tcPr>
          <w:p>
            <w:pPr>
              <w:rPr>
                <w:rFonts w:ascii="宋体" w:hAnsi="宋体" w:cs="宋体"/>
                <w:color w:val="auto"/>
                <w:kern w:val="0"/>
                <w:szCs w:val="21"/>
              </w:rPr>
            </w:pPr>
            <w:r>
              <w:rPr>
                <w:rFonts w:hint="eastAsia" w:ascii="宋体" w:hAnsi="宋体" w:cs="宋体"/>
                <w:color w:val="auto"/>
                <w:szCs w:val="21"/>
                <w:lang w:val="zh-CN"/>
              </w:rPr>
              <w:t>响应文件</w:t>
            </w:r>
            <w:r>
              <w:rPr>
                <w:rFonts w:hint="eastAsia" w:ascii="宋体" w:hAnsi="宋体" w:cs="宋体"/>
                <w:color w:val="auto"/>
                <w:kern w:val="0"/>
                <w:szCs w:val="21"/>
              </w:rPr>
              <w:t>内容</w:t>
            </w:r>
          </w:p>
        </w:tc>
        <w:tc>
          <w:tcPr>
            <w:tcW w:w="6275" w:type="dxa"/>
            <w:vAlign w:val="center"/>
          </w:tcPr>
          <w:p>
            <w:pPr>
              <w:rPr>
                <w:rFonts w:ascii="宋体" w:hAnsi="宋体" w:cs="宋体"/>
                <w:color w:val="auto"/>
                <w:kern w:val="0"/>
                <w:szCs w:val="21"/>
              </w:rPr>
            </w:pPr>
            <w:r>
              <w:rPr>
                <w:rFonts w:hint="eastAsia" w:ascii="宋体" w:hAnsi="宋体" w:cs="宋体"/>
                <w:color w:val="auto"/>
                <w:kern w:val="0"/>
                <w:szCs w:val="21"/>
              </w:rPr>
              <w:t>对招标文件规定的内容全部做出响应。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81" w:type="dxa"/>
            <w:vMerge w:val="continue"/>
            <w:vAlign w:val="center"/>
          </w:tcPr>
          <w:p>
            <w:pPr>
              <w:rPr>
                <w:rFonts w:ascii="宋体" w:hAnsi="宋体" w:cs="宋体"/>
                <w:color w:val="auto"/>
                <w:kern w:val="0"/>
                <w:szCs w:val="21"/>
              </w:rPr>
            </w:pPr>
          </w:p>
        </w:tc>
        <w:tc>
          <w:tcPr>
            <w:tcW w:w="1149" w:type="dxa"/>
            <w:vMerge w:val="continue"/>
            <w:vAlign w:val="center"/>
          </w:tcPr>
          <w:p>
            <w:pPr>
              <w:rPr>
                <w:rFonts w:ascii="宋体" w:hAnsi="宋体" w:cs="宋体"/>
                <w:color w:val="auto"/>
                <w:kern w:val="0"/>
                <w:szCs w:val="21"/>
              </w:rPr>
            </w:pPr>
          </w:p>
        </w:tc>
        <w:tc>
          <w:tcPr>
            <w:tcW w:w="1953" w:type="dxa"/>
            <w:vAlign w:val="center"/>
          </w:tcPr>
          <w:p>
            <w:pPr>
              <w:rPr>
                <w:rFonts w:ascii="宋体" w:hAnsi="宋体" w:cs="宋体"/>
                <w:color w:val="auto"/>
                <w:kern w:val="0"/>
                <w:szCs w:val="21"/>
              </w:rPr>
            </w:pPr>
            <w:r>
              <w:rPr>
                <w:rFonts w:hint="eastAsia" w:ascii="宋体" w:hAnsi="宋体" w:cs="宋体"/>
                <w:color w:val="auto"/>
                <w:kern w:val="0"/>
                <w:szCs w:val="21"/>
              </w:rPr>
              <w:t>质量技术</w:t>
            </w:r>
          </w:p>
        </w:tc>
        <w:tc>
          <w:tcPr>
            <w:tcW w:w="6275" w:type="dxa"/>
            <w:vAlign w:val="center"/>
          </w:tcPr>
          <w:p>
            <w:pPr>
              <w:rPr>
                <w:rFonts w:ascii="宋体" w:hAnsi="宋体" w:cs="宋体"/>
                <w:color w:val="auto"/>
                <w:kern w:val="0"/>
                <w:szCs w:val="21"/>
              </w:rPr>
            </w:pPr>
            <w:r>
              <w:rPr>
                <w:rFonts w:hint="eastAsia" w:ascii="宋体" w:hAnsi="宋体" w:cs="宋体"/>
                <w:color w:val="auto"/>
                <w:kern w:val="0"/>
                <w:szCs w:val="21"/>
              </w:rPr>
              <w:t>满足招标文件提出的质量、技术要求。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81" w:type="dxa"/>
            <w:vMerge w:val="continue"/>
            <w:vAlign w:val="center"/>
          </w:tcPr>
          <w:p>
            <w:pPr>
              <w:rPr>
                <w:rFonts w:ascii="宋体" w:hAnsi="宋体" w:cs="宋体"/>
                <w:color w:val="auto"/>
                <w:kern w:val="0"/>
                <w:szCs w:val="21"/>
              </w:rPr>
            </w:pPr>
          </w:p>
        </w:tc>
        <w:tc>
          <w:tcPr>
            <w:tcW w:w="1149" w:type="dxa"/>
            <w:vMerge w:val="continue"/>
            <w:vAlign w:val="center"/>
          </w:tcPr>
          <w:p>
            <w:pPr>
              <w:rPr>
                <w:rFonts w:ascii="宋体" w:hAnsi="宋体" w:cs="宋体"/>
                <w:color w:val="auto"/>
                <w:kern w:val="0"/>
                <w:szCs w:val="21"/>
              </w:rPr>
            </w:pPr>
          </w:p>
        </w:tc>
        <w:tc>
          <w:tcPr>
            <w:tcW w:w="1953" w:type="dxa"/>
            <w:vAlign w:val="center"/>
          </w:tcPr>
          <w:p>
            <w:pPr>
              <w:rPr>
                <w:rFonts w:ascii="宋体" w:hAnsi="宋体" w:cs="宋体"/>
                <w:color w:val="auto"/>
                <w:kern w:val="0"/>
                <w:szCs w:val="21"/>
              </w:rPr>
            </w:pPr>
            <w:r>
              <w:rPr>
                <w:rFonts w:hint="eastAsia" w:ascii="宋体" w:hAnsi="宋体" w:cs="宋体"/>
                <w:color w:val="auto"/>
                <w:kern w:val="0"/>
                <w:szCs w:val="21"/>
              </w:rPr>
              <w:t>服务期限</w:t>
            </w:r>
          </w:p>
        </w:tc>
        <w:tc>
          <w:tcPr>
            <w:tcW w:w="6275" w:type="dxa"/>
            <w:vAlign w:val="center"/>
          </w:tcPr>
          <w:p>
            <w:pPr>
              <w:rPr>
                <w:rFonts w:ascii="宋体" w:hAnsi="宋体" w:cs="宋体"/>
                <w:color w:val="auto"/>
                <w:kern w:val="0"/>
                <w:szCs w:val="21"/>
              </w:rPr>
            </w:pPr>
            <w:r>
              <w:rPr>
                <w:rFonts w:hint="eastAsia" w:ascii="宋体" w:hAnsi="宋体" w:cs="宋体"/>
                <w:color w:val="auto"/>
                <w:kern w:val="0"/>
                <w:szCs w:val="21"/>
              </w:rPr>
              <w:t>满足招标文件</w:t>
            </w:r>
            <w:r>
              <w:rPr>
                <w:rFonts w:hint="eastAsia" w:ascii="宋体" w:hAnsi="宋体" w:cs="宋体"/>
                <w:color w:val="auto"/>
                <w:szCs w:val="21"/>
                <w:lang w:val="zh-CN"/>
              </w:rPr>
              <w:t>规定</w:t>
            </w:r>
            <w:r>
              <w:rPr>
                <w:rFonts w:hint="eastAsia" w:ascii="宋体" w:hAnsi="宋体" w:cs="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81" w:type="dxa"/>
            <w:vMerge w:val="continue"/>
            <w:vAlign w:val="center"/>
          </w:tcPr>
          <w:p>
            <w:pPr>
              <w:rPr>
                <w:rFonts w:ascii="宋体" w:hAnsi="宋体" w:cs="宋体"/>
                <w:color w:val="auto"/>
                <w:kern w:val="0"/>
                <w:szCs w:val="21"/>
              </w:rPr>
            </w:pPr>
          </w:p>
        </w:tc>
        <w:tc>
          <w:tcPr>
            <w:tcW w:w="1149" w:type="dxa"/>
            <w:vMerge w:val="continue"/>
            <w:vAlign w:val="center"/>
          </w:tcPr>
          <w:p>
            <w:pPr>
              <w:rPr>
                <w:rFonts w:ascii="宋体" w:hAnsi="宋体" w:cs="宋体"/>
                <w:color w:val="auto"/>
                <w:szCs w:val="21"/>
                <w:lang w:val="zh-CN"/>
              </w:rPr>
            </w:pPr>
          </w:p>
        </w:tc>
        <w:tc>
          <w:tcPr>
            <w:tcW w:w="1953" w:type="dxa"/>
            <w:vAlign w:val="center"/>
          </w:tcPr>
          <w:p>
            <w:pPr>
              <w:rPr>
                <w:rFonts w:ascii="宋体" w:hAnsi="宋体" w:cs="宋体"/>
                <w:color w:val="auto"/>
                <w:kern w:val="0"/>
                <w:szCs w:val="21"/>
              </w:rPr>
            </w:pPr>
            <w:r>
              <w:rPr>
                <w:rFonts w:hint="eastAsia" w:ascii="宋体" w:hAnsi="宋体" w:cs="宋体"/>
                <w:color w:val="auto"/>
                <w:szCs w:val="21"/>
                <w:lang w:val="zh-CN"/>
              </w:rPr>
              <w:t>响应文件</w:t>
            </w:r>
            <w:r>
              <w:rPr>
                <w:rFonts w:hint="eastAsia" w:ascii="宋体" w:hAnsi="宋体" w:cs="宋体"/>
                <w:color w:val="auto"/>
                <w:kern w:val="0"/>
                <w:szCs w:val="21"/>
              </w:rPr>
              <w:t>有效期</w:t>
            </w:r>
          </w:p>
        </w:tc>
        <w:tc>
          <w:tcPr>
            <w:tcW w:w="6275" w:type="dxa"/>
            <w:vAlign w:val="center"/>
          </w:tcPr>
          <w:p>
            <w:pPr>
              <w:rPr>
                <w:rFonts w:ascii="宋体" w:hAnsi="宋体" w:cs="宋体"/>
                <w:color w:val="auto"/>
                <w:kern w:val="0"/>
                <w:szCs w:val="21"/>
              </w:rPr>
            </w:pPr>
            <w:r>
              <w:rPr>
                <w:rFonts w:hint="eastAsia" w:ascii="宋体" w:hAnsi="宋体" w:cs="宋体"/>
                <w:color w:val="auto"/>
                <w:kern w:val="0"/>
                <w:szCs w:val="21"/>
              </w:rPr>
              <w:t>满足招标文件</w:t>
            </w:r>
            <w:r>
              <w:rPr>
                <w:rFonts w:hint="eastAsia" w:ascii="宋体" w:hAnsi="宋体" w:cs="宋体"/>
                <w:color w:val="auto"/>
                <w:szCs w:val="21"/>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81" w:type="dxa"/>
            <w:vMerge w:val="continue"/>
            <w:tcBorders>
              <w:bottom w:val="single" w:color="auto" w:sz="4" w:space="0"/>
            </w:tcBorders>
            <w:vAlign w:val="center"/>
          </w:tcPr>
          <w:p>
            <w:pPr>
              <w:rPr>
                <w:rFonts w:ascii="宋体" w:hAnsi="宋体" w:cs="宋体"/>
                <w:color w:val="auto"/>
                <w:kern w:val="0"/>
                <w:szCs w:val="21"/>
              </w:rPr>
            </w:pPr>
          </w:p>
        </w:tc>
        <w:tc>
          <w:tcPr>
            <w:tcW w:w="1149" w:type="dxa"/>
            <w:vMerge w:val="continue"/>
            <w:tcBorders>
              <w:bottom w:val="single" w:color="auto" w:sz="4" w:space="0"/>
            </w:tcBorders>
            <w:vAlign w:val="center"/>
          </w:tcPr>
          <w:p>
            <w:pPr>
              <w:rPr>
                <w:rFonts w:ascii="宋体" w:hAnsi="宋体" w:cs="宋体"/>
                <w:color w:val="auto"/>
                <w:szCs w:val="21"/>
                <w:lang w:val="zh-CN"/>
              </w:rPr>
            </w:pPr>
          </w:p>
        </w:tc>
        <w:tc>
          <w:tcPr>
            <w:tcW w:w="1953" w:type="dxa"/>
            <w:tcBorders>
              <w:bottom w:val="single" w:color="auto" w:sz="4" w:space="0"/>
            </w:tcBorders>
            <w:vAlign w:val="center"/>
          </w:tcPr>
          <w:p>
            <w:pPr>
              <w:rPr>
                <w:rFonts w:ascii="宋体" w:hAnsi="宋体" w:cs="宋体"/>
                <w:color w:val="auto"/>
                <w:kern w:val="0"/>
                <w:szCs w:val="21"/>
              </w:rPr>
            </w:pPr>
            <w:r>
              <w:rPr>
                <w:rFonts w:hint="eastAsia" w:ascii="宋体" w:hAnsi="宋体" w:cs="宋体"/>
                <w:color w:val="auto"/>
                <w:kern w:val="0"/>
                <w:szCs w:val="21"/>
              </w:rPr>
              <w:t>其他</w:t>
            </w:r>
          </w:p>
        </w:tc>
        <w:tc>
          <w:tcPr>
            <w:tcW w:w="6275" w:type="dxa"/>
            <w:tcBorders>
              <w:bottom w:val="single" w:color="auto" w:sz="4" w:space="0"/>
            </w:tcBorders>
            <w:vAlign w:val="center"/>
          </w:tcPr>
          <w:p>
            <w:pPr>
              <w:rPr>
                <w:rFonts w:ascii="宋体" w:hAnsi="宋体" w:cs="宋体"/>
                <w:color w:val="auto"/>
                <w:kern w:val="0"/>
                <w:szCs w:val="21"/>
              </w:rPr>
            </w:pPr>
            <w:r>
              <w:rPr>
                <w:rFonts w:hint="eastAsia" w:ascii="宋体" w:hAnsi="宋体" w:cs="宋体"/>
                <w:color w:val="auto"/>
                <w:kern w:val="0"/>
                <w:szCs w:val="21"/>
              </w:rPr>
              <w:t>满足招标文件相关</w:t>
            </w:r>
            <w:r>
              <w:rPr>
                <w:rFonts w:hint="eastAsia" w:ascii="宋体" w:hAnsi="宋体" w:cs="宋体"/>
                <w:color w:val="auto"/>
                <w:szCs w:val="21"/>
                <w:lang w:val="zh-CN"/>
              </w:rPr>
              <w:t>规定。</w:t>
            </w:r>
          </w:p>
        </w:tc>
      </w:tr>
    </w:tbl>
    <w:p>
      <w:pPr>
        <w:spacing w:line="360" w:lineRule="auto"/>
        <w:rPr>
          <w:rFonts w:ascii="宋体" w:hAnsi="宋体" w:cs="宋体"/>
          <w:b/>
          <w:bCs/>
          <w:color w:val="auto"/>
          <w:sz w:val="24"/>
        </w:rPr>
      </w:pPr>
      <w:r>
        <w:rPr>
          <w:rFonts w:hint="eastAsia" w:ascii="宋体" w:hAnsi="宋体" w:cs="宋体"/>
          <w:b/>
          <w:color w:val="auto"/>
          <w:sz w:val="24"/>
        </w:rPr>
        <w:t>注：符合性审查的评审内容，有一项不通过者，视为未通过符合性审查。未通过符合性审查的响应文件将按照无效投标处理。</w:t>
      </w:r>
    </w:p>
    <w:p>
      <w:pPr>
        <w:pStyle w:val="10"/>
        <w:rPr>
          <w:color w:val="auto"/>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color w:val="auto"/>
        </w:rPr>
      </w:pPr>
      <w:r>
        <w:rPr>
          <w:rFonts w:hint="eastAsia" w:ascii="宋体" w:hAnsi="宋体" w:cs="宋体"/>
          <w:b/>
          <w:color w:val="auto"/>
          <w:sz w:val="24"/>
        </w:rPr>
        <w:t>3.1、评标办法（综合评分法）</w:t>
      </w:r>
    </w:p>
    <w:tbl>
      <w:tblPr>
        <w:tblStyle w:val="27"/>
        <w:tblpPr w:leftFromText="180" w:rightFromText="180" w:vertAnchor="text" w:horzAnchor="margin" w:tblpXSpec="center" w:tblpY="222"/>
        <w:tblW w:w="10092" w:type="dxa"/>
        <w:jc w:val="center"/>
        <w:tblLayout w:type="fixed"/>
        <w:tblCellMar>
          <w:top w:w="0" w:type="dxa"/>
          <w:left w:w="108" w:type="dxa"/>
          <w:bottom w:w="0" w:type="dxa"/>
          <w:right w:w="108" w:type="dxa"/>
        </w:tblCellMar>
      </w:tblPr>
      <w:tblGrid>
        <w:gridCol w:w="804"/>
        <w:gridCol w:w="1332"/>
        <w:gridCol w:w="7188"/>
        <w:gridCol w:w="768"/>
      </w:tblGrid>
      <w:tr>
        <w:tblPrEx>
          <w:tblCellMar>
            <w:top w:w="0" w:type="dxa"/>
            <w:left w:w="108" w:type="dxa"/>
            <w:bottom w:w="0" w:type="dxa"/>
            <w:right w:w="108" w:type="dxa"/>
          </w:tblCellMar>
        </w:tblPrEx>
        <w:trPr>
          <w:trHeight w:val="90"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kern w:val="0"/>
                <w:szCs w:val="21"/>
              </w:rPr>
            </w:pPr>
            <w:r>
              <w:rPr>
                <w:rFonts w:hint="eastAsia" w:ascii="宋体" w:hAnsi="宋体" w:cs="宋体"/>
                <w:color w:val="auto"/>
                <w:kern w:val="0"/>
                <w:szCs w:val="21"/>
              </w:rPr>
              <w:t>评审因素</w:t>
            </w:r>
          </w:p>
        </w:tc>
        <w:tc>
          <w:tcPr>
            <w:tcW w:w="133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kern w:val="0"/>
                <w:szCs w:val="21"/>
              </w:rPr>
            </w:pPr>
            <w:r>
              <w:rPr>
                <w:rFonts w:hint="eastAsia" w:ascii="宋体" w:hAnsi="宋体" w:cs="宋体"/>
                <w:color w:val="auto"/>
                <w:kern w:val="0"/>
                <w:szCs w:val="21"/>
              </w:rPr>
              <w:t xml:space="preserve">评审指标         </w:t>
            </w:r>
          </w:p>
        </w:tc>
        <w:tc>
          <w:tcPr>
            <w:tcW w:w="7188" w:type="dxa"/>
            <w:tcBorders>
              <w:top w:val="single" w:color="auto" w:sz="4" w:space="0"/>
              <w:left w:val="nil"/>
              <w:bottom w:val="single" w:color="auto" w:sz="4" w:space="0"/>
              <w:right w:val="single" w:color="auto" w:sz="4" w:space="0"/>
            </w:tcBorders>
            <w:vAlign w:val="center"/>
          </w:tcPr>
          <w:p>
            <w:pPr>
              <w:spacing w:line="380" w:lineRule="exact"/>
              <w:jc w:val="center"/>
              <w:rPr>
                <w:rFonts w:ascii="宋体" w:hAnsi="宋体" w:cs="宋体"/>
                <w:color w:val="auto"/>
                <w:kern w:val="0"/>
                <w:szCs w:val="21"/>
              </w:rPr>
            </w:pPr>
            <w:r>
              <w:rPr>
                <w:rFonts w:hint="eastAsia" w:ascii="宋体" w:hAnsi="宋体" w:cs="宋体"/>
                <w:color w:val="auto"/>
                <w:kern w:val="0"/>
                <w:szCs w:val="21"/>
              </w:rPr>
              <w:t>评分标准</w:t>
            </w:r>
          </w:p>
        </w:tc>
        <w:tc>
          <w:tcPr>
            <w:tcW w:w="768" w:type="dxa"/>
            <w:tcBorders>
              <w:top w:val="single" w:color="auto" w:sz="4" w:space="0"/>
              <w:left w:val="nil"/>
              <w:bottom w:val="single" w:color="auto" w:sz="4" w:space="0"/>
              <w:right w:val="single" w:color="auto" w:sz="4" w:space="0"/>
            </w:tcBorders>
            <w:vAlign w:val="center"/>
          </w:tcPr>
          <w:p>
            <w:pPr>
              <w:spacing w:line="380" w:lineRule="exact"/>
              <w:jc w:val="center"/>
              <w:rPr>
                <w:rFonts w:ascii="宋体" w:hAnsi="宋体" w:cs="宋体"/>
                <w:color w:val="auto"/>
                <w:kern w:val="0"/>
                <w:szCs w:val="21"/>
              </w:rPr>
            </w:pPr>
            <w:r>
              <w:rPr>
                <w:rFonts w:hint="eastAsia" w:ascii="宋体" w:hAnsi="宋体" w:cs="宋体"/>
                <w:color w:val="auto"/>
                <w:kern w:val="0"/>
                <w:szCs w:val="21"/>
              </w:rPr>
              <w:t>分值</w:t>
            </w:r>
          </w:p>
        </w:tc>
      </w:tr>
      <w:tr>
        <w:tblPrEx>
          <w:tblCellMar>
            <w:top w:w="0" w:type="dxa"/>
            <w:left w:w="108" w:type="dxa"/>
            <w:bottom w:w="0" w:type="dxa"/>
            <w:right w:w="108" w:type="dxa"/>
          </w:tblCellMar>
        </w:tblPrEx>
        <w:trPr>
          <w:trHeight w:val="1555"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kern w:val="0"/>
                <w:szCs w:val="21"/>
              </w:rPr>
            </w:pPr>
            <w:r>
              <w:rPr>
                <w:rFonts w:hint="eastAsia" w:ascii="宋体" w:hAnsi="宋体" w:cs="宋体"/>
                <w:color w:val="auto"/>
                <w:kern w:val="0"/>
                <w:szCs w:val="21"/>
              </w:rPr>
              <w:t>价格部分</w:t>
            </w:r>
          </w:p>
          <w:p>
            <w:pPr>
              <w:spacing w:line="380" w:lineRule="exact"/>
              <w:jc w:val="center"/>
              <w:rPr>
                <w:rFonts w:ascii="宋体" w:hAnsi="宋体" w:cs="宋体"/>
                <w:color w:val="auto"/>
              </w:rPr>
            </w:pPr>
            <w:r>
              <w:rPr>
                <w:rFonts w:hint="eastAsia" w:ascii="宋体" w:hAnsi="宋体" w:cs="宋体"/>
                <w:color w:val="auto"/>
                <w:kern w:val="0"/>
                <w:szCs w:val="21"/>
              </w:rPr>
              <w:t>（</w:t>
            </w:r>
            <w:r>
              <w:rPr>
                <w:rFonts w:hint="eastAsia" w:ascii="宋体" w:hAnsi="宋体" w:cs="宋体"/>
                <w:color w:val="auto"/>
                <w:kern w:val="0"/>
                <w:szCs w:val="21"/>
                <w:lang w:val="en-US" w:eastAsia="zh-CN"/>
              </w:rPr>
              <w:t>2</w:t>
            </w:r>
            <w:r>
              <w:rPr>
                <w:rFonts w:hint="eastAsia" w:ascii="宋体" w:hAnsi="宋体" w:cs="宋体"/>
                <w:color w:val="auto"/>
                <w:kern w:val="0"/>
                <w:szCs w:val="21"/>
              </w:rPr>
              <w:t>0）</w:t>
            </w:r>
          </w:p>
        </w:tc>
        <w:tc>
          <w:tcPr>
            <w:tcW w:w="133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kern w:val="0"/>
                <w:szCs w:val="21"/>
              </w:rPr>
            </w:pPr>
            <w:r>
              <w:rPr>
                <w:rFonts w:hint="eastAsia" w:ascii="宋体" w:hAnsi="宋体" w:cs="宋体"/>
                <w:color w:val="auto"/>
                <w:kern w:val="0"/>
                <w:szCs w:val="21"/>
              </w:rPr>
              <w:t>投标报价</w:t>
            </w:r>
          </w:p>
        </w:tc>
        <w:tc>
          <w:tcPr>
            <w:tcW w:w="7188" w:type="dxa"/>
            <w:tcBorders>
              <w:top w:val="nil"/>
              <w:left w:val="nil"/>
              <w:bottom w:val="single" w:color="auto" w:sz="4" w:space="0"/>
              <w:right w:val="single" w:color="auto" w:sz="4" w:space="0"/>
            </w:tcBorders>
          </w:tcPr>
          <w:p>
            <w:pPr>
              <w:spacing w:line="380" w:lineRule="exact"/>
              <w:jc w:val="left"/>
              <w:rPr>
                <w:rFonts w:ascii="宋体" w:hAnsi="宋体" w:cs="宋体"/>
                <w:b/>
                <w:bCs/>
                <w:color w:val="auto"/>
                <w:kern w:val="0"/>
                <w:szCs w:val="21"/>
              </w:rPr>
            </w:pPr>
            <w:r>
              <w:rPr>
                <w:rFonts w:hint="eastAsia" w:ascii="宋体" w:hAnsi="宋体" w:cs="宋体"/>
                <w:b/>
                <w:bCs/>
                <w:color w:val="auto"/>
                <w:kern w:val="0"/>
                <w:szCs w:val="21"/>
              </w:rPr>
              <w:t>满足采购文件要求且投标价格最低的投标报价为评标基准价，其价格分为满分。其他投标供应商的价格分统一按照下列公式计算：</w:t>
            </w:r>
          </w:p>
          <w:p>
            <w:pPr>
              <w:spacing w:line="380" w:lineRule="exact"/>
              <w:jc w:val="left"/>
              <w:rPr>
                <w:rFonts w:ascii="宋体" w:hAnsi="宋体" w:cs="宋体"/>
                <w:b/>
                <w:bCs/>
                <w:color w:val="auto"/>
                <w:kern w:val="0"/>
                <w:szCs w:val="21"/>
              </w:rPr>
            </w:pPr>
            <w:r>
              <w:rPr>
                <w:rFonts w:hint="eastAsia" w:ascii="宋体" w:hAnsi="宋体" w:cs="宋体"/>
                <w:b/>
                <w:bCs/>
                <w:color w:val="auto"/>
                <w:kern w:val="0"/>
                <w:szCs w:val="21"/>
              </w:rPr>
              <w:t>投标报价得分=(评标基准价／投标报价)×20%×100</w:t>
            </w:r>
          </w:p>
          <w:p>
            <w:pPr>
              <w:spacing w:line="380" w:lineRule="exact"/>
              <w:jc w:val="left"/>
              <w:rPr>
                <w:rFonts w:ascii="宋体" w:hAnsi="宋体" w:cs="宋体"/>
                <w:color w:val="auto"/>
                <w:kern w:val="0"/>
                <w:szCs w:val="21"/>
              </w:rPr>
            </w:pPr>
            <w:r>
              <w:rPr>
                <w:rFonts w:hint="eastAsia" w:ascii="宋体" w:hAnsi="宋体" w:cs="宋体"/>
                <w:b/>
                <w:bCs/>
                <w:color w:val="auto"/>
                <w:kern w:val="0"/>
                <w:szCs w:val="21"/>
              </w:rPr>
              <w:t>[说明：对小型、微型企业的价格给予6%的扣除，用扣除后的价格参与评审。]</w:t>
            </w:r>
          </w:p>
        </w:tc>
        <w:tc>
          <w:tcPr>
            <w:tcW w:w="768" w:type="dxa"/>
            <w:tcBorders>
              <w:top w:val="nil"/>
              <w:left w:val="nil"/>
              <w:bottom w:val="single" w:color="auto" w:sz="4" w:space="0"/>
              <w:right w:val="single" w:color="auto" w:sz="4" w:space="0"/>
            </w:tcBorders>
            <w:vAlign w:val="center"/>
          </w:tcPr>
          <w:p>
            <w:pPr>
              <w:spacing w:line="380" w:lineRule="exact"/>
              <w:jc w:val="center"/>
              <w:rPr>
                <w:rFonts w:ascii="宋体" w:hAnsi="宋体" w:cs="宋体"/>
                <w:color w:val="auto"/>
                <w:kern w:val="0"/>
                <w:szCs w:val="21"/>
              </w:rPr>
            </w:pPr>
            <w:r>
              <w:rPr>
                <w:rFonts w:hint="eastAsia" w:ascii="宋体" w:hAnsi="宋体" w:cs="宋体"/>
                <w:color w:val="auto"/>
                <w:kern w:val="0"/>
                <w:szCs w:val="21"/>
              </w:rPr>
              <w:t>0-20</w:t>
            </w:r>
          </w:p>
        </w:tc>
      </w:tr>
      <w:tr>
        <w:tblPrEx>
          <w:tblCellMar>
            <w:top w:w="0" w:type="dxa"/>
            <w:left w:w="108" w:type="dxa"/>
            <w:bottom w:w="0" w:type="dxa"/>
            <w:right w:w="108" w:type="dxa"/>
          </w:tblCellMar>
        </w:tblPrEx>
        <w:trPr>
          <w:trHeight w:val="2812" w:hRule="atLeast"/>
          <w:jc w:val="center"/>
        </w:trPr>
        <w:tc>
          <w:tcPr>
            <w:tcW w:w="804" w:type="dxa"/>
            <w:vMerge w:val="restart"/>
            <w:tcBorders>
              <w:top w:val="single" w:color="auto" w:sz="4" w:space="0"/>
              <w:left w:val="single" w:color="auto" w:sz="4" w:space="0"/>
              <w:right w:val="single" w:color="auto" w:sz="4" w:space="0"/>
            </w:tcBorders>
            <w:vAlign w:val="center"/>
          </w:tcPr>
          <w:p>
            <w:pPr>
              <w:widowControl/>
              <w:spacing w:line="380" w:lineRule="exact"/>
              <w:jc w:val="center"/>
              <w:rPr>
                <w:rFonts w:ascii="宋体" w:hAnsi="宋体" w:cs="宋体"/>
                <w:color w:val="auto"/>
                <w:kern w:val="0"/>
                <w:szCs w:val="21"/>
              </w:rPr>
            </w:pPr>
            <w:r>
              <w:rPr>
                <w:rFonts w:hint="eastAsia" w:ascii="宋体" w:hAnsi="宋体" w:cs="宋体"/>
                <w:color w:val="auto"/>
                <w:kern w:val="0"/>
                <w:szCs w:val="21"/>
              </w:rPr>
              <w:t>其他部分（</w:t>
            </w:r>
            <w:r>
              <w:rPr>
                <w:rFonts w:hint="eastAsia" w:ascii="宋体" w:hAnsi="宋体" w:cs="宋体"/>
                <w:color w:val="auto"/>
                <w:kern w:val="0"/>
                <w:szCs w:val="21"/>
                <w:lang w:val="en-US" w:eastAsia="zh-CN"/>
              </w:rPr>
              <w:t>8</w:t>
            </w:r>
            <w:r>
              <w:rPr>
                <w:rFonts w:hint="eastAsia" w:ascii="宋体" w:hAnsi="宋体" w:cs="宋体"/>
                <w:color w:val="auto"/>
                <w:kern w:val="0"/>
                <w:szCs w:val="21"/>
              </w:rPr>
              <w:t>0）</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textAlignment w:val="center"/>
              <w:rPr>
                <w:rFonts w:ascii="宋体" w:hAnsi="宋体" w:cs="宋体"/>
                <w:color w:val="auto"/>
                <w:kern w:val="0"/>
                <w:szCs w:val="21"/>
              </w:rPr>
            </w:pPr>
            <w:r>
              <w:rPr>
                <w:rFonts w:hint="eastAsia" w:ascii="宋体" w:hAnsi="宋体" w:cs="宋体"/>
                <w:color w:val="auto"/>
                <w:szCs w:val="21"/>
              </w:rPr>
              <w:t>企业信誉</w:t>
            </w:r>
          </w:p>
        </w:tc>
        <w:tc>
          <w:tcPr>
            <w:tcW w:w="7188" w:type="dxa"/>
            <w:tcBorders>
              <w:top w:val="nil"/>
              <w:left w:val="nil"/>
              <w:bottom w:val="single" w:color="auto" w:sz="4" w:space="0"/>
              <w:right w:val="single" w:color="auto" w:sz="4" w:space="0"/>
            </w:tcBorders>
            <w:vAlign w:val="center"/>
          </w:tcPr>
          <w:p>
            <w:pPr>
              <w:spacing w:line="380" w:lineRule="exact"/>
              <w:jc w:val="left"/>
              <w:rPr>
                <w:rFonts w:ascii="宋体" w:hAnsi="宋体" w:cs="宋体"/>
                <w:color w:val="auto"/>
                <w:kern w:val="0"/>
                <w:szCs w:val="21"/>
              </w:rPr>
            </w:pPr>
            <w:r>
              <w:rPr>
                <w:rFonts w:hint="eastAsia" w:ascii="宋体" w:hAnsi="宋体" w:cs="宋体"/>
                <w:color w:val="auto"/>
                <w:kern w:val="0"/>
                <w:szCs w:val="21"/>
              </w:rPr>
              <w:t>开评标现场，通过在信合联服网站（网址</w:t>
            </w:r>
            <w:r>
              <w:rPr>
                <w:rFonts w:hint="eastAsia" w:ascii="宋体" w:hAnsi="宋体" w:cs="宋体"/>
                <w:color w:val="auto"/>
                <w:kern w:val="0"/>
                <w:szCs w:val="21"/>
              </w:rPr>
              <w:drawing>
                <wp:inline distT="0" distB="0" distL="0" distR="0">
                  <wp:extent cx="191135" cy="135255"/>
                  <wp:effectExtent l="19050" t="0" r="0" b="0"/>
                  <wp:docPr id="2"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6"/>
                          <pic:cNvPicPr>
                            <a:picLocks noChangeAspect="1" noChangeArrowheads="1"/>
                          </pic:cNvPicPr>
                        </pic:nvPicPr>
                        <pic:blipFill>
                          <a:blip r:embed="rId12"/>
                          <a:srcRect/>
                          <a:stretch>
                            <a:fillRect/>
                          </a:stretch>
                        </pic:blipFill>
                        <pic:spPr>
                          <a:xfrm>
                            <a:off x="0" y="0"/>
                            <a:ext cx="191135" cy="135255"/>
                          </a:xfrm>
                          <a:prstGeom prst="rect">
                            <a:avLst/>
                          </a:prstGeom>
                          <a:noFill/>
                          <a:ln w="9525" cmpd="sng">
                            <a:noFill/>
                            <a:miter lim="800000"/>
                            <a:headEnd/>
                            <a:tailEnd/>
                          </a:ln>
                        </pic:spPr>
                      </pic:pic>
                    </a:graphicData>
                  </a:graphic>
                </wp:inline>
              </w:drawing>
            </w:r>
            <w:r>
              <w:rPr>
                <w:rFonts w:hint="eastAsia" w:ascii="宋体" w:hAnsi="宋体" w:cs="宋体"/>
                <w:color w:val="auto"/>
                <w:kern w:val="0"/>
                <w:szCs w:val="21"/>
              </w:rPr>
              <w:t>http://www.xhlfzx.com.cn/）查询截止当天供应商信用状况，并根据供应商所提供由信合联服（克拉玛依市信用办备案认可信用服务机构）出具的信用报告所评定信用等级评分：</w:t>
            </w:r>
            <w:r>
              <w:rPr>
                <w:rFonts w:hint="eastAsia" w:ascii="宋体" w:hAnsi="宋体" w:cs="宋体"/>
                <w:color w:val="auto"/>
                <w:kern w:val="0"/>
                <w:szCs w:val="21"/>
              </w:rPr>
              <w:br w:type="textWrapping"/>
            </w:r>
            <w:r>
              <w:rPr>
                <w:rFonts w:hint="eastAsia" w:ascii="宋体" w:hAnsi="宋体" w:cs="宋体"/>
                <w:color w:val="auto"/>
                <w:kern w:val="0"/>
                <w:szCs w:val="21"/>
              </w:rPr>
              <w:t>1、信用等级为AAA级，得5分；   2、信用等级为AA级，得4.5分；</w:t>
            </w:r>
            <w:r>
              <w:rPr>
                <w:rFonts w:hint="eastAsia" w:ascii="宋体" w:hAnsi="宋体" w:cs="宋体"/>
                <w:color w:val="auto"/>
                <w:kern w:val="0"/>
                <w:szCs w:val="21"/>
              </w:rPr>
              <w:br w:type="textWrapping"/>
            </w:r>
            <w:r>
              <w:rPr>
                <w:rFonts w:hint="eastAsia" w:ascii="宋体" w:hAnsi="宋体" w:cs="宋体"/>
                <w:color w:val="auto"/>
                <w:kern w:val="0"/>
                <w:szCs w:val="21"/>
              </w:rPr>
              <w:t>3、信用等级为A级，得4分；     4、信用等级为BBB级，得3.5分；</w:t>
            </w:r>
            <w:r>
              <w:rPr>
                <w:rFonts w:hint="eastAsia" w:ascii="宋体" w:hAnsi="宋体" w:cs="宋体"/>
                <w:color w:val="auto"/>
                <w:kern w:val="0"/>
                <w:szCs w:val="21"/>
              </w:rPr>
              <w:br w:type="textWrapping"/>
            </w:r>
            <w:r>
              <w:rPr>
                <w:rFonts w:hint="eastAsia" w:ascii="宋体" w:hAnsi="宋体" w:cs="宋体"/>
                <w:color w:val="auto"/>
                <w:kern w:val="0"/>
                <w:szCs w:val="21"/>
              </w:rPr>
              <w:t>5、信用等级为BB级，得3分；    6、信用等级为B级，得2.5分；</w:t>
            </w:r>
            <w:r>
              <w:rPr>
                <w:rFonts w:hint="eastAsia" w:ascii="宋体" w:hAnsi="宋体" w:cs="宋体"/>
                <w:color w:val="auto"/>
                <w:kern w:val="0"/>
                <w:szCs w:val="21"/>
              </w:rPr>
              <w:br w:type="textWrapping"/>
            </w:r>
            <w:r>
              <w:rPr>
                <w:rFonts w:hint="eastAsia" w:ascii="宋体" w:hAnsi="宋体" w:cs="宋体"/>
                <w:color w:val="auto"/>
                <w:kern w:val="0"/>
                <w:szCs w:val="21"/>
              </w:rPr>
              <w:t>7、信用等级为CCC级，得2分；   8、信用等级为CC级，得1.5分；</w:t>
            </w:r>
            <w:r>
              <w:rPr>
                <w:rFonts w:hint="eastAsia" w:ascii="宋体" w:hAnsi="宋体" w:cs="宋体"/>
                <w:color w:val="auto"/>
                <w:kern w:val="0"/>
                <w:szCs w:val="21"/>
              </w:rPr>
              <w:br w:type="textWrapping"/>
            </w:r>
            <w:r>
              <w:rPr>
                <w:rFonts w:hint="eastAsia" w:ascii="宋体" w:hAnsi="宋体" w:cs="宋体"/>
                <w:color w:val="auto"/>
                <w:kern w:val="0"/>
                <w:szCs w:val="21"/>
              </w:rPr>
              <w:t>9、信用等级为C级，得1分； 10、信用等级为D级，取消其投标资格；</w:t>
            </w:r>
          </w:p>
          <w:p>
            <w:pPr>
              <w:spacing w:line="380" w:lineRule="exact"/>
              <w:rPr>
                <w:rFonts w:ascii="宋体" w:hAnsi="宋体" w:cs="宋体"/>
                <w:color w:val="auto"/>
                <w:kern w:val="0"/>
                <w:szCs w:val="21"/>
              </w:rPr>
            </w:pPr>
            <w:r>
              <w:rPr>
                <w:rFonts w:hint="eastAsia" w:ascii="宋体" w:hAnsi="宋体" w:cs="宋体"/>
                <w:color w:val="auto"/>
                <w:kern w:val="0"/>
                <w:szCs w:val="21"/>
              </w:rPr>
              <w:t>11、未提供信用报告的，此项不得分。</w:t>
            </w:r>
          </w:p>
        </w:tc>
        <w:tc>
          <w:tcPr>
            <w:tcW w:w="768" w:type="dxa"/>
            <w:tcBorders>
              <w:top w:val="nil"/>
              <w:left w:val="nil"/>
              <w:bottom w:val="single" w:color="auto" w:sz="4" w:space="0"/>
              <w:right w:val="single" w:color="auto" w:sz="4" w:space="0"/>
            </w:tcBorders>
            <w:textDirection w:val="lrTbV"/>
            <w:vAlign w:val="center"/>
          </w:tcPr>
          <w:p>
            <w:pPr>
              <w:spacing w:line="380" w:lineRule="exact"/>
              <w:jc w:val="center"/>
              <w:rPr>
                <w:rFonts w:ascii="宋体" w:hAnsi="宋体" w:cs="宋体"/>
                <w:color w:val="auto"/>
                <w:kern w:val="0"/>
                <w:szCs w:val="21"/>
              </w:rPr>
            </w:pPr>
            <w:r>
              <w:rPr>
                <w:rFonts w:hint="eastAsia" w:ascii="宋体" w:hAnsi="宋体" w:cs="宋体"/>
                <w:color w:val="auto"/>
                <w:kern w:val="0"/>
                <w:szCs w:val="21"/>
              </w:rPr>
              <w:t>0—5</w:t>
            </w:r>
          </w:p>
        </w:tc>
      </w:tr>
      <w:tr>
        <w:tblPrEx>
          <w:tblCellMar>
            <w:top w:w="0" w:type="dxa"/>
            <w:left w:w="108" w:type="dxa"/>
            <w:bottom w:w="0" w:type="dxa"/>
            <w:right w:w="108" w:type="dxa"/>
          </w:tblCellMar>
        </w:tblPrEx>
        <w:trPr>
          <w:trHeight w:val="90" w:hRule="atLeast"/>
          <w:jc w:val="center"/>
        </w:trPr>
        <w:tc>
          <w:tcPr>
            <w:tcW w:w="804" w:type="dxa"/>
            <w:vMerge w:val="continue"/>
            <w:tcBorders>
              <w:left w:val="single" w:color="auto" w:sz="4" w:space="0"/>
              <w:right w:val="single" w:color="auto" w:sz="4" w:space="0"/>
            </w:tcBorders>
            <w:vAlign w:val="center"/>
          </w:tcPr>
          <w:p>
            <w:pPr>
              <w:widowControl/>
              <w:spacing w:line="380" w:lineRule="exact"/>
              <w:jc w:val="center"/>
              <w:rPr>
                <w:rFonts w:ascii="宋体" w:hAnsi="宋体" w:cs="宋体"/>
                <w:color w:val="auto"/>
                <w:kern w:val="0"/>
                <w:szCs w:val="21"/>
              </w:rPr>
            </w:pPr>
          </w:p>
        </w:tc>
        <w:tc>
          <w:tcPr>
            <w:tcW w:w="1332" w:type="dxa"/>
            <w:vMerge w:val="restart"/>
            <w:tcBorders>
              <w:top w:val="single" w:color="auto" w:sz="4" w:space="0"/>
              <w:left w:val="single" w:color="auto" w:sz="4" w:space="0"/>
              <w:right w:val="single" w:color="auto" w:sz="4" w:space="0"/>
            </w:tcBorders>
            <w:vAlign w:val="center"/>
          </w:tcPr>
          <w:p>
            <w:pPr>
              <w:widowControl/>
              <w:spacing w:line="380" w:lineRule="exact"/>
              <w:jc w:val="center"/>
              <w:rPr>
                <w:rFonts w:ascii="宋体" w:hAnsi="宋体" w:cs="宋体"/>
                <w:color w:val="auto"/>
                <w:kern w:val="0"/>
                <w:szCs w:val="21"/>
              </w:rPr>
            </w:pPr>
            <w:r>
              <w:rPr>
                <w:rFonts w:hint="eastAsia" w:ascii="宋体" w:hAnsi="宋体" w:cs="宋体"/>
                <w:color w:val="auto"/>
                <w:kern w:val="0"/>
                <w:szCs w:val="21"/>
              </w:rPr>
              <w:t>企业综合</w:t>
            </w:r>
          </w:p>
          <w:p>
            <w:pPr>
              <w:widowControl/>
              <w:spacing w:line="380" w:lineRule="exact"/>
              <w:jc w:val="center"/>
              <w:rPr>
                <w:rFonts w:ascii="宋体" w:hAnsi="宋体" w:cs="宋体"/>
                <w:color w:val="auto"/>
                <w:kern w:val="0"/>
                <w:szCs w:val="21"/>
              </w:rPr>
            </w:pPr>
            <w:r>
              <w:rPr>
                <w:rFonts w:hint="eastAsia" w:ascii="宋体" w:hAnsi="宋体" w:cs="宋体"/>
                <w:color w:val="auto"/>
                <w:kern w:val="0"/>
                <w:szCs w:val="21"/>
              </w:rPr>
              <w:t>实力</w:t>
            </w:r>
          </w:p>
        </w:tc>
        <w:tc>
          <w:tcPr>
            <w:tcW w:w="7188" w:type="dxa"/>
            <w:tcBorders>
              <w:top w:val="nil"/>
              <w:left w:val="nil"/>
              <w:bottom w:val="single" w:color="auto" w:sz="4" w:space="0"/>
              <w:right w:val="single" w:color="auto" w:sz="4" w:space="0"/>
            </w:tcBorders>
            <w:vAlign w:val="center"/>
          </w:tcPr>
          <w:p>
            <w:pPr>
              <w:spacing w:line="380" w:lineRule="exact"/>
              <w:rPr>
                <w:rFonts w:ascii="宋体" w:hAnsi="宋体" w:cs="宋体"/>
                <w:color w:val="auto"/>
                <w:kern w:val="0"/>
                <w:szCs w:val="21"/>
              </w:rPr>
            </w:pPr>
            <w:r>
              <w:rPr>
                <w:rFonts w:hint="eastAsia" w:ascii="宋体" w:hAnsi="宋体" w:cs="宋体"/>
                <w:color w:val="auto"/>
                <w:kern w:val="0"/>
                <w:szCs w:val="21"/>
              </w:rPr>
              <w:t>企业实力较强、经营情况良好、社会保障体系完善，财务状况报告等证明资料完善得0-3分（附相关证明材料）。</w:t>
            </w:r>
          </w:p>
        </w:tc>
        <w:tc>
          <w:tcPr>
            <w:tcW w:w="768" w:type="dxa"/>
            <w:tcBorders>
              <w:top w:val="nil"/>
              <w:left w:val="nil"/>
              <w:bottom w:val="single" w:color="auto" w:sz="4" w:space="0"/>
              <w:right w:val="single" w:color="auto" w:sz="4" w:space="0"/>
            </w:tcBorders>
            <w:vAlign w:val="center"/>
          </w:tcPr>
          <w:p>
            <w:pPr>
              <w:spacing w:line="380" w:lineRule="exact"/>
              <w:jc w:val="center"/>
              <w:rPr>
                <w:rFonts w:ascii="宋体" w:hAnsi="宋体" w:cs="宋体"/>
                <w:color w:val="auto"/>
                <w:kern w:val="0"/>
                <w:szCs w:val="21"/>
              </w:rPr>
            </w:pPr>
            <w:r>
              <w:rPr>
                <w:rFonts w:hint="eastAsia" w:ascii="宋体" w:hAnsi="宋体" w:cs="宋体"/>
                <w:color w:val="auto"/>
                <w:kern w:val="0"/>
                <w:szCs w:val="21"/>
              </w:rPr>
              <w:t>0-3</w:t>
            </w:r>
          </w:p>
        </w:tc>
      </w:tr>
      <w:tr>
        <w:tblPrEx>
          <w:tblCellMar>
            <w:top w:w="0" w:type="dxa"/>
            <w:left w:w="108" w:type="dxa"/>
            <w:bottom w:w="0" w:type="dxa"/>
            <w:right w:w="108" w:type="dxa"/>
          </w:tblCellMar>
        </w:tblPrEx>
        <w:trPr>
          <w:trHeight w:val="364" w:hRule="atLeast"/>
          <w:jc w:val="center"/>
        </w:trPr>
        <w:tc>
          <w:tcPr>
            <w:tcW w:w="804" w:type="dxa"/>
            <w:vMerge w:val="continue"/>
            <w:tcBorders>
              <w:left w:val="single" w:color="auto" w:sz="4" w:space="0"/>
              <w:right w:val="single" w:color="auto" w:sz="4" w:space="0"/>
            </w:tcBorders>
            <w:vAlign w:val="center"/>
          </w:tcPr>
          <w:p>
            <w:pPr>
              <w:spacing w:line="380" w:lineRule="exact"/>
              <w:jc w:val="center"/>
              <w:rPr>
                <w:rFonts w:ascii="宋体" w:hAnsi="宋体" w:cs="宋体"/>
                <w:color w:val="auto"/>
                <w:kern w:val="0"/>
                <w:szCs w:val="21"/>
              </w:rPr>
            </w:pPr>
          </w:p>
        </w:tc>
        <w:tc>
          <w:tcPr>
            <w:tcW w:w="1332" w:type="dxa"/>
            <w:vMerge w:val="continue"/>
            <w:tcBorders>
              <w:left w:val="single" w:color="auto" w:sz="4" w:space="0"/>
              <w:right w:val="single" w:color="auto" w:sz="4" w:space="0"/>
            </w:tcBorders>
            <w:vAlign w:val="center"/>
          </w:tcPr>
          <w:p>
            <w:pPr>
              <w:spacing w:line="380" w:lineRule="exact"/>
              <w:jc w:val="center"/>
              <w:rPr>
                <w:rFonts w:ascii="宋体" w:hAnsi="宋体" w:cs="宋体"/>
                <w:color w:val="auto"/>
                <w:kern w:val="0"/>
                <w:szCs w:val="21"/>
              </w:rPr>
            </w:pPr>
          </w:p>
        </w:tc>
        <w:tc>
          <w:tcPr>
            <w:tcW w:w="7188" w:type="dxa"/>
            <w:tcBorders>
              <w:top w:val="nil"/>
              <w:left w:val="nil"/>
              <w:bottom w:val="single" w:color="auto" w:sz="4" w:space="0"/>
              <w:right w:val="single" w:color="auto" w:sz="4" w:space="0"/>
            </w:tcBorders>
            <w:vAlign w:val="center"/>
          </w:tcPr>
          <w:p>
            <w:pPr>
              <w:spacing w:line="380" w:lineRule="exact"/>
              <w:rPr>
                <w:rFonts w:ascii="宋体" w:hAnsi="宋体" w:cs="宋体"/>
                <w:color w:val="auto"/>
                <w:kern w:val="0"/>
                <w:szCs w:val="21"/>
              </w:rPr>
            </w:pPr>
            <w:r>
              <w:rPr>
                <w:rFonts w:hint="eastAsia" w:ascii="宋体" w:hAnsi="宋体" w:cs="宋体"/>
                <w:color w:val="auto"/>
                <w:kern w:val="0"/>
                <w:szCs w:val="21"/>
              </w:rPr>
              <w:t>有健全的财务会计制度的0-2分。</w:t>
            </w:r>
          </w:p>
        </w:tc>
        <w:tc>
          <w:tcPr>
            <w:tcW w:w="768" w:type="dxa"/>
            <w:tcBorders>
              <w:top w:val="nil"/>
              <w:left w:val="nil"/>
              <w:bottom w:val="single" w:color="auto" w:sz="4" w:space="0"/>
              <w:right w:val="single" w:color="auto" w:sz="4" w:space="0"/>
            </w:tcBorders>
            <w:vAlign w:val="center"/>
          </w:tcPr>
          <w:p>
            <w:pPr>
              <w:spacing w:line="380" w:lineRule="exact"/>
              <w:jc w:val="center"/>
              <w:rPr>
                <w:rFonts w:ascii="宋体" w:hAnsi="宋体" w:cs="宋体"/>
                <w:color w:val="auto"/>
                <w:kern w:val="0"/>
                <w:szCs w:val="21"/>
              </w:rPr>
            </w:pPr>
            <w:r>
              <w:rPr>
                <w:rFonts w:hint="eastAsia" w:ascii="宋体" w:hAnsi="宋体" w:cs="宋体"/>
                <w:color w:val="auto"/>
                <w:kern w:val="0"/>
                <w:szCs w:val="21"/>
              </w:rPr>
              <w:t>0-2</w:t>
            </w:r>
          </w:p>
        </w:tc>
      </w:tr>
      <w:tr>
        <w:tblPrEx>
          <w:tblCellMar>
            <w:top w:w="0" w:type="dxa"/>
            <w:left w:w="108" w:type="dxa"/>
            <w:bottom w:w="0" w:type="dxa"/>
            <w:right w:w="108" w:type="dxa"/>
          </w:tblCellMar>
        </w:tblPrEx>
        <w:trPr>
          <w:trHeight w:val="364" w:hRule="atLeast"/>
          <w:jc w:val="center"/>
        </w:trPr>
        <w:tc>
          <w:tcPr>
            <w:tcW w:w="804" w:type="dxa"/>
            <w:vMerge w:val="continue"/>
            <w:tcBorders>
              <w:left w:val="single" w:color="auto" w:sz="4" w:space="0"/>
              <w:right w:val="single" w:color="auto" w:sz="4" w:space="0"/>
            </w:tcBorders>
            <w:vAlign w:val="center"/>
          </w:tcPr>
          <w:p>
            <w:pPr>
              <w:spacing w:line="380" w:lineRule="exact"/>
              <w:jc w:val="center"/>
              <w:rPr>
                <w:rFonts w:ascii="宋体" w:hAnsi="宋体" w:cs="宋体"/>
                <w:color w:val="auto"/>
                <w:kern w:val="0"/>
                <w:szCs w:val="21"/>
              </w:rPr>
            </w:pPr>
          </w:p>
        </w:tc>
        <w:tc>
          <w:tcPr>
            <w:tcW w:w="1332" w:type="dxa"/>
            <w:vMerge w:val="continue"/>
            <w:tcBorders>
              <w:left w:val="single" w:color="auto" w:sz="4" w:space="0"/>
              <w:right w:val="single" w:color="auto" w:sz="4" w:space="0"/>
            </w:tcBorders>
            <w:vAlign w:val="center"/>
          </w:tcPr>
          <w:p>
            <w:pPr>
              <w:spacing w:line="380" w:lineRule="exact"/>
              <w:jc w:val="center"/>
              <w:rPr>
                <w:rFonts w:ascii="宋体" w:hAnsi="宋体" w:cs="宋体"/>
                <w:color w:val="auto"/>
                <w:kern w:val="0"/>
                <w:szCs w:val="21"/>
              </w:rPr>
            </w:pPr>
          </w:p>
        </w:tc>
        <w:tc>
          <w:tcPr>
            <w:tcW w:w="7188" w:type="dxa"/>
            <w:tcBorders>
              <w:top w:val="nil"/>
              <w:left w:val="nil"/>
              <w:bottom w:val="single" w:color="auto" w:sz="4" w:space="0"/>
              <w:right w:val="single" w:color="auto" w:sz="4" w:space="0"/>
            </w:tcBorders>
            <w:vAlign w:val="center"/>
          </w:tcPr>
          <w:p>
            <w:pPr>
              <w:spacing w:line="380" w:lineRule="exact"/>
              <w:rPr>
                <w:rFonts w:ascii="宋体" w:hAnsi="宋体" w:cs="宋体"/>
                <w:color w:val="auto"/>
                <w:kern w:val="0"/>
                <w:szCs w:val="21"/>
              </w:rPr>
            </w:pPr>
            <w:r>
              <w:rPr>
                <w:rFonts w:hint="eastAsia" w:ascii="宋体" w:hAnsi="宋体" w:cs="宋体"/>
                <w:color w:val="auto"/>
                <w:kern w:val="0"/>
                <w:szCs w:val="21"/>
              </w:rPr>
              <w:t>有依法缴纳税收和为员工缴纳社会保证金的良好记录得0-2分（附相关证明材料）。</w:t>
            </w:r>
          </w:p>
        </w:tc>
        <w:tc>
          <w:tcPr>
            <w:tcW w:w="768" w:type="dxa"/>
            <w:tcBorders>
              <w:top w:val="nil"/>
              <w:left w:val="nil"/>
              <w:bottom w:val="single" w:color="auto" w:sz="4" w:space="0"/>
              <w:right w:val="single" w:color="auto" w:sz="4" w:space="0"/>
            </w:tcBorders>
            <w:vAlign w:val="center"/>
          </w:tcPr>
          <w:p>
            <w:pPr>
              <w:spacing w:line="380" w:lineRule="exact"/>
              <w:jc w:val="center"/>
              <w:rPr>
                <w:rFonts w:ascii="宋体" w:hAnsi="宋体" w:cs="宋体"/>
                <w:color w:val="auto"/>
                <w:kern w:val="0"/>
                <w:szCs w:val="21"/>
              </w:rPr>
            </w:pPr>
            <w:r>
              <w:rPr>
                <w:rFonts w:hint="eastAsia" w:ascii="宋体" w:hAnsi="宋体" w:cs="宋体"/>
                <w:color w:val="auto"/>
                <w:kern w:val="0"/>
                <w:szCs w:val="21"/>
              </w:rPr>
              <w:t>0-2</w:t>
            </w:r>
          </w:p>
        </w:tc>
      </w:tr>
      <w:tr>
        <w:tblPrEx>
          <w:tblCellMar>
            <w:top w:w="0" w:type="dxa"/>
            <w:left w:w="108" w:type="dxa"/>
            <w:bottom w:w="0" w:type="dxa"/>
            <w:right w:w="108" w:type="dxa"/>
          </w:tblCellMar>
        </w:tblPrEx>
        <w:trPr>
          <w:trHeight w:val="311" w:hRule="atLeast"/>
          <w:jc w:val="center"/>
        </w:trPr>
        <w:tc>
          <w:tcPr>
            <w:tcW w:w="804" w:type="dxa"/>
            <w:vMerge w:val="continue"/>
            <w:tcBorders>
              <w:left w:val="single" w:color="auto" w:sz="4" w:space="0"/>
              <w:right w:val="single" w:color="auto" w:sz="4" w:space="0"/>
            </w:tcBorders>
            <w:vAlign w:val="center"/>
          </w:tcPr>
          <w:p>
            <w:pPr>
              <w:widowControl/>
              <w:spacing w:line="380" w:lineRule="exact"/>
              <w:jc w:val="center"/>
              <w:rPr>
                <w:rFonts w:ascii="宋体" w:hAnsi="宋体" w:cs="宋体"/>
                <w:color w:val="auto"/>
                <w:kern w:val="0"/>
                <w:szCs w:val="21"/>
              </w:rPr>
            </w:pPr>
          </w:p>
        </w:tc>
        <w:tc>
          <w:tcPr>
            <w:tcW w:w="1332" w:type="dxa"/>
            <w:vMerge w:val="continue"/>
            <w:tcBorders>
              <w:left w:val="single" w:color="auto" w:sz="4" w:space="0"/>
              <w:right w:val="single" w:color="auto" w:sz="4" w:space="0"/>
            </w:tcBorders>
            <w:vAlign w:val="center"/>
          </w:tcPr>
          <w:p>
            <w:pPr>
              <w:widowControl/>
              <w:spacing w:line="380" w:lineRule="exact"/>
              <w:jc w:val="center"/>
              <w:rPr>
                <w:rFonts w:ascii="宋体" w:hAnsi="宋体" w:cs="宋体"/>
                <w:color w:val="auto"/>
                <w:kern w:val="0"/>
                <w:szCs w:val="21"/>
              </w:rPr>
            </w:pPr>
          </w:p>
        </w:tc>
        <w:tc>
          <w:tcPr>
            <w:tcW w:w="7188" w:type="dxa"/>
            <w:tcBorders>
              <w:top w:val="single" w:color="auto" w:sz="4" w:space="0"/>
              <w:left w:val="nil"/>
              <w:bottom w:val="single" w:color="auto" w:sz="4" w:space="0"/>
              <w:right w:val="single" w:color="auto" w:sz="4" w:space="0"/>
            </w:tcBorders>
            <w:vAlign w:val="center"/>
          </w:tcPr>
          <w:p>
            <w:pPr>
              <w:spacing w:line="380" w:lineRule="exact"/>
              <w:rPr>
                <w:rFonts w:ascii="宋体" w:hAnsi="宋体" w:cs="宋体"/>
                <w:color w:val="auto"/>
                <w:kern w:val="0"/>
                <w:szCs w:val="21"/>
              </w:rPr>
            </w:pPr>
            <w:r>
              <w:rPr>
                <w:rFonts w:hint="eastAsia" w:ascii="宋体" w:hAnsi="宋体" w:cs="宋体"/>
                <w:color w:val="auto"/>
                <w:kern w:val="0"/>
                <w:szCs w:val="21"/>
              </w:rPr>
              <w:t>近三年内有同类项目业绩者，每具有一个业绩得1分，并附业绩证明资料（如成交通知书/成交通知书或合同），本项最多得5分。</w:t>
            </w:r>
          </w:p>
        </w:tc>
        <w:tc>
          <w:tcPr>
            <w:tcW w:w="768" w:type="dxa"/>
            <w:tcBorders>
              <w:top w:val="single" w:color="auto" w:sz="4" w:space="0"/>
              <w:left w:val="nil"/>
              <w:bottom w:val="single" w:color="auto" w:sz="4" w:space="0"/>
              <w:right w:val="single" w:color="auto" w:sz="4" w:space="0"/>
            </w:tcBorders>
            <w:vAlign w:val="center"/>
          </w:tcPr>
          <w:p>
            <w:pPr>
              <w:spacing w:line="380" w:lineRule="exact"/>
              <w:jc w:val="center"/>
              <w:rPr>
                <w:rFonts w:ascii="宋体" w:hAnsi="宋体" w:cs="宋体"/>
                <w:color w:val="auto"/>
                <w:kern w:val="0"/>
                <w:szCs w:val="21"/>
              </w:rPr>
            </w:pPr>
            <w:r>
              <w:rPr>
                <w:rFonts w:hint="eastAsia" w:ascii="宋体" w:hAnsi="宋体" w:cs="宋体"/>
                <w:color w:val="auto"/>
                <w:kern w:val="0"/>
                <w:szCs w:val="21"/>
              </w:rPr>
              <w:t>0-5</w:t>
            </w:r>
          </w:p>
        </w:tc>
      </w:tr>
      <w:tr>
        <w:tblPrEx>
          <w:tblCellMar>
            <w:top w:w="0" w:type="dxa"/>
            <w:left w:w="108" w:type="dxa"/>
            <w:bottom w:w="0" w:type="dxa"/>
            <w:right w:w="108" w:type="dxa"/>
          </w:tblCellMar>
        </w:tblPrEx>
        <w:trPr>
          <w:trHeight w:val="311" w:hRule="atLeast"/>
          <w:jc w:val="center"/>
        </w:trPr>
        <w:tc>
          <w:tcPr>
            <w:tcW w:w="804" w:type="dxa"/>
            <w:vMerge w:val="continue"/>
            <w:tcBorders>
              <w:left w:val="single" w:color="auto" w:sz="4" w:space="0"/>
              <w:right w:val="single" w:color="auto" w:sz="4" w:space="0"/>
            </w:tcBorders>
            <w:vAlign w:val="center"/>
          </w:tcPr>
          <w:p>
            <w:pPr>
              <w:widowControl/>
              <w:spacing w:line="380" w:lineRule="exact"/>
              <w:jc w:val="center"/>
              <w:rPr>
                <w:rFonts w:ascii="宋体" w:hAnsi="宋体" w:cs="宋体"/>
                <w:color w:val="auto"/>
                <w:kern w:val="0"/>
                <w:szCs w:val="21"/>
              </w:rPr>
            </w:pPr>
          </w:p>
        </w:tc>
        <w:tc>
          <w:tcPr>
            <w:tcW w:w="1332" w:type="dxa"/>
            <w:vMerge w:val="continue"/>
            <w:tcBorders>
              <w:left w:val="single" w:color="auto" w:sz="4" w:space="0"/>
              <w:bottom w:val="single" w:color="auto" w:sz="4" w:space="0"/>
              <w:right w:val="single" w:color="auto" w:sz="4" w:space="0"/>
            </w:tcBorders>
            <w:vAlign w:val="center"/>
          </w:tcPr>
          <w:p>
            <w:pPr>
              <w:widowControl/>
              <w:spacing w:line="380" w:lineRule="exact"/>
              <w:jc w:val="center"/>
              <w:rPr>
                <w:rFonts w:ascii="宋体" w:hAnsi="宋体" w:cs="宋体"/>
                <w:color w:val="auto"/>
                <w:kern w:val="0"/>
                <w:szCs w:val="21"/>
              </w:rPr>
            </w:pPr>
          </w:p>
        </w:tc>
        <w:tc>
          <w:tcPr>
            <w:tcW w:w="7188" w:type="dxa"/>
            <w:tcBorders>
              <w:top w:val="single" w:color="auto" w:sz="4" w:space="0"/>
              <w:left w:val="nil"/>
              <w:bottom w:val="single" w:color="auto" w:sz="4" w:space="0"/>
              <w:right w:val="single" w:color="auto" w:sz="4" w:space="0"/>
            </w:tcBorders>
            <w:vAlign w:val="center"/>
          </w:tcPr>
          <w:p>
            <w:pPr>
              <w:spacing w:line="380" w:lineRule="exact"/>
              <w:rPr>
                <w:rFonts w:ascii="宋体" w:hAnsi="宋体" w:cs="宋体"/>
                <w:color w:val="auto"/>
                <w:kern w:val="0"/>
                <w:szCs w:val="21"/>
              </w:rPr>
            </w:pPr>
            <w:r>
              <w:rPr>
                <w:rFonts w:hint="eastAsia" w:ascii="宋体" w:hAnsi="宋体" w:cs="宋体"/>
                <w:color w:val="auto"/>
                <w:kern w:val="0"/>
                <w:szCs w:val="21"/>
              </w:rPr>
              <w:t>业主对供应商承担的同类项目工作反馈意见良好，得0-5分。（附相关证明材料加盖公章,同一项目一年只限提供一份。）</w:t>
            </w:r>
          </w:p>
        </w:tc>
        <w:tc>
          <w:tcPr>
            <w:tcW w:w="768" w:type="dxa"/>
            <w:tcBorders>
              <w:top w:val="single" w:color="auto" w:sz="4" w:space="0"/>
              <w:left w:val="nil"/>
              <w:bottom w:val="single" w:color="auto" w:sz="4" w:space="0"/>
              <w:right w:val="single" w:color="auto" w:sz="4" w:space="0"/>
            </w:tcBorders>
            <w:vAlign w:val="center"/>
          </w:tcPr>
          <w:p>
            <w:pPr>
              <w:spacing w:line="380" w:lineRule="exact"/>
              <w:jc w:val="center"/>
              <w:rPr>
                <w:rFonts w:ascii="宋体" w:hAnsi="宋体" w:cs="宋体"/>
                <w:color w:val="auto"/>
                <w:kern w:val="0"/>
                <w:szCs w:val="21"/>
              </w:rPr>
            </w:pPr>
            <w:r>
              <w:rPr>
                <w:rFonts w:hint="eastAsia" w:ascii="宋体" w:hAnsi="宋体" w:cs="宋体"/>
                <w:color w:val="auto"/>
                <w:kern w:val="0"/>
                <w:szCs w:val="21"/>
              </w:rPr>
              <w:t>0-5</w:t>
            </w:r>
          </w:p>
        </w:tc>
      </w:tr>
      <w:tr>
        <w:tblPrEx>
          <w:tblCellMar>
            <w:top w:w="0" w:type="dxa"/>
            <w:left w:w="108" w:type="dxa"/>
            <w:bottom w:w="0" w:type="dxa"/>
            <w:right w:w="108" w:type="dxa"/>
          </w:tblCellMar>
        </w:tblPrEx>
        <w:trPr>
          <w:trHeight w:val="1350" w:hRule="atLeast"/>
          <w:jc w:val="center"/>
        </w:trPr>
        <w:tc>
          <w:tcPr>
            <w:tcW w:w="804" w:type="dxa"/>
            <w:vMerge w:val="continue"/>
            <w:tcBorders>
              <w:left w:val="single" w:color="auto" w:sz="4" w:space="0"/>
              <w:right w:val="single" w:color="auto" w:sz="4" w:space="0"/>
            </w:tcBorders>
            <w:vAlign w:val="center"/>
          </w:tcPr>
          <w:p>
            <w:pPr>
              <w:widowControl/>
              <w:spacing w:line="380" w:lineRule="exact"/>
              <w:jc w:val="center"/>
              <w:rPr>
                <w:rFonts w:ascii="宋体" w:hAnsi="宋体" w:cs="宋体"/>
                <w:color w:val="auto"/>
                <w:kern w:val="0"/>
                <w:szCs w:val="21"/>
              </w:rPr>
            </w:pPr>
          </w:p>
        </w:tc>
        <w:tc>
          <w:tcPr>
            <w:tcW w:w="1332" w:type="dxa"/>
            <w:vMerge w:val="restart"/>
            <w:tcBorders>
              <w:top w:val="single" w:color="auto" w:sz="4" w:space="0"/>
              <w:left w:val="single" w:color="auto" w:sz="4" w:space="0"/>
              <w:right w:val="single" w:color="auto" w:sz="4" w:space="0"/>
            </w:tcBorders>
            <w:vAlign w:val="center"/>
          </w:tcPr>
          <w:p>
            <w:pPr>
              <w:widowControl/>
              <w:spacing w:line="380" w:lineRule="exact"/>
              <w:jc w:val="center"/>
              <w:rPr>
                <w:rFonts w:ascii="宋体" w:hAnsi="宋体" w:cs="宋体"/>
                <w:color w:val="auto"/>
                <w:kern w:val="0"/>
                <w:szCs w:val="21"/>
              </w:rPr>
            </w:pPr>
          </w:p>
          <w:p>
            <w:pPr>
              <w:widowControl/>
              <w:spacing w:line="380" w:lineRule="exact"/>
              <w:jc w:val="center"/>
              <w:rPr>
                <w:rFonts w:ascii="宋体" w:hAnsi="宋体" w:cs="宋体"/>
                <w:color w:val="auto"/>
                <w:kern w:val="0"/>
                <w:szCs w:val="21"/>
              </w:rPr>
            </w:pPr>
            <w:r>
              <w:rPr>
                <w:rFonts w:hint="eastAsia" w:ascii="宋体" w:hAnsi="宋体" w:cs="宋体"/>
                <w:color w:val="auto"/>
                <w:kern w:val="0"/>
                <w:szCs w:val="21"/>
              </w:rPr>
              <w:t>服务方案</w:t>
            </w:r>
          </w:p>
          <w:p>
            <w:pPr>
              <w:widowControl/>
              <w:spacing w:line="380" w:lineRule="exact"/>
              <w:rPr>
                <w:rFonts w:ascii="宋体" w:hAnsi="宋体" w:cs="宋体"/>
                <w:color w:val="auto"/>
                <w:sz w:val="22"/>
                <w:szCs w:val="22"/>
              </w:rPr>
            </w:pPr>
          </w:p>
        </w:tc>
        <w:tc>
          <w:tcPr>
            <w:tcW w:w="718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hAnsi="宋体" w:cs="宋体"/>
                <w:color w:val="auto"/>
                <w:kern w:val="0"/>
                <w:szCs w:val="21"/>
              </w:rPr>
            </w:pPr>
            <w:r>
              <w:rPr>
                <w:rFonts w:hint="eastAsia" w:ascii="宋体" w:hAnsi="宋体" w:cs="宋体"/>
                <w:color w:val="auto"/>
                <w:kern w:val="0"/>
                <w:szCs w:val="21"/>
              </w:rPr>
              <w:t>供应商根据对项目的前期调研和对本项目需求的理解程度、安保工作的认识，提供项目前期调研及项目需求的调研论证说明，进行横向对比。前期调研细致充分，对项目的理解全面深刻的得4-5分；前期调研了解，对项目的理解准确的得2-3分；前期经过调研，对项目作出正确理解的得1分，未调研不得分。（提供书面调研材料）</w:t>
            </w:r>
          </w:p>
        </w:tc>
        <w:tc>
          <w:tcPr>
            <w:tcW w:w="7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s="宋体"/>
                <w:color w:val="auto"/>
                <w:kern w:val="0"/>
                <w:szCs w:val="21"/>
              </w:rPr>
            </w:pPr>
            <w:r>
              <w:rPr>
                <w:rFonts w:hint="eastAsia" w:ascii="宋体" w:hAnsi="宋体" w:cs="宋体"/>
                <w:color w:val="auto"/>
                <w:kern w:val="0"/>
                <w:szCs w:val="21"/>
              </w:rPr>
              <w:t>0-5</w:t>
            </w:r>
          </w:p>
        </w:tc>
      </w:tr>
      <w:tr>
        <w:tblPrEx>
          <w:tblCellMar>
            <w:top w:w="0" w:type="dxa"/>
            <w:left w:w="108" w:type="dxa"/>
            <w:bottom w:w="0" w:type="dxa"/>
            <w:right w:w="108" w:type="dxa"/>
          </w:tblCellMar>
        </w:tblPrEx>
        <w:trPr>
          <w:trHeight w:val="635" w:hRule="atLeast"/>
          <w:jc w:val="center"/>
        </w:trPr>
        <w:tc>
          <w:tcPr>
            <w:tcW w:w="804" w:type="dxa"/>
            <w:vMerge w:val="continue"/>
            <w:tcBorders>
              <w:left w:val="single" w:color="auto" w:sz="4" w:space="0"/>
              <w:right w:val="single" w:color="auto" w:sz="4" w:space="0"/>
            </w:tcBorders>
            <w:vAlign w:val="center"/>
          </w:tcPr>
          <w:p>
            <w:pPr>
              <w:widowControl/>
              <w:spacing w:line="380" w:lineRule="exact"/>
              <w:jc w:val="center"/>
              <w:rPr>
                <w:rFonts w:ascii="宋体" w:hAnsi="宋体" w:cs="宋体"/>
                <w:color w:val="auto"/>
                <w:kern w:val="0"/>
                <w:szCs w:val="21"/>
              </w:rPr>
            </w:pPr>
          </w:p>
        </w:tc>
        <w:tc>
          <w:tcPr>
            <w:tcW w:w="1332" w:type="dxa"/>
            <w:vMerge w:val="continue"/>
            <w:tcBorders>
              <w:left w:val="single" w:color="auto" w:sz="4" w:space="0"/>
              <w:right w:val="single" w:color="auto" w:sz="4" w:space="0"/>
            </w:tcBorders>
            <w:vAlign w:val="center"/>
          </w:tcPr>
          <w:p>
            <w:pPr>
              <w:widowControl/>
              <w:spacing w:line="380" w:lineRule="exact"/>
              <w:jc w:val="center"/>
              <w:rPr>
                <w:rFonts w:ascii="宋体" w:hAnsi="宋体" w:cs="宋体"/>
                <w:color w:val="auto"/>
                <w:kern w:val="0"/>
                <w:szCs w:val="21"/>
              </w:rPr>
            </w:pPr>
          </w:p>
        </w:tc>
        <w:tc>
          <w:tcPr>
            <w:tcW w:w="718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hAnsi="宋体" w:cs="宋体"/>
                <w:color w:val="auto"/>
                <w:kern w:val="0"/>
                <w:szCs w:val="21"/>
              </w:rPr>
            </w:pPr>
            <w:r>
              <w:rPr>
                <w:rFonts w:hint="eastAsia" w:ascii="宋体" w:hAnsi="宋体" w:cs="宋体"/>
                <w:color w:val="auto"/>
                <w:kern w:val="0"/>
                <w:szCs w:val="21"/>
              </w:rPr>
              <w:t>供应商针对本项目制定完善的安保工作服务方案，应包括但不限于服务标准、实施计划、管理制度及操作规程等，须符合实际情况，内容全面、描述详细、针对性强、制度健全，安保工作服务流程完善的得7-10分，一般者得3-6分。较差得1-2分。（提供书面材料）</w:t>
            </w:r>
          </w:p>
        </w:tc>
        <w:tc>
          <w:tcPr>
            <w:tcW w:w="7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hAnsi="宋体" w:cs="宋体"/>
                <w:color w:val="auto"/>
                <w:kern w:val="0"/>
                <w:szCs w:val="21"/>
              </w:rPr>
            </w:pPr>
            <w:r>
              <w:rPr>
                <w:rFonts w:hint="eastAsia" w:ascii="宋体" w:hAnsi="宋体" w:cs="宋体"/>
                <w:color w:val="auto"/>
                <w:kern w:val="0"/>
                <w:szCs w:val="21"/>
              </w:rPr>
              <w:t>1-10</w:t>
            </w:r>
          </w:p>
        </w:tc>
      </w:tr>
      <w:tr>
        <w:tblPrEx>
          <w:tblCellMar>
            <w:top w:w="0" w:type="dxa"/>
            <w:left w:w="108" w:type="dxa"/>
            <w:bottom w:w="0" w:type="dxa"/>
            <w:right w:w="108" w:type="dxa"/>
          </w:tblCellMar>
        </w:tblPrEx>
        <w:trPr>
          <w:trHeight w:val="1361" w:hRule="atLeast"/>
          <w:jc w:val="center"/>
        </w:trPr>
        <w:tc>
          <w:tcPr>
            <w:tcW w:w="804" w:type="dxa"/>
            <w:vMerge w:val="continue"/>
            <w:tcBorders>
              <w:left w:val="single" w:color="auto" w:sz="4" w:space="0"/>
              <w:right w:val="single" w:color="auto" w:sz="4" w:space="0"/>
            </w:tcBorders>
            <w:vAlign w:val="center"/>
          </w:tcPr>
          <w:p>
            <w:pPr>
              <w:widowControl/>
              <w:spacing w:line="380" w:lineRule="exact"/>
              <w:jc w:val="center"/>
              <w:rPr>
                <w:rFonts w:ascii="宋体" w:hAnsi="宋体" w:cs="宋体"/>
                <w:color w:val="auto"/>
                <w:kern w:val="0"/>
                <w:szCs w:val="21"/>
              </w:rPr>
            </w:pPr>
          </w:p>
        </w:tc>
        <w:tc>
          <w:tcPr>
            <w:tcW w:w="1332" w:type="dxa"/>
            <w:vMerge w:val="continue"/>
            <w:tcBorders>
              <w:left w:val="single" w:color="auto" w:sz="4" w:space="0"/>
              <w:right w:val="single" w:color="auto" w:sz="4" w:space="0"/>
            </w:tcBorders>
            <w:vAlign w:val="center"/>
          </w:tcPr>
          <w:p>
            <w:pPr>
              <w:widowControl/>
              <w:spacing w:line="380" w:lineRule="exact"/>
              <w:jc w:val="center"/>
              <w:rPr>
                <w:rFonts w:ascii="宋体" w:hAnsi="宋体" w:cs="宋体"/>
                <w:color w:val="auto"/>
                <w:kern w:val="0"/>
                <w:szCs w:val="21"/>
              </w:rPr>
            </w:pPr>
          </w:p>
        </w:tc>
        <w:tc>
          <w:tcPr>
            <w:tcW w:w="718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textAlignment w:val="center"/>
              <w:rPr>
                <w:rFonts w:ascii="宋体" w:hAnsi="宋体" w:cs="宋体"/>
                <w:color w:val="auto"/>
                <w:kern w:val="0"/>
                <w:szCs w:val="21"/>
                <w:highlight w:val="yellow"/>
              </w:rPr>
            </w:pPr>
            <w:r>
              <w:rPr>
                <w:rFonts w:hint="eastAsia" w:ascii="宋体" w:hAnsi="宋体" w:cs="宋体"/>
                <w:color w:val="auto"/>
                <w:kern w:val="0"/>
                <w:szCs w:val="21"/>
              </w:rPr>
              <w:t>根据本项目特点，选派的管理人员、安保人员经验丰富，配备合理，符合采购文件要求，具有保安证等证书，较优者得6-10分，一般者得1-5分。（附主要管理、技术人员花名册及其简历基本信息、资料、证件）</w:t>
            </w:r>
          </w:p>
        </w:tc>
        <w:tc>
          <w:tcPr>
            <w:tcW w:w="7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s="宋体"/>
                <w:color w:val="auto"/>
                <w:kern w:val="0"/>
                <w:szCs w:val="21"/>
                <w:highlight w:val="yellow"/>
              </w:rPr>
            </w:pPr>
            <w:r>
              <w:rPr>
                <w:rFonts w:hint="eastAsia" w:ascii="宋体" w:hAnsi="宋体" w:cs="宋体"/>
                <w:color w:val="auto"/>
                <w:kern w:val="0"/>
                <w:szCs w:val="21"/>
              </w:rPr>
              <w:t>1-10</w:t>
            </w:r>
          </w:p>
        </w:tc>
      </w:tr>
      <w:tr>
        <w:tblPrEx>
          <w:tblCellMar>
            <w:top w:w="0" w:type="dxa"/>
            <w:left w:w="108" w:type="dxa"/>
            <w:bottom w:w="0" w:type="dxa"/>
            <w:right w:w="108" w:type="dxa"/>
          </w:tblCellMar>
        </w:tblPrEx>
        <w:trPr>
          <w:trHeight w:val="654" w:hRule="atLeast"/>
          <w:jc w:val="center"/>
        </w:trPr>
        <w:tc>
          <w:tcPr>
            <w:tcW w:w="804" w:type="dxa"/>
            <w:vMerge w:val="continue"/>
            <w:tcBorders>
              <w:left w:val="single" w:color="auto" w:sz="4" w:space="0"/>
              <w:right w:val="single" w:color="auto" w:sz="4" w:space="0"/>
            </w:tcBorders>
            <w:vAlign w:val="center"/>
          </w:tcPr>
          <w:p>
            <w:pPr>
              <w:widowControl/>
              <w:spacing w:line="380" w:lineRule="exact"/>
              <w:jc w:val="center"/>
              <w:rPr>
                <w:rFonts w:ascii="宋体" w:hAnsi="宋体" w:cs="宋体"/>
                <w:color w:val="auto"/>
                <w:kern w:val="0"/>
                <w:szCs w:val="21"/>
              </w:rPr>
            </w:pPr>
          </w:p>
        </w:tc>
        <w:tc>
          <w:tcPr>
            <w:tcW w:w="1332"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auto"/>
                <w:kern w:val="0"/>
                <w:szCs w:val="21"/>
              </w:rPr>
            </w:pPr>
          </w:p>
        </w:tc>
        <w:tc>
          <w:tcPr>
            <w:tcW w:w="71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为确保服务质量，制定服务期内对相关人员的培训方案，方案内容完整、清晰、细致的得5-10分，一般者得3-5分。不提供不得分。</w:t>
            </w:r>
          </w:p>
        </w:tc>
        <w:tc>
          <w:tcPr>
            <w:tcW w:w="7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s="宋体"/>
                <w:color w:val="auto"/>
                <w:kern w:val="0"/>
                <w:szCs w:val="21"/>
              </w:rPr>
            </w:pPr>
            <w:r>
              <w:rPr>
                <w:rFonts w:hint="eastAsia" w:ascii="宋体" w:hAnsi="宋体" w:cs="宋体"/>
                <w:color w:val="auto"/>
                <w:kern w:val="0"/>
                <w:szCs w:val="21"/>
              </w:rPr>
              <w:t>1-10</w:t>
            </w:r>
          </w:p>
        </w:tc>
      </w:tr>
      <w:tr>
        <w:tblPrEx>
          <w:tblCellMar>
            <w:top w:w="0" w:type="dxa"/>
            <w:left w:w="108" w:type="dxa"/>
            <w:bottom w:w="0" w:type="dxa"/>
            <w:right w:w="108" w:type="dxa"/>
          </w:tblCellMar>
        </w:tblPrEx>
        <w:trPr>
          <w:trHeight w:val="654" w:hRule="atLeast"/>
          <w:jc w:val="center"/>
        </w:trPr>
        <w:tc>
          <w:tcPr>
            <w:tcW w:w="804" w:type="dxa"/>
            <w:vMerge w:val="continue"/>
            <w:tcBorders>
              <w:left w:val="single" w:color="auto" w:sz="4" w:space="0"/>
              <w:right w:val="single" w:color="auto" w:sz="4" w:space="0"/>
            </w:tcBorders>
            <w:vAlign w:val="center"/>
          </w:tcPr>
          <w:p>
            <w:pPr>
              <w:widowControl/>
              <w:spacing w:line="380" w:lineRule="exact"/>
              <w:jc w:val="center"/>
              <w:rPr>
                <w:rFonts w:ascii="宋体" w:hAnsi="宋体" w:cs="宋体"/>
                <w:color w:val="auto"/>
                <w:kern w:val="0"/>
                <w:szCs w:val="21"/>
              </w:rPr>
            </w:pPr>
          </w:p>
        </w:tc>
        <w:tc>
          <w:tcPr>
            <w:tcW w:w="1332"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auto"/>
                <w:kern w:val="0"/>
                <w:szCs w:val="21"/>
              </w:rPr>
            </w:pPr>
          </w:p>
        </w:tc>
        <w:tc>
          <w:tcPr>
            <w:tcW w:w="71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为确保服务队伍稳定，减少人员流动性，制定相应管理办法及措施，得0-5分。（提供书面材料）</w:t>
            </w:r>
          </w:p>
        </w:tc>
        <w:tc>
          <w:tcPr>
            <w:tcW w:w="7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0-5</w:t>
            </w:r>
          </w:p>
        </w:tc>
      </w:tr>
      <w:tr>
        <w:tblPrEx>
          <w:tblCellMar>
            <w:top w:w="0" w:type="dxa"/>
            <w:left w:w="108" w:type="dxa"/>
            <w:bottom w:w="0" w:type="dxa"/>
            <w:right w:w="108" w:type="dxa"/>
          </w:tblCellMar>
        </w:tblPrEx>
        <w:trPr>
          <w:trHeight w:val="654" w:hRule="atLeast"/>
          <w:jc w:val="center"/>
        </w:trPr>
        <w:tc>
          <w:tcPr>
            <w:tcW w:w="804" w:type="dxa"/>
            <w:vMerge w:val="continue"/>
            <w:tcBorders>
              <w:left w:val="single" w:color="auto" w:sz="4" w:space="0"/>
              <w:right w:val="single" w:color="auto" w:sz="4" w:space="0"/>
            </w:tcBorders>
            <w:vAlign w:val="center"/>
          </w:tcPr>
          <w:p>
            <w:pPr>
              <w:widowControl/>
              <w:spacing w:line="380" w:lineRule="exact"/>
              <w:jc w:val="center"/>
              <w:rPr>
                <w:rFonts w:ascii="宋体" w:hAnsi="宋体" w:cs="宋体"/>
                <w:color w:val="auto"/>
                <w:kern w:val="0"/>
                <w:szCs w:val="21"/>
              </w:rPr>
            </w:pPr>
          </w:p>
        </w:tc>
        <w:tc>
          <w:tcPr>
            <w:tcW w:w="1332"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auto"/>
                <w:kern w:val="0"/>
                <w:szCs w:val="21"/>
              </w:rPr>
            </w:pPr>
          </w:p>
        </w:tc>
        <w:tc>
          <w:tcPr>
            <w:tcW w:w="71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除采购人提供的装备外，投标人自行配备其它有利于服务工作的执勤装备，根据装备的数量和实用性的对比情况得0-2分。（提供装备明细）</w:t>
            </w:r>
          </w:p>
        </w:tc>
        <w:tc>
          <w:tcPr>
            <w:tcW w:w="7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0-2</w:t>
            </w:r>
          </w:p>
        </w:tc>
      </w:tr>
      <w:tr>
        <w:tblPrEx>
          <w:tblCellMar>
            <w:top w:w="0" w:type="dxa"/>
            <w:left w:w="108" w:type="dxa"/>
            <w:bottom w:w="0" w:type="dxa"/>
            <w:right w:w="108" w:type="dxa"/>
          </w:tblCellMar>
        </w:tblPrEx>
        <w:trPr>
          <w:trHeight w:val="400" w:hRule="atLeast"/>
          <w:jc w:val="center"/>
        </w:trPr>
        <w:tc>
          <w:tcPr>
            <w:tcW w:w="804" w:type="dxa"/>
            <w:vMerge w:val="continue"/>
            <w:tcBorders>
              <w:left w:val="single" w:color="auto" w:sz="4" w:space="0"/>
              <w:right w:val="single" w:color="auto" w:sz="4" w:space="0"/>
            </w:tcBorders>
            <w:vAlign w:val="center"/>
          </w:tcPr>
          <w:p>
            <w:pPr>
              <w:widowControl/>
              <w:spacing w:line="380" w:lineRule="exact"/>
              <w:jc w:val="center"/>
              <w:rPr>
                <w:rFonts w:ascii="宋体" w:hAnsi="宋体" w:cs="宋体"/>
                <w:color w:val="auto"/>
                <w:kern w:val="0"/>
                <w:szCs w:val="21"/>
              </w:rPr>
            </w:pPr>
          </w:p>
        </w:tc>
        <w:tc>
          <w:tcPr>
            <w:tcW w:w="1332" w:type="dxa"/>
            <w:vMerge w:val="continue"/>
            <w:tcBorders>
              <w:left w:val="single" w:color="auto" w:sz="4" w:space="0"/>
              <w:bottom w:val="single" w:color="auto" w:sz="4" w:space="0"/>
              <w:right w:val="single" w:color="auto" w:sz="4" w:space="0"/>
            </w:tcBorders>
            <w:vAlign w:val="center"/>
          </w:tcPr>
          <w:p>
            <w:pPr>
              <w:pStyle w:val="13"/>
              <w:jc w:val="center"/>
              <w:rPr>
                <w:rFonts w:hAnsi="宋体" w:cs="宋体"/>
                <w:color w:val="auto"/>
                <w:sz w:val="22"/>
              </w:rPr>
            </w:pPr>
          </w:p>
        </w:tc>
        <w:tc>
          <w:tcPr>
            <w:tcW w:w="71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供应商自行承诺服务质量及保安服务考核达标率，将服务考核达标率由高到低排序，排名第一得3分，排名第二得2分，排名第三得1分，其它排名不得分。（服务考核达标率不得低于95%，提供书面承诺，如中标人在服务期间实际达标率每低于承诺标准一个百分点，扣除本周期保安服务费的1%。）</w:t>
            </w:r>
          </w:p>
        </w:tc>
        <w:tc>
          <w:tcPr>
            <w:tcW w:w="7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0-3</w:t>
            </w:r>
          </w:p>
        </w:tc>
      </w:tr>
      <w:tr>
        <w:tblPrEx>
          <w:tblCellMar>
            <w:top w:w="0" w:type="dxa"/>
            <w:left w:w="108" w:type="dxa"/>
            <w:bottom w:w="0" w:type="dxa"/>
            <w:right w:w="108" w:type="dxa"/>
          </w:tblCellMar>
        </w:tblPrEx>
        <w:trPr>
          <w:trHeight w:val="400" w:hRule="atLeast"/>
          <w:jc w:val="center"/>
        </w:trPr>
        <w:tc>
          <w:tcPr>
            <w:tcW w:w="804" w:type="dxa"/>
            <w:vMerge w:val="continue"/>
            <w:tcBorders>
              <w:left w:val="single" w:color="auto" w:sz="4" w:space="0"/>
              <w:right w:val="single" w:color="auto" w:sz="4" w:space="0"/>
            </w:tcBorders>
            <w:vAlign w:val="center"/>
          </w:tcPr>
          <w:p>
            <w:pPr>
              <w:widowControl/>
              <w:spacing w:line="380" w:lineRule="exact"/>
              <w:jc w:val="center"/>
              <w:rPr>
                <w:rFonts w:ascii="宋体" w:hAnsi="宋体" w:cs="宋体"/>
                <w:color w:val="auto"/>
                <w:kern w:val="0"/>
                <w:szCs w:val="21"/>
              </w:rPr>
            </w:pPr>
          </w:p>
        </w:tc>
        <w:tc>
          <w:tcPr>
            <w:tcW w:w="1332" w:type="dxa"/>
            <w:vMerge w:val="continue"/>
            <w:tcBorders>
              <w:left w:val="single" w:color="auto" w:sz="4" w:space="0"/>
              <w:bottom w:val="single" w:color="auto" w:sz="4" w:space="0"/>
              <w:right w:val="single" w:color="auto" w:sz="4" w:space="0"/>
            </w:tcBorders>
            <w:vAlign w:val="center"/>
          </w:tcPr>
          <w:p>
            <w:pPr>
              <w:pStyle w:val="13"/>
              <w:jc w:val="center"/>
              <w:rPr>
                <w:rFonts w:hAnsi="宋体" w:cs="宋体"/>
                <w:color w:val="auto"/>
                <w:sz w:val="22"/>
              </w:rPr>
            </w:pPr>
          </w:p>
        </w:tc>
        <w:tc>
          <w:tcPr>
            <w:tcW w:w="71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投标人根据项目具体情况制定内部工作考核细则，考核细则符合实际，较优得2-3分，一般得0-1分。</w:t>
            </w:r>
          </w:p>
        </w:tc>
        <w:tc>
          <w:tcPr>
            <w:tcW w:w="7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0-3</w:t>
            </w:r>
          </w:p>
        </w:tc>
      </w:tr>
      <w:tr>
        <w:tblPrEx>
          <w:tblCellMar>
            <w:top w:w="0" w:type="dxa"/>
            <w:left w:w="108" w:type="dxa"/>
            <w:bottom w:w="0" w:type="dxa"/>
            <w:right w:w="108" w:type="dxa"/>
          </w:tblCellMar>
        </w:tblPrEx>
        <w:trPr>
          <w:trHeight w:val="400" w:hRule="atLeast"/>
          <w:jc w:val="center"/>
        </w:trPr>
        <w:tc>
          <w:tcPr>
            <w:tcW w:w="804" w:type="dxa"/>
            <w:vMerge w:val="continue"/>
            <w:tcBorders>
              <w:left w:val="single" w:color="auto" w:sz="4" w:space="0"/>
              <w:right w:val="single" w:color="auto" w:sz="4" w:space="0"/>
            </w:tcBorders>
            <w:vAlign w:val="center"/>
          </w:tcPr>
          <w:p>
            <w:pPr>
              <w:widowControl/>
              <w:spacing w:line="380" w:lineRule="exact"/>
              <w:jc w:val="center"/>
              <w:rPr>
                <w:rFonts w:ascii="宋体" w:hAnsi="宋体" w:cs="宋体"/>
                <w:color w:val="auto"/>
                <w:kern w:val="0"/>
                <w:szCs w:val="21"/>
              </w:rPr>
            </w:pPr>
          </w:p>
        </w:tc>
        <w:tc>
          <w:tcPr>
            <w:tcW w:w="1332" w:type="dxa"/>
            <w:vMerge w:val="continue"/>
            <w:tcBorders>
              <w:left w:val="single" w:color="auto" w:sz="4" w:space="0"/>
              <w:bottom w:val="single" w:color="auto" w:sz="4" w:space="0"/>
              <w:right w:val="single" w:color="auto" w:sz="4" w:space="0"/>
            </w:tcBorders>
            <w:vAlign w:val="center"/>
          </w:tcPr>
          <w:p>
            <w:pPr>
              <w:pStyle w:val="13"/>
              <w:jc w:val="center"/>
              <w:rPr>
                <w:rFonts w:hAnsi="宋体" w:cs="宋体"/>
                <w:color w:val="auto"/>
                <w:sz w:val="22"/>
              </w:rPr>
            </w:pPr>
          </w:p>
        </w:tc>
        <w:tc>
          <w:tcPr>
            <w:tcW w:w="7188" w:type="dxa"/>
            <w:tcBorders>
              <w:top w:val="single" w:color="auto" w:sz="4" w:space="0"/>
              <w:left w:val="single" w:color="auto" w:sz="4" w:space="0"/>
              <w:bottom w:val="single" w:color="auto" w:sz="4" w:space="0"/>
              <w:right w:val="single" w:color="auto" w:sz="4" w:space="0"/>
            </w:tcBorders>
            <w:vAlign w:val="center"/>
          </w:tcPr>
          <w:p>
            <w:pPr>
              <w:pStyle w:val="72"/>
              <w:spacing w:line="360" w:lineRule="auto"/>
              <w:ind w:firstLine="0" w:firstLineChars="0"/>
              <w:rPr>
                <w:rFonts w:ascii="宋体" w:hAnsi="宋体" w:cs="宋体"/>
                <w:color w:val="auto"/>
                <w:sz w:val="22"/>
                <w:szCs w:val="22"/>
              </w:rPr>
            </w:pPr>
            <w:r>
              <w:rPr>
                <w:rFonts w:hint="eastAsia" w:ascii="宋体" w:hAnsi="宋体" w:cs="宋体"/>
                <w:color w:val="auto"/>
                <w:kern w:val="0"/>
                <w:szCs w:val="21"/>
              </w:rPr>
              <w:t>投标人制定完善的应急预案，应包括但不限于执勤过程中的应急处置、一般突发事件应急、特殊事故（情况）、纠纷处置等预案。预案切实可行、科学合理、实用性强得4-8分；预案基本可行、科学合理、实用性较强得1-3分，不提供不得分。（提供书面材料）</w:t>
            </w:r>
          </w:p>
        </w:tc>
        <w:tc>
          <w:tcPr>
            <w:tcW w:w="7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s="宋体"/>
                <w:color w:val="auto"/>
                <w:kern w:val="0"/>
                <w:szCs w:val="21"/>
              </w:rPr>
            </w:pPr>
            <w:r>
              <w:rPr>
                <w:rFonts w:hint="eastAsia" w:ascii="宋体" w:hAnsi="宋体" w:cs="宋体"/>
                <w:color w:val="auto"/>
                <w:kern w:val="0"/>
                <w:szCs w:val="21"/>
              </w:rPr>
              <w:t>0-8</w:t>
            </w:r>
          </w:p>
        </w:tc>
      </w:tr>
      <w:tr>
        <w:tblPrEx>
          <w:tblCellMar>
            <w:top w:w="0" w:type="dxa"/>
            <w:left w:w="108" w:type="dxa"/>
            <w:bottom w:w="0" w:type="dxa"/>
            <w:right w:w="108" w:type="dxa"/>
          </w:tblCellMar>
        </w:tblPrEx>
        <w:trPr>
          <w:trHeight w:val="785" w:hRule="atLeast"/>
          <w:jc w:val="center"/>
        </w:trPr>
        <w:tc>
          <w:tcPr>
            <w:tcW w:w="804" w:type="dxa"/>
            <w:vMerge w:val="continue"/>
            <w:tcBorders>
              <w:left w:val="single" w:color="auto" w:sz="4" w:space="0"/>
              <w:bottom w:val="single" w:color="auto" w:sz="4" w:space="0"/>
              <w:right w:val="single" w:color="auto" w:sz="4" w:space="0"/>
            </w:tcBorders>
            <w:vAlign w:val="center"/>
          </w:tcPr>
          <w:p>
            <w:pPr>
              <w:widowControl/>
              <w:spacing w:line="380" w:lineRule="exact"/>
              <w:jc w:val="center"/>
              <w:rPr>
                <w:rFonts w:ascii="宋体" w:hAnsi="宋体" w:cs="宋体"/>
                <w:color w:val="auto"/>
                <w:kern w:val="0"/>
                <w:szCs w:val="21"/>
              </w:rPr>
            </w:pPr>
          </w:p>
        </w:tc>
        <w:tc>
          <w:tcPr>
            <w:tcW w:w="133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s="宋体"/>
                <w:color w:val="auto"/>
                <w:kern w:val="0"/>
                <w:szCs w:val="21"/>
              </w:rPr>
            </w:pPr>
            <w:r>
              <w:rPr>
                <w:rFonts w:hint="eastAsia" w:ascii="宋体" w:hAnsi="宋体" w:cs="宋体"/>
                <w:color w:val="auto"/>
                <w:kern w:val="0"/>
                <w:szCs w:val="21"/>
              </w:rPr>
              <w:t>响应文件编制质量</w:t>
            </w:r>
          </w:p>
        </w:tc>
        <w:tc>
          <w:tcPr>
            <w:tcW w:w="718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hAnsi="宋体" w:cs="宋体"/>
                <w:color w:val="auto"/>
                <w:kern w:val="0"/>
                <w:szCs w:val="21"/>
              </w:rPr>
            </w:pPr>
            <w:r>
              <w:rPr>
                <w:rFonts w:hint="eastAsia" w:ascii="宋体" w:hAnsi="宋体" w:cs="宋体"/>
                <w:color w:val="auto"/>
                <w:kern w:val="0"/>
                <w:szCs w:val="21"/>
              </w:rPr>
              <w:t>投标单位根据招标文件条款和要求认真组织编写响应文件。响应文件响应招标文件要求，响应文件编制质量较高，技术方案内容详细，表述完整，响应文件编制水平高，得0-2分。</w:t>
            </w:r>
          </w:p>
        </w:tc>
        <w:tc>
          <w:tcPr>
            <w:tcW w:w="7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s="宋体"/>
                <w:color w:val="auto"/>
                <w:kern w:val="0"/>
                <w:szCs w:val="21"/>
              </w:rPr>
            </w:pPr>
            <w:r>
              <w:rPr>
                <w:rFonts w:hint="eastAsia" w:ascii="宋体" w:hAnsi="宋体" w:cs="宋体"/>
                <w:color w:val="auto"/>
                <w:kern w:val="0"/>
                <w:szCs w:val="21"/>
              </w:rPr>
              <w:t>0-2</w:t>
            </w:r>
          </w:p>
        </w:tc>
      </w:tr>
      <w:tr>
        <w:tblPrEx>
          <w:tblCellMar>
            <w:top w:w="0" w:type="dxa"/>
            <w:left w:w="108" w:type="dxa"/>
            <w:bottom w:w="0" w:type="dxa"/>
            <w:right w:w="108" w:type="dxa"/>
          </w:tblCellMar>
        </w:tblPrEx>
        <w:trPr>
          <w:trHeight w:val="655" w:hRule="atLeast"/>
          <w:jc w:val="center"/>
        </w:trPr>
        <w:tc>
          <w:tcPr>
            <w:tcW w:w="2136"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textAlignment w:val="center"/>
              <w:rPr>
                <w:rFonts w:ascii="宋体" w:hAnsi="宋体" w:cs="宋体"/>
                <w:color w:val="auto"/>
                <w:kern w:val="0"/>
                <w:szCs w:val="21"/>
              </w:rPr>
            </w:pPr>
            <w:r>
              <w:rPr>
                <w:rFonts w:hint="eastAsia" w:ascii="宋体" w:hAnsi="宋体" w:cs="宋体"/>
                <w:b/>
                <w:bCs/>
                <w:color w:val="auto"/>
                <w:kern w:val="0"/>
                <w:szCs w:val="21"/>
              </w:rPr>
              <w:t>分值合计</w:t>
            </w:r>
          </w:p>
        </w:tc>
        <w:tc>
          <w:tcPr>
            <w:tcW w:w="718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kern w:val="0"/>
                <w:szCs w:val="21"/>
              </w:rPr>
            </w:pPr>
            <w:r>
              <w:rPr>
                <w:rFonts w:hint="eastAsia" w:ascii="宋体" w:hAnsi="宋体" w:cs="宋体"/>
                <w:b/>
                <w:bCs/>
                <w:color w:val="auto"/>
                <w:kern w:val="0"/>
                <w:szCs w:val="21"/>
              </w:rPr>
              <w:t>评分计算结果保留两位小数，第三位小数四舍五入。</w:t>
            </w:r>
          </w:p>
        </w:tc>
        <w:tc>
          <w:tcPr>
            <w:tcW w:w="76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kern w:val="0"/>
                <w:szCs w:val="21"/>
              </w:rPr>
            </w:pPr>
            <w:r>
              <w:rPr>
                <w:rFonts w:hint="eastAsia" w:ascii="宋体" w:hAnsi="宋体" w:cs="宋体"/>
                <w:b/>
                <w:bCs/>
                <w:color w:val="auto"/>
                <w:szCs w:val="21"/>
              </w:rPr>
              <w:t>100</w:t>
            </w:r>
          </w:p>
        </w:tc>
      </w:tr>
    </w:tbl>
    <w:p>
      <w:pPr>
        <w:spacing w:line="360" w:lineRule="auto"/>
        <w:ind w:firstLine="422" w:firstLineChars="200"/>
        <w:rPr>
          <w:rFonts w:ascii="宋体" w:hAnsi="宋体" w:cs="宋体"/>
          <w:b/>
          <w:bCs/>
          <w:color w:val="auto"/>
          <w:szCs w:val="21"/>
          <w:lang w:val="zh-CN"/>
        </w:rPr>
      </w:pPr>
      <w:r>
        <w:rPr>
          <w:rFonts w:hint="eastAsia" w:ascii="宋体" w:hAnsi="宋体" w:cs="宋体"/>
          <w:b/>
          <w:bCs/>
          <w:color w:val="auto"/>
          <w:szCs w:val="21"/>
        </w:rPr>
        <w:t>相关说明：</w:t>
      </w:r>
      <w:r>
        <w:rPr>
          <w:rFonts w:hint="eastAsia" w:ascii="宋体" w:hAnsi="宋体" w:cs="宋体"/>
          <w:b/>
          <w:bCs/>
          <w:color w:val="auto"/>
          <w:szCs w:val="21"/>
          <w:lang w:val="zh-CN"/>
        </w:rPr>
        <w:t>本项目落实的政府采购政策：按照财政部工业和信息化部《关于印发&lt;政府采购促进中小企业发展暂行办法&gt;的通知》（财库〔2020〕46号）的规定，落实促进中小企业发展政策；</w:t>
      </w:r>
    </w:p>
    <w:p>
      <w:pPr>
        <w:spacing w:line="360" w:lineRule="auto"/>
        <w:ind w:firstLine="422" w:firstLineChars="200"/>
        <w:rPr>
          <w:rFonts w:ascii="宋体" w:hAnsi="宋体" w:cs="宋体"/>
          <w:b/>
          <w:bCs/>
          <w:color w:val="auto"/>
          <w:szCs w:val="21"/>
          <w:lang w:val="zh-CN"/>
        </w:rPr>
      </w:pPr>
      <w:r>
        <w:rPr>
          <w:rFonts w:hint="eastAsia" w:ascii="宋体" w:hAnsi="宋体" w:cs="宋体"/>
          <w:b/>
          <w:bCs/>
          <w:color w:val="auto"/>
          <w:szCs w:val="21"/>
        </w:rPr>
        <w:t>1.</w:t>
      </w:r>
      <w:r>
        <w:rPr>
          <w:rFonts w:hint="eastAsia" w:ascii="宋体" w:hAnsi="宋体" w:cs="宋体"/>
          <w:b/>
          <w:bCs/>
          <w:color w:val="auto"/>
          <w:szCs w:val="21"/>
          <w:lang w:val="zh-CN"/>
        </w:rPr>
        <w:t>按&lt;关于印发《政府采购促进中小企业发展暂行办法》的通知&gt;（财库〔2011〕181号）之规定，中小企业的标准为：</w:t>
      </w:r>
    </w:p>
    <w:p>
      <w:pPr>
        <w:spacing w:line="360" w:lineRule="auto"/>
        <w:ind w:firstLine="422" w:firstLineChars="200"/>
        <w:rPr>
          <w:rFonts w:ascii="宋体" w:hAnsi="宋体" w:cs="宋体"/>
          <w:b/>
          <w:bCs/>
          <w:color w:val="auto"/>
          <w:szCs w:val="21"/>
          <w:lang w:val="zh-CN"/>
        </w:rPr>
      </w:pPr>
      <w:r>
        <w:rPr>
          <w:rFonts w:hint="eastAsia" w:ascii="宋体" w:hAnsi="宋体" w:cs="宋体"/>
          <w:b/>
          <w:bCs/>
          <w:color w:val="auto"/>
          <w:szCs w:val="21"/>
          <w:lang w:val="zh-CN"/>
        </w:rPr>
        <w:t>（一）在货物采购项目中，货物由中小企业制造，即货物由中小企业生产且使用该中小企业商号或者注册商标；</w:t>
      </w:r>
    </w:p>
    <w:p>
      <w:pPr>
        <w:spacing w:line="360" w:lineRule="auto"/>
        <w:ind w:firstLine="422" w:firstLineChars="200"/>
        <w:rPr>
          <w:rFonts w:ascii="宋体" w:hAnsi="宋体" w:cs="宋体"/>
          <w:b/>
          <w:bCs/>
          <w:color w:val="auto"/>
          <w:szCs w:val="21"/>
          <w:lang w:val="zh-CN"/>
        </w:rPr>
      </w:pPr>
      <w:r>
        <w:rPr>
          <w:rFonts w:hint="eastAsia" w:ascii="宋体" w:hAnsi="宋体" w:cs="宋体"/>
          <w:b/>
          <w:bCs/>
          <w:color w:val="auto"/>
          <w:szCs w:val="21"/>
          <w:lang w:val="zh-CN"/>
        </w:rPr>
        <w:t>（二）在工程采购项目中，工程由中小企业承建，即工程施工单位为中小企业；</w:t>
      </w:r>
    </w:p>
    <w:p>
      <w:pPr>
        <w:spacing w:line="360" w:lineRule="auto"/>
        <w:ind w:firstLine="422" w:firstLineChars="200"/>
        <w:rPr>
          <w:rFonts w:ascii="宋体" w:hAnsi="宋体" w:cs="宋体"/>
          <w:b/>
          <w:bCs/>
          <w:color w:val="auto"/>
          <w:szCs w:val="21"/>
          <w:lang w:val="zh-CN"/>
        </w:rPr>
      </w:pPr>
      <w:r>
        <w:rPr>
          <w:rFonts w:hint="eastAsia" w:ascii="宋体" w:hAnsi="宋体" w:cs="宋体"/>
          <w:b/>
          <w:bCs/>
          <w:color w:val="auto"/>
          <w:szCs w:val="21"/>
          <w:lang w:val="zh-CN"/>
        </w:rPr>
        <w:t>（三）在服务采购项目中，服务由中小企业承接，即提供服务的人员为中小企业依照《中华人民共和国劳动合同法》订立劳动合同的从业人员。</w:t>
      </w:r>
    </w:p>
    <w:p>
      <w:pPr>
        <w:spacing w:line="360" w:lineRule="auto"/>
        <w:ind w:firstLine="422" w:firstLineChars="200"/>
        <w:rPr>
          <w:rFonts w:ascii="宋体" w:hAnsi="宋体" w:cs="宋体"/>
          <w:b/>
          <w:bCs/>
          <w:color w:val="auto"/>
          <w:szCs w:val="21"/>
          <w:lang w:val="zh-CN"/>
        </w:rPr>
      </w:pPr>
      <w:r>
        <w:rPr>
          <w:rFonts w:hint="eastAsia" w:ascii="宋体" w:hAnsi="宋体" w:cs="宋体"/>
          <w:b/>
          <w:bCs/>
          <w:color w:val="auto"/>
          <w:szCs w:val="21"/>
          <w:lang w:val="zh-CN"/>
        </w:rPr>
        <w:t>在服务采购项目中，供应商提供的服务既有中小企业，也有大型企业的，不享受本办法规定的中小企业扶持政策。</w:t>
      </w:r>
    </w:p>
    <w:p>
      <w:pPr>
        <w:spacing w:line="360" w:lineRule="auto"/>
        <w:ind w:firstLine="422" w:firstLineChars="200"/>
        <w:rPr>
          <w:rFonts w:ascii="宋体" w:hAnsi="宋体" w:cs="宋体"/>
          <w:b/>
          <w:bCs/>
          <w:color w:val="auto"/>
          <w:szCs w:val="21"/>
          <w:lang w:val="zh-CN"/>
        </w:rPr>
      </w:pPr>
      <w:r>
        <w:rPr>
          <w:rFonts w:hint="eastAsia" w:ascii="宋体" w:hAnsi="宋体" w:cs="宋体"/>
          <w:b/>
          <w:bCs/>
          <w:color w:val="auto"/>
          <w:szCs w:val="21"/>
          <w:lang w:val="zh-CN"/>
        </w:rPr>
        <w:t>以联合体形式参加政府采购活动，联合体各方均为中小企业的，联合体视同中小企业。其中，联合体各方均为小微企业的，联合体视同小微企业。</w:t>
      </w:r>
    </w:p>
    <w:p>
      <w:pPr>
        <w:pStyle w:val="11"/>
        <w:ind w:left="0" w:leftChars="0"/>
        <w:rPr>
          <w:color w:val="auto"/>
          <w:lang w:val="zh-CN"/>
        </w:rPr>
      </w:pPr>
      <w:bookmarkStart w:id="192" w:name="_GoBack"/>
      <w:bookmarkEnd w:id="192"/>
    </w:p>
    <w:sectPr>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46</w:t>
                          </w:r>
                          <w: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fEA8sBAACc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dia/PcF/i7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GHxAPLAQAAnAMAAA4AAAAAAAAAAQAgAAAAHgEAAGRycy9lMm9E&#10;b2MueG1sUEsFBgAAAAAGAAYAWQEAAFs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2"/>
      </w:rPr>
    </w:pPr>
    <w:r>
      <w:fldChar w:fldCharType="begin"/>
    </w:r>
    <w:r>
      <w:rPr>
        <w:rStyle w:val="32"/>
      </w:rPr>
      <w:instrText xml:space="preserve">PAGE  </w:instrText>
    </w:r>
    <w:r>
      <w:fldChar w:fldCharType="separate"/>
    </w:r>
    <w:r>
      <w:rPr>
        <w:rStyle w:val="32"/>
      </w:rPr>
      <w:t>28</w:t>
    </w:r>
    <w: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2</w:t>
    </w:r>
    <w:r>
      <w:rPr>
        <w:lang w:val="zh-CN"/>
      </w:rPr>
      <w:fldChar w:fldCharType="end"/>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7"/>
                          </w:pPr>
                          <w:r>
                            <w:fldChar w:fldCharType="begin"/>
                          </w:r>
                          <w:r>
                            <w:instrText xml:space="preserve"> PAGE  \* MERGEFORMAT </w:instrText>
                          </w:r>
                          <w:r>
                            <w:fldChar w:fldCharType="separate"/>
                          </w:r>
                          <w:r>
                            <w:t>35</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nWMKd2AEAALADAAAOAAAAAAAAAAEAIAAA&#10;AB4BAABkcnMvZTJvRG9jLnhtbFBLBQYAAAAABgAGAFkBAABo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7"/>
                          </w:pPr>
                          <w:r>
                            <w:fldChar w:fldCharType="begin"/>
                          </w:r>
                          <w:r>
                            <w:instrText xml:space="preserve"> PAGE  \* MERGEFORMAT </w:instrText>
                          </w:r>
                          <w:r>
                            <w:fldChar w:fldCharType="separate"/>
                          </w:r>
                          <w:r>
                            <w:t>42</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rzO5q2AEAALADAAAOAAAAAAAAAAEAIAAA&#10;AB4BAABkcnMvZTJvRG9jLnhtbFBLBQYAAAAABgAGAFkBAABo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7"/>
                          </w:pPr>
                          <w:r>
                            <w:fldChar w:fldCharType="begin"/>
                          </w:r>
                          <w:r>
                            <w:instrText xml:space="preserve"> PAGE  \* MERGEFORMAT </w:instrText>
                          </w:r>
                          <w:r>
                            <w:fldChar w:fldCharType="separate"/>
                          </w:r>
                          <w:r>
                            <w:t>44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5UTbT2AEAALADAAAOAAAAAAAAAAEAIAAA&#10;AB4BAABkcnMvZTJvRG9jLnhtbFBLBQYAAAAABgAGAFkBAABo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r>
      <w:drawing>
        <wp:inline distT="0" distB="0" distL="0" distR="0">
          <wp:extent cx="2751455" cy="349885"/>
          <wp:effectExtent l="19050" t="0" r="0" b="0"/>
          <wp:docPr id="1" name="图片 3" descr="QQ图片20200421152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QQ图片20200421152554"/>
                  <pic:cNvPicPr>
                    <a:picLocks noChangeAspect="1" noChangeArrowheads="1"/>
                  </pic:cNvPicPr>
                </pic:nvPicPr>
                <pic:blipFill>
                  <a:blip r:embed="rId1"/>
                  <a:srcRect/>
                  <a:stretch>
                    <a:fillRect/>
                  </a:stretch>
                </pic:blipFill>
                <pic:spPr>
                  <a:xfrm>
                    <a:off x="0" y="0"/>
                    <a:ext cx="2751455" cy="349885"/>
                  </a:xfrm>
                  <a:prstGeom prst="rect">
                    <a:avLst/>
                  </a:prstGeom>
                  <a:noFill/>
                  <a:ln w="9525" cmpd="sng">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 PAGE   \* MERGEFORMAT </w:instrText>
    </w:r>
    <w:r>
      <w:fldChar w:fldCharType="separate"/>
    </w:r>
    <w:r>
      <w:rPr>
        <w:lang w:val="zh-CN"/>
      </w:rPr>
      <w:t>2</w:t>
    </w:r>
    <w:r>
      <w:rPr>
        <w:lang w:val="zh-CN"/>
      </w:rPr>
      <w:fldChar w:fldCharType="end"/>
    </w:r>
  </w:p>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AF38CC"/>
    <w:multiLevelType w:val="singleLevel"/>
    <w:tmpl w:val="AFAF38CC"/>
    <w:lvl w:ilvl="0" w:tentative="0">
      <w:start w:val="3"/>
      <w:numFmt w:val="decimal"/>
      <w:suff w:val="nothing"/>
      <w:lvlText w:val="%1、"/>
      <w:lvlJc w:val="left"/>
    </w:lvl>
  </w:abstractNum>
  <w:abstractNum w:abstractNumId="1">
    <w:nsid w:val="EC92FA4E"/>
    <w:multiLevelType w:val="singleLevel"/>
    <w:tmpl w:val="EC92FA4E"/>
    <w:lvl w:ilvl="0" w:tentative="0">
      <w:start w:val="1"/>
      <w:numFmt w:val="decimal"/>
      <w:suff w:val="nothing"/>
      <w:lvlText w:val="%1、"/>
      <w:lvlJc w:val="left"/>
    </w:lvl>
  </w:abstractNum>
  <w:abstractNum w:abstractNumId="2">
    <w:nsid w:val="139C57FC"/>
    <w:multiLevelType w:val="singleLevel"/>
    <w:tmpl w:val="139C57FC"/>
    <w:lvl w:ilvl="0" w:tentative="0">
      <w:start w:val="1"/>
      <w:numFmt w:val="decimal"/>
      <w:suff w:val="nothing"/>
      <w:lvlText w:val="（%1）"/>
      <w:lvlJc w:val="left"/>
      <w:pPr>
        <w:ind w:left="-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F61"/>
    <w:rsid w:val="0000262F"/>
    <w:rsid w:val="000060DE"/>
    <w:rsid w:val="00006B79"/>
    <w:rsid w:val="000102F5"/>
    <w:rsid w:val="000107E1"/>
    <w:rsid w:val="000113A5"/>
    <w:rsid w:val="00014ADD"/>
    <w:rsid w:val="000272BA"/>
    <w:rsid w:val="00031789"/>
    <w:rsid w:val="00036D55"/>
    <w:rsid w:val="0004120F"/>
    <w:rsid w:val="000528FC"/>
    <w:rsid w:val="000563DD"/>
    <w:rsid w:val="00057BFB"/>
    <w:rsid w:val="00067701"/>
    <w:rsid w:val="00067970"/>
    <w:rsid w:val="00071648"/>
    <w:rsid w:val="00076890"/>
    <w:rsid w:val="00082D10"/>
    <w:rsid w:val="000844E1"/>
    <w:rsid w:val="00087EBA"/>
    <w:rsid w:val="00090EF9"/>
    <w:rsid w:val="000A077B"/>
    <w:rsid w:val="000A07FC"/>
    <w:rsid w:val="000A20CD"/>
    <w:rsid w:val="000A295D"/>
    <w:rsid w:val="000B491A"/>
    <w:rsid w:val="000B7050"/>
    <w:rsid w:val="000C3E2F"/>
    <w:rsid w:val="000C3FE8"/>
    <w:rsid w:val="000C6152"/>
    <w:rsid w:val="000E4DC8"/>
    <w:rsid w:val="000E7E99"/>
    <w:rsid w:val="000F0D13"/>
    <w:rsid w:val="00101156"/>
    <w:rsid w:val="0010149F"/>
    <w:rsid w:val="00103108"/>
    <w:rsid w:val="001053F4"/>
    <w:rsid w:val="00115656"/>
    <w:rsid w:val="0011570C"/>
    <w:rsid w:val="001221DF"/>
    <w:rsid w:val="001245D5"/>
    <w:rsid w:val="00126566"/>
    <w:rsid w:val="00130E70"/>
    <w:rsid w:val="0013151C"/>
    <w:rsid w:val="00132588"/>
    <w:rsid w:val="001335E4"/>
    <w:rsid w:val="0013470C"/>
    <w:rsid w:val="00143377"/>
    <w:rsid w:val="00147360"/>
    <w:rsid w:val="00150E15"/>
    <w:rsid w:val="001519A1"/>
    <w:rsid w:val="00154E89"/>
    <w:rsid w:val="0015550A"/>
    <w:rsid w:val="00155A57"/>
    <w:rsid w:val="0015767E"/>
    <w:rsid w:val="001611E4"/>
    <w:rsid w:val="001715E7"/>
    <w:rsid w:val="00174D5D"/>
    <w:rsid w:val="00185F3E"/>
    <w:rsid w:val="0018712E"/>
    <w:rsid w:val="00191095"/>
    <w:rsid w:val="001950C3"/>
    <w:rsid w:val="001A02AC"/>
    <w:rsid w:val="001A1384"/>
    <w:rsid w:val="001A6641"/>
    <w:rsid w:val="001A6827"/>
    <w:rsid w:val="001B3E50"/>
    <w:rsid w:val="001C5207"/>
    <w:rsid w:val="001D0A9A"/>
    <w:rsid w:val="001D6909"/>
    <w:rsid w:val="001E0A05"/>
    <w:rsid w:val="001E448A"/>
    <w:rsid w:val="001F0B2F"/>
    <w:rsid w:val="001F1DE5"/>
    <w:rsid w:val="001F2613"/>
    <w:rsid w:val="001F2EBF"/>
    <w:rsid w:val="001F710D"/>
    <w:rsid w:val="00203F5A"/>
    <w:rsid w:val="00205DAA"/>
    <w:rsid w:val="00207E29"/>
    <w:rsid w:val="0021298D"/>
    <w:rsid w:val="00213BDB"/>
    <w:rsid w:val="00216267"/>
    <w:rsid w:val="00220BB4"/>
    <w:rsid w:val="00226A15"/>
    <w:rsid w:val="00227CC3"/>
    <w:rsid w:val="002327FC"/>
    <w:rsid w:val="0024090A"/>
    <w:rsid w:val="00243DB8"/>
    <w:rsid w:val="00251451"/>
    <w:rsid w:val="002609A3"/>
    <w:rsid w:val="00263DBA"/>
    <w:rsid w:val="00276279"/>
    <w:rsid w:val="00276B5F"/>
    <w:rsid w:val="00282662"/>
    <w:rsid w:val="002846FD"/>
    <w:rsid w:val="00285A91"/>
    <w:rsid w:val="00285F17"/>
    <w:rsid w:val="002908ED"/>
    <w:rsid w:val="00294A42"/>
    <w:rsid w:val="002A6FE4"/>
    <w:rsid w:val="002B0FA7"/>
    <w:rsid w:val="002B2195"/>
    <w:rsid w:val="002B3D18"/>
    <w:rsid w:val="002B51DC"/>
    <w:rsid w:val="002B697E"/>
    <w:rsid w:val="002C1CB3"/>
    <w:rsid w:val="002C252B"/>
    <w:rsid w:val="002C2A7C"/>
    <w:rsid w:val="002C2E69"/>
    <w:rsid w:val="002C4B97"/>
    <w:rsid w:val="002C5952"/>
    <w:rsid w:val="002D3951"/>
    <w:rsid w:val="002D64E4"/>
    <w:rsid w:val="002E731E"/>
    <w:rsid w:val="0030126A"/>
    <w:rsid w:val="00302C6E"/>
    <w:rsid w:val="0030372A"/>
    <w:rsid w:val="003043A8"/>
    <w:rsid w:val="003365D5"/>
    <w:rsid w:val="003369F6"/>
    <w:rsid w:val="00364B12"/>
    <w:rsid w:val="00371697"/>
    <w:rsid w:val="003733CE"/>
    <w:rsid w:val="00375868"/>
    <w:rsid w:val="00375A7F"/>
    <w:rsid w:val="00376BDB"/>
    <w:rsid w:val="00377A5A"/>
    <w:rsid w:val="00380018"/>
    <w:rsid w:val="00380A1F"/>
    <w:rsid w:val="0038668C"/>
    <w:rsid w:val="00387D6B"/>
    <w:rsid w:val="00391008"/>
    <w:rsid w:val="003A677D"/>
    <w:rsid w:val="003B55AF"/>
    <w:rsid w:val="003B5A08"/>
    <w:rsid w:val="003B7169"/>
    <w:rsid w:val="003C0819"/>
    <w:rsid w:val="003C5797"/>
    <w:rsid w:val="003D35DA"/>
    <w:rsid w:val="003E2489"/>
    <w:rsid w:val="003E303C"/>
    <w:rsid w:val="003E7E27"/>
    <w:rsid w:val="003F1792"/>
    <w:rsid w:val="003F6838"/>
    <w:rsid w:val="004142D8"/>
    <w:rsid w:val="00415861"/>
    <w:rsid w:val="004203AD"/>
    <w:rsid w:val="0042709B"/>
    <w:rsid w:val="00427F46"/>
    <w:rsid w:val="004304B0"/>
    <w:rsid w:val="0043215A"/>
    <w:rsid w:val="0043289D"/>
    <w:rsid w:val="00442968"/>
    <w:rsid w:val="004441F0"/>
    <w:rsid w:val="004451E5"/>
    <w:rsid w:val="00445982"/>
    <w:rsid w:val="00455EC8"/>
    <w:rsid w:val="00460380"/>
    <w:rsid w:val="004619E4"/>
    <w:rsid w:val="00464E16"/>
    <w:rsid w:val="0047137D"/>
    <w:rsid w:val="004719BA"/>
    <w:rsid w:val="00472DEC"/>
    <w:rsid w:val="0047433B"/>
    <w:rsid w:val="00481EAC"/>
    <w:rsid w:val="0048313D"/>
    <w:rsid w:val="00483659"/>
    <w:rsid w:val="0048561B"/>
    <w:rsid w:val="004A5647"/>
    <w:rsid w:val="004A7B36"/>
    <w:rsid w:val="004B4E10"/>
    <w:rsid w:val="004B5BC9"/>
    <w:rsid w:val="004C1FAE"/>
    <w:rsid w:val="004D123C"/>
    <w:rsid w:val="004D1A3E"/>
    <w:rsid w:val="004D7C1C"/>
    <w:rsid w:val="004E4D39"/>
    <w:rsid w:val="004E5F55"/>
    <w:rsid w:val="004E6C86"/>
    <w:rsid w:val="004F301B"/>
    <w:rsid w:val="004F32F1"/>
    <w:rsid w:val="005027D8"/>
    <w:rsid w:val="005134D0"/>
    <w:rsid w:val="005163A6"/>
    <w:rsid w:val="00516BD7"/>
    <w:rsid w:val="00525CCB"/>
    <w:rsid w:val="0053110E"/>
    <w:rsid w:val="0053350A"/>
    <w:rsid w:val="00535F25"/>
    <w:rsid w:val="005411E2"/>
    <w:rsid w:val="00541DF7"/>
    <w:rsid w:val="005455BA"/>
    <w:rsid w:val="00547CCF"/>
    <w:rsid w:val="00556447"/>
    <w:rsid w:val="005617AE"/>
    <w:rsid w:val="00561ADF"/>
    <w:rsid w:val="0056495D"/>
    <w:rsid w:val="005661D4"/>
    <w:rsid w:val="00571EDF"/>
    <w:rsid w:val="00573777"/>
    <w:rsid w:val="00583F61"/>
    <w:rsid w:val="00584A04"/>
    <w:rsid w:val="005901B9"/>
    <w:rsid w:val="00590215"/>
    <w:rsid w:val="00592F5B"/>
    <w:rsid w:val="00593B21"/>
    <w:rsid w:val="005958CC"/>
    <w:rsid w:val="005A1062"/>
    <w:rsid w:val="005A71DD"/>
    <w:rsid w:val="005A7E43"/>
    <w:rsid w:val="005B1FDA"/>
    <w:rsid w:val="005B6781"/>
    <w:rsid w:val="005B7177"/>
    <w:rsid w:val="005C6B2D"/>
    <w:rsid w:val="005D37BC"/>
    <w:rsid w:val="005D429C"/>
    <w:rsid w:val="005E19C8"/>
    <w:rsid w:val="005E37BD"/>
    <w:rsid w:val="005F33DF"/>
    <w:rsid w:val="005F7EE9"/>
    <w:rsid w:val="00600912"/>
    <w:rsid w:val="00606EF7"/>
    <w:rsid w:val="00607720"/>
    <w:rsid w:val="006160B9"/>
    <w:rsid w:val="006170C6"/>
    <w:rsid w:val="0061749B"/>
    <w:rsid w:val="00622AD5"/>
    <w:rsid w:val="00623281"/>
    <w:rsid w:val="006423F3"/>
    <w:rsid w:val="00645C9B"/>
    <w:rsid w:val="00650AC9"/>
    <w:rsid w:val="00655784"/>
    <w:rsid w:val="0065653B"/>
    <w:rsid w:val="00657A1F"/>
    <w:rsid w:val="006606BC"/>
    <w:rsid w:val="00660F1A"/>
    <w:rsid w:val="0066474C"/>
    <w:rsid w:val="006648DB"/>
    <w:rsid w:val="00664FB4"/>
    <w:rsid w:val="006731E4"/>
    <w:rsid w:val="00677C74"/>
    <w:rsid w:val="00681A24"/>
    <w:rsid w:val="00682159"/>
    <w:rsid w:val="006836DD"/>
    <w:rsid w:val="00690FA8"/>
    <w:rsid w:val="00697ACF"/>
    <w:rsid w:val="006A178F"/>
    <w:rsid w:val="006A4876"/>
    <w:rsid w:val="006A6163"/>
    <w:rsid w:val="006B08DC"/>
    <w:rsid w:val="006B0B2C"/>
    <w:rsid w:val="006B3CD1"/>
    <w:rsid w:val="006B48C9"/>
    <w:rsid w:val="006B5753"/>
    <w:rsid w:val="006C176F"/>
    <w:rsid w:val="006D27FB"/>
    <w:rsid w:val="006D6E4C"/>
    <w:rsid w:val="006E4572"/>
    <w:rsid w:val="006E579F"/>
    <w:rsid w:val="006E76B5"/>
    <w:rsid w:val="006F0D97"/>
    <w:rsid w:val="006F3257"/>
    <w:rsid w:val="006F3BD5"/>
    <w:rsid w:val="00703BD4"/>
    <w:rsid w:val="00706A57"/>
    <w:rsid w:val="00711F9D"/>
    <w:rsid w:val="00714AF9"/>
    <w:rsid w:val="007177E4"/>
    <w:rsid w:val="007179D9"/>
    <w:rsid w:val="0072078B"/>
    <w:rsid w:val="00722102"/>
    <w:rsid w:val="007244DE"/>
    <w:rsid w:val="00724559"/>
    <w:rsid w:val="00727FE8"/>
    <w:rsid w:val="00737DB5"/>
    <w:rsid w:val="0074090C"/>
    <w:rsid w:val="00740D83"/>
    <w:rsid w:val="007429B4"/>
    <w:rsid w:val="007510CC"/>
    <w:rsid w:val="007618AE"/>
    <w:rsid w:val="00763C0E"/>
    <w:rsid w:val="00774819"/>
    <w:rsid w:val="00777260"/>
    <w:rsid w:val="00782F60"/>
    <w:rsid w:val="00784324"/>
    <w:rsid w:val="00790DAA"/>
    <w:rsid w:val="00794E25"/>
    <w:rsid w:val="007A1389"/>
    <w:rsid w:val="007B0808"/>
    <w:rsid w:val="007B7B78"/>
    <w:rsid w:val="007C3AA4"/>
    <w:rsid w:val="007C56BA"/>
    <w:rsid w:val="007C6DF5"/>
    <w:rsid w:val="007D3E1A"/>
    <w:rsid w:val="007E068D"/>
    <w:rsid w:val="007E182F"/>
    <w:rsid w:val="007E3AF2"/>
    <w:rsid w:val="007E4DCC"/>
    <w:rsid w:val="007E69BA"/>
    <w:rsid w:val="007F018C"/>
    <w:rsid w:val="007F2E4C"/>
    <w:rsid w:val="007F2EDD"/>
    <w:rsid w:val="007F31A8"/>
    <w:rsid w:val="007F327F"/>
    <w:rsid w:val="007F3DFE"/>
    <w:rsid w:val="007F4311"/>
    <w:rsid w:val="008032FF"/>
    <w:rsid w:val="00806729"/>
    <w:rsid w:val="00806C09"/>
    <w:rsid w:val="008074CF"/>
    <w:rsid w:val="00822BC9"/>
    <w:rsid w:val="00823227"/>
    <w:rsid w:val="00823A63"/>
    <w:rsid w:val="008246F9"/>
    <w:rsid w:val="00831459"/>
    <w:rsid w:val="00837572"/>
    <w:rsid w:val="00854FD9"/>
    <w:rsid w:val="008552B8"/>
    <w:rsid w:val="00856C8E"/>
    <w:rsid w:val="00857A31"/>
    <w:rsid w:val="00860CBB"/>
    <w:rsid w:val="008632EE"/>
    <w:rsid w:val="008639FC"/>
    <w:rsid w:val="00866A00"/>
    <w:rsid w:val="00867748"/>
    <w:rsid w:val="00872E23"/>
    <w:rsid w:val="00885D9B"/>
    <w:rsid w:val="00886A1D"/>
    <w:rsid w:val="00893102"/>
    <w:rsid w:val="00893941"/>
    <w:rsid w:val="00894E4E"/>
    <w:rsid w:val="0089609F"/>
    <w:rsid w:val="0089702C"/>
    <w:rsid w:val="008A74ED"/>
    <w:rsid w:val="008B10C7"/>
    <w:rsid w:val="008B1443"/>
    <w:rsid w:val="008B49DA"/>
    <w:rsid w:val="008B6308"/>
    <w:rsid w:val="008B6981"/>
    <w:rsid w:val="008B7217"/>
    <w:rsid w:val="008C03BF"/>
    <w:rsid w:val="008C0492"/>
    <w:rsid w:val="008C0896"/>
    <w:rsid w:val="008C6A96"/>
    <w:rsid w:val="008C6D70"/>
    <w:rsid w:val="008C7BFF"/>
    <w:rsid w:val="008E2E29"/>
    <w:rsid w:val="00912A7E"/>
    <w:rsid w:val="0091606C"/>
    <w:rsid w:val="00916DFD"/>
    <w:rsid w:val="009226F7"/>
    <w:rsid w:val="00924D64"/>
    <w:rsid w:val="0093321D"/>
    <w:rsid w:val="00933761"/>
    <w:rsid w:val="00935298"/>
    <w:rsid w:val="0094379A"/>
    <w:rsid w:val="0094420C"/>
    <w:rsid w:val="00952F3F"/>
    <w:rsid w:val="009548C3"/>
    <w:rsid w:val="00972C04"/>
    <w:rsid w:val="00975381"/>
    <w:rsid w:val="00986DA9"/>
    <w:rsid w:val="00991844"/>
    <w:rsid w:val="00996152"/>
    <w:rsid w:val="009B0830"/>
    <w:rsid w:val="009C0448"/>
    <w:rsid w:val="009C286A"/>
    <w:rsid w:val="009C3A0F"/>
    <w:rsid w:val="009C6D51"/>
    <w:rsid w:val="009C748D"/>
    <w:rsid w:val="009D35B9"/>
    <w:rsid w:val="009D422E"/>
    <w:rsid w:val="009D6F5F"/>
    <w:rsid w:val="009E1015"/>
    <w:rsid w:val="00A03321"/>
    <w:rsid w:val="00A05939"/>
    <w:rsid w:val="00A11488"/>
    <w:rsid w:val="00A130F4"/>
    <w:rsid w:val="00A14461"/>
    <w:rsid w:val="00A16FA0"/>
    <w:rsid w:val="00A30DDB"/>
    <w:rsid w:val="00A3600E"/>
    <w:rsid w:val="00A36B5B"/>
    <w:rsid w:val="00A427D1"/>
    <w:rsid w:val="00A429D6"/>
    <w:rsid w:val="00A45E38"/>
    <w:rsid w:val="00A46F4A"/>
    <w:rsid w:val="00A6003A"/>
    <w:rsid w:val="00A63B14"/>
    <w:rsid w:val="00A64E42"/>
    <w:rsid w:val="00A72350"/>
    <w:rsid w:val="00A83160"/>
    <w:rsid w:val="00A940D4"/>
    <w:rsid w:val="00A949C6"/>
    <w:rsid w:val="00A9789E"/>
    <w:rsid w:val="00AA1B87"/>
    <w:rsid w:val="00AA363F"/>
    <w:rsid w:val="00AA5CBD"/>
    <w:rsid w:val="00AA6973"/>
    <w:rsid w:val="00AA6E3B"/>
    <w:rsid w:val="00AB0CDC"/>
    <w:rsid w:val="00AB3212"/>
    <w:rsid w:val="00AB4B0A"/>
    <w:rsid w:val="00AB7BA4"/>
    <w:rsid w:val="00AD7840"/>
    <w:rsid w:val="00AE5C6F"/>
    <w:rsid w:val="00AF118D"/>
    <w:rsid w:val="00AF2EF6"/>
    <w:rsid w:val="00AF353A"/>
    <w:rsid w:val="00B0020A"/>
    <w:rsid w:val="00B0104E"/>
    <w:rsid w:val="00B13BA7"/>
    <w:rsid w:val="00B1524A"/>
    <w:rsid w:val="00B24AFF"/>
    <w:rsid w:val="00B27763"/>
    <w:rsid w:val="00B367D8"/>
    <w:rsid w:val="00B4202A"/>
    <w:rsid w:val="00B42E79"/>
    <w:rsid w:val="00B5067C"/>
    <w:rsid w:val="00B508BF"/>
    <w:rsid w:val="00B601CA"/>
    <w:rsid w:val="00B62104"/>
    <w:rsid w:val="00B65174"/>
    <w:rsid w:val="00B70DE8"/>
    <w:rsid w:val="00B73107"/>
    <w:rsid w:val="00B8675F"/>
    <w:rsid w:val="00B86789"/>
    <w:rsid w:val="00B87C43"/>
    <w:rsid w:val="00B91081"/>
    <w:rsid w:val="00BA3598"/>
    <w:rsid w:val="00BA6047"/>
    <w:rsid w:val="00BB017D"/>
    <w:rsid w:val="00BB0437"/>
    <w:rsid w:val="00BC077A"/>
    <w:rsid w:val="00BC3B3E"/>
    <w:rsid w:val="00BD4118"/>
    <w:rsid w:val="00BD4A9C"/>
    <w:rsid w:val="00BD7C9E"/>
    <w:rsid w:val="00BE1986"/>
    <w:rsid w:val="00BF2041"/>
    <w:rsid w:val="00BF3D1E"/>
    <w:rsid w:val="00BF408B"/>
    <w:rsid w:val="00C01069"/>
    <w:rsid w:val="00C02E39"/>
    <w:rsid w:val="00C1432E"/>
    <w:rsid w:val="00C14E45"/>
    <w:rsid w:val="00C159DF"/>
    <w:rsid w:val="00C15A07"/>
    <w:rsid w:val="00C168DD"/>
    <w:rsid w:val="00C16F09"/>
    <w:rsid w:val="00C20292"/>
    <w:rsid w:val="00C2106E"/>
    <w:rsid w:val="00C253DA"/>
    <w:rsid w:val="00C31080"/>
    <w:rsid w:val="00C33659"/>
    <w:rsid w:val="00C3372F"/>
    <w:rsid w:val="00C417DB"/>
    <w:rsid w:val="00C42B4C"/>
    <w:rsid w:val="00C42E97"/>
    <w:rsid w:val="00C44362"/>
    <w:rsid w:val="00C53B2A"/>
    <w:rsid w:val="00C54757"/>
    <w:rsid w:val="00C56C47"/>
    <w:rsid w:val="00C56F8A"/>
    <w:rsid w:val="00C66771"/>
    <w:rsid w:val="00C67F3D"/>
    <w:rsid w:val="00C709D3"/>
    <w:rsid w:val="00C70C22"/>
    <w:rsid w:val="00C80079"/>
    <w:rsid w:val="00C8162F"/>
    <w:rsid w:val="00C81B80"/>
    <w:rsid w:val="00C82FB7"/>
    <w:rsid w:val="00C86930"/>
    <w:rsid w:val="00C87C6C"/>
    <w:rsid w:val="00C91056"/>
    <w:rsid w:val="00C95678"/>
    <w:rsid w:val="00C96E1B"/>
    <w:rsid w:val="00CA6131"/>
    <w:rsid w:val="00CA672A"/>
    <w:rsid w:val="00CC01FD"/>
    <w:rsid w:val="00CC3C15"/>
    <w:rsid w:val="00CC550C"/>
    <w:rsid w:val="00CC6691"/>
    <w:rsid w:val="00CD240F"/>
    <w:rsid w:val="00CD311F"/>
    <w:rsid w:val="00CE0D53"/>
    <w:rsid w:val="00CE200B"/>
    <w:rsid w:val="00CE71FE"/>
    <w:rsid w:val="00CF03BA"/>
    <w:rsid w:val="00CF3A46"/>
    <w:rsid w:val="00D00D58"/>
    <w:rsid w:val="00D03934"/>
    <w:rsid w:val="00D06604"/>
    <w:rsid w:val="00D104C7"/>
    <w:rsid w:val="00D11915"/>
    <w:rsid w:val="00D13BD5"/>
    <w:rsid w:val="00D140AE"/>
    <w:rsid w:val="00D172A2"/>
    <w:rsid w:val="00D24A52"/>
    <w:rsid w:val="00D250C5"/>
    <w:rsid w:val="00D33F63"/>
    <w:rsid w:val="00D343FF"/>
    <w:rsid w:val="00D35F43"/>
    <w:rsid w:val="00D45D35"/>
    <w:rsid w:val="00D51EFC"/>
    <w:rsid w:val="00D56618"/>
    <w:rsid w:val="00D61696"/>
    <w:rsid w:val="00D617D1"/>
    <w:rsid w:val="00D65A3C"/>
    <w:rsid w:val="00D65B1A"/>
    <w:rsid w:val="00D703CA"/>
    <w:rsid w:val="00D71E2F"/>
    <w:rsid w:val="00D7408A"/>
    <w:rsid w:val="00D777B6"/>
    <w:rsid w:val="00D81448"/>
    <w:rsid w:val="00D81FB2"/>
    <w:rsid w:val="00D905E2"/>
    <w:rsid w:val="00D92BB8"/>
    <w:rsid w:val="00D92CB2"/>
    <w:rsid w:val="00D9355E"/>
    <w:rsid w:val="00D93929"/>
    <w:rsid w:val="00D93A25"/>
    <w:rsid w:val="00D9413A"/>
    <w:rsid w:val="00D94C93"/>
    <w:rsid w:val="00D9710F"/>
    <w:rsid w:val="00DA463C"/>
    <w:rsid w:val="00DB458F"/>
    <w:rsid w:val="00DE292F"/>
    <w:rsid w:val="00DE3635"/>
    <w:rsid w:val="00DE620E"/>
    <w:rsid w:val="00DF0E1B"/>
    <w:rsid w:val="00DF167C"/>
    <w:rsid w:val="00DF6875"/>
    <w:rsid w:val="00E005E6"/>
    <w:rsid w:val="00E02759"/>
    <w:rsid w:val="00E03675"/>
    <w:rsid w:val="00E159E7"/>
    <w:rsid w:val="00E15B55"/>
    <w:rsid w:val="00E212EA"/>
    <w:rsid w:val="00E263A5"/>
    <w:rsid w:val="00E30028"/>
    <w:rsid w:val="00E40B0A"/>
    <w:rsid w:val="00E41314"/>
    <w:rsid w:val="00E42F12"/>
    <w:rsid w:val="00E4783C"/>
    <w:rsid w:val="00E50D82"/>
    <w:rsid w:val="00E5199D"/>
    <w:rsid w:val="00E54643"/>
    <w:rsid w:val="00E5519B"/>
    <w:rsid w:val="00E6178A"/>
    <w:rsid w:val="00E61CA7"/>
    <w:rsid w:val="00E648C7"/>
    <w:rsid w:val="00E651D4"/>
    <w:rsid w:val="00E660B9"/>
    <w:rsid w:val="00E71294"/>
    <w:rsid w:val="00E81239"/>
    <w:rsid w:val="00E82BDB"/>
    <w:rsid w:val="00E86676"/>
    <w:rsid w:val="00E866F4"/>
    <w:rsid w:val="00E95E9E"/>
    <w:rsid w:val="00EA0022"/>
    <w:rsid w:val="00EA2488"/>
    <w:rsid w:val="00EA5497"/>
    <w:rsid w:val="00EA65D5"/>
    <w:rsid w:val="00EA73EB"/>
    <w:rsid w:val="00EB16F5"/>
    <w:rsid w:val="00EB6F53"/>
    <w:rsid w:val="00EC1974"/>
    <w:rsid w:val="00EC61A5"/>
    <w:rsid w:val="00ED6894"/>
    <w:rsid w:val="00EE6946"/>
    <w:rsid w:val="00EE72BD"/>
    <w:rsid w:val="00EF150F"/>
    <w:rsid w:val="00EF36A4"/>
    <w:rsid w:val="00EF6481"/>
    <w:rsid w:val="00F12911"/>
    <w:rsid w:val="00F16B65"/>
    <w:rsid w:val="00F200B7"/>
    <w:rsid w:val="00F24720"/>
    <w:rsid w:val="00F46CBE"/>
    <w:rsid w:val="00F51363"/>
    <w:rsid w:val="00F55AE8"/>
    <w:rsid w:val="00F56549"/>
    <w:rsid w:val="00F608BB"/>
    <w:rsid w:val="00F67D04"/>
    <w:rsid w:val="00F71367"/>
    <w:rsid w:val="00F73E22"/>
    <w:rsid w:val="00F77C41"/>
    <w:rsid w:val="00F85E0E"/>
    <w:rsid w:val="00F916BA"/>
    <w:rsid w:val="00FA105A"/>
    <w:rsid w:val="00FA20A1"/>
    <w:rsid w:val="00FA27EF"/>
    <w:rsid w:val="00FA3D29"/>
    <w:rsid w:val="00FA3D2F"/>
    <w:rsid w:val="00FA6D3E"/>
    <w:rsid w:val="00FB09E8"/>
    <w:rsid w:val="00FB5C65"/>
    <w:rsid w:val="00FB61BB"/>
    <w:rsid w:val="00FC1ED2"/>
    <w:rsid w:val="00FC26B5"/>
    <w:rsid w:val="00FC793D"/>
    <w:rsid w:val="00FD0C0F"/>
    <w:rsid w:val="00FD18F0"/>
    <w:rsid w:val="00FD599B"/>
    <w:rsid w:val="00FD764C"/>
    <w:rsid w:val="00FD7AFF"/>
    <w:rsid w:val="00FE06E7"/>
    <w:rsid w:val="00FE5134"/>
    <w:rsid w:val="01255EF6"/>
    <w:rsid w:val="013318BE"/>
    <w:rsid w:val="01363B5D"/>
    <w:rsid w:val="01464060"/>
    <w:rsid w:val="0151033A"/>
    <w:rsid w:val="01613E51"/>
    <w:rsid w:val="01835B18"/>
    <w:rsid w:val="019A6EAF"/>
    <w:rsid w:val="019F3FCE"/>
    <w:rsid w:val="01AF35D1"/>
    <w:rsid w:val="01B97194"/>
    <w:rsid w:val="01DD0DCB"/>
    <w:rsid w:val="01DF76F6"/>
    <w:rsid w:val="01E24B28"/>
    <w:rsid w:val="020205F3"/>
    <w:rsid w:val="02170B7F"/>
    <w:rsid w:val="0224131B"/>
    <w:rsid w:val="02266050"/>
    <w:rsid w:val="025358AE"/>
    <w:rsid w:val="027D5DE2"/>
    <w:rsid w:val="02890D36"/>
    <w:rsid w:val="02996A23"/>
    <w:rsid w:val="02A10B19"/>
    <w:rsid w:val="02A27299"/>
    <w:rsid w:val="02F715EE"/>
    <w:rsid w:val="03210937"/>
    <w:rsid w:val="03300D99"/>
    <w:rsid w:val="03C649A8"/>
    <w:rsid w:val="03E37CED"/>
    <w:rsid w:val="04084F59"/>
    <w:rsid w:val="04270E37"/>
    <w:rsid w:val="0444289B"/>
    <w:rsid w:val="045157EE"/>
    <w:rsid w:val="047C49E9"/>
    <w:rsid w:val="04862D7A"/>
    <w:rsid w:val="04921A95"/>
    <w:rsid w:val="04A010CF"/>
    <w:rsid w:val="04AF16F5"/>
    <w:rsid w:val="04B270C1"/>
    <w:rsid w:val="04BA07F9"/>
    <w:rsid w:val="04CF2B57"/>
    <w:rsid w:val="04D21E18"/>
    <w:rsid w:val="04D42C87"/>
    <w:rsid w:val="05250C98"/>
    <w:rsid w:val="052A795D"/>
    <w:rsid w:val="05344197"/>
    <w:rsid w:val="05436F25"/>
    <w:rsid w:val="05636432"/>
    <w:rsid w:val="05764AEC"/>
    <w:rsid w:val="05972BB7"/>
    <w:rsid w:val="059B72DE"/>
    <w:rsid w:val="05D25DF9"/>
    <w:rsid w:val="06175254"/>
    <w:rsid w:val="061B0347"/>
    <w:rsid w:val="063258EB"/>
    <w:rsid w:val="06454E4E"/>
    <w:rsid w:val="06555431"/>
    <w:rsid w:val="068D09A5"/>
    <w:rsid w:val="06AC4B91"/>
    <w:rsid w:val="06C12403"/>
    <w:rsid w:val="06D4063A"/>
    <w:rsid w:val="06F253F2"/>
    <w:rsid w:val="0700685E"/>
    <w:rsid w:val="07014FD1"/>
    <w:rsid w:val="0712501F"/>
    <w:rsid w:val="072661EA"/>
    <w:rsid w:val="07886BEA"/>
    <w:rsid w:val="07A23CFC"/>
    <w:rsid w:val="07AB78E7"/>
    <w:rsid w:val="07AC2497"/>
    <w:rsid w:val="07B20EB1"/>
    <w:rsid w:val="07B82933"/>
    <w:rsid w:val="07E06FE3"/>
    <w:rsid w:val="07EA79AE"/>
    <w:rsid w:val="08007B97"/>
    <w:rsid w:val="08122E86"/>
    <w:rsid w:val="082038E6"/>
    <w:rsid w:val="0821008D"/>
    <w:rsid w:val="08360008"/>
    <w:rsid w:val="08363C4D"/>
    <w:rsid w:val="0851082A"/>
    <w:rsid w:val="08711962"/>
    <w:rsid w:val="08781505"/>
    <w:rsid w:val="087F2BBA"/>
    <w:rsid w:val="08972A34"/>
    <w:rsid w:val="08B31F29"/>
    <w:rsid w:val="08C97987"/>
    <w:rsid w:val="095C042B"/>
    <w:rsid w:val="09664561"/>
    <w:rsid w:val="09C85D22"/>
    <w:rsid w:val="09C85F9C"/>
    <w:rsid w:val="09CF0A9B"/>
    <w:rsid w:val="09EF742D"/>
    <w:rsid w:val="0A1A3D62"/>
    <w:rsid w:val="0A571B60"/>
    <w:rsid w:val="0A6841C1"/>
    <w:rsid w:val="0A874607"/>
    <w:rsid w:val="0A880479"/>
    <w:rsid w:val="0AA12680"/>
    <w:rsid w:val="0AB4518A"/>
    <w:rsid w:val="0ACA1988"/>
    <w:rsid w:val="0AE01F2A"/>
    <w:rsid w:val="0AE11BBA"/>
    <w:rsid w:val="0B03733C"/>
    <w:rsid w:val="0B0C66A1"/>
    <w:rsid w:val="0B2C2B92"/>
    <w:rsid w:val="0B320F69"/>
    <w:rsid w:val="0B3329AD"/>
    <w:rsid w:val="0B3C3841"/>
    <w:rsid w:val="0B442785"/>
    <w:rsid w:val="0B766E92"/>
    <w:rsid w:val="0B771B23"/>
    <w:rsid w:val="0B843640"/>
    <w:rsid w:val="0B916410"/>
    <w:rsid w:val="0BA70F8B"/>
    <w:rsid w:val="0BB0283D"/>
    <w:rsid w:val="0BCF7583"/>
    <w:rsid w:val="0BF87A53"/>
    <w:rsid w:val="0BFF2621"/>
    <w:rsid w:val="0C2B7CE6"/>
    <w:rsid w:val="0C2D14AA"/>
    <w:rsid w:val="0C3C2CCD"/>
    <w:rsid w:val="0C5F0F0B"/>
    <w:rsid w:val="0C936A4C"/>
    <w:rsid w:val="0CAC5438"/>
    <w:rsid w:val="0CC4320B"/>
    <w:rsid w:val="0CDA6F6C"/>
    <w:rsid w:val="0CE40167"/>
    <w:rsid w:val="0CED5547"/>
    <w:rsid w:val="0D423B56"/>
    <w:rsid w:val="0D8232F1"/>
    <w:rsid w:val="0D937563"/>
    <w:rsid w:val="0DA42549"/>
    <w:rsid w:val="0DBB2664"/>
    <w:rsid w:val="0DC40C23"/>
    <w:rsid w:val="0DCF535C"/>
    <w:rsid w:val="0DD2535B"/>
    <w:rsid w:val="0DE22043"/>
    <w:rsid w:val="0DF41F12"/>
    <w:rsid w:val="0E0220CB"/>
    <w:rsid w:val="0E1841B7"/>
    <w:rsid w:val="0E1B18CA"/>
    <w:rsid w:val="0E231ED9"/>
    <w:rsid w:val="0E383E20"/>
    <w:rsid w:val="0E523D0A"/>
    <w:rsid w:val="0E631EBD"/>
    <w:rsid w:val="0EAB1994"/>
    <w:rsid w:val="0EBE46BE"/>
    <w:rsid w:val="0ED633E0"/>
    <w:rsid w:val="0ED820C8"/>
    <w:rsid w:val="0EE92DA0"/>
    <w:rsid w:val="0EFA5BD3"/>
    <w:rsid w:val="0F2A798B"/>
    <w:rsid w:val="0F301B55"/>
    <w:rsid w:val="0F376CE6"/>
    <w:rsid w:val="0F61625B"/>
    <w:rsid w:val="0F690A16"/>
    <w:rsid w:val="0F972D2E"/>
    <w:rsid w:val="0FB84F99"/>
    <w:rsid w:val="0FCC1572"/>
    <w:rsid w:val="0FD84E49"/>
    <w:rsid w:val="0FD9288C"/>
    <w:rsid w:val="0FDA088D"/>
    <w:rsid w:val="0FF609D3"/>
    <w:rsid w:val="101C7CAC"/>
    <w:rsid w:val="10384EB0"/>
    <w:rsid w:val="10806F5E"/>
    <w:rsid w:val="10863CAA"/>
    <w:rsid w:val="10ED28C0"/>
    <w:rsid w:val="10FD29EF"/>
    <w:rsid w:val="110748D9"/>
    <w:rsid w:val="110F3AC3"/>
    <w:rsid w:val="11126EB5"/>
    <w:rsid w:val="11380742"/>
    <w:rsid w:val="117B490A"/>
    <w:rsid w:val="11840372"/>
    <w:rsid w:val="11C2288E"/>
    <w:rsid w:val="11D969EE"/>
    <w:rsid w:val="11DD5D95"/>
    <w:rsid w:val="11EB0EC0"/>
    <w:rsid w:val="12031237"/>
    <w:rsid w:val="12085D1F"/>
    <w:rsid w:val="124F3295"/>
    <w:rsid w:val="12532C84"/>
    <w:rsid w:val="126B5963"/>
    <w:rsid w:val="129A3942"/>
    <w:rsid w:val="129E546E"/>
    <w:rsid w:val="12A500CB"/>
    <w:rsid w:val="12C84C0D"/>
    <w:rsid w:val="12D965C1"/>
    <w:rsid w:val="12E25D64"/>
    <w:rsid w:val="1306029D"/>
    <w:rsid w:val="13385FC7"/>
    <w:rsid w:val="1339557B"/>
    <w:rsid w:val="13B65EFD"/>
    <w:rsid w:val="13E00169"/>
    <w:rsid w:val="14073E05"/>
    <w:rsid w:val="141B2860"/>
    <w:rsid w:val="14366342"/>
    <w:rsid w:val="143C574A"/>
    <w:rsid w:val="14422AFC"/>
    <w:rsid w:val="145A1D95"/>
    <w:rsid w:val="14644E55"/>
    <w:rsid w:val="146D3D66"/>
    <w:rsid w:val="148A095E"/>
    <w:rsid w:val="14A17810"/>
    <w:rsid w:val="14C276AA"/>
    <w:rsid w:val="14E4335B"/>
    <w:rsid w:val="14E911D4"/>
    <w:rsid w:val="151646D4"/>
    <w:rsid w:val="152B0B84"/>
    <w:rsid w:val="15381D8C"/>
    <w:rsid w:val="155C154A"/>
    <w:rsid w:val="155D7FC8"/>
    <w:rsid w:val="156509C0"/>
    <w:rsid w:val="15A649D4"/>
    <w:rsid w:val="15C57A67"/>
    <w:rsid w:val="15D2016A"/>
    <w:rsid w:val="1618098F"/>
    <w:rsid w:val="162905CB"/>
    <w:rsid w:val="162D32B2"/>
    <w:rsid w:val="162F083E"/>
    <w:rsid w:val="164300E4"/>
    <w:rsid w:val="164A731D"/>
    <w:rsid w:val="16694EB1"/>
    <w:rsid w:val="166E3D34"/>
    <w:rsid w:val="169D289F"/>
    <w:rsid w:val="16C14040"/>
    <w:rsid w:val="16CE089E"/>
    <w:rsid w:val="16E36D8C"/>
    <w:rsid w:val="16E75F35"/>
    <w:rsid w:val="16F0508F"/>
    <w:rsid w:val="172F6697"/>
    <w:rsid w:val="174C060B"/>
    <w:rsid w:val="175226C6"/>
    <w:rsid w:val="17572CF0"/>
    <w:rsid w:val="177A78BC"/>
    <w:rsid w:val="17CE6D29"/>
    <w:rsid w:val="17E84B61"/>
    <w:rsid w:val="182A1A72"/>
    <w:rsid w:val="18493272"/>
    <w:rsid w:val="18675DA0"/>
    <w:rsid w:val="186A3C71"/>
    <w:rsid w:val="186B18EC"/>
    <w:rsid w:val="18780340"/>
    <w:rsid w:val="18793B81"/>
    <w:rsid w:val="18797581"/>
    <w:rsid w:val="187F72BD"/>
    <w:rsid w:val="1884725F"/>
    <w:rsid w:val="18911771"/>
    <w:rsid w:val="189E08FF"/>
    <w:rsid w:val="18AA7C42"/>
    <w:rsid w:val="18B32CB7"/>
    <w:rsid w:val="18C122D8"/>
    <w:rsid w:val="18C57973"/>
    <w:rsid w:val="18C91E71"/>
    <w:rsid w:val="18E0605D"/>
    <w:rsid w:val="191B3C75"/>
    <w:rsid w:val="19265760"/>
    <w:rsid w:val="192C0E01"/>
    <w:rsid w:val="195F0D43"/>
    <w:rsid w:val="196547FC"/>
    <w:rsid w:val="19BD33FC"/>
    <w:rsid w:val="19F32E17"/>
    <w:rsid w:val="1A2777FE"/>
    <w:rsid w:val="1A2E774D"/>
    <w:rsid w:val="1A3D12E2"/>
    <w:rsid w:val="1A4154C9"/>
    <w:rsid w:val="1A4E45C4"/>
    <w:rsid w:val="1A6B6E08"/>
    <w:rsid w:val="1A744C37"/>
    <w:rsid w:val="1A7C11F9"/>
    <w:rsid w:val="1A930E11"/>
    <w:rsid w:val="1AB67EF2"/>
    <w:rsid w:val="1AD16662"/>
    <w:rsid w:val="1AE249B3"/>
    <w:rsid w:val="1AF31234"/>
    <w:rsid w:val="1B0559F3"/>
    <w:rsid w:val="1B1B092B"/>
    <w:rsid w:val="1B2F015A"/>
    <w:rsid w:val="1B4A0A55"/>
    <w:rsid w:val="1B743096"/>
    <w:rsid w:val="1B744374"/>
    <w:rsid w:val="1B7932FA"/>
    <w:rsid w:val="1BA15088"/>
    <w:rsid w:val="1BAD7475"/>
    <w:rsid w:val="1BC529F1"/>
    <w:rsid w:val="1BE94D7B"/>
    <w:rsid w:val="1BEE3CB0"/>
    <w:rsid w:val="1BF252B4"/>
    <w:rsid w:val="1BF3720F"/>
    <w:rsid w:val="1C241C16"/>
    <w:rsid w:val="1C5B7B62"/>
    <w:rsid w:val="1C9B12FC"/>
    <w:rsid w:val="1CB16333"/>
    <w:rsid w:val="1D15487A"/>
    <w:rsid w:val="1D1831E1"/>
    <w:rsid w:val="1D603D79"/>
    <w:rsid w:val="1D7E7C12"/>
    <w:rsid w:val="1D7F67BE"/>
    <w:rsid w:val="1DB412BB"/>
    <w:rsid w:val="1DDD19BA"/>
    <w:rsid w:val="1DE13B91"/>
    <w:rsid w:val="1E17578B"/>
    <w:rsid w:val="1E2975E3"/>
    <w:rsid w:val="1E337B17"/>
    <w:rsid w:val="1E4479F3"/>
    <w:rsid w:val="1E4D4545"/>
    <w:rsid w:val="1E4E1267"/>
    <w:rsid w:val="1E582411"/>
    <w:rsid w:val="1E79088D"/>
    <w:rsid w:val="1E8F4FAF"/>
    <w:rsid w:val="1E993340"/>
    <w:rsid w:val="1EA205D6"/>
    <w:rsid w:val="1EAA29D0"/>
    <w:rsid w:val="1ED662F4"/>
    <w:rsid w:val="1EDB762C"/>
    <w:rsid w:val="1EE559BD"/>
    <w:rsid w:val="1EF0029C"/>
    <w:rsid w:val="1F174609"/>
    <w:rsid w:val="1F1F4FD0"/>
    <w:rsid w:val="1F253AF2"/>
    <w:rsid w:val="1F2878C5"/>
    <w:rsid w:val="1F304AFC"/>
    <w:rsid w:val="1F3A2B76"/>
    <w:rsid w:val="1F414D32"/>
    <w:rsid w:val="1F504922"/>
    <w:rsid w:val="1F516218"/>
    <w:rsid w:val="1F59653B"/>
    <w:rsid w:val="1F751F50"/>
    <w:rsid w:val="1F775190"/>
    <w:rsid w:val="1F8D08E2"/>
    <w:rsid w:val="1FCA14B3"/>
    <w:rsid w:val="1FF347F2"/>
    <w:rsid w:val="20053A44"/>
    <w:rsid w:val="200801F2"/>
    <w:rsid w:val="20251708"/>
    <w:rsid w:val="207A1D66"/>
    <w:rsid w:val="2098035D"/>
    <w:rsid w:val="209B3F76"/>
    <w:rsid w:val="20AD65E0"/>
    <w:rsid w:val="20CA0603"/>
    <w:rsid w:val="20E56292"/>
    <w:rsid w:val="20FA7627"/>
    <w:rsid w:val="213A2AA6"/>
    <w:rsid w:val="216900CC"/>
    <w:rsid w:val="216C0010"/>
    <w:rsid w:val="2185238F"/>
    <w:rsid w:val="21AA07C7"/>
    <w:rsid w:val="21BA177C"/>
    <w:rsid w:val="21BB2708"/>
    <w:rsid w:val="21C91A9C"/>
    <w:rsid w:val="21D50EA5"/>
    <w:rsid w:val="21D5527D"/>
    <w:rsid w:val="21DC6FFB"/>
    <w:rsid w:val="221A7A8F"/>
    <w:rsid w:val="221E7789"/>
    <w:rsid w:val="22210291"/>
    <w:rsid w:val="222664D1"/>
    <w:rsid w:val="223D3187"/>
    <w:rsid w:val="224C3E89"/>
    <w:rsid w:val="2276200F"/>
    <w:rsid w:val="2279470C"/>
    <w:rsid w:val="227B098E"/>
    <w:rsid w:val="22C83EEC"/>
    <w:rsid w:val="22EB6E23"/>
    <w:rsid w:val="23225D32"/>
    <w:rsid w:val="232D3D11"/>
    <w:rsid w:val="23401D41"/>
    <w:rsid w:val="23497E62"/>
    <w:rsid w:val="2359040B"/>
    <w:rsid w:val="235F7721"/>
    <w:rsid w:val="23642FC8"/>
    <w:rsid w:val="23722DFF"/>
    <w:rsid w:val="23772E1D"/>
    <w:rsid w:val="23782E58"/>
    <w:rsid w:val="237A63C1"/>
    <w:rsid w:val="2418357A"/>
    <w:rsid w:val="242877DE"/>
    <w:rsid w:val="249D6305"/>
    <w:rsid w:val="24B81E66"/>
    <w:rsid w:val="24D40F7C"/>
    <w:rsid w:val="24D50BFC"/>
    <w:rsid w:val="24EB0BA1"/>
    <w:rsid w:val="24F64B71"/>
    <w:rsid w:val="24F97784"/>
    <w:rsid w:val="25096161"/>
    <w:rsid w:val="2527511E"/>
    <w:rsid w:val="25437BA9"/>
    <w:rsid w:val="2558509C"/>
    <w:rsid w:val="25870808"/>
    <w:rsid w:val="258E69C1"/>
    <w:rsid w:val="25A97918"/>
    <w:rsid w:val="25B45963"/>
    <w:rsid w:val="25B461F7"/>
    <w:rsid w:val="25BC0DF5"/>
    <w:rsid w:val="25DF3D83"/>
    <w:rsid w:val="25E64754"/>
    <w:rsid w:val="25E740AE"/>
    <w:rsid w:val="260C4542"/>
    <w:rsid w:val="26307BB3"/>
    <w:rsid w:val="26345887"/>
    <w:rsid w:val="265A3A30"/>
    <w:rsid w:val="266E337B"/>
    <w:rsid w:val="26B145E6"/>
    <w:rsid w:val="26D32C40"/>
    <w:rsid w:val="26DE6BE9"/>
    <w:rsid w:val="27212445"/>
    <w:rsid w:val="274176B2"/>
    <w:rsid w:val="274B73C7"/>
    <w:rsid w:val="27745631"/>
    <w:rsid w:val="27E32A7D"/>
    <w:rsid w:val="27E6533A"/>
    <w:rsid w:val="28147D24"/>
    <w:rsid w:val="285836A1"/>
    <w:rsid w:val="28935DCB"/>
    <w:rsid w:val="28C841A7"/>
    <w:rsid w:val="28D14C84"/>
    <w:rsid w:val="28D27C5A"/>
    <w:rsid w:val="28D61ED2"/>
    <w:rsid w:val="28DC29AA"/>
    <w:rsid w:val="28E72B85"/>
    <w:rsid w:val="291B38BE"/>
    <w:rsid w:val="294652BC"/>
    <w:rsid w:val="29472FB7"/>
    <w:rsid w:val="29680D6E"/>
    <w:rsid w:val="298C4ACA"/>
    <w:rsid w:val="29A74539"/>
    <w:rsid w:val="29B74904"/>
    <w:rsid w:val="29CA071F"/>
    <w:rsid w:val="29CE62B5"/>
    <w:rsid w:val="29FC4F52"/>
    <w:rsid w:val="2A031F1C"/>
    <w:rsid w:val="2A3900BE"/>
    <w:rsid w:val="2A4D247D"/>
    <w:rsid w:val="2A4F704A"/>
    <w:rsid w:val="2A583745"/>
    <w:rsid w:val="2AA4041F"/>
    <w:rsid w:val="2AC74E4F"/>
    <w:rsid w:val="2B1753B0"/>
    <w:rsid w:val="2B3C59B7"/>
    <w:rsid w:val="2B5B04EA"/>
    <w:rsid w:val="2B636F92"/>
    <w:rsid w:val="2B7319D4"/>
    <w:rsid w:val="2B7602B2"/>
    <w:rsid w:val="2B7B3AF3"/>
    <w:rsid w:val="2B875AFB"/>
    <w:rsid w:val="2B8E0E98"/>
    <w:rsid w:val="2B9B1F74"/>
    <w:rsid w:val="2BA57268"/>
    <w:rsid w:val="2BB30F14"/>
    <w:rsid w:val="2BCA15E8"/>
    <w:rsid w:val="2BCD4CB5"/>
    <w:rsid w:val="2C29763F"/>
    <w:rsid w:val="2C2E5E1B"/>
    <w:rsid w:val="2C712CD8"/>
    <w:rsid w:val="2C866E45"/>
    <w:rsid w:val="2C997D5C"/>
    <w:rsid w:val="2C9E09F9"/>
    <w:rsid w:val="2CA9430A"/>
    <w:rsid w:val="2CC01274"/>
    <w:rsid w:val="2CC732D3"/>
    <w:rsid w:val="2CCD2FBB"/>
    <w:rsid w:val="2CF3645B"/>
    <w:rsid w:val="2D305EA4"/>
    <w:rsid w:val="2D3A1340"/>
    <w:rsid w:val="2D5B72F6"/>
    <w:rsid w:val="2D616FAC"/>
    <w:rsid w:val="2D7E5F34"/>
    <w:rsid w:val="2DA25D0A"/>
    <w:rsid w:val="2DA546A4"/>
    <w:rsid w:val="2DA96523"/>
    <w:rsid w:val="2DB94DC2"/>
    <w:rsid w:val="2DB9678E"/>
    <w:rsid w:val="2DD227B8"/>
    <w:rsid w:val="2DDD2D80"/>
    <w:rsid w:val="2DEA2653"/>
    <w:rsid w:val="2E05005E"/>
    <w:rsid w:val="2E0E3057"/>
    <w:rsid w:val="2E3978D5"/>
    <w:rsid w:val="2E8B5AB2"/>
    <w:rsid w:val="2EB31470"/>
    <w:rsid w:val="2EB5266B"/>
    <w:rsid w:val="2EC55207"/>
    <w:rsid w:val="2EFB2DE7"/>
    <w:rsid w:val="2EFD31A5"/>
    <w:rsid w:val="2F042345"/>
    <w:rsid w:val="2F0824F4"/>
    <w:rsid w:val="2F155DA7"/>
    <w:rsid w:val="2F2C4BD2"/>
    <w:rsid w:val="2F386C07"/>
    <w:rsid w:val="2F3F0C23"/>
    <w:rsid w:val="2F4743D4"/>
    <w:rsid w:val="2F5E26BF"/>
    <w:rsid w:val="2F826BA4"/>
    <w:rsid w:val="2FDA0455"/>
    <w:rsid w:val="2FF81DFD"/>
    <w:rsid w:val="2FF90250"/>
    <w:rsid w:val="30067389"/>
    <w:rsid w:val="300F065F"/>
    <w:rsid w:val="30357AFE"/>
    <w:rsid w:val="30863F6B"/>
    <w:rsid w:val="30943D13"/>
    <w:rsid w:val="30C456CA"/>
    <w:rsid w:val="30CB0A29"/>
    <w:rsid w:val="30D61ED6"/>
    <w:rsid w:val="30F67E62"/>
    <w:rsid w:val="314C0871"/>
    <w:rsid w:val="319A07E6"/>
    <w:rsid w:val="31BF13AC"/>
    <w:rsid w:val="31C66919"/>
    <w:rsid w:val="31E608E5"/>
    <w:rsid w:val="31F62DA0"/>
    <w:rsid w:val="32002ABE"/>
    <w:rsid w:val="32090296"/>
    <w:rsid w:val="325F503E"/>
    <w:rsid w:val="32913319"/>
    <w:rsid w:val="32CD2340"/>
    <w:rsid w:val="32D01B17"/>
    <w:rsid w:val="33290DB6"/>
    <w:rsid w:val="33353370"/>
    <w:rsid w:val="334D31DA"/>
    <w:rsid w:val="33547F3B"/>
    <w:rsid w:val="337B7BEF"/>
    <w:rsid w:val="338F6BDB"/>
    <w:rsid w:val="339F584E"/>
    <w:rsid w:val="33A32B6D"/>
    <w:rsid w:val="33AD1AEE"/>
    <w:rsid w:val="33AD7C76"/>
    <w:rsid w:val="33BF6A9E"/>
    <w:rsid w:val="33CC3D88"/>
    <w:rsid w:val="33CD0FB2"/>
    <w:rsid w:val="33DA7325"/>
    <w:rsid w:val="33F87550"/>
    <w:rsid w:val="34090578"/>
    <w:rsid w:val="34120229"/>
    <w:rsid w:val="34290CB8"/>
    <w:rsid w:val="342D1631"/>
    <w:rsid w:val="34424A17"/>
    <w:rsid w:val="345D03A6"/>
    <w:rsid w:val="346377F5"/>
    <w:rsid w:val="34647465"/>
    <w:rsid w:val="34B93106"/>
    <w:rsid w:val="34D374CB"/>
    <w:rsid w:val="34D641D4"/>
    <w:rsid w:val="34F82800"/>
    <w:rsid w:val="352D7B2E"/>
    <w:rsid w:val="355E302C"/>
    <w:rsid w:val="35895328"/>
    <w:rsid w:val="35A04F88"/>
    <w:rsid w:val="35A3254C"/>
    <w:rsid w:val="35A74648"/>
    <w:rsid w:val="35E10ED8"/>
    <w:rsid w:val="35E41A0A"/>
    <w:rsid w:val="3621205E"/>
    <w:rsid w:val="364D63A5"/>
    <w:rsid w:val="36567656"/>
    <w:rsid w:val="365C1239"/>
    <w:rsid w:val="366A390C"/>
    <w:rsid w:val="36852011"/>
    <w:rsid w:val="368D2087"/>
    <w:rsid w:val="370D309D"/>
    <w:rsid w:val="370F7254"/>
    <w:rsid w:val="371837CF"/>
    <w:rsid w:val="373D152D"/>
    <w:rsid w:val="37403642"/>
    <w:rsid w:val="377A6D9F"/>
    <w:rsid w:val="379E428A"/>
    <w:rsid w:val="37B60A7D"/>
    <w:rsid w:val="37B77117"/>
    <w:rsid w:val="380235F6"/>
    <w:rsid w:val="38023878"/>
    <w:rsid w:val="3804115A"/>
    <w:rsid w:val="381A44C5"/>
    <w:rsid w:val="3834724C"/>
    <w:rsid w:val="384F76AB"/>
    <w:rsid w:val="389771E3"/>
    <w:rsid w:val="38CC3C52"/>
    <w:rsid w:val="38CE513F"/>
    <w:rsid w:val="38D02CEA"/>
    <w:rsid w:val="390F2C63"/>
    <w:rsid w:val="3918590F"/>
    <w:rsid w:val="39240ACD"/>
    <w:rsid w:val="39247E6B"/>
    <w:rsid w:val="392903AF"/>
    <w:rsid w:val="392F5C4C"/>
    <w:rsid w:val="398F2E10"/>
    <w:rsid w:val="39915FC6"/>
    <w:rsid w:val="39AF5FD9"/>
    <w:rsid w:val="39F523B5"/>
    <w:rsid w:val="39F84FC7"/>
    <w:rsid w:val="3A000F6A"/>
    <w:rsid w:val="3A24096A"/>
    <w:rsid w:val="3A466E12"/>
    <w:rsid w:val="3A4A10F0"/>
    <w:rsid w:val="3A580107"/>
    <w:rsid w:val="3A690764"/>
    <w:rsid w:val="3A8515F0"/>
    <w:rsid w:val="3A91748F"/>
    <w:rsid w:val="3A9D3193"/>
    <w:rsid w:val="3AA77929"/>
    <w:rsid w:val="3ACB7183"/>
    <w:rsid w:val="3B3366B6"/>
    <w:rsid w:val="3B456A8B"/>
    <w:rsid w:val="3B6E2210"/>
    <w:rsid w:val="3B7905A1"/>
    <w:rsid w:val="3B95085E"/>
    <w:rsid w:val="3BD36865"/>
    <w:rsid w:val="3BDD7091"/>
    <w:rsid w:val="3BFC52F7"/>
    <w:rsid w:val="3C0F4D88"/>
    <w:rsid w:val="3C7F2E9F"/>
    <w:rsid w:val="3C94676F"/>
    <w:rsid w:val="3C9E0644"/>
    <w:rsid w:val="3CA01AE5"/>
    <w:rsid w:val="3CA15031"/>
    <w:rsid w:val="3CB000C9"/>
    <w:rsid w:val="3CB20D1C"/>
    <w:rsid w:val="3CB70B63"/>
    <w:rsid w:val="3CD55A4F"/>
    <w:rsid w:val="3D3E6AAC"/>
    <w:rsid w:val="3D4F6AA6"/>
    <w:rsid w:val="3D5B79C4"/>
    <w:rsid w:val="3D9537F6"/>
    <w:rsid w:val="3DA65507"/>
    <w:rsid w:val="3DBE70C7"/>
    <w:rsid w:val="3DF615AD"/>
    <w:rsid w:val="3DFD3891"/>
    <w:rsid w:val="3E1563A0"/>
    <w:rsid w:val="3E1A5315"/>
    <w:rsid w:val="3E811DBA"/>
    <w:rsid w:val="3E9750C1"/>
    <w:rsid w:val="3EA053BD"/>
    <w:rsid w:val="3EA94414"/>
    <w:rsid w:val="3ED24F5A"/>
    <w:rsid w:val="3ED424AD"/>
    <w:rsid w:val="3EFF5AA4"/>
    <w:rsid w:val="3F19644E"/>
    <w:rsid w:val="3F1C2C0E"/>
    <w:rsid w:val="3F481E54"/>
    <w:rsid w:val="3F551B76"/>
    <w:rsid w:val="3F6A10CC"/>
    <w:rsid w:val="3F7F374A"/>
    <w:rsid w:val="3FB4632C"/>
    <w:rsid w:val="3FDD28F6"/>
    <w:rsid w:val="3FE300E7"/>
    <w:rsid w:val="3FE97A6F"/>
    <w:rsid w:val="3FEE7C8B"/>
    <w:rsid w:val="3FF7137F"/>
    <w:rsid w:val="3FF74C02"/>
    <w:rsid w:val="402E3A57"/>
    <w:rsid w:val="407F5844"/>
    <w:rsid w:val="40965F94"/>
    <w:rsid w:val="40FF45FA"/>
    <w:rsid w:val="410A0FA8"/>
    <w:rsid w:val="411C1447"/>
    <w:rsid w:val="412A1C31"/>
    <w:rsid w:val="416D01A4"/>
    <w:rsid w:val="41740789"/>
    <w:rsid w:val="41945889"/>
    <w:rsid w:val="41A674F7"/>
    <w:rsid w:val="41B006DF"/>
    <w:rsid w:val="41E52815"/>
    <w:rsid w:val="41E75B02"/>
    <w:rsid w:val="41EC764F"/>
    <w:rsid w:val="420563FB"/>
    <w:rsid w:val="42180B1B"/>
    <w:rsid w:val="421B0D1F"/>
    <w:rsid w:val="4233159C"/>
    <w:rsid w:val="42415A41"/>
    <w:rsid w:val="42532F04"/>
    <w:rsid w:val="427E57B6"/>
    <w:rsid w:val="42831D2D"/>
    <w:rsid w:val="428A5C21"/>
    <w:rsid w:val="429A3ED5"/>
    <w:rsid w:val="42C72340"/>
    <w:rsid w:val="42D0034A"/>
    <w:rsid w:val="431067B9"/>
    <w:rsid w:val="431849D5"/>
    <w:rsid w:val="43251536"/>
    <w:rsid w:val="43554AB5"/>
    <w:rsid w:val="435E05EE"/>
    <w:rsid w:val="43675823"/>
    <w:rsid w:val="43B465AB"/>
    <w:rsid w:val="43B7534F"/>
    <w:rsid w:val="43DD5D2A"/>
    <w:rsid w:val="43FD46C7"/>
    <w:rsid w:val="4431187D"/>
    <w:rsid w:val="44344557"/>
    <w:rsid w:val="44F857DB"/>
    <w:rsid w:val="451851EA"/>
    <w:rsid w:val="45226572"/>
    <w:rsid w:val="453E2A0F"/>
    <w:rsid w:val="45647867"/>
    <w:rsid w:val="459B619C"/>
    <w:rsid w:val="45A602D1"/>
    <w:rsid w:val="45FD78FC"/>
    <w:rsid w:val="46011E74"/>
    <w:rsid w:val="4614068A"/>
    <w:rsid w:val="46143659"/>
    <w:rsid w:val="463B397F"/>
    <w:rsid w:val="463E1B53"/>
    <w:rsid w:val="46B30FCF"/>
    <w:rsid w:val="46CC00B3"/>
    <w:rsid w:val="46D87A3E"/>
    <w:rsid w:val="46E07944"/>
    <w:rsid w:val="46EE1E04"/>
    <w:rsid w:val="46FD0ED6"/>
    <w:rsid w:val="4728126A"/>
    <w:rsid w:val="472A7696"/>
    <w:rsid w:val="474F0912"/>
    <w:rsid w:val="4759319A"/>
    <w:rsid w:val="47627666"/>
    <w:rsid w:val="478F09F2"/>
    <w:rsid w:val="47997807"/>
    <w:rsid w:val="47AE3F29"/>
    <w:rsid w:val="47BE0D3F"/>
    <w:rsid w:val="47C771D5"/>
    <w:rsid w:val="47CA68AE"/>
    <w:rsid w:val="47DA0270"/>
    <w:rsid w:val="47F93289"/>
    <w:rsid w:val="481263C0"/>
    <w:rsid w:val="485C5346"/>
    <w:rsid w:val="48732D02"/>
    <w:rsid w:val="48C632A6"/>
    <w:rsid w:val="48C643E5"/>
    <w:rsid w:val="48C83AE1"/>
    <w:rsid w:val="48D547B9"/>
    <w:rsid w:val="48E43F51"/>
    <w:rsid w:val="48F467BF"/>
    <w:rsid w:val="48F804F6"/>
    <w:rsid w:val="48F80D92"/>
    <w:rsid w:val="4912221D"/>
    <w:rsid w:val="49970339"/>
    <w:rsid w:val="49C255CC"/>
    <w:rsid w:val="49CE0FAB"/>
    <w:rsid w:val="49FE2E79"/>
    <w:rsid w:val="4A2B10EF"/>
    <w:rsid w:val="4A3F32C1"/>
    <w:rsid w:val="4A462BA9"/>
    <w:rsid w:val="4A4F3438"/>
    <w:rsid w:val="4A6B32B4"/>
    <w:rsid w:val="4A842D20"/>
    <w:rsid w:val="4A9070DC"/>
    <w:rsid w:val="4AD940D1"/>
    <w:rsid w:val="4ADE3D60"/>
    <w:rsid w:val="4AE277C7"/>
    <w:rsid w:val="4AE61485"/>
    <w:rsid w:val="4B366851"/>
    <w:rsid w:val="4B381C1D"/>
    <w:rsid w:val="4B55492F"/>
    <w:rsid w:val="4B8021BD"/>
    <w:rsid w:val="4BB55ECC"/>
    <w:rsid w:val="4BB766AA"/>
    <w:rsid w:val="4BDD5DE5"/>
    <w:rsid w:val="4BDE34DF"/>
    <w:rsid w:val="4BED5F5D"/>
    <w:rsid w:val="4BF365D6"/>
    <w:rsid w:val="4C2441C0"/>
    <w:rsid w:val="4C303D8F"/>
    <w:rsid w:val="4C564508"/>
    <w:rsid w:val="4CA303F6"/>
    <w:rsid w:val="4CAD0D6F"/>
    <w:rsid w:val="4CD129F7"/>
    <w:rsid w:val="4D072D4B"/>
    <w:rsid w:val="4D121C38"/>
    <w:rsid w:val="4D2B402C"/>
    <w:rsid w:val="4D4C101B"/>
    <w:rsid w:val="4D5E2AFB"/>
    <w:rsid w:val="4D7509E5"/>
    <w:rsid w:val="4D8A78EA"/>
    <w:rsid w:val="4DA954F8"/>
    <w:rsid w:val="4DC0189A"/>
    <w:rsid w:val="4DD13401"/>
    <w:rsid w:val="4DE83FB7"/>
    <w:rsid w:val="4DEA3756"/>
    <w:rsid w:val="4DF84169"/>
    <w:rsid w:val="4DF85B50"/>
    <w:rsid w:val="4E0B5409"/>
    <w:rsid w:val="4E163A34"/>
    <w:rsid w:val="4E1F31D1"/>
    <w:rsid w:val="4E257335"/>
    <w:rsid w:val="4E27378E"/>
    <w:rsid w:val="4E45152F"/>
    <w:rsid w:val="4E4527FE"/>
    <w:rsid w:val="4E477551"/>
    <w:rsid w:val="4E4C0585"/>
    <w:rsid w:val="4E6011B1"/>
    <w:rsid w:val="4E614CA7"/>
    <w:rsid w:val="4E715214"/>
    <w:rsid w:val="4E7B4D7D"/>
    <w:rsid w:val="4E987648"/>
    <w:rsid w:val="4EB45A2D"/>
    <w:rsid w:val="4EC97E70"/>
    <w:rsid w:val="4ED276A5"/>
    <w:rsid w:val="4EEA5A70"/>
    <w:rsid w:val="4F066599"/>
    <w:rsid w:val="4F7C2E75"/>
    <w:rsid w:val="4F7C4185"/>
    <w:rsid w:val="4F871206"/>
    <w:rsid w:val="4F985D7E"/>
    <w:rsid w:val="4F9B6F28"/>
    <w:rsid w:val="4FD2377E"/>
    <w:rsid w:val="4FE83829"/>
    <w:rsid w:val="504015A6"/>
    <w:rsid w:val="504B4904"/>
    <w:rsid w:val="504F58FD"/>
    <w:rsid w:val="5067087C"/>
    <w:rsid w:val="50766910"/>
    <w:rsid w:val="50825725"/>
    <w:rsid w:val="50B319BA"/>
    <w:rsid w:val="50DF2DF0"/>
    <w:rsid w:val="5119199D"/>
    <w:rsid w:val="512D0873"/>
    <w:rsid w:val="5148393B"/>
    <w:rsid w:val="51742DBB"/>
    <w:rsid w:val="519D5FCE"/>
    <w:rsid w:val="51EE14CA"/>
    <w:rsid w:val="526048ED"/>
    <w:rsid w:val="527F6965"/>
    <w:rsid w:val="5284743E"/>
    <w:rsid w:val="52B513BE"/>
    <w:rsid w:val="52B54C41"/>
    <w:rsid w:val="52C31FAE"/>
    <w:rsid w:val="52DE37D9"/>
    <w:rsid w:val="52EB3A96"/>
    <w:rsid w:val="530B1DCC"/>
    <w:rsid w:val="530B3DC1"/>
    <w:rsid w:val="530C2A15"/>
    <w:rsid w:val="532A6B6E"/>
    <w:rsid w:val="532D0494"/>
    <w:rsid w:val="53473B4E"/>
    <w:rsid w:val="535569D5"/>
    <w:rsid w:val="53647E1B"/>
    <w:rsid w:val="536733D9"/>
    <w:rsid w:val="537C1F67"/>
    <w:rsid w:val="5396356C"/>
    <w:rsid w:val="53CF3C2A"/>
    <w:rsid w:val="53E57531"/>
    <w:rsid w:val="53F27CF1"/>
    <w:rsid w:val="54026122"/>
    <w:rsid w:val="543E45CA"/>
    <w:rsid w:val="545C6276"/>
    <w:rsid w:val="54676663"/>
    <w:rsid w:val="546971F8"/>
    <w:rsid w:val="5483205F"/>
    <w:rsid w:val="54941C9D"/>
    <w:rsid w:val="54B070F3"/>
    <w:rsid w:val="54B410C1"/>
    <w:rsid w:val="54B758E5"/>
    <w:rsid w:val="54BB1D58"/>
    <w:rsid w:val="54DB547E"/>
    <w:rsid w:val="54F02293"/>
    <w:rsid w:val="550B03CE"/>
    <w:rsid w:val="550C2566"/>
    <w:rsid w:val="551620D1"/>
    <w:rsid w:val="55360AE1"/>
    <w:rsid w:val="554B00FD"/>
    <w:rsid w:val="55582729"/>
    <w:rsid w:val="558E4D24"/>
    <w:rsid w:val="5597362D"/>
    <w:rsid w:val="55F110E4"/>
    <w:rsid w:val="56284231"/>
    <w:rsid w:val="562D5D05"/>
    <w:rsid w:val="563769EB"/>
    <w:rsid w:val="56535D68"/>
    <w:rsid w:val="565B7F3A"/>
    <w:rsid w:val="56707EE0"/>
    <w:rsid w:val="56813D8A"/>
    <w:rsid w:val="56865F91"/>
    <w:rsid w:val="569A296D"/>
    <w:rsid w:val="56B51847"/>
    <w:rsid w:val="56D33175"/>
    <w:rsid w:val="57223BB6"/>
    <w:rsid w:val="5723399F"/>
    <w:rsid w:val="572C4724"/>
    <w:rsid w:val="57325C9D"/>
    <w:rsid w:val="57472F79"/>
    <w:rsid w:val="57A12D26"/>
    <w:rsid w:val="57C2256B"/>
    <w:rsid w:val="57C849EF"/>
    <w:rsid w:val="57D865F4"/>
    <w:rsid w:val="57DB098D"/>
    <w:rsid w:val="57DB789F"/>
    <w:rsid w:val="58021570"/>
    <w:rsid w:val="58094120"/>
    <w:rsid w:val="584409F3"/>
    <w:rsid w:val="586B3130"/>
    <w:rsid w:val="58837C92"/>
    <w:rsid w:val="588E120F"/>
    <w:rsid w:val="58A55EA7"/>
    <w:rsid w:val="58AF298D"/>
    <w:rsid w:val="58C21302"/>
    <w:rsid w:val="58C45C87"/>
    <w:rsid w:val="58CC3901"/>
    <w:rsid w:val="58DA5096"/>
    <w:rsid w:val="58F127B0"/>
    <w:rsid w:val="58F45083"/>
    <w:rsid w:val="58FF7960"/>
    <w:rsid w:val="590F61DB"/>
    <w:rsid w:val="5911172D"/>
    <w:rsid w:val="59164682"/>
    <w:rsid w:val="592813D0"/>
    <w:rsid w:val="593845AE"/>
    <w:rsid w:val="59473E05"/>
    <w:rsid w:val="595E009D"/>
    <w:rsid w:val="59605715"/>
    <w:rsid w:val="59983875"/>
    <w:rsid w:val="599C1813"/>
    <w:rsid w:val="59A72543"/>
    <w:rsid w:val="59A90B89"/>
    <w:rsid w:val="59AE151C"/>
    <w:rsid w:val="59AE46AB"/>
    <w:rsid w:val="59E00B01"/>
    <w:rsid w:val="59FF13AE"/>
    <w:rsid w:val="59FF35B4"/>
    <w:rsid w:val="5A053FBA"/>
    <w:rsid w:val="5A214E1A"/>
    <w:rsid w:val="5A242506"/>
    <w:rsid w:val="5A4178A0"/>
    <w:rsid w:val="5A4231C3"/>
    <w:rsid w:val="5A423C37"/>
    <w:rsid w:val="5A5237BD"/>
    <w:rsid w:val="5A527D90"/>
    <w:rsid w:val="5A54719F"/>
    <w:rsid w:val="5A5C3E20"/>
    <w:rsid w:val="5A7C5663"/>
    <w:rsid w:val="5A873C05"/>
    <w:rsid w:val="5AA31EC3"/>
    <w:rsid w:val="5ABB5157"/>
    <w:rsid w:val="5ACF2987"/>
    <w:rsid w:val="5AE470AA"/>
    <w:rsid w:val="5B195385"/>
    <w:rsid w:val="5B23490F"/>
    <w:rsid w:val="5B4205EE"/>
    <w:rsid w:val="5B52520A"/>
    <w:rsid w:val="5B84388F"/>
    <w:rsid w:val="5BB907BF"/>
    <w:rsid w:val="5BC530B5"/>
    <w:rsid w:val="5BF93822"/>
    <w:rsid w:val="5C343553"/>
    <w:rsid w:val="5C3F5168"/>
    <w:rsid w:val="5C43447C"/>
    <w:rsid w:val="5C4477A6"/>
    <w:rsid w:val="5C717E23"/>
    <w:rsid w:val="5C862C62"/>
    <w:rsid w:val="5CAE50BE"/>
    <w:rsid w:val="5CBA72C1"/>
    <w:rsid w:val="5CD817AA"/>
    <w:rsid w:val="5D0E0CB8"/>
    <w:rsid w:val="5D2C10FE"/>
    <w:rsid w:val="5D510847"/>
    <w:rsid w:val="5D6D455F"/>
    <w:rsid w:val="5D7A166C"/>
    <w:rsid w:val="5D8574D7"/>
    <w:rsid w:val="5D9863C4"/>
    <w:rsid w:val="5DAC4F3C"/>
    <w:rsid w:val="5DB87CB9"/>
    <w:rsid w:val="5DBF7A37"/>
    <w:rsid w:val="5DC17595"/>
    <w:rsid w:val="5DC60467"/>
    <w:rsid w:val="5DD035D3"/>
    <w:rsid w:val="5DD73BE4"/>
    <w:rsid w:val="5DDA00E6"/>
    <w:rsid w:val="5DF04B2E"/>
    <w:rsid w:val="5DF73463"/>
    <w:rsid w:val="5DFD4574"/>
    <w:rsid w:val="5E012F51"/>
    <w:rsid w:val="5E25390A"/>
    <w:rsid w:val="5E277206"/>
    <w:rsid w:val="5E53354E"/>
    <w:rsid w:val="5E7E7275"/>
    <w:rsid w:val="5E826B8C"/>
    <w:rsid w:val="5EA70526"/>
    <w:rsid w:val="5EAD5A9C"/>
    <w:rsid w:val="5EE7685D"/>
    <w:rsid w:val="5EFC3B2F"/>
    <w:rsid w:val="5F4D3766"/>
    <w:rsid w:val="5F7311B6"/>
    <w:rsid w:val="5F742BEE"/>
    <w:rsid w:val="5F7A1446"/>
    <w:rsid w:val="5FC4637B"/>
    <w:rsid w:val="5FE15609"/>
    <w:rsid w:val="5FE656B4"/>
    <w:rsid w:val="5FE945CD"/>
    <w:rsid w:val="600016DB"/>
    <w:rsid w:val="601379D9"/>
    <w:rsid w:val="601405A3"/>
    <w:rsid w:val="60215E72"/>
    <w:rsid w:val="603F34F9"/>
    <w:rsid w:val="603F6A99"/>
    <w:rsid w:val="60470C7C"/>
    <w:rsid w:val="604A48EF"/>
    <w:rsid w:val="60547CA6"/>
    <w:rsid w:val="6059189E"/>
    <w:rsid w:val="608F4CAC"/>
    <w:rsid w:val="60AB2F17"/>
    <w:rsid w:val="60C404A9"/>
    <w:rsid w:val="60C842D7"/>
    <w:rsid w:val="60EC09BC"/>
    <w:rsid w:val="61170125"/>
    <w:rsid w:val="615728B0"/>
    <w:rsid w:val="61575F3A"/>
    <w:rsid w:val="6185103B"/>
    <w:rsid w:val="61967E27"/>
    <w:rsid w:val="61A45488"/>
    <w:rsid w:val="61A60026"/>
    <w:rsid w:val="61A72B76"/>
    <w:rsid w:val="61FB6C76"/>
    <w:rsid w:val="61FC60AF"/>
    <w:rsid w:val="62183A6B"/>
    <w:rsid w:val="62441245"/>
    <w:rsid w:val="62554DC3"/>
    <w:rsid w:val="627A4816"/>
    <w:rsid w:val="62CA1009"/>
    <w:rsid w:val="62DC26BD"/>
    <w:rsid w:val="6310007F"/>
    <w:rsid w:val="634563DA"/>
    <w:rsid w:val="6380726E"/>
    <w:rsid w:val="638C47A6"/>
    <w:rsid w:val="639732F5"/>
    <w:rsid w:val="639F4501"/>
    <w:rsid w:val="63E23A6A"/>
    <w:rsid w:val="640C0830"/>
    <w:rsid w:val="64442E59"/>
    <w:rsid w:val="64525AEC"/>
    <w:rsid w:val="646C53C2"/>
    <w:rsid w:val="64700DDF"/>
    <w:rsid w:val="64B0659B"/>
    <w:rsid w:val="64E0101A"/>
    <w:rsid w:val="65053052"/>
    <w:rsid w:val="65063438"/>
    <w:rsid w:val="650A20C7"/>
    <w:rsid w:val="650F2A09"/>
    <w:rsid w:val="65187468"/>
    <w:rsid w:val="65735E65"/>
    <w:rsid w:val="65A97206"/>
    <w:rsid w:val="65D43A20"/>
    <w:rsid w:val="65DE679E"/>
    <w:rsid w:val="66071EBB"/>
    <w:rsid w:val="660D2859"/>
    <w:rsid w:val="662064E9"/>
    <w:rsid w:val="66356C3D"/>
    <w:rsid w:val="663B06AA"/>
    <w:rsid w:val="6640582D"/>
    <w:rsid w:val="66424A41"/>
    <w:rsid w:val="6646478F"/>
    <w:rsid w:val="66464ED2"/>
    <w:rsid w:val="664C6B61"/>
    <w:rsid w:val="66655EAB"/>
    <w:rsid w:val="66763229"/>
    <w:rsid w:val="66817847"/>
    <w:rsid w:val="66961574"/>
    <w:rsid w:val="66CE1B4F"/>
    <w:rsid w:val="673614F8"/>
    <w:rsid w:val="674B5C7F"/>
    <w:rsid w:val="674E7DE1"/>
    <w:rsid w:val="675263C4"/>
    <w:rsid w:val="677E08C2"/>
    <w:rsid w:val="67A7139C"/>
    <w:rsid w:val="67DA613F"/>
    <w:rsid w:val="680119E7"/>
    <w:rsid w:val="680F097B"/>
    <w:rsid w:val="6879086C"/>
    <w:rsid w:val="688B4E92"/>
    <w:rsid w:val="688F5976"/>
    <w:rsid w:val="689306AB"/>
    <w:rsid w:val="68C762A1"/>
    <w:rsid w:val="69042F6B"/>
    <w:rsid w:val="69112B88"/>
    <w:rsid w:val="69187F79"/>
    <w:rsid w:val="69435F2F"/>
    <w:rsid w:val="69464AC6"/>
    <w:rsid w:val="694A6F29"/>
    <w:rsid w:val="695A77E2"/>
    <w:rsid w:val="69807548"/>
    <w:rsid w:val="69D10297"/>
    <w:rsid w:val="69E8710E"/>
    <w:rsid w:val="6A006EED"/>
    <w:rsid w:val="6A243F04"/>
    <w:rsid w:val="6A531242"/>
    <w:rsid w:val="6A7176D8"/>
    <w:rsid w:val="6AF26FA7"/>
    <w:rsid w:val="6AF73425"/>
    <w:rsid w:val="6B2D6EB2"/>
    <w:rsid w:val="6B330BCC"/>
    <w:rsid w:val="6B402583"/>
    <w:rsid w:val="6B5C2CB0"/>
    <w:rsid w:val="6B646BAD"/>
    <w:rsid w:val="6B822971"/>
    <w:rsid w:val="6B8F492E"/>
    <w:rsid w:val="6B996D13"/>
    <w:rsid w:val="6BCE4FEF"/>
    <w:rsid w:val="6BEB2D6E"/>
    <w:rsid w:val="6BF63E94"/>
    <w:rsid w:val="6C0731E2"/>
    <w:rsid w:val="6C074D62"/>
    <w:rsid w:val="6C200292"/>
    <w:rsid w:val="6C3863E8"/>
    <w:rsid w:val="6C460131"/>
    <w:rsid w:val="6C470533"/>
    <w:rsid w:val="6C5E0249"/>
    <w:rsid w:val="6C63649C"/>
    <w:rsid w:val="6C68624D"/>
    <w:rsid w:val="6C9425D1"/>
    <w:rsid w:val="6CA855C6"/>
    <w:rsid w:val="6CD64AC8"/>
    <w:rsid w:val="6CE96934"/>
    <w:rsid w:val="6D0C3B7E"/>
    <w:rsid w:val="6D27225D"/>
    <w:rsid w:val="6D427CD7"/>
    <w:rsid w:val="6D64610D"/>
    <w:rsid w:val="6D841ECF"/>
    <w:rsid w:val="6D8C29C6"/>
    <w:rsid w:val="6D903DC5"/>
    <w:rsid w:val="6DCB0C12"/>
    <w:rsid w:val="6DF8337A"/>
    <w:rsid w:val="6E372A2F"/>
    <w:rsid w:val="6E4B0934"/>
    <w:rsid w:val="6E646C5E"/>
    <w:rsid w:val="6E7119A8"/>
    <w:rsid w:val="6E7363D2"/>
    <w:rsid w:val="6E805BA8"/>
    <w:rsid w:val="6E8479CF"/>
    <w:rsid w:val="6E9C0A3E"/>
    <w:rsid w:val="6EA45D87"/>
    <w:rsid w:val="6EB21806"/>
    <w:rsid w:val="6ECA1EE0"/>
    <w:rsid w:val="6EE13359"/>
    <w:rsid w:val="6EFB326F"/>
    <w:rsid w:val="6EFC51A7"/>
    <w:rsid w:val="6F3D238D"/>
    <w:rsid w:val="6F755E7C"/>
    <w:rsid w:val="6FC66C61"/>
    <w:rsid w:val="6FD67088"/>
    <w:rsid w:val="6FD77139"/>
    <w:rsid w:val="6FE10C9C"/>
    <w:rsid w:val="6FF66659"/>
    <w:rsid w:val="701865ED"/>
    <w:rsid w:val="70220B98"/>
    <w:rsid w:val="70223160"/>
    <w:rsid w:val="70234735"/>
    <w:rsid w:val="702415B5"/>
    <w:rsid w:val="70366B51"/>
    <w:rsid w:val="704B5A81"/>
    <w:rsid w:val="704E5152"/>
    <w:rsid w:val="705B3788"/>
    <w:rsid w:val="706D152A"/>
    <w:rsid w:val="706E33A7"/>
    <w:rsid w:val="70984BC8"/>
    <w:rsid w:val="70AF2DD3"/>
    <w:rsid w:val="70CF2B23"/>
    <w:rsid w:val="70D94D2E"/>
    <w:rsid w:val="70F177E2"/>
    <w:rsid w:val="70F8381A"/>
    <w:rsid w:val="714E0FC9"/>
    <w:rsid w:val="714F22C1"/>
    <w:rsid w:val="71673F9B"/>
    <w:rsid w:val="719A48B1"/>
    <w:rsid w:val="71A1693F"/>
    <w:rsid w:val="71AD621D"/>
    <w:rsid w:val="71B30597"/>
    <w:rsid w:val="71D310CC"/>
    <w:rsid w:val="71E6375B"/>
    <w:rsid w:val="72002D7E"/>
    <w:rsid w:val="72565E22"/>
    <w:rsid w:val="726F14DC"/>
    <w:rsid w:val="72CC3D49"/>
    <w:rsid w:val="72DD3342"/>
    <w:rsid w:val="72EA44A9"/>
    <w:rsid w:val="72F25EEB"/>
    <w:rsid w:val="72F8122F"/>
    <w:rsid w:val="72FF44EF"/>
    <w:rsid w:val="733B1918"/>
    <w:rsid w:val="739D2C3A"/>
    <w:rsid w:val="73A6634B"/>
    <w:rsid w:val="73AE4625"/>
    <w:rsid w:val="73C65274"/>
    <w:rsid w:val="73CB6548"/>
    <w:rsid w:val="73D376E0"/>
    <w:rsid w:val="73E21146"/>
    <w:rsid w:val="747643F9"/>
    <w:rsid w:val="74964153"/>
    <w:rsid w:val="74D633FE"/>
    <w:rsid w:val="752175BA"/>
    <w:rsid w:val="753871DF"/>
    <w:rsid w:val="75456AD6"/>
    <w:rsid w:val="75484AA8"/>
    <w:rsid w:val="755B4D01"/>
    <w:rsid w:val="757A14F9"/>
    <w:rsid w:val="757E2397"/>
    <w:rsid w:val="75845FDA"/>
    <w:rsid w:val="758F43F2"/>
    <w:rsid w:val="75BC7564"/>
    <w:rsid w:val="75BE76F2"/>
    <w:rsid w:val="75CE3B11"/>
    <w:rsid w:val="75CE7506"/>
    <w:rsid w:val="75DA1868"/>
    <w:rsid w:val="761C1716"/>
    <w:rsid w:val="7634701E"/>
    <w:rsid w:val="76370AC4"/>
    <w:rsid w:val="765012B9"/>
    <w:rsid w:val="766D539E"/>
    <w:rsid w:val="76AD59D7"/>
    <w:rsid w:val="76BC5D34"/>
    <w:rsid w:val="76BD6A56"/>
    <w:rsid w:val="76F55E05"/>
    <w:rsid w:val="7738733C"/>
    <w:rsid w:val="774C1E1B"/>
    <w:rsid w:val="77524AEB"/>
    <w:rsid w:val="77614483"/>
    <w:rsid w:val="777104B6"/>
    <w:rsid w:val="7773683D"/>
    <w:rsid w:val="779649D1"/>
    <w:rsid w:val="77B07B65"/>
    <w:rsid w:val="77B27EBC"/>
    <w:rsid w:val="77C86830"/>
    <w:rsid w:val="77DC4BC8"/>
    <w:rsid w:val="77F84DD6"/>
    <w:rsid w:val="78124FE2"/>
    <w:rsid w:val="785173F2"/>
    <w:rsid w:val="787902AD"/>
    <w:rsid w:val="78C728B3"/>
    <w:rsid w:val="78D244C8"/>
    <w:rsid w:val="78D92A5F"/>
    <w:rsid w:val="78EA0C48"/>
    <w:rsid w:val="78F227FE"/>
    <w:rsid w:val="78F27057"/>
    <w:rsid w:val="7902477D"/>
    <w:rsid w:val="790430FA"/>
    <w:rsid w:val="791A4F14"/>
    <w:rsid w:val="792E5D71"/>
    <w:rsid w:val="7998687A"/>
    <w:rsid w:val="79A8652D"/>
    <w:rsid w:val="79B5378E"/>
    <w:rsid w:val="79C11BD2"/>
    <w:rsid w:val="79D33C66"/>
    <w:rsid w:val="79D418ED"/>
    <w:rsid w:val="79D84155"/>
    <w:rsid w:val="79F06855"/>
    <w:rsid w:val="7A07726C"/>
    <w:rsid w:val="7A0F5DD0"/>
    <w:rsid w:val="7A18402D"/>
    <w:rsid w:val="7A1D6D32"/>
    <w:rsid w:val="7A342C8F"/>
    <w:rsid w:val="7A473E33"/>
    <w:rsid w:val="7A636821"/>
    <w:rsid w:val="7A6D1290"/>
    <w:rsid w:val="7A700303"/>
    <w:rsid w:val="7A747532"/>
    <w:rsid w:val="7A830BC1"/>
    <w:rsid w:val="7A9366DF"/>
    <w:rsid w:val="7AA85A91"/>
    <w:rsid w:val="7AC56ED8"/>
    <w:rsid w:val="7ADB4A1A"/>
    <w:rsid w:val="7AFC13C1"/>
    <w:rsid w:val="7B05175B"/>
    <w:rsid w:val="7B135E0F"/>
    <w:rsid w:val="7B471575"/>
    <w:rsid w:val="7B536CA4"/>
    <w:rsid w:val="7B5D15F3"/>
    <w:rsid w:val="7B5D4685"/>
    <w:rsid w:val="7B731598"/>
    <w:rsid w:val="7B7C6163"/>
    <w:rsid w:val="7B95406A"/>
    <w:rsid w:val="7BA329FF"/>
    <w:rsid w:val="7BB77CFA"/>
    <w:rsid w:val="7BBF3C16"/>
    <w:rsid w:val="7BC62486"/>
    <w:rsid w:val="7BD3126A"/>
    <w:rsid w:val="7BF97581"/>
    <w:rsid w:val="7C074561"/>
    <w:rsid w:val="7C1E6638"/>
    <w:rsid w:val="7C42096C"/>
    <w:rsid w:val="7C4C3322"/>
    <w:rsid w:val="7C4D6CFD"/>
    <w:rsid w:val="7C5E35A5"/>
    <w:rsid w:val="7CC83FB9"/>
    <w:rsid w:val="7CE23A89"/>
    <w:rsid w:val="7D175B7C"/>
    <w:rsid w:val="7D4824B4"/>
    <w:rsid w:val="7D56328A"/>
    <w:rsid w:val="7D60323B"/>
    <w:rsid w:val="7D61648E"/>
    <w:rsid w:val="7DD77DCC"/>
    <w:rsid w:val="7DE64FC9"/>
    <w:rsid w:val="7DF14D54"/>
    <w:rsid w:val="7DFD5874"/>
    <w:rsid w:val="7E012473"/>
    <w:rsid w:val="7E0C078B"/>
    <w:rsid w:val="7E2A686B"/>
    <w:rsid w:val="7E2D0FC5"/>
    <w:rsid w:val="7E806105"/>
    <w:rsid w:val="7EA0254C"/>
    <w:rsid w:val="7ECD2214"/>
    <w:rsid w:val="7EE03653"/>
    <w:rsid w:val="7EE221B9"/>
    <w:rsid w:val="7F44575C"/>
    <w:rsid w:val="7F700B24"/>
    <w:rsid w:val="7F7A3631"/>
    <w:rsid w:val="7F9D0243"/>
    <w:rsid w:val="7F9F470E"/>
    <w:rsid w:val="7FAC23DA"/>
    <w:rsid w:val="7FAD5A30"/>
    <w:rsid w:val="7FE81C6A"/>
    <w:rsid w:val="7FF27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0" w:name="annotation text"/>
    <w:lsdException w:qFormat="1" w:uiPriority="99" w:semiHidden="0" w:name="header"/>
    <w:lsdException w:qFormat="1"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qFormat="1" w:unhideWhenUsed="0" w:uiPriority="0" w:semiHidden="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0"/>
    <w:pPr>
      <w:keepNext/>
      <w:keepLines/>
      <w:widowControl/>
      <w:spacing w:before="340" w:after="330" w:line="576" w:lineRule="auto"/>
      <w:jc w:val="left"/>
      <w:outlineLvl w:val="0"/>
    </w:pPr>
    <w:rPr>
      <w:b/>
      <w:bCs/>
      <w:kern w:val="44"/>
      <w:sz w:val="44"/>
      <w:szCs w:val="44"/>
    </w:rPr>
  </w:style>
  <w:style w:type="paragraph" w:styleId="4">
    <w:name w:val="heading 2"/>
    <w:basedOn w:val="1"/>
    <w:next w:val="1"/>
    <w:link w:val="36"/>
    <w:qFormat/>
    <w:uiPriority w:val="0"/>
    <w:pPr>
      <w:keepNext/>
      <w:keepLines/>
      <w:spacing w:before="260" w:after="260" w:line="415" w:lineRule="auto"/>
      <w:outlineLvl w:val="1"/>
    </w:pPr>
    <w:rPr>
      <w:rFonts w:ascii="Arial" w:hAnsi="Arial" w:eastAsia="黑体"/>
      <w:b/>
      <w:bCs/>
      <w:sz w:val="32"/>
      <w:szCs w:val="32"/>
    </w:rPr>
  </w:style>
  <w:style w:type="paragraph" w:styleId="2">
    <w:name w:val="heading 3"/>
    <w:basedOn w:val="1"/>
    <w:next w:val="1"/>
    <w:link w:val="34"/>
    <w:qFormat/>
    <w:uiPriority w:val="0"/>
    <w:pPr>
      <w:keepNext/>
      <w:keepLines/>
      <w:spacing w:before="260" w:after="260" w:line="415" w:lineRule="auto"/>
      <w:outlineLvl w:val="2"/>
    </w:pPr>
    <w:rPr>
      <w:b/>
      <w:bCs/>
      <w:sz w:val="32"/>
      <w:szCs w:val="32"/>
    </w:rPr>
  </w:style>
  <w:style w:type="paragraph" w:styleId="5">
    <w:name w:val="heading 4"/>
    <w:basedOn w:val="1"/>
    <w:next w:val="1"/>
    <w:link w:val="37"/>
    <w:qFormat/>
    <w:uiPriority w:val="0"/>
    <w:pPr>
      <w:keepNext/>
      <w:keepLines/>
      <w:spacing w:before="280" w:after="290" w:line="374" w:lineRule="auto"/>
      <w:outlineLvl w:val="3"/>
    </w:pPr>
    <w:rPr>
      <w:rFonts w:ascii="Arial" w:hAnsi="Arial" w:eastAsia="黑体"/>
      <w:b/>
      <w:bCs/>
      <w:sz w:val="28"/>
      <w:szCs w:val="28"/>
    </w:rPr>
  </w:style>
  <w:style w:type="character" w:default="1" w:styleId="30">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link w:val="38"/>
    <w:qFormat/>
    <w:uiPriority w:val="0"/>
    <w:pPr>
      <w:widowControl/>
      <w:ind w:firstLine="420"/>
      <w:jc w:val="left"/>
    </w:pPr>
    <w:rPr>
      <w:rFonts w:ascii="Calibri" w:hAnsi="Calibri" w:cs="黑体"/>
      <w:szCs w:val="22"/>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Salutation"/>
    <w:basedOn w:val="1"/>
    <w:next w:val="1"/>
    <w:link w:val="39"/>
    <w:qFormat/>
    <w:uiPriority w:val="0"/>
  </w:style>
  <w:style w:type="paragraph" w:styleId="9">
    <w:name w:val="Closing"/>
    <w:basedOn w:val="1"/>
    <w:link w:val="40"/>
    <w:qFormat/>
    <w:uiPriority w:val="0"/>
    <w:pPr>
      <w:ind w:left="100" w:leftChars="2100"/>
    </w:pPr>
  </w:style>
  <w:style w:type="paragraph" w:styleId="10">
    <w:name w:val="Body Text"/>
    <w:basedOn w:val="1"/>
    <w:next w:val="11"/>
    <w:link w:val="41"/>
    <w:qFormat/>
    <w:uiPriority w:val="0"/>
    <w:pPr>
      <w:widowControl/>
      <w:jc w:val="left"/>
    </w:pPr>
    <w:rPr>
      <w:kern w:val="0"/>
      <w:sz w:val="24"/>
      <w:szCs w:val="20"/>
    </w:rPr>
  </w:style>
  <w:style w:type="paragraph" w:styleId="11">
    <w:name w:val="Body Text Indent"/>
    <w:basedOn w:val="1"/>
    <w:next w:val="1"/>
    <w:link w:val="42"/>
    <w:qFormat/>
    <w:uiPriority w:val="0"/>
    <w:pPr>
      <w:spacing w:after="120"/>
      <w:ind w:left="420" w:leftChars="200"/>
    </w:pPr>
    <w:rPr>
      <w:rFonts w:ascii="Calibri" w:hAnsi="Calibri" w:cs="黑体"/>
    </w:rPr>
  </w:style>
  <w:style w:type="paragraph" w:styleId="12">
    <w:name w:val="Block Text"/>
    <w:basedOn w:val="1"/>
    <w:qFormat/>
    <w:uiPriority w:val="0"/>
    <w:pPr>
      <w:autoSpaceDE w:val="0"/>
      <w:autoSpaceDN w:val="0"/>
      <w:adjustRightInd w:val="0"/>
      <w:spacing w:line="360" w:lineRule="atLeast"/>
      <w:ind w:left="1418" w:right="1800" w:rightChars="857" w:firstLine="540"/>
    </w:pPr>
    <w:rPr>
      <w:rFonts w:ascii="宋体"/>
      <w:color w:val="000000"/>
      <w:kern w:val="0"/>
      <w:sz w:val="24"/>
    </w:rPr>
  </w:style>
  <w:style w:type="paragraph" w:styleId="13">
    <w:name w:val="Plain Text"/>
    <w:basedOn w:val="1"/>
    <w:link w:val="43"/>
    <w:qFormat/>
    <w:uiPriority w:val="0"/>
    <w:rPr>
      <w:rFonts w:ascii="宋体" w:hAnsi="Courier New" w:cs="黑体"/>
      <w:szCs w:val="22"/>
    </w:rPr>
  </w:style>
  <w:style w:type="paragraph" w:styleId="14">
    <w:name w:val="Date"/>
    <w:basedOn w:val="1"/>
    <w:next w:val="1"/>
    <w:link w:val="44"/>
    <w:qFormat/>
    <w:uiPriority w:val="0"/>
    <w:pPr>
      <w:ind w:left="100" w:leftChars="2500"/>
    </w:pPr>
    <w:rPr>
      <w:rFonts w:ascii="Calibri" w:hAnsi="Calibri" w:cs="黑体"/>
    </w:rPr>
  </w:style>
  <w:style w:type="paragraph" w:styleId="15">
    <w:name w:val="Body Text Indent 2"/>
    <w:basedOn w:val="1"/>
    <w:link w:val="45"/>
    <w:qFormat/>
    <w:uiPriority w:val="0"/>
    <w:pPr>
      <w:spacing w:line="360" w:lineRule="auto"/>
      <w:ind w:left="839" w:hanging="839" w:hangingChars="355"/>
    </w:pPr>
    <w:rPr>
      <w:b/>
      <w:sz w:val="24"/>
    </w:rPr>
  </w:style>
  <w:style w:type="paragraph" w:styleId="16">
    <w:name w:val="Balloon Text"/>
    <w:basedOn w:val="1"/>
    <w:link w:val="46"/>
    <w:qFormat/>
    <w:uiPriority w:val="0"/>
    <w:rPr>
      <w:sz w:val="18"/>
      <w:szCs w:val="18"/>
    </w:rPr>
  </w:style>
  <w:style w:type="paragraph" w:styleId="17">
    <w:name w:val="footer"/>
    <w:basedOn w:val="1"/>
    <w:link w:val="47"/>
    <w:unhideWhenUsed/>
    <w:qFormat/>
    <w:uiPriority w:val="99"/>
    <w:pPr>
      <w:tabs>
        <w:tab w:val="center" w:pos="4153"/>
        <w:tab w:val="right" w:pos="8306"/>
      </w:tabs>
      <w:snapToGrid w:val="0"/>
      <w:jc w:val="left"/>
    </w:pPr>
    <w:rPr>
      <w:sz w:val="18"/>
      <w:szCs w:val="18"/>
    </w:rPr>
  </w:style>
  <w:style w:type="paragraph" w:styleId="18">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tabs>
        <w:tab w:val="left" w:pos="840"/>
        <w:tab w:val="right" w:leader="dot" w:pos="8210"/>
      </w:tabs>
      <w:jc w:val="left"/>
    </w:pPr>
    <w:rPr>
      <w:rFonts w:ascii="仿宋_GB2312" w:hAnsi="宋体" w:eastAsia="仿宋_GB2312"/>
      <w:b/>
      <w:bCs/>
      <w:caps/>
      <w:sz w:val="32"/>
      <w:szCs w:val="32"/>
    </w:rPr>
  </w:style>
  <w:style w:type="paragraph" w:styleId="20">
    <w:name w:val="footnote text"/>
    <w:basedOn w:val="1"/>
    <w:qFormat/>
    <w:uiPriority w:val="0"/>
    <w:pPr>
      <w:snapToGrid w:val="0"/>
      <w:jc w:val="left"/>
    </w:pPr>
    <w:rPr>
      <w:sz w:val="18"/>
    </w:rPr>
  </w:style>
  <w:style w:type="paragraph" w:styleId="21">
    <w:name w:val="table of figures"/>
    <w:basedOn w:val="1"/>
    <w:next w:val="1"/>
    <w:qFormat/>
    <w:uiPriority w:val="0"/>
    <w:pPr>
      <w:adjustRightInd w:val="0"/>
      <w:ind w:left="420" w:hanging="420"/>
      <w:jc w:val="left"/>
      <w:textAlignment w:val="baseline"/>
    </w:pPr>
    <w:rPr>
      <w:rFonts w:eastAsia="楷体_GB2312"/>
      <w:smallCaps/>
      <w:sz w:val="24"/>
      <w:szCs w:val="20"/>
    </w:rPr>
  </w:style>
  <w:style w:type="paragraph" w:styleId="22">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4">
    <w:name w:val="index 1"/>
    <w:basedOn w:val="1"/>
    <w:next w:val="1"/>
    <w:qFormat/>
    <w:uiPriority w:val="0"/>
  </w:style>
  <w:style w:type="paragraph" w:styleId="25">
    <w:name w:val="Body Text First Indent"/>
    <w:basedOn w:val="10"/>
    <w:qFormat/>
    <w:uiPriority w:val="0"/>
    <w:pPr>
      <w:widowControl w:val="0"/>
      <w:spacing w:after="120"/>
      <w:ind w:firstLine="420" w:firstLineChars="100"/>
      <w:jc w:val="both"/>
    </w:pPr>
    <w:rPr>
      <w:kern w:val="2"/>
      <w:sz w:val="21"/>
      <w:szCs w:val="21"/>
    </w:rPr>
  </w:style>
  <w:style w:type="paragraph" w:styleId="26">
    <w:name w:val="Body Text First Indent 2"/>
    <w:basedOn w:val="11"/>
    <w:unhideWhenUsed/>
    <w:qFormat/>
    <w:uiPriority w:val="99"/>
    <w:pPr>
      <w:ind w:firstLine="420" w:firstLineChars="200"/>
    </w:p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9">
    <w:name w:val="Table Theme"/>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rPr>
  </w:style>
  <w:style w:type="character" w:styleId="32">
    <w:name w:val="page number"/>
    <w:qFormat/>
    <w:uiPriority w:val="0"/>
  </w:style>
  <w:style w:type="character" w:styleId="33">
    <w:name w:val="Hyperlink"/>
    <w:qFormat/>
    <w:uiPriority w:val="0"/>
    <w:rPr>
      <w:color w:val="0000FF"/>
      <w:u w:val="single"/>
    </w:rPr>
  </w:style>
  <w:style w:type="character" w:customStyle="1" w:styleId="34">
    <w:name w:val="标题 3 Char"/>
    <w:link w:val="2"/>
    <w:qFormat/>
    <w:uiPriority w:val="0"/>
    <w:rPr>
      <w:rFonts w:ascii="Times New Roman" w:hAnsi="Times New Roman" w:eastAsia="宋体" w:cs="Times New Roman"/>
      <w:b/>
      <w:bCs/>
      <w:sz w:val="32"/>
      <w:szCs w:val="32"/>
    </w:rPr>
  </w:style>
  <w:style w:type="character" w:customStyle="1" w:styleId="35">
    <w:name w:val="标题 1 Char"/>
    <w:link w:val="3"/>
    <w:qFormat/>
    <w:uiPriority w:val="0"/>
    <w:rPr>
      <w:rFonts w:ascii="Times New Roman" w:hAnsi="Times New Roman" w:eastAsia="宋体" w:cs="Times New Roman"/>
      <w:b/>
      <w:bCs/>
      <w:kern w:val="44"/>
      <w:sz w:val="44"/>
      <w:szCs w:val="44"/>
    </w:rPr>
  </w:style>
  <w:style w:type="character" w:customStyle="1" w:styleId="36">
    <w:name w:val="标题 2 Char"/>
    <w:link w:val="4"/>
    <w:qFormat/>
    <w:uiPriority w:val="0"/>
    <w:rPr>
      <w:rFonts w:ascii="Arial" w:hAnsi="Arial" w:eastAsia="黑体" w:cs="Times New Roman"/>
      <w:b/>
      <w:bCs/>
      <w:sz w:val="32"/>
      <w:szCs w:val="32"/>
    </w:rPr>
  </w:style>
  <w:style w:type="character" w:customStyle="1" w:styleId="37">
    <w:name w:val="标题 4 Char"/>
    <w:link w:val="5"/>
    <w:qFormat/>
    <w:uiPriority w:val="0"/>
    <w:rPr>
      <w:rFonts w:ascii="Arial" w:hAnsi="Arial" w:eastAsia="黑体" w:cs="Times New Roman"/>
      <w:b/>
      <w:bCs/>
      <w:sz w:val="28"/>
      <w:szCs w:val="28"/>
    </w:rPr>
  </w:style>
  <w:style w:type="character" w:customStyle="1" w:styleId="38">
    <w:name w:val="正文缩进 Char"/>
    <w:link w:val="6"/>
    <w:qFormat/>
    <w:uiPriority w:val="0"/>
  </w:style>
  <w:style w:type="character" w:customStyle="1" w:styleId="39">
    <w:name w:val="称呼 Char"/>
    <w:link w:val="8"/>
    <w:qFormat/>
    <w:uiPriority w:val="0"/>
    <w:rPr>
      <w:rFonts w:ascii="Times New Roman" w:hAnsi="Times New Roman" w:eastAsia="宋体" w:cs="Times New Roman"/>
      <w:szCs w:val="24"/>
    </w:rPr>
  </w:style>
  <w:style w:type="character" w:customStyle="1" w:styleId="40">
    <w:name w:val="结束语 Char"/>
    <w:link w:val="9"/>
    <w:qFormat/>
    <w:uiPriority w:val="0"/>
    <w:rPr>
      <w:rFonts w:ascii="Times New Roman" w:hAnsi="Times New Roman" w:eastAsia="宋体" w:cs="Times New Roman"/>
      <w:szCs w:val="24"/>
    </w:rPr>
  </w:style>
  <w:style w:type="character" w:customStyle="1" w:styleId="41">
    <w:name w:val="正文文本 Char"/>
    <w:link w:val="10"/>
    <w:qFormat/>
    <w:uiPriority w:val="0"/>
    <w:rPr>
      <w:rFonts w:ascii="Times New Roman" w:hAnsi="Times New Roman" w:eastAsia="宋体" w:cs="Times New Roman"/>
      <w:kern w:val="0"/>
      <w:sz w:val="24"/>
      <w:szCs w:val="20"/>
    </w:rPr>
  </w:style>
  <w:style w:type="character" w:customStyle="1" w:styleId="42">
    <w:name w:val="正文文本缩进 Char"/>
    <w:link w:val="11"/>
    <w:qFormat/>
    <w:uiPriority w:val="0"/>
    <w:rPr>
      <w:szCs w:val="24"/>
    </w:rPr>
  </w:style>
  <w:style w:type="character" w:customStyle="1" w:styleId="43">
    <w:name w:val="纯文本 Char"/>
    <w:link w:val="13"/>
    <w:qFormat/>
    <w:uiPriority w:val="0"/>
    <w:rPr>
      <w:rFonts w:ascii="宋体" w:hAnsi="Courier New"/>
    </w:rPr>
  </w:style>
  <w:style w:type="character" w:customStyle="1" w:styleId="44">
    <w:name w:val="日期 Char"/>
    <w:link w:val="14"/>
    <w:qFormat/>
    <w:uiPriority w:val="0"/>
    <w:rPr>
      <w:szCs w:val="24"/>
    </w:rPr>
  </w:style>
  <w:style w:type="character" w:customStyle="1" w:styleId="45">
    <w:name w:val="正文文本缩进 2 Char"/>
    <w:link w:val="15"/>
    <w:qFormat/>
    <w:uiPriority w:val="0"/>
    <w:rPr>
      <w:rFonts w:ascii="Times New Roman" w:hAnsi="Times New Roman" w:eastAsia="宋体" w:cs="Times New Roman"/>
      <w:b/>
      <w:sz w:val="24"/>
      <w:szCs w:val="24"/>
    </w:rPr>
  </w:style>
  <w:style w:type="character" w:customStyle="1" w:styleId="46">
    <w:name w:val="批注框文本 Char"/>
    <w:link w:val="16"/>
    <w:qFormat/>
    <w:uiPriority w:val="0"/>
    <w:rPr>
      <w:rFonts w:ascii="Times New Roman" w:hAnsi="Times New Roman" w:eastAsia="宋体" w:cs="Times New Roman"/>
      <w:sz w:val="18"/>
      <w:szCs w:val="18"/>
    </w:rPr>
  </w:style>
  <w:style w:type="character" w:customStyle="1" w:styleId="47">
    <w:name w:val="页脚 Char"/>
    <w:link w:val="17"/>
    <w:qFormat/>
    <w:uiPriority w:val="99"/>
    <w:rPr>
      <w:sz w:val="18"/>
      <w:szCs w:val="18"/>
    </w:rPr>
  </w:style>
  <w:style w:type="character" w:customStyle="1" w:styleId="48">
    <w:name w:val="页眉 Char"/>
    <w:link w:val="18"/>
    <w:qFormat/>
    <w:uiPriority w:val="99"/>
    <w:rPr>
      <w:sz w:val="18"/>
      <w:szCs w:val="18"/>
    </w:rPr>
  </w:style>
  <w:style w:type="character" w:customStyle="1" w:styleId="49">
    <w:name w:val="HTML 预设格式 Char"/>
    <w:link w:val="22"/>
    <w:qFormat/>
    <w:uiPriority w:val="0"/>
    <w:rPr>
      <w:rFonts w:ascii="宋体" w:hAnsi="宋体" w:eastAsia="宋体" w:cs="宋体"/>
      <w:kern w:val="0"/>
      <w:sz w:val="24"/>
      <w:szCs w:val="24"/>
    </w:rPr>
  </w:style>
  <w:style w:type="character" w:customStyle="1" w:styleId="50">
    <w:name w:val="采购正文 Char"/>
    <w:link w:val="51"/>
    <w:qFormat/>
    <w:uiPriority w:val="0"/>
    <w:rPr>
      <w:rFonts w:ascii="仿宋" w:hAnsi="仿宋" w:eastAsia="仿宋"/>
      <w:kern w:val="24"/>
      <w:sz w:val="24"/>
      <w:szCs w:val="24"/>
      <w:lang w:val="en-US" w:eastAsia="zh-CN" w:bidi="ar-SA"/>
    </w:rPr>
  </w:style>
  <w:style w:type="paragraph" w:customStyle="1" w:styleId="51">
    <w:name w:val="采购正文"/>
    <w:link w:val="50"/>
    <w:qFormat/>
    <w:uiPriority w:val="0"/>
    <w:pPr>
      <w:widowControl w:val="0"/>
      <w:autoSpaceDE w:val="0"/>
      <w:autoSpaceDN w:val="0"/>
      <w:spacing w:line="560" w:lineRule="exact"/>
      <w:ind w:firstLine="480" w:firstLineChars="200"/>
      <w:contextualSpacing/>
      <w:jc w:val="both"/>
    </w:pPr>
    <w:rPr>
      <w:rFonts w:ascii="仿宋" w:hAnsi="仿宋" w:eastAsia="仿宋" w:cs="Times New Roman"/>
      <w:kern w:val="24"/>
      <w:sz w:val="24"/>
      <w:szCs w:val="24"/>
      <w:lang w:val="en-US" w:eastAsia="zh-CN" w:bidi="ar-SA"/>
    </w:rPr>
  </w:style>
  <w:style w:type="character" w:customStyle="1" w:styleId="52">
    <w:name w:val="正文文本缩进 Char1"/>
    <w:semiHidden/>
    <w:qFormat/>
    <w:uiPriority w:val="99"/>
    <w:rPr>
      <w:rFonts w:ascii="Times New Roman" w:hAnsi="Times New Roman" w:eastAsia="宋体" w:cs="Times New Roman"/>
      <w:szCs w:val="24"/>
    </w:rPr>
  </w:style>
  <w:style w:type="character" w:customStyle="1" w:styleId="53">
    <w:name w:val="p31"/>
    <w:qFormat/>
    <w:uiPriority w:val="0"/>
    <w:rPr>
      <w:sz w:val="20"/>
      <w:szCs w:val="20"/>
    </w:rPr>
  </w:style>
  <w:style w:type="character" w:customStyle="1" w:styleId="54">
    <w:name w:val="正文缩进 Char1"/>
    <w:qFormat/>
    <w:uiPriority w:val="0"/>
    <w:rPr>
      <w:rFonts w:eastAsia="宋体"/>
      <w:kern w:val="2"/>
      <w:sz w:val="21"/>
      <w:szCs w:val="24"/>
      <w:lang w:val="en-US" w:eastAsia="zh-CN" w:bidi="ar-SA"/>
    </w:rPr>
  </w:style>
  <w:style w:type="character" w:customStyle="1" w:styleId="55">
    <w:name w:val="纯文本 Char1"/>
    <w:qFormat/>
    <w:uiPriority w:val="0"/>
    <w:rPr>
      <w:rFonts w:ascii="宋体" w:hAnsi="Courier New" w:eastAsia="宋体" w:cs="Courier New"/>
      <w:szCs w:val="21"/>
    </w:rPr>
  </w:style>
  <w:style w:type="character" w:customStyle="1" w:styleId="56">
    <w:name w:val="日期 Char1"/>
    <w:semiHidden/>
    <w:qFormat/>
    <w:uiPriority w:val="99"/>
    <w:rPr>
      <w:rFonts w:ascii="Times New Roman" w:hAnsi="Times New Roman" w:eastAsia="宋体" w:cs="Times New Roman"/>
      <w:szCs w:val="24"/>
    </w:rPr>
  </w:style>
  <w:style w:type="character" w:customStyle="1" w:styleId="57">
    <w:name w:val="hei"/>
    <w:qFormat/>
    <w:uiPriority w:val="0"/>
  </w:style>
  <w:style w:type="paragraph" w:customStyle="1" w:styleId="58">
    <w:name w:val="封面字体4"/>
    <w:basedOn w:val="1"/>
    <w:qFormat/>
    <w:uiPriority w:val="0"/>
    <w:pPr>
      <w:spacing w:line="240" w:lineRule="atLeast"/>
    </w:pPr>
    <w:rPr>
      <w:rFonts w:ascii="黑体" w:hAnsi="华文细黑" w:eastAsia="黑体" w:cs="Arial"/>
      <w:b/>
      <w:bCs/>
      <w:spacing w:val="100"/>
      <w:kern w:val="0"/>
      <w:sz w:val="44"/>
      <w:szCs w:val="28"/>
    </w:rPr>
  </w:style>
  <w:style w:type="paragraph" w:customStyle="1" w:styleId="59">
    <w:name w:val="默认段落字体 Para Char"/>
    <w:basedOn w:val="1"/>
    <w:qFormat/>
    <w:uiPriority w:val="0"/>
    <w:pPr>
      <w:adjustRightInd w:val="0"/>
      <w:spacing w:line="360" w:lineRule="auto"/>
    </w:pPr>
    <w:rPr>
      <w:rFonts w:ascii="宋体" w:hAnsi="宋体" w:cs="宋体"/>
      <w:kern w:val="0"/>
      <w:sz w:val="24"/>
      <w:szCs w:val="20"/>
    </w:rPr>
  </w:style>
  <w:style w:type="paragraph" w:customStyle="1" w:styleId="60">
    <w:name w:val="[Normal]"/>
    <w:qFormat/>
    <w:uiPriority w:val="0"/>
    <w:rPr>
      <w:rFonts w:ascii="宋体" w:hAnsi="宋体" w:eastAsia="宋体" w:cs="Times New Roman"/>
      <w:sz w:val="24"/>
      <w:szCs w:val="22"/>
      <w:lang w:val="en-US" w:eastAsia="en-US" w:bidi="ar-SA"/>
    </w:rPr>
  </w:style>
  <w:style w:type="paragraph" w:customStyle="1" w:styleId="6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6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列出段落1"/>
    <w:basedOn w:val="1"/>
    <w:qFormat/>
    <w:uiPriority w:val="34"/>
    <w:pPr>
      <w:ind w:firstLine="420" w:firstLineChars="200"/>
    </w:pPr>
  </w:style>
  <w:style w:type="paragraph" w:customStyle="1" w:styleId="64">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正文2"/>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6">
    <w:name w:val="默认段落字体 Para Char Char Char Char"/>
    <w:basedOn w:val="1"/>
    <w:qFormat/>
    <w:uiPriority w:val="0"/>
  </w:style>
  <w:style w:type="paragraph" w:customStyle="1" w:styleId="67">
    <w:name w:val="封面字体3"/>
    <w:basedOn w:val="1"/>
    <w:qFormat/>
    <w:uiPriority w:val="0"/>
    <w:pPr>
      <w:spacing w:line="240" w:lineRule="atLeast"/>
    </w:pPr>
    <w:rPr>
      <w:rFonts w:ascii="黑体" w:hAnsi="华文细黑" w:eastAsia="黑体" w:cs="Arial"/>
      <w:bCs/>
      <w:spacing w:val="100"/>
      <w:kern w:val="0"/>
      <w:sz w:val="44"/>
      <w:szCs w:val="28"/>
    </w:rPr>
  </w:style>
  <w:style w:type="paragraph" w:customStyle="1" w:styleId="68">
    <w:name w:val="列出段落2"/>
    <w:basedOn w:val="1"/>
    <w:qFormat/>
    <w:uiPriority w:val="34"/>
    <w:pPr>
      <w:ind w:firstLine="420" w:firstLineChars="200"/>
    </w:pPr>
  </w:style>
  <w:style w:type="paragraph" w:customStyle="1" w:styleId="69">
    <w:name w:val="纯文本2"/>
    <w:basedOn w:val="1"/>
    <w:qFormat/>
    <w:uiPriority w:val="0"/>
    <w:pPr>
      <w:adjustRightInd w:val="0"/>
      <w:textAlignment w:val="baseline"/>
    </w:pPr>
    <w:rPr>
      <w:rFonts w:ascii="宋体" w:hAnsi="Courier New" w:eastAsia="楷体_GB2312"/>
      <w:sz w:val="26"/>
      <w:szCs w:val="20"/>
    </w:rPr>
  </w:style>
  <w:style w:type="paragraph" w:customStyle="1" w:styleId="7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1">
    <w:name w:val="纯文本1"/>
    <w:basedOn w:val="1"/>
    <w:qFormat/>
    <w:uiPriority w:val="0"/>
    <w:pPr>
      <w:adjustRightInd w:val="0"/>
      <w:textAlignment w:val="baseline"/>
    </w:pPr>
    <w:rPr>
      <w:rFonts w:ascii="宋体" w:hAnsi="Courier New" w:eastAsia="楷体_GB2312"/>
      <w:sz w:val="26"/>
      <w:szCs w:val="20"/>
    </w:rPr>
  </w:style>
  <w:style w:type="paragraph" w:styleId="72">
    <w:name w:val="List Paragraph"/>
    <w:basedOn w:val="1"/>
    <w:qFormat/>
    <w:uiPriority w:val="34"/>
    <w:pPr>
      <w:ind w:firstLine="420" w:firstLineChars="200"/>
    </w:pPr>
  </w:style>
  <w:style w:type="paragraph" w:customStyle="1" w:styleId="73">
    <w:name w:val="text9"/>
    <w:basedOn w:val="1"/>
    <w:qFormat/>
    <w:uiPriority w:val="0"/>
    <w:pPr>
      <w:widowControl/>
      <w:spacing w:before="100" w:beforeAutospacing="1" w:after="100" w:afterAutospacing="1"/>
      <w:jc w:val="left"/>
    </w:pPr>
    <w:rPr>
      <w:rFonts w:ascii="宋体" w:hAnsi="宋体"/>
      <w:kern w:val="0"/>
      <w:sz w:val="24"/>
    </w:rPr>
  </w:style>
  <w:style w:type="paragraph" w:customStyle="1" w:styleId="7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6">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7">
    <w:name w:val="List Paragraph1"/>
    <w:basedOn w:val="1"/>
    <w:qFormat/>
    <w:uiPriority w:val="99"/>
    <w:pPr>
      <w:ind w:firstLine="420" w:firstLineChars="200"/>
    </w:pPr>
  </w:style>
  <w:style w:type="paragraph" w:customStyle="1" w:styleId="78">
    <w:name w:val="Normal Indent1"/>
    <w:basedOn w:val="1"/>
    <w:unhideWhenUsed/>
    <w:qFormat/>
    <w:uiPriority w:val="99"/>
    <w:pPr>
      <w:ind w:firstLine="420" w:firstLineChars="200"/>
    </w:pPr>
  </w:style>
  <w:style w:type="paragraph" w:customStyle="1" w:styleId="79">
    <w:name w:val="Table Paragraph"/>
    <w:basedOn w:val="1"/>
    <w:qFormat/>
    <w:uiPriority w:val="1"/>
    <w:rPr>
      <w:rFonts w:ascii="宋体" w:hAnsi="宋体" w:cs="宋体"/>
      <w:lang w:val="zh-CN" w:bidi="zh-CN"/>
    </w:rPr>
  </w:style>
  <w:style w:type="paragraph" w:customStyle="1" w:styleId="80">
    <w:name w:val="0"/>
    <w:basedOn w:val="1"/>
    <w:qFormat/>
    <w:uiPriority w:val="0"/>
    <w:pPr>
      <w:widowControl/>
      <w:snapToGrid w:val="0"/>
    </w:pPr>
    <w:rPr>
      <w:kern w:val="0"/>
      <w:szCs w:val="21"/>
    </w:rPr>
  </w:style>
  <w:style w:type="paragraph" w:customStyle="1" w:styleId="81">
    <w:name w:val="正"/>
    <w:basedOn w:val="1"/>
    <w:qFormat/>
    <w:uiPriority w:val="0"/>
    <w:pPr>
      <w:ind w:firstLine="525"/>
    </w:pPr>
    <w:rPr>
      <w:spacing w:val="20"/>
      <w:szCs w:val="20"/>
    </w:rPr>
  </w:style>
  <w:style w:type="paragraph" w:customStyle="1" w:styleId="82">
    <w:name w:val="WPS Plain"/>
    <w:qFormat/>
    <w:uiPriority w:val="0"/>
    <w:rPr>
      <w:rFonts w:ascii="Times New Roman" w:hAnsi="Times New Roman" w:eastAsia="宋体" w:cs="Times New Roman"/>
      <w:lang w:val="en-US" w:eastAsia="zh-CN" w:bidi="ar-SA"/>
    </w:rPr>
  </w:style>
  <w:style w:type="paragraph" w:customStyle="1" w:styleId="83">
    <w:name w:val="正文无缩进"/>
    <w:basedOn w:val="1"/>
    <w:qFormat/>
    <w:uiPriority w:val="0"/>
    <w:pPr>
      <w:widowControl/>
      <w:autoSpaceDE w:val="0"/>
      <w:autoSpaceDN w:val="0"/>
      <w:spacing w:line="300" w:lineRule="auto"/>
      <w:textAlignment w:val="bottom"/>
    </w:pPr>
    <w:rPr>
      <w:rFonts w:eastAsia="楷体_GB2312"/>
      <w:szCs w:val="20"/>
    </w:rPr>
  </w:style>
  <w:style w:type="paragraph" w:customStyle="1" w:styleId="84">
    <w:name w:val="列出段落21"/>
    <w:basedOn w:val="1"/>
    <w:qFormat/>
    <w:uiPriority w:val="34"/>
    <w:pPr>
      <w:ind w:firstLine="420" w:firstLineChars="200"/>
    </w:pPr>
  </w:style>
  <w:style w:type="paragraph" w:customStyle="1" w:styleId="85">
    <w:name w:val="列出段落11"/>
    <w:basedOn w:val="1"/>
    <w:qFormat/>
    <w:uiPriority w:val="0"/>
    <w:pPr>
      <w:ind w:firstLine="420" w:firstLineChars="200"/>
    </w:pPr>
    <w:rPr>
      <w:rFonts w:ascii="Calibri" w:hAnsi="Calibri"/>
      <w:szCs w:val="22"/>
    </w:rPr>
  </w:style>
  <w:style w:type="paragraph" w:customStyle="1" w:styleId="86">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87">
    <w:name w:val="表格文字"/>
    <w:basedOn w:val="1"/>
    <w:qFormat/>
    <w:uiPriority w:val="0"/>
    <w:pPr>
      <w:spacing w:before="25" w:after="25"/>
      <w:jc w:val="left"/>
    </w:pPr>
    <w:rPr>
      <w:bCs/>
      <w:spacing w:val="10"/>
      <w:kern w:val="0"/>
      <w:sz w:val="24"/>
    </w:rPr>
  </w:style>
  <w:style w:type="paragraph" w:customStyle="1" w:styleId="88">
    <w:name w:val="15"/>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xl36"/>
    <w:basedOn w:val="1"/>
    <w:qFormat/>
    <w:uiPriority w:val="0"/>
    <w:pPr>
      <w:widowControl/>
      <w:spacing w:before="100" w:after="100"/>
      <w:jc w:val="center"/>
    </w:pPr>
    <w:rPr>
      <w:rFonts w:ascii="宋体" w:hAnsi="宋体"/>
      <w:kern w:val="0"/>
      <w:sz w:val="24"/>
      <w:szCs w:val="20"/>
    </w:rPr>
  </w:style>
  <w:style w:type="paragraph" w:customStyle="1" w:styleId="90">
    <w:name w:val="采购二级"/>
    <w:basedOn w:val="1"/>
    <w:qFormat/>
    <w:uiPriority w:val="0"/>
    <w:pPr>
      <w:snapToGrid w:val="0"/>
      <w:spacing w:line="560" w:lineRule="exact"/>
      <w:ind w:firstLine="480" w:firstLineChars="200"/>
      <w:outlineLvl w:val="1"/>
    </w:pPr>
    <w:rPr>
      <w:rFonts w:ascii="仿宋" w:hAnsi="仿宋" w:eastAsia="仿宋"/>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48</Pages>
  <Words>4297</Words>
  <Characters>24495</Characters>
  <Lines>204</Lines>
  <Paragraphs>57</Paragraphs>
  <TotalTime>17</TotalTime>
  <ScaleCrop>false</ScaleCrop>
  <LinksUpToDate>false</LinksUpToDate>
  <CharactersWithSpaces>28735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2021-11-12T10:09:00Z</dcterms:created>
  <dc:creator>微软用户</dc:creator>
  <cp:lastModifiedBy>隐岚</cp:lastModifiedBy>
  <cp:lastPrinted>2021-02-08T09:26:00Z</cp:lastPrinted>
  <dcterms:modified xsi:type="dcterms:W3CDTF">2021-11-12T10:36:10Z</dcterms:modified>
  <dc:title>克拉玛依市排水管理处九公里、石化电动设备零配件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CE6D5380DCD9443E972927B2EC8DCAF9</vt:lpwstr>
  </property>
</Properties>
</file>