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克州阿图什市新城学校建设项目可行性研究报告、初步设计、施工蓝图设计、人防设计、附属配套设施设计</w:t>
      </w:r>
    </w:p>
    <w:p>
      <w:pPr>
        <w:widowControl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采购项目技术参数</w:t>
      </w:r>
    </w:p>
    <w:p>
      <w:pPr>
        <w:ind w:firstLine="241" w:firstLineChars="100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/>
        </w:rPr>
        <w:t>服务内容：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/>
        </w:rPr>
        <w:t>对克州阿图什市新城学校建设项目所有设计，包括拟新建教学及教辅用房、生活用房、其他用房（科学报告厅、综合体育馆、值班室及大门、室外厕所、配电房、开水房、垃圾房等）约45000平方米、400米环形跑道运动场、人防等相关附属及配套设施设备进行编制可行性研究报告、规划方案（含效果图）、初步设计、施工蓝图设计、人防设计、色彩设计、附属配套设施设计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5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2021-11-24T08:44:13Z</dcterms:created>
  <dc:creator>Administrator</dc:creator>
  <cp:lastModifiedBy>Administrator</cp:lastModifiedBy>
  <dcterms:modified xsi:type="dcterms:W3CDTF">2021-11-24T08:44:54Z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E5C5253F01374E82B5D031A111C103C5</vt:lpwstr>
  </property>
</Properties>
</file>