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spacing w:line="400" w:lineRule="atLeast"/>
        <w:jc w:val="center"/>
        <w:rPr>
          <w:rFonts w:ascii="仿宋" w:hAnsi="仿宋" w:eastAsia="仿宋"/>
          <w:b/>
          <w:sz w:val="52"/>
          <w:szCs w:val="22"/>
        </w:rPr>
      </w:pPr>
    </w:p>
    <w:p>
      <w:pPr>
        <w:pStyle w:val="13"/>
        <w:spacing w:line="400" w:lineRule="atLeast"/>
        <w:jc w:val="center"/>
        <w:rPr>
          <w:rFonts w:ascii="仿宋" w:hAnsi="仿宋" w:eastAsia="仿宋"/>
          <w:b/>
          <w:sz w:val="52"/>
          <w:szCs w:val="22"/>
        </w:rPr>
      </w:pPr>
    </w:p>
    <w:p>
      <w:pPr>
        <w:pStyle w:val="13"/>
        <w:spacing w:line="400" w:lineRule="atLeast"/>
        <w:jc w:val="center"/>
        <w:rPr>
          <w:rFonts w:ascii="仿宋" w:hAnsi="仿宋" w:eastAsia="仿宋"/>
          <w:b/>
          <w:sz w:val="84"/>
        </w:rPr>
      </w:pPr>
      <w:r>
        <w:rPr>
          <w:rFonts w:hint="eastAsia" w:ascii="仿宋" w:hAnsi="仿宋" w:eastAsia="仿宋"/>
          <w:b/>
          <w:sz w:val="52"/>
          <w:szCs w:val="22"/>
        </w:rPr>
        <w:t>公开招标采购文件</w:t>
      </w:r>
    </w:p>
    <w:p>
      <w:pPr>
        <w:pStyle w:val="13"/>
        <w:spacing w:line="400" w:lineRule="atLeast"/>
        <w:jc w:val="center"/>
        <w:rPr>
          <w:rFonts w:hAnsi="宋体"/>
          <w:b/>
          <w:sz w:val="24"/>
        </w:rPr>
      </w:pPr>
    </w:p>
    <w:p>
      <w:pPr>
        <w:jc w:val="center"/>
        <w:rPr>
          <w:b/>
          <w:bCs/>
        </w:rPr>
      </w:pPr>
    </w:p>
    <w:p>
      <w:pPr>
        <w:jc w:val="center"/>
        <w:rPr>
          <w:b/>
          <w:bCs/>
        </w:rPr>
      </w:pPr>
    </w:p>
    <w:p>
      <w:pPr>
        <w:pStyle w:val="7"/>
      </w:pPr>
    </w:p>
    <w:p>
      <w:pPr>
        <w:ind w:firstLine="605" w:firstLineChars="251"/>
        <w:rPr>
          <w:b/>
          <w:bCs/>
          <w:sz w:val="24"/>
        </w:rPr>
      </w:pPr>
    </w:p>
    <w:p>
      <w:pPr>
        <w:tabs>
          <w:tab w:val="left" w:pos="709"/>
        </w:tabs>
        <w:ind w:left="2036" w:leftChars="342" w:hanging="1318" w:hangingChars="450"/>
        <w:rPr>
          <w:rFonts w:ascii="宋体" w:hAnsi="宋体"/>
          <w:b/>
          <w:color w:val="000000"/>
          <w:sz w:val="24"/>
        </w:rPr>
      </w:pPr>
      <w:r>
        <w:rPr>
          <w:rFonts w:hint="eastAsia"/>
          <w:b/>
          <w:spacing w:val="26"/>
          <w:kern w:val="0"/>
          <w:sz w:val="24"/>
        </w:rPr>
        <w:t>项目名称</w:t>
      </w:r>
      <w:r>
        <w:rPr>
          <w:rFonts w:hint="eastAsia"/>
          <w:b/>
          <w:sz w:val="24"/>
        </w:rPr>
        <w:t>：</w:t>
      </w:r>
      <w:r>
        <w:rPr>
          <w:rFonts w:hint="eastAsia"/>
          <w:b/>
          <w:color w:val="000000"/>
          <w:sz w:val="24"/>
        </w:rPr>
        <w:t>米东区铁厂沟镇天山村星空露营基地项目-露营设备</w:t>
      </w:r>
    </w:p>
    <w:p>
      <w:pPr>
        <w:ind w:firstLine="858" w:firstLineChars="356"/>
        <w:rPr>
          <w:b/>
          <w:color w:val="000000"/>
          <w:sz w:val="24"/>
        </w:rPr>
      </w:pPr>
    </w:p>
    <w:p>
      <w:pPr>
        <w:ind w:firstLine="732" w:firstLineChars="250"/>
        <w:rPr>
          <w:rFonts w:ascii="宋体" w:hAnsi="宋体"/>
          <w:b/>
          <w:color w:val="000000"/>
          <w:sz w:val="24"/>
        </w:rPr>
      </w:pPr>
      <w:r>
        <w:rPr>
          <w:rFonts w:hint="eastAsia"/>
          <w:b/>
          <w:color w:val="000000"/>
          <w:spacing w:val="26"/>
          <w:kern w:val="0"/>
          <w:sz w:val="24"/>
        </w:rPr>
        <w:t>采购人</w:t>
      </w:r>
      <w:r>
        <w:rPr>
          <w:rFonts w:hint="eastAsia"/>
          <w:color w:val="000000"/>
          <w:spacing w:val="26"/>
          <w:kern w:val="0"/>
          <w:sz w:val="24"/>
        </w:rPr>
        <w:t>（盖章</w:t>
      </w:r>
      <w:r>
        <w:rPr>
          <w:rFonts w:hint="eastAsia"/>
          <w:color w:val="000000"/>
          <w:spacing w:val="1"/>
          <w:kern w:val="0"/>
          <w:sz w:val="24"/>
        </w:rPr>
        <w:t>）</w:t>
      </w:r>
      <w:r>
        <w:rPr>
          <w:rFonts w:hint="eastAsia"/>
          <w:b/>
          <w:color w:val="000000"/>
          <w:sz w:val="24"/>
        </w:rPr>
        <w:t>：乌鲁木齐市米东区农业农村局（农业综合行政执法大队）</w:t>
      </w:r>
    </w:p>
    <w:p>
      <w:pPr>
        <w:ind w:firstLine="716" w:firstLineChars="327"/>
        <w:rPr>
          <w:b/>
          <w:w w:val="91"/>
          <w:kern w:val="0"/>
          <w:sz w:val="24"/>
        </w:rPr>
      </w:pPr>
    </w:p>
    <w:p>
      <w:pPr>
        <w:ind w:firstLine="716" w:firstLineChars="327"/>
        <w:rPr>
          <w:b/>
          <w:sz w:val="24"/>
        </w:rPr>
      </w:pPr>
      <w:r>
        <w:rPr>
          <w:rFonts w:hint="eastAsia"/>
          <w:b/>
          <w:w w:val="91"/>
          <w:kern w:val="0"/>
          <w:sz w:val="24"/>
        </w:rPr>
        <w:t>法定代表人</w:t>
      </w:r>
      <w:r>
        <w:rPr>
          <w:rFonts w:hint="eastAsia"/>
          <w:spacing w:val="26"/>
          <w:kern w:val="0"/>
          <w:sz w:val="24"/>
        </w:rPr>
        <w:t>（盖章）</w:t>
      </w:r>
      <w:r>
        <w:rPr>
          <w:rFonts w:hint="eastAsia"/>
          <w:b/>
          <w:sz w:val="24"/>
        </w:rPr>
        <w:t xml:space="preserve">： </w:t>
      </w:r>
    </w:p>
    <w:p>
      <w:pPr>
        <w:ind w:firstLine="788" w:firstLineChars="327"/>
        <w:rPr>
          <w:b/>
          <w:sz w:val="24"/>
        </w:rPr>
      </w:pPr>
    </w:p>
    <w:p>
      <w:pPr>
        <w:ind w:firstLine="788" w:firstLineChars="327"/>
        <w:rPr>
          <w:b/>
          <w:sz w:val="24"/>
        </w:rPr>
      </w:pPr>
      <w:r>
        <w:rPr>
          <w:rFonts w:hint="eastAsia"/>
          <w:b/>
          <w:sz w:val="24"/>
        </w:rPr>
        <w:t>联     系     人：单鹏</w:t>
      </w:r>
    </w:p>
    <w:p>
      <w:pPr>
        <w:ind w:firstLine="788" w:firstLineChars="327"/>
        <w:rPr>
          <w:b/>
          <w:sz w:val="24"/>
        </w:rPr>
      </w:pPr>
    </w:p>
    <w:p>
      <w:pPr>
        <w:ind w:firstLine="788" w:firstLineChars="327"/>
        <w:rPr>
          <w:b/>
          <w:sz w:val="24"/>
        </w:rPr>
      </w:pPr>
      <w:r>
        <w:rPr>
          <w:rFonts w:hint="eastAsia"/>
          <w:b/>
          <w:sz w:val="24"/>
        </w:rPr>
        <w:t>联   系  电   话：18999926988</w:t>
      </w:r>
    </w:p>
    <w:p>
      <w:pPr>
        <w:rPr>
          <w:b/>
          <w:sz w:val="24"/>
        </w:rPr>
      </w:pPr>
    </w:p>
    <w:p>
      <w:pPr>
        <w:ind w:firstLine="858" w:firstLineChars="356"/>
        <w:rPr>
          <w:b/>
          <w:sz w:val="24"/>
        </w:rPr>
      </w:pPr>
    </w:p>
    <w:p>
      <w:pPr>
        <w:ind w:firstLine="858" w:firstLineChars="356"/>
        <w:rPr>
          <w:b/>
          <w:sz w:val="24"/>
        </w:rPr>
      </w:pPr>
      <w:r>
        <w:rPr>
          <w:b/>
          <w:sz w:val="24"/>
        </w:rPr>
        <w:pict>
          <v:line id="_x0000_s1026" o:spid="_x0000_s1026" o:spt="20" style="position:absolute;left:0pt;margin-left:36.75pt;margin-top:-0.3pt;height:0.05pt;width:393.75pt;z-index:251665408;mso-width-relative:page;mso-height-relative:page;" coordsize="21600,21600" o:gfxdata="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sEomrZAAAABgEAAA8AAAAAAAAAAQAgAAAAIgAAAGRycy9kb3ducmV2LnhtbFBL&#10;AQIUABQAAAAIAIdO4kAm54sm9QEAAOcDAAAOAAAAAAAAAAEAIAAAACgBAABkcnMvZTJvRG9jLnht&#10;bFBLBQYAAAAABgAGAFkBAACPBQAAAAA=&#10;">
            <v:path arrowok="t"/>
            <v:fill focussize="0,0"/>
            <v:stroke weight="1pt" dashstyle="1 1" endcap="round"/>
            <v:imagedata o:title=""/>
            <o:lock v:ext="edit"/>
          </v:line>
        </w:pict>
      </w:r>
    </w:p>
    <w:p>
      <w:pPr>
        <w:ind w:firstLine="858" w:firstLineChars="356"/>
        <w:rPr>
          <w:b/>
          <w:sz w:val="24"/>
        </w:rPr>
      </w:pPr>
    </w:p>
    <w:p>
      <w:pPr>
        <w:ind w:firstLine="737" w:firstLineChars="306"/>
        <w:rPr>
          <w:b/>
          <w:sz w:val="24"/>
        </w:rPr>
      </w:pPr>
      <w:r>
        <w:rPr>
          <w:rFonts w:hint="eastAsia"/>
          <w:b/>
          <w:sz w:val="24"/>
        </w:rPr>
        <w:t>招标代理机构</w:t>
      </w:r>
      <w:r>
        <w:rPr>
          <w:rFonts w:hint="eastAsia"/>
          <w:sz w:val="24"/>
        </w:rPr>
        <w:t>（盖章）</w:t>
      </w:r>
      <w:r>
        <w:rPr>
          <w:rFonts w:hint="eastAsia"/>
          <w:b/>
          <w:sz w:val="24"/>
        </w:rPr>
        <w:t>：新疆诚晟源项目管理咨询有限公司</w:t>
      </w:r>
    </w:p>
    <w:p>
      <w:pPr>
        <w:ind w:firstLine="858" w:firstLineChars="356"/>
        <w:rPr>
          <w:b/>
          <w:sz w:val="24"/>
        </w:rPr>
      </w:pPr>
    </w:p>
    <w:p>
      <w:pPr>
        <w:ind w:firstLine="699" w:firstLineChars="322"/>
        <w:rPr>
          <w:b/>
          <w:sz w:val="24"/>
        </w:rPr>
      </w:pPr>
      <w:r>
        <w:rPr>
          <w:rFonts w:hint="eastAsia"/>
          <w:b/>
          <w:w w:val="90"/>
          <w:kern w:val="0"/>
          <w:sz w:val="24"/>
        </w:rPr>
        <w:t>法定代表人</w:t>
      </w:r>
      <w:r>
        <w:rPr>
          <w:rFonts w:hint="eastAsia"/>
          <w:w w:val="90"/>
          <w:kern w:val="0"/>
          <w:sz w:val="24"/>
        </w:rPr>
        <w:t>（盖章</w:t>
      </w:r>
      <w:r>
        <w:rPr>
          <w:rFonts w:hint="eastAsia"/>
          <w:spacing w:val="3"/>
          <w:w w:val="90"/>
          <w:kern w:val="0"/>
          <w:sz w:val="24"/>
        </w:rPr>
        <w:t>）</w:t>
      </w:r>
      <w:r>
        <w:rPr>
          <w:rFonts w:hint="eastAsia"/>
          <w:b/>
          <w:sz w:val="24"/>
        </w:rPr>
        <w:t>：刘振雷</w:t>
      </w:r>
    </w:p>
    <w:p>
      <w:pPr>
        <w:ind w:firstLine="858" w:firstLineChars="356"/>
        <w:rPr>
          <w:b/>
          <w:sz w:val="24"/>
        </w:rPr>
      </w:pPr>
    </w:p>
    <w:p>
      <w:pPr>
        <w:ind w:firstLine="719" w:firstLineChars="82"/>
        <w:rPr>
          <w:b/>
          <w:sz w:val="24"/>
        </w:rPr>
      </w:pPr>
      <w:r>
        <w:rPr>
          <w:rFonts w:hint="eastAsia"/>
          <w:b/>
          <w:spacing w:val="318"/>
          <w:kern w:val="0"/>
          <w:sz w:val="24"/>
        </w:rPr>
        <w:t>联系</w:t>
      </w:r>
      <w:r>
        <w:rPr>
          <w:rFonts w:hint="eastAsia"/>
          <w:b/>
          <w:spacing w:val="1"/>
          <w:kern w:val="0"/>
          <w:sz w:val="24"/>
        </w:rPr>
        <w:t>人</w:t>
      </w:r>
      <w:r>
        <w:rPr>
          <w:rFonts w:hint="eastAsia"/>
          <w:b/>
          <w:sz w:val="24"/>
        </w:rPr>
        <w:t>：王淑敏</w:t>
      </w:r>
    </w:p>
    <w:p>
      <w:pPr>
        <w:ind w:firstLine="858" w:firstLineChars="356"/>
        <w:rPr>
          <w:b/>
          <w:sz w:val="24"/>
        </w:rPr>
      </w:pPr>
    </w:p>
    <w:p>
      <w:pPr>
        <w:ind w:firstLine="720" w:firstLineChars="41"/>
        <w:rPr>
          <w:b/>
          <w:sz w:val="24"/>
        </w:rPr>
      </w:pPr>
      <w:r>
        <w:rPr>
          <w:rFonts w:hint="eastAsia"/>
          <w:b/>
          <w:spacing w:val="757"/>
          <w:kern w:val="0"/>
          <w:sz w:val="24"/>
        </w:rPr>
        <w:t>电</w:t>
      </w:r>
      <w:r>
        <w:rPr>
          <w:rFonts w:hint="eastAsia"/>
          <w:b/>
          <w:kern w:val="0"/>
          <w:sz w:val="24"/>
        </w:rPr>
        <w:t>话</w:t>
      </w:r>
      <w:r>
        <w:rPr>
          <w:rFonts w:hint="eastAsia"/>
          <w:b/>
          <w:sz w:val="24"/>
        </w:rPr>
        <w:t>：15022924115</w:t>
      </w:r>
    </w:p>
    <w:p>
      <w:pPr>
        <w:rPr>
          <w:b/>
          <w:sz w:val="24"/>
        </w:rPr>
      </w:pPr>
    </w:p>
    <w:p>
      <w:pPr>
        <w:ind w:firstLine="719" w:firstLineChars="123"/>
        <w:rPr>
          <w:b/>
          <w:bCs/>
          <w:sz w:val="24"/>
        </w:rPr>
      </w:pPr>
      <w:r>
        <w:rPr>
          <w:rFonts w:hint="eastAsia"/>
          <w:b/>
          <w:spacing w:val="172"/>
          <w:kern w:val="0"/>
          <w:sz w:val="24"/>
        </w:rPr>
        <w:t>详细地</w:t>
      </w:r>
      <w:r>
        <w:rPr>
          <w:rFonts w:hint="eastAsia"/>
          <w:b/>
          <w:spacing w:val="1"/>
          <w:kern w:val="0"/>
          <w:sz w:val="24"/>
        </w:rPr>
        <w:t>址</w:t>
      </w:r>
      <w:r>
        <w:rPr>
          <w:rFonts w:hint="eastAsia"/>
          <w:b/>
          <w:sz w:val="24"/>
        </w:rPr>
        <w:t>：乌市水磨沟区龙盛街2799号金昊•浙商大厦1501室</w:t>
      </w:r>
    </w:p>
    <w:p>
      <w:pPr>
        <w:ind w:firstLine="422" w:firstLineChars="200"/>
        <w:jc w:val="center"/>
        <w:rPr>
          <w:rFonts w:ascii="宋体" w:hAnsi="宋体"/>
          <w:b/>
          <w:bCs/>
        </w:rPr>
      </w:pPr>
    </w:p>
    <w:p>
      <w:pPr>
        <w:rPr>
          <w:rFonts w:ascii="宋体" w:hAnsi="宋体"/>
          <w:b/>
          <w:bCs/>
        </w:rPr>
      </w:pPr>
    </w:p>
    <w:p>
      <w:pPr>
        <w:ind w:firstLine="723" w:firstLineChars="200"/>
        <w:jc w:val="center"/>
        <w:rPr>
          <w:rFonts w:ascii="宋体" w:hAnsi="宋体"/>
          <w:b/>
          <w:bCs/>
          <w:sz w:val="36"/>
          <w:szCs w:val="36"/>
        </w:rPr>
      </w:pPr>
    </w:p>
    <w:p/>
    <w:p>
      <w:pPr>
        <w:pStyle w:val="7"/>
      </w:pPr>
    </w:p>
    <w:p>
      <w:pPr>
        <w:spacing w:line="360" w:lineRule="auto"/>
        <w:jc w:val="cente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招标公告</w:t>
      </w:r>
    </w:p>
    <w:tbl>
      <w:tblPr>
        <w:tblStyle w:val="25"/>
        <w:tblW w:w="8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8485" w:type="dxa"/>
            <w:tcBorders>
              <w:top w:val="single" w:color="auto" w:sz="4" w:space="0"/>
              <w:left w:val="single" w:color="auto" w:sz="4" w:space="0"/>
              <w:bottom w:val="single" w:color="auto" w:sz="4" w:space="0"/>
              <w:right w:val="single" w:color="auto" w:sz="4" w:space="0"/>
            </w:tcBorders>
            <w:vAlign w:val="center"/>
          </w:tcPr>
          <w:p>
            <w:pPr>
              <w:pStyle w:val="13"/>
              <w:spacing w:line="360" w:lineRule="auto"/>
              <w:ind w:firstLine="422" w:firstLineChars="200"/>
              <w:rPr>
                <w:rFonts w:asciiTheme="minorEastAsia" w:hAnsiTheme="minorEastAsia" w:eastAsiaTheme="minorEastAsia" w:cstheme="minorEastAsia"/>
                <w:b/>
                <w:bCs/>
                <w:kern w:val="0"/>
                <w:szCs w:val="21"/>
              </w:rPr>
            </w:pPr>
            <w:r>
              <w:rPr>
                <w:rFonts w:hint="eastAsia" w:asciiTheme="minorEastAsia" w:hAnsiTheme="minorEastAsia" w:eastAsiaTheme="minorEastAsia" w:cstheme="minorEastAsia"/>
                <w:b/>
                <w:bCs/>
                <w:kern w:val="0"/>
                <w:szCs w:val="21"/>
              </w:rPr>
              <w:t>项目概况</w:t>
            </w:r>
          </w:p>
          <w:p>
            <w:pPr>
              <w:pStyle w:val="13"/>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kern w:val="0"/>
                <w:szCs w:val="21"/>
              </w:rPr>
              <w:t>米东区铁厂沟镇天山村星空露营基地项目-露营设备的潜在投标人应在获取招标文件，并于2023年0</w:t>
            </w:r>
            <w:r>
              <w:rPr>
                <w:rFonts w:hint="eastAsia" w:asciiTheme="minorEastAsia" w:hAnsiTheme="minorEastAsia" w:eastAsiaTheme="minorEastAsia" w:cstheme="minorEastAsia"/>
                <w:kern w:val="0"/>
                <w:szCs w:val="21"/>
                <w:lang w:val="en-US" w:eastAsia="zh-CN"/>
              </w:rPr>
              <w:t>6</w:t>
            </w:r>
            <w:r>
              <w:rPr>
                <w:rFonts w:hint="eastAsia" w:asciiTheme="minorEastAsia" w:hAnsiTheme="minorEastAsia" w:eastAsiaTheme="minorEastAsia" w:cstheme="minorEastAsia"/>
                <w:kern w:val="0"/>
                <w:szCs w:val="21"/>
              </w:rPr>
              <w:t>月</w:t>
            </w:r>
            <w:r>
              <w:rPr>
                <w:rFonts w:hint="eastAsia" w:asciiTheme="minorEastAsia" w:hAnsiTheme="minorEastAsia" w:eastAsiaTheme="minorEastAsia" w:cstheme="minorEastAsia"/>
                <w:kern w:val="0"/>
                <w:szCs w:val="21"/>
                <w:lang w:val="en-US" w:eastAsia="zh-CN"/>
              </w:rPr>
              <w:t>25</w:t>
            </w:r>
            <w:r>
              <w:rPr>
                <w:rFonts w:hint="eastAsia" w:asciiTheme="minorEastAsia" w:hAnsiTheme="minorEastAsia" w:eastAsiaTheme="minorEastAsia" w:cstheme="minorEastAsia"/>
                <w:kern w:val="0"/>
                <w:szCs w:val="21"/>
              </w:rPr>
              <w:t>日1</w:t>
            </w:r>
            <w:r>
              <w:rPr>
                <w:rFonts w:hint="eastAsia" w:asciiTheme="minorEastAsia" w:hAnsiTheme="minorEastAsia" w:eastAsiaTheme="minorEastAsia" w:cstheme="minorEastAsia"/>
                <w:kern w:val="0"/>
                <w:szCs w:val="21"/>
                <w:lang w:val="en-US" w:eastAsia="zh-CN"/>
              </w:rPr>
              <w:t>6</w:t>
            </w:r>
            <w:r>
              <w:rPr>
                <w:rFonts w:hint="eastAsia" w:asciiTheme="minorEastAsia" w:hAnsiTheme="minorEastAsia" w:eastAsiaTheme="minorEastAsia" w:cstheme="minorEastAsia"/>
                <w:kern w:val="0"/>
                <w:szCs w:val="21"/>
              </w:rPr>
              <w:t>点00分（北京时间）前递交（上传）投标文件。</w:t>
            </w:r>
          </w:p>
        </w:tc>
      </w:tr>
    </w:tbl>
    <w:p>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一、项目基本情况</w:t>
      </w:r>
      <w:r>
        <w:rPr>
          <w:rFonts w:hint="eastAsia" w:asciiTheme="minorEastAsia" w:hAnsiTheme="minorEastAsia" w:eastAsiaTheme="minorEastAsia" w:cstheme="minorEastAsia"/>
          <w:szCs w:val="21"/>
        </w:rPr>
        <w:t>：</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项目编号：[2023]1119号-00</w:t>
      </w: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t xml:space="preserve"> </w:t>
      </w:r>
    </w:p>
    <w:p>
      <w:pPr>
        <w:spacing w:line="360" w:lineRule="auto"/>
        <w:ind w:firstLine="420" w:firstLineChars="200"/>
        <w:rPr>
          <w:rFonts w:ascii="宋体" w:cs="宋体"/>
          <w:color w:val="000000"/>
          <w:kern w:val="0"/>
          <w:szCs w:val="21"/>
        </w:rPr>
      </w:pPr>
      <w:r>
        <w:rPr>
          <w:rFonts w:hint="eastAsia" w:asciiTheme="minorEastAsia" w:hAnsiTheme="minorEastAsia" w:eastAsiaTheme="minorEastAsia" w:cstheme="minorEastAsia"/>
          <w:szCs w:val="21"/>
        </w:rPr>
        <w:t>项目名称：米东区铁厂沟镇天山村星空露营基地项目-露营设备</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采购方式：公开招标</w:t>
      </w:r>
    </w:p>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预算金额：</w:t>
      </w:r>
      <w:r>
        <w:rPr>
          <w:rFonts w:hint="eastAsia" w:asciiTheme="minorEastAsia" w:hAnsiTheme="minorEastAsia" w:eastAsiaTheme="minorEastAsia" w:cstheme="minorEastAsia"/>
          <w:color w:val="000000" w:themeColor="text1"/>
          <w:szCs w:val="21"/>
          <w:lang w:val="en-US" w:eastAsia="zh-CN"/>
        </w:rPr>
        <w:t>2450200</w:t>
      </w:r>
      <w:r>
        <w:rPr>
          <w:rFonts w:hint="eastAsia" w:asciiTheme="minorEastAsia" w:hAnsiTheme="minorEastAsia" w:eastAsiaTheme="minorEastAsia" w:cstheme="minorEastAsia"/>
          <w:color w:val="000000" w:themeColor="text1"/>
          <w:szCs w:val="21"/>
        </w:rPr>
        <w:t>.</w:t>
      </w:r>
      <w:r>
        <w:rPr>
          <w:rFonts w:hint="eastAsia" w:ascii="宋体" w:cs="宋体"/>
          <w:bCs/>
          <w:color w:val="000000" w:themeColor="text1"/>
          <w:szCs w:val="21"/>
        </w:rPr>
        <w:t>00元</w:t>
      </w:r>
    </w:p>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最高限价：</w:t>
      </w:r>
      <w:r>
        <w:rPr>
          <w:rFonts w:hint="eastAsia" w:asciiTheme="minorEastAsia" w:hAnsiTheme="minorEastAsia" w:eastAsiaTheme="minorEastAsia" w:cstheme="minorEastAsia"/>
          <w:color w:val="000000" w:themeColor="text1"/>
          <w:szCs w:val="21"/>
          <w:lang w:val="en-US" w:eastAsia="zh-CN"/>
        </w:rPr>
        <w:t>2450200</w:t>
      </w:r>
      <w:r>
        <w:rPr>
          <w:rFonts w:hint="eastAsia" w:ascii="宋体" w:cs="宋体"/>
          <w:bCs/>
          <w:color w:val="000000" w:themeColor="text1"/>
          <w:szCs w:val="21"/>
        </w:rPr>
        <w:t>.00元</w:t>
      </w:r>
    </w:p>
    <w:p>
      <w:pPr>
        <w:spacing w:line="360" w:lineRule="auto"/>
        <w:ind w:firstLine="420" w:firstLineChars="200"/>
      </w:pPr>
      <w:r>
        <w:rPr>
          <w:rFonts w:hint="eastAsia" w:asciiTheme="minorEastAsia" w:hAnsiTheme="minorEastAsia" w:eastAsiaTheme="minorEastAsia" w:cstheme="minorEastAsia"/>
          <w:szCs w:val="21"/>
        </w:rPr>
        <w:t>采购需求</w:t>
      </w:r>
      <w:r>
        <w:rPr>
          <w:rFonts w:hint="eastAsia" w:ascii="宋体" w:hAnsi="宋体" w:cs="宋体"/>
          <w:szCs w:val="21"/>
        </w:rPr>
        <w:t>：</w:t>
      </w:r>
      <w:r>
        <w:rPr>
          <w:rFonts w:hint="eastAsia" w:ascii="宋体" w:hAnsi="宋体" w:cs="宋体"/>
        </w:rPr>
        <w:t>厨房帐篷1套、大床房野奢帐篷（移动民宿1）3套、亲子款营地房（移动民宿2）4套、印第安敞开帐-10m(星空房)2套、长方形L棉布天幕6套、4m蒙古包8套、大号A型帐套装（露营天幕1）26套。</w:t>
      </w:r>
      <w:r>
        <w:rPr>
          <w:rFonts w:hint="eastAsia" w:ascii="宋体" w:cs="宋体"/>
          <w:color w:val="000000"/>
          <w:kern w:val="0"/>
          <w:szCs w:val="21"/>
        </w:rPr>
        <w:t>（具体</w:t>
      </w:r>
      <w:r>
        <w:rPr>
          <w:rFonts w:hint="eastAsia"/>
        </w:rPr>
        <w:t>详见招标文件）</w:t>
      </w:r>
    </w:p>
    <w:p>
      <w:pPr>
        <w:spacing w:line="360" w:lineRule="auto"/>
        <w:ind w:firstLine="420" w:firstLineChars="200"/>
        <w:rPr>
          <w:rStyle w:val="27"/>
          <w:rFonts w:ascii="宋体" w:hAnsi="Times New Roman" w:cs="宋体"/>
          <w:b w:val="0"/>
          <w:bCs/>
          <w:color w:val="333333"/>
          <w:szCs w:val="21"/>
          <w:shd w:val="clear" w:color="auto" w:fill="FFFFFF"/>
        </w:rPr>
      </w:pPr>
      <w:r>
        <w:rPr>
          <w:rStyle w:val="27"/>
          <w:rFonts w:hint="eastAsia" w:ascii="宋体" w:hAnsi="Times New Roman" w:cs="宋体"/>
          <w:b w:val="0"/>
          <w:bCs/>
          <w:color w:val="333333"/>
          <w:szCs w:val="21"/>
          <w:shd w:val="clear" w:color="auto" w:fill="FFFFFF"/>
        </w:rPr>
        <w:t>合同履约期限：合同签订后90日内完成供货及安装服务</w:t>
      </w:r>
    </w:p>
    <w:p>
      <w:pPr>
        <w:spacing w:line="360" w:lineRule="auto"/>
        <w:ind w:firstLine="420" w:firstLineChars="200"/>
        <w:rPr>
          <w:rStyle w:val="27"/>
          <w:rFonts w:ascii="宋体" w:hAnsi="Times New Roman" w:cs="宋体"/>
          <w:b w:val="0"/>
          <w:bCs/>
          <w:color w:val="333333"/>
          <w:szCs w:val="21"/>
          <w:shd w:val="clear" w:color="auto" w:fill="FFFFFF"/>
        </w:rPr>
      </w:pPr>
      <w:r>
        <w:rPr>
          <w:rStyle w:val="27"/>
          <w:rFonts w:hint="eastAsia" w:ascii="宋体" w:hAnsi="Times New Roman" w:cs="宋体"/>
          <w:b w:val="0"/>
          <w:bCs/>
          <w:color w:val="333333"/>
          <w:szCs w:val="21"/>
          <w:shd w:val="clear" w:color="auto" w:fill="FFFFFF"/>
        </w:rPr>
        <w:t>本项目（否）接受联合体投标。</w:t>
      </w:r>
    </w:p>
    <w:p>
      <w:pPr>
        <w:spacing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二、投标人的资格要求：</w:t>
      </w:r>
    </w:p>
    <w:p>
      <w:pPr>
        <w:pStyle w:val="23"/>
        <w:spacing w:before="0" w:beforeAutospacing="0" w:after="0" w:afterAutospacing="0" w:line="500" w:lineRule="exact"/>
        <w:ind w:firstLine="422" w:firstLineChars="200"/>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b/>
          <w:bCs/>
          <w:kern w:val="2"/>
          <w:sz w:val="21"/>
          <w:szCs w:val="21"/>
        </w:rPr>
        <w:t>1. 满足《中华人民共和国政府采购法》第二十二条规定</w:t>
      </w:r>
      <w:r>
        <w:rPr>
          <w:rFonts w:hint="eastAsia" w:asciiTheme="minorEastAsia" w:hAnsiTheme="minorEastAsia" w:eastAsiaTheme="minorEastAsia" w:cstheme="minorEastAsia"/>
          <w:kern w:val="2"/>
          <w:sz w:val="21"/>
          <w:szCs w:val="21"/>
        </w:rPr>
        <w:t>；</w:t>
      </w:r>
    </w:p>
    <w:p>
      <w:pPr>
        <w:pStyle w:val="23"/>
        <w:spacing w:before="0" w:beforeAutospacing="0" w:after="0" w:afterAutospacing="0" w:line="500" w:lineRule="exact"/>
        <w:ind w:firstLine="420" w:firstLineChars="200"/>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①具有独立承担民事责任的能力；</w:t>
      </w:r>
    </w:p>
    <w:p>
      <w:pPr>
        <w:pStyle w:val="23"/>
        <w:spacing w:before="0" w:beforeAutospacing="0" w:after="0" w:afterAutospacing="0" w:line="500" w:lineRule="exact"/>
        <w:ind w:firstLine="420" w:firstLineChars="200"/>
        <w:rPr>
          <w:rFonts w:asciiTheme="minorEastAsia" w:hAnsiTheme="minorEastAsia" w:eastAsiaTheme="minorEastAsia" w:cstheme="minorEastAsia"/>
          <w:kern w:val="2"/>
          <w:sz w:val="21"/>
          <w:szCs w:val="21"/>
        </w:rPr>
      </w:pPr>
      <w:r>
        <w:rPr>
          <w:rFonts w:hint="eastAsia"/>
          <w:color w:val="000000"/>
          <w:sz w:val="21"/>
          <w:szCs w:val="21"/>
        </w:rPr>
        <w:t>②具有良好</w:t>
      </w:r>
      <w:r>
        <w:rPr>
          <w:rFonts w:hint="eastAsia" w:asciiTheme="minorEastAsia" w:hAnsiTheme="minorEastAsia" w:eastAsiaTheme="minorEastAsia" w:cstheme="minorEastAsia"/>
          <w:kern w:val="2"/>
          <w:sz w:val="21"/>
          <w:szCs w:val="21"/>
        </w:rPr>
        <w:t>的商业信誉和健全的</w:t>
      </w:r>
      <w:r>
        <w:fldChar w:fldCharType="begin"/>
      </w:r>
      <w:r>
        <w:instrText xml:space="preserve"> HYPERLINK "http://www.so.com/s?q=%E8%B4%A2%E5%8A%A1%E4%BC%9A%E8%AE%A1%E5%88%B6%E5%BA%A6&amp;ie=utf-8&amp;src=internal_wenda_recommend_textn" \t "https://wenda.so.com/q/_blank" </w:instrText>
      </w:r>
      <w:r>
        <w:fldChar w:fldCharType="separate"/>
      </w:r>
      <w:r>
        <w:rPr>
          <w:rFonts w:hint="eastAsia" w:asciiTheme="minorEastAsia" w:hAnsiTheme="minorEastAsia" w:eastAsiaTheme="minorEastAsia" w:cstheme="minorEastAsia"/>
          <w:kern w:val="2"/>
          <w:sz w:val="21"/>
          <w:szCs w:val="21"/>
        </w:rPr>
        <w:t>财务会计制度</w:t>
      </w:r>
      <w:r>
        <w:rPr>
          <w:rFonts w:hint="eastAsia" w:asciiTheme="minorEastAsia" w:hAnsiTheme="minorEastAsia" w:eastAsiaTheme="minorEastAsia" w:cstheme="minorEastAsia"/>
          <w:kern w:val="2"/>
          <w:sz w:val="21"/>
          <w:szCs w:val="21"/>
        </w:rPr>
        <w:fldChar w:fldCharType="end"/>
      </w:r>
    </w:p>
    <w:p>
      <w:pPr>
        <w:pStyle w:val="23"/>
        <w:spacing w:before="0" w:beforeAutospacing="0" w:after="0" w:afterAutospacing="0" w:line="500" w:lineRule="exact"/>
        <w:ind w:firstLine="420" w:firstLineChars="200"/>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③具有履行合同所必需的设备和专业技术能力；</w:t>
      </w:r>
    </w:p>
    <w:p>
      <w:pPr>
        <w:pStyle w:val="23"/>
        <w:spacing w:before="0" w:beforeAutospacing="0" w:after="0" w:afterAutospacing="0" w:line="500" w:lineRule="exact"/>
        <w:ind w:firstLine="420" w:firstLineChars="200"/>
        <w:rPr>
          <w:color w:val="000000"/>
          <w:sz w:val="21"/>
          <w:szCs w:val="21"/>
        </w:rPr>
      </w:pPr>
      <w:r>
        <w:rPr>
          <w:rFonts w:hint="eastAsia"/>
          <w:color w:val="000000"/>
          <w:sz w:val="21"/>
          <w:szCs w:val="21"/>
        </w:rPr>
        <w:t>④有依法缴纳税收和</w:t>
      </w:r>
      <w:r>
        <w:fldChar w:fldCharType="begin"/>
      </w:r>
      <w:r>
        <w:instrText xml:space="preserve"> HYPERLINK "http://www.so.com/s?q=%E7%A4%BE%E4%BC%9A%E4%BF%9D%E9%9A%9C%E8%B5%84%E9%87%91&amp;ie=utf-8&amp;src=internal_wenda_recommend_textn" \t "https://wenda.so.com/q/_blank" </w:instrText>
      </w:r>
      <w:r>
        <w:fldChar w:fldCharType="separate"/>
      </w:r>
      <w:r>
        <w:rPr>
          <w:rFonts w:hint="eastAsia"/>
          <w:color w:val="000000"/>
          <w:sz w:val="21"/>
          <w:szCs w:val="21"/>
        </w:rPr>
        <w:t>社会保障资金</w:t>
      </w:r>
      <w:r>
        <w:rPr>
          <w:rFonts w:hint="eastAsia"/>
          <w:color w:val="000000"/>
          <w:sz w:val="21"/>
          <w:szCs w:val="21"/>
        </w:rPr>
        <w:fldChar w:fldCharType="end"/>
      </w:r>
      <w:r>
        <w:rPr>
          <w:rFonts w:hint="eastAsia"/>
          <w:color w:val="000000"/>
          <w:sz w:val="21"/>
          <w:szCs w:val="21"/>
        </w:rPr>
        <w:t>的良好记录(提供近半年任意连续二个月依法缴纳税收和社会保障资金的相关材料,如依法免税或不需要缴纳社会保障资金的,应提供相应证明文件)；</w:t>
      </w:r>
    </w:p>
    <w:p>
      <w:pPr>
        <w:pStyle w:val="23"/>
        <w:spacing w:before="0" w:beforeAutospacing="0" w:after="0" w:afterAutospacing="0" w:line="500" w:lineRule="exact"/>
        <w:ind w:firstLine="420" w:firstLineChars="200"/>
        <w:rPr>
          <w:color w:val="000000"/>
          <w:sz w:val="21"/>
          <w:szCs w:val="21"/>
        </w:rPr>
      </w:pPr>
      <w:r>
        <w:rPr>
          <w:rFonts w:hint="eastAsia"/>
          <w:color w:val="000000"/>
          <w:sz w:val="21"/>
          <w:szCs w:val="21"/>
        </w:rPr>
        <w:t>⑤参加政府采购活动前三年内，在经营活动中没有重大违法记录(提供书面声明原件)；</w:t>
      </w:r>
    </w:p>
    <w:p>
      <w:pPr>
        <w:pStyle w:val="23"/>
        <w:spacing w:before="0" w:beforeAutospacing="0" w:after="0" w:afterAutospacing="0" w:line="500" w:lineRule="exact"/>
        <w:ind w:firstLine="420" w:firstLineChars="200"/>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⑥法律、行政法规规定的其他条件。</w:t>
      </w:r>
    </w:p>
    <w:p>
      <w:pPr>
        <w:pStyle w:val="23"/>
        <w:spacing w:before="0" w:beforeAutospacing="0" w:after="0" w:afterAutospacing="0" w:line="500" w:lineRule="exact"/>
        <w:ind w:firstLine="422" w:firstLineChars="200"/>
        <w:rPr>
          <w:rFonts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b/>
          <w:bCs/>
          <w:kern w:val="2"/>
          <w:sz w:val="21"/>
          <w:szCs w:val="21"/>
        </w:rPr>
        <w:t>2、落实政府采购政策需满足的资格要求：</w:t>
      </w:r>
    </w:p>
    <w:p>
      <w:pPr>
        <w:pStyle w:val="23"/>
        <w:spacing w:before="0" w:beforeAutospacing="0" w:after="0" w:afterAutospacing="0" w:line="500" w:lineRule="exact"/>
        <w:ind w:firstLine="422" w:firstLineChars="200"/>
        <w:rPr>
          <w:rFonts w:asciiTheme="minorEastAsia" w:hAnsiTheme="minorEastAsia" w:eastAsiaTheme="minorEastAsia" w:cstheme="minorEastAsia"/>
          <w:color w:val="FF0000"/>
          <w:kern w:val="2"/>
          <w:sz w:val="21"/>
          <w:szCs w:val="21"/>
        </w:rPr>
      </w:pPr>
      <w:r>
        <w:rPr>
          <w:rFonts w:hint="eastAsia" w:asciiTheme="minorEastAsia" w:hAnsiTheme="minorEastAsia" w:eastAsiaTheme="minorEastAsia" w:cstheme="minorEastAsia"/>
          <w:b/>
          <w:bCs/>
          <w:kern w:val="2"/>
          <w:sz w:val="21"/>
          <w:szCs w:val="21"/>
        </w:rPr>
        <w:t>供应商为小微企业</w:t>
      </w:r>
    </w:p>
    <w:p>
      <w:pPr>
        <w:pStyle w:val="23"/>
        <w:spacing w:before="0" w:beforeAutospacing="0" w:after="0" w:afterAutospacing="0" w:line="500" w:lineRule="exact"/>
        <w:ind w:firstLine="422" w:firstLineChars="200"/>
        <w:rPr>
          <w:rFonts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b/>
          <w:bCs/>
          <w:kern w:val="2"/>
          <w:sz w:val="21"/>
          <w:szCs w:val="21"/>
        </w:rPr>
        <w:t>3.本项目的特定资格要求：</w:t>
      </w:r>
    </w:p>
    <w:p>
      <w:pPr>
        <w:pStyle w:val="23"/>
        <w:spacing w:before="0" w:beforeAutospacing="0" w:after="0" w:afterAutospacing="0" w:line="500" w:lineRule="exact"/>
        <w:ind w:firstLine="422" w:firstLineChars="200"/>
        <w:rPr>
          <w:rFonts w:asciiTheme="minorEastAsia" w:hAnsiTheme="minorEastAsia" w:eastAsiaTheme="minorEastAsia" w:cstheme="minorEastAsia"/>
          <w:b/>
          <w:bCs/>
          <w:color w:val="0000FF"/>
          <w:kern w:val="2"/>
          <w:sz w:val="21"/>
          <w:szCs w:val="21"/>
        </w:rPr>
      </w:pPr>
      <w:r>
        <w:rPr>
          <w:rFonts w:hint="eastAsia" w:asciiTheme="minorEastAsia" w:hAnsiTheme="minorEastAsia" w:eastAsiaTheme="minorEastAsia" w:cstheme="minorEastAsia"/>
          <w:b/>
          <w:bCs/>
          <w:color w:val="0000FF"/>
          <w:kern w:val="2"/>
          <w:sz w:val="21"/>
          <w:szCs w:val="21"/>
        </w:rPr>
        <w:t>无</w:t>
      </w:r>
    </w:p>
    <w:p>
      <w:pPr>
        <w:spacing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三、获取采购文件:</w:t>
      </w:r>
    </w:p>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szCs w:val="21"/>
        </w:rPr>
        <w:t>时</w:t>
      </w:r>
      <w:r>
        <w:rPr>
          <w:rFonts w:hint="eastAsia" w:asciiTheme="minorEastAsia" w:hAnsiTheme="minorEastAsia" w:eastAsiaTheme="minorEastAsia" w:cstheme="minorEastAsia"/>
          <w:color w:val="000000" w:themeColor="text1"/>
          <w:szCs w:val="21"/>
        </w:rPr>
        <w:t>间：2023年</w:t>
      </w:r>
      <w:r>
        <w:rPr>
          <w:rFonts w:hint="eastAsia" w:asciiTheme="minorEastAsia" w:hAnsiTheme="minorEastAsia" w:eastAsiaTheme="minorEastAsia" w:cstheme="minorEastAsia"/>
          <w:color w:val="000000" w:themeColor="text1"/>
          <w:szCs w:val="21"/>
          <w:lang w:val="en-US" w:eastAsia="zh-CN"/>
        </w:rPr>
        <w:t>06</w:t>
      </w:r>
      <w:r>
        <w:rPr>
          <w:rFonts w:hint="eastAsia" w:asciiTheme="minorEastAsia" w:hAnsiTheme="minorEastAsia" w:eastAsiaTheme="minorEastAsia" w:cstheme="minorEastAsia"/>
          <w:color w:val="000000" w:themeColor="text1"/>
          <w:szCs w:val="21"/>
        </w:rPr>
        <w:t>月</w:t>
      </w:r>
      <w:r>
        <w:rPr>
          <w:rFonts w:hint="eastAsia" w:asciiTheme="minorEastAsia" w:hAnsiTheme="minorEastAsia" w:eastAsiaTheme="minorEastAsia" w:cstheme="minorEastAsia"/>
          <w:color w:val="000000" w:themeColor="text1"/>
          <w:szCs w:val="21"/>
          <w:lang w:val="en-US" w:eastAsia="zh-CN"/>
        </w:rPr>
        <w:t>02</w:t>
      </w:r>
      <w:r>
        <w:rPr>
          <w:rFonts w:hint="eastAsia" w:asciiTheme="minorEastAsia" w:hAnsiTheme="minorEastAsia" w:eastAsiaTheme="minorEastAsia" w:cstheme="minorEastAsia"/>
          <w:color w:val="000000" w:themeColor="text1"/>
          <w:szCs w:val="21"/>
        </w:rPr>
        <w:t>日至2023年</w:t>
      </w:r>
      <w:r>
        <w:rPr>
          <w:rFonts w:hint="eastAsia" w:asciiTheme="minorEastAsia" w:hAnsiTheme="minorEastAsia" w:eastAsiaTheme="minorEastAsia" w:cstheme="minorEastAsia"/>
          <w:color w:val="000000" w:themeColor="text1"/>
          <w:szCs w:val="21"/>
          <w:lang w:val="en-US" w:eastAsia="zh-CN"/>
        </w:rPr>
        <w:t>06</w:t>
      </w:r>
      <w:r>
        <w:rPr>
          <w:rFonts w:hint="eastAsia" w:asciiTheme="minorEastAsia" w:hAnsiTheme="minorEastAsia" w:eastAsiaTheme="minorEastAsia" w:cstheme="minorEastAsia"/>
          <w:color w:val="000000" w:themeColor="text1"/>
          <w:szCs w:val="21"/>
        </w:rPr>
        <w:t>月</w:t>
      </w:r>
      <w:r>
        <w:rPr>
          <w:rFonts w:hint="eastAsia" w:asciiTheme="minorEastAsia" w:hAnsiTheme="minorEastAsia" w:eastAsiaTheme="minorEastAsia" w:cstheme="minorEastAsia"/>
          <w:color w:val="000000" w:themeColor="text1"/>
          <w:szCs w:val="21"/>
          <w:lang w:val="en-US" w:eastAsia="zh-CN"/>
        </w:rPr>
        <w:t>12</w:t>
      </w:r>
      <w:r>
        <w:rPr>
          <w:rFonts w:hint="eastAsia" w:asciiTheme="minorEastAsia" w:hAnsiTheme="minorEastAsia" w:eastAsiaTheme="minorEastAsia" w:cstheme="minorEastAsia"/>
          <w:color w:val="000000" w:themeColor="text1"/>
          <w:szCs w:val="21"/>
        </w:rPr>
        <w:t>日（北京时间，法定节假日除外）</w:t>
      </w:r>
    </w:p>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每天上午</w:t>
      </w:r>
      <w:r>
        <w:rPr>
          <w:rFonts w:hint="eastAsia" w:asciiTheme="minorEastAsia" w:hAnsiTheme="minorEastAsia" w:eastAsiaTheme="minorEastAsia" w:cstheme="minorEastAsia"/>
          <w:color w:val="000000" w:themeColor="text1"/>
          <w:szCs w:val="21"/>
          <w:lang w:val="en-US" w:eastAsia="zh-CN"/>
        </w:rPr>
        <w:t>0</w:t>
      </w:r>
      <w:r>
        <w:rPr>
          <w:rFonts w:hint="eastAsia" w:asciiTheme="minorEastAsia" w:hAnsiTheme="minorEastAsia" w:eastAsiaTheme="minorEastAsia" w:cstheme="minorEastAsia"/>
          <w:color w:val="000000" w:themeColor="text1"/>
          <w:szCs w:val="21"/>
        </w:rPr>
        <w:t>0:00-1</w:t>
      </w:r>
      <w:r>
        <w:rPr>
          <w:rFonts w:hint="eastAsia" w:asciiTheme="minorEastAsia" w:hAnsiTheme="minorEastAsia" w:eastAsiaTheme="minorEastAsia" w:cstheme="minorEastAsia"/>
          <w:color w:val="000000" w:themeColor="text1"/>
          <w:szCs w:val="21"/>
          <w:lang w:val="en-US" w:eastAsia="zh-CN"/>
        </w:rPr>
        <w:t>2</w:t>
      </w:r>
      <w:r>
        <w:rPr>
          <w:rFonts w:hint="eastAsia" w:asciiTheme="minorEastAsia" w:hAnsiTheme="minorEastAsia" w:eastAsiaTheme="minorEastAsia" w:cstheme="minorEastAsia"/>
          <w:color w:val="000000" w:themeColor="text1"/>
          <w:szCs w:val="21"/>
        </w:rPr>
        <w:t>:</w:t>
      </w:r>
      <w:r>
        <w:rPr>
          <w:rFonts w:hint="eastAsia" w:asciiTheme="minorEastAsia" w:hAnsiTheme="minorEastAsia" w:eastAsiaTheme="minorEastAsia" w:cstheme="minorEastAsia"/>
          <w:color w:val="000000" w:themeColor="text1"/>
          <w:szCs w:val="21"/>
          <w:lang w:val="en-US" w:eastAsia="zh-CN"/>
        </w:rPr>
        <w:t>0</w:t>
      </w:r>
      <w:r>
        <w:rPr>
          <w:rFonts w:hint="eastAsia" w:asciiTheme="minorEastAsia" w:hAnsiTheme="minorEastAsia" w:eastAsiaTheme="minorEastAsia" w:cstheme="minorEastAsia"/>
          <w:color w:val="000000" w:themeColor="text1"/>
          <w:szCs w:val="21"/>
        </w:rPr>
        <w:t>0，下午1</w:t>
      </w:r>
      <w:r>
        <w:rPr>
          <w:rFonts w:hint="eastAsia" w:asciiTheme="minorEastAsia" w:hAnsiTheme="minorEastAsia" w:eastAsiaTheme="minorEastAsia" w:cstheme="minorEastAsia"/>
          <w:color w:val="000000" w:themeColor="text1"/>
          <w:szCs w:val="21"/>
          <w:lang w:val="en-US" w:eastAsia="zh-CN"/>
        </w:rPr>
        <w:t>2</w:t>
      </w:r>
      <w:r>
        <w:rPr>
          <w:rFonts w:hint="eastAsia" w:asciiTheme="minorEastAsia" w:hAnsiTheme="minorEastAsia" w:eastAsiaTheme="minorEastAsia" w:cstheme="minorEastAsia"/>
          <w:color w:val="000000" w:themeColor="text1"/>
          <w:szCs w:val="21"/>
        </w:rPr>
        <w:t>:</w:t>
      </w:r>
      <w:r>
        <w:rPr>
          <w:rFonts w:hint="eastAsia" w:asciiTheme="minorEastAsia" w:hAnsiTheme="minorEastAsia" w:eastAsiaTheme="minorEastAsia" w:cstheme="minorEastAsia"/>
          <w:color w:val="000000" w:themeColor="text1"/>
          <w:szCs w:val="21"/>
          <w:lang w:val="en-US" w:eastAsia="zh-CN"/>
        </w:rPr>
        <w:t>0</w:t>
      </w:r>
      <w:r>
        <w:rPr>
          <w:rFonts w:hint="eastAsia" w:asciiTheme="minorEastAsia" w:hAnsiTheme="minorEastAsia" w:eastAsiaTheme="minorEastAsia" w:cstheme="minorEastAsia"/>
          <w:color w:val="000000" w:themeColor="text1"/>
          <w:szCs w:val="21"/>
        </w:rPr>
        <w:t>0-</w:t>
      </w:r>
      <w:r>
        <w:rPr>
          <w:rFonts w:hint="eastAsia" w:asciiTheme="minorEastAsia" w:hAnsiTheme="minorEastAsia" w:eastAsiaTheme="minorEastAsia" w:cstheme="minorEastAsia"/>
          <w:color w:val="000000" w:themeColor="text1"/>
          <w:szCs w:val="21"/>
          <w:lang w:val="en-US" w:eastAsia="zh-CN"/>
        </w:rPr>
        <w:t>23</w:t>
      </w:r>
      <w:r>
        <w:rPr>
          <w:rFonts w:hint="eastAsia" w:asciiTheme="minorEastAsia" w:hAnsiTheme="minorEastAsia" w:eastAsiaTheme="minorEastAsia" w:cstheme="minorEastAsia"/>
          <w:color w:val="000000" w:themeColor="text1"/>
          <w:szCs w:val="21"/>
        </w:rPr>
        <w:t>:</w:t>
      </w:r>
      <w:r>
        <w:rPr>
          <w:rFonts w:hint="eastAsia" w:asciiTheme="minorEastAsia" w:hAnsiTheme="minorEastAsia" w:eastAsiaTheme="minorEastAsia" w:cstheme="minorEastAsia"/>
          <w:color w:val="000000" w:themeColor="text1"/>
          <w:szCs w:val="21"/>
          <w:lang w:val="en-US" w:eastAsia="zh-CN"/>
        </w:rPr>
        <w:t>59</w:t>
      </w:r>
      <w:r>
        <w:rPr>
          <w:rFonts w:hint="eastAsia" w:asciiTheme="minorEastAsia" w:hAnsiTheme="minorEastAsia" w:eastAsiaTheme="minorEastAsia" w:cstheme="minorEastAsia"/>
          <w:color w:val="000000" w:themeColor="text1"/>
          <w:szCs w:val="21"/>
        </w:rPr>
        <w:t>，</w:t>
      </w:r>
    </w:p>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地点：登陆政采云https://www.zcygov.cn/平台后进入“项目采购“应用，在获取文件菜单中选择项目，提交资格审查材料，审核通过后，方可获取招标文件。</w:t>
      </w:r>
    </w:p>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方式：投标单位须办理CA数字证书，通过CA数字证书登陆政采云平台https://www.zcygov.cn/，进行下载招标文件。</w:t>
      </w:r>
    </w:p>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售价：/</w:t>
      </w:r>
    </w:p>
    <w:p>
      <w:pPr>
        <w:spacing w:line="360" w:lineRule="auto"/>
        <w:ind w:firstLine="422"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b/>
          <w:bCs/>
          <w:color w:val="000000" w:themeColor="text1"/>
          <w:szCs w:val="21"/>
        </w:rPr>
        <w:t>四、提交投标文件截止时间、开标时间和地点:</w:t>
      </w:r>
      <w:r>
        <w:rPr>
          <w:rFonts w:hint="eastAsia" w:asciiTheme="minorEastAsia" w:hAnsiTheme="minorEastAsia" w:eastAsiaTheme="minorEastAsia" w:cstheme="minorEastAsia"/>
          <w:color w:val="000000" w:themeColor="text1"/>
          <w:szCs w:val="21"/>
        </w:rPr>
        <w:t>（北京时间，如有调整、另行通知）</w:t>
      </w:r>
    </w:p>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提交投标文件截止时间：2023年</w:t>
      </w:r>
      <w:r>
        <w:rPr>
          <w:rFonts w:hint="eastAsia" w:asciiTheme="minorEastAsia" w:hAnsiTheme="minorEastAsia" w:eastAsiaTheme="minorEastAsia" w:cstheme="minorEastAsia"/>
          <w:color w:val="000000" w:themeColor="text1"/>
          <w:szCs w:val="21"/>
          <w:lang w:val="en-US" w:eastAsia="zh-CN"/>
        </w:rPr>
        <w:t>6</w:t>
      </w:r>
      <w:r>
        <w:rPr>
          <w:rFonts w:hint="eastAsia" w:asciiTheme="minorEastAsia" w:hAnsiTheme="minorEastAsia" w:eastAsiaTheme="minorEastAsia" w:cstheme="minorEastAsia"/>
          <w:color w:val="000000" w:themeColor="text1"/>
          <w:szCs w:val="21"/>
        </w:rPr>
        <w:t>月</w:t>
      </w:r>
      <w:r>
        <w:rPr>
          <w:rFonts w:hint="eastAsia" w:asciiTheme="minorEastAsia" w:hAnsiTheme="minorEastAsia" w:eastAsiaTheme="minorEastAsia" w:cstheme="minorEastAsia"/>
          <w:color w:val="000000" w:themeColor="text1"/>
          <w:szCs w:val="21"/>
          <w:lang w:val="en-US" w:eastAsia="zh-CN"/>
        </w:rPr>
        <w:t>25</w:t>
      </w:r>
      <w:r>
        <w:rPr>
          <w:rFonts w:hint="eastAsia" w:asciiTheme="minorEastAsia" w:hAnsiTheme="minorEastAsia" w:eastAsiaTheme="minorEastAsia" w:cstheme="minorEastAsia"/>
          <w:color w:val="000000" w:themeColor="text1"/>
          <w:szCs w:val="21"/>
        </w:rPr>
        <w:t>日 1</w:t>
      </w:r>
      <w:r>
        <w:rPr>
          <w:rFonts w:hint="eastAsia" w:asciiTheme="minorEastAsia" w:hAnsiTheme="minorEastAsia" w:eastAsiaTheme="minorEastAsia" w:cstheme="minorEastAsia"/>
          <w:color w:val="000000" w:themeColor="text1"/>
          <w:szCs w:val="21"/>
          <w:lang w:val="en-US" w:eastAsia="zh-CN"/>
        </w:rPr>
        <w:t>6</w:t>
      </w:r>
      <w:r>
        <w:rPr>
          <w:rFonts w:hint="eastAsia" w:asciiTheme="minorEastAsia" w:hAnsiTheme="minorEastAsia" w:eastAsiaTheme="minorEastAsia" w:cstheme="minorEastAsia"/>
          <w:color w:val="000000" w:themeColor="text1"/>
          <w:szCs w:val="21"/>
        </w:rPr>
        <w:t>:00</w:t>
      </w:r>
    </w:p>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投标地点：政采云平台https://www.zcygov.cn/</w:t>
      </w:r>
    </w:p>
    <w:p>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开标时间：2023年</w:t>
      </w:r>
      <w:r>
        <w:rPr>
          <w:rFonts w:hint="eastAsia" w:asciiTheme="minorEastAsia" w:hAnsiTheme="minorEastAsia" w:eastAsiaTheme="minorEastAsia" w:cstheme="minorEastAsia"/>
          <w:color w:val="000000" w:themeColor="text1"/>
          <w:szCs w:val="21"/>
          <w:lang w:val="en-US" w:eastAsia="zh-CN"/>
        </w:rPr>
        <w:t>6</w:t>
      </w:r>
      <w:r>
        <w:rPr>
          <w:rFonts w:hint="eastAsia" w:asciiTheme="minorEastAsia" w:hAnsiTheme="minorEastAsia" w:eastAsiaTheme="minorEastAsia" w:cstheme="minorEastAsia"/>
          <w:color w:val="000000" w:themeColor="text1"/>
          <w:szCs w:val="21"/>
        </w:rPr>
        <w:t>月</w:t>
      </w:r>
      <w:r>
        <w:rPr>
          <w:rFonts w:hint="eastAsia" w:asciiTheme="minorEastAsia" w:hAnsiTheme="minorEastAsia" w:eastAsiaTheme="minorEastAsia" w:cstheme="minorEastAsia"/>
          <w:color w:val="000000" w:themeColor="text1"/>
          <w:szCs w:val="21"/>
          <w:lang w:val="en-US" w:eastAsia="zh-CN"/>
        </w:rPr>
        <w:t>25</w:t>
      </w:r>
      <w:r>
        <w:rPr>
          <w:rFonts w:hint="eastAsia" w:asciiTheme="minorEastAsia" w:hAnsiTheme="minorEastAsia" w:eastAsiaTheme="minorEastAsia" w:cstheme="minorEastAsia"/>
          <w:color w:val="000000" w:themeColor="text1"/>
          <w:szCs w:val="21"/>
        </w:rPr>
        <w:t>日 1</w:t>
      </w:r>
      <w:r>
        <w:rPr>
          <w:rFonts w:hint="eastAsia" w:asciiTheme="minorEastAsia" w:hAnsiTheme="minorEastAsia" w:eastAsiaTheme="minorEastAsia" w:cstheme="minorEastAsia"/>
          <w:color w:val="000000" w:themeColor="text1"/>
          <w:szCs w:val="21"/>
          <w:lang w:val="en-US" w:eastAsia="zh-CN"/>
        </w:rPr>
        <w:t>6</w:t>
      </w:r>
      <w:r>
        <w:rPr>
          <w:rFonts w:hint="eastAsia" w:asciiTheme="minorEastAsia" w:hAnsiTheme="minorEastAsia" w:eastAsiaTheme="minorEastAsia" w:cstheme="minorEastAsia"/>
          <w:color w:val="000000" w:themeColor="text1"/>
          <w:szCs w:val="21"/>
        </w:rPr>
        <w:t>:00</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开标地点：政采云平台https://www.zcygov.cn/</w:t>
      </w:r>
    </w:p>
    <w:p>
      <w:pPr>
        <w:spacing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五、公告期限:</w:t>
      </w:r>
    </w:p>
    <w:p>
      <w:pPr>
        <w:pStyle w:val="23"/>
        <w:spacing w:before="0" w:beforeAutospacing="0" w:after="0" w:afterAutospacing="0" w:line="500" w:lineRule="exact"/>
        <w:ind w:firstLine="420" w:firstLineChars="200"/>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sz w:val="21"/>
          <w:szCs w:val="21"/>
        </w:rPr>
        <w:t>自本公告发布之</w:t>
      </w:r>
      <w:r>
        <w:rPr>
          <w:rFonts w:hint="eastAsia" w:asciiTheme="minorEastAsia" w:hAnsiTheme="minorEastAsia" w:eastAsiaTheme="minorEastAsia" w:cstheme="minorEastAsia"/>
          <w:kern w:val="2"/>
          <w:sz w:val="21"/>
          <w:szCs w:val="21"/>
        </w:rPr>
        <w:t>日起3个工作日。</w:t>
      </w:r>
    </w:p>
    <w:p>
      <w:pPr>
        <w:pStyle w:val="23"/>
        <w:numPr>
          <w:ilvl w:val="0"/>
          <w:numId w:val="2"/>
        </w:numPr>
        <w:spacing w:before="0" w:beforeAutospacing="0" w:after="0" w:afterAutospacing="0" w:line="500" w:lineRule="exact"/>
        <w:ind w:firstLine="422" w:firstLineChars="200"/>
        <w:jc w:val="both"/>
        <w:rPr>
          <w:rFonts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b/>
          <w:bCs/>
          <w:kern w:val="2"/>
          <w:sz w:val="21"/>
          <w:szCs w:val="21"/>
        </w:rPr>
        <w:t>其他补充事宜 </w:t>
      </w:r>
    </w:p>
    <w:p>
      <w:pPr>
        <w:pStyle w:val="23"/>
        <w:spacing w:before="0" w:beforeAutospacing="0" w:after="0" w:afterAutospacing="0" w:line="500" w:lineRule="exact"/>
        <w:ind w:left="422"/>
        <w:jc w:val="both"/>
        <w:rPr>
          <w:rFonts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b/>
          <w:bCs/>
          <w:kern w:val="2"/>
          <w:sz w:val="21"/>
          <w:szCs w:val="21"/>
        </w:rPr>
        <w:t>\</w:t>
      </w:r>
    </w:p>
    <w:p>
      <w:pPr>
        <w:spacing w:line="500" w:lineRule="exact"/>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特别提示：</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1、采购限额标准以上，200万元以下的货物和服务采购项目、400万元以下的工程采购项目，适宜由中小企业提供的，采购人应当专门面向中小企业采购。</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2、超过200万元的货物和服务采购项目、超过400万元的工程采购项目中适宜由中小企业提供的，预留该部分采购项目预算总额的30%以上专门面向中小企业采购，其中预留给小微企业的比例不低于60%。</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七、对本次采购提出询问，请按以下方式联系</w:t>
      </w:r>
      <w:r>
        <w:rPr>
          <w:rFonts w:hint="eastAsia" w:asciiTheme="minorEastAsia" w:hAnsiTheme="minorEastAsia" w:eastAsiaTheme="minorEastAsia" w:cstheme="minorEastAsia"/>
          <w:szCs w:val="21"/>
        </w:rPr>
        <w:t>:</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 采购人信息</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名称：乌鲁木齐市米东区农业农村局（农业综合行政执法大队）</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地址：乌鲁木齐市米东区中鼎街1018号</w:t>
      </w:r>
    </w:p>
    <w:p>
      <w:pPr>
        <w:spacing w:line="360" w:lineRule="auto"/>
        <w:ind w:firstLine="420" w:firstLineChars="200"/>
        <w:rPr>
          <w:rFonts w:ascii="宋体" w:cs="宋体"/>
          <w:color w:val="000000"/>
          <w:kern w:val="0"/>
          <w:szCs w:val="21"/>
        </w:rPr>
      </w:pPr>
      <w:r>
        <w:rPr>
          <w:rFonts w:hint="eastAsia" w:ascii="宋体" w:cs="宋体"/>
          <w:color w:val="000000"/>
          <w:kern w:val="0"/>
          <w:szCs w:val="21"/>
        </w:rPr>
        <w:t>联系人：单鹏</w:t>
      </w:r>
    </w:p>
    <w:p>
      <w:pPr>
        <w:spacing w:line="360" w:lineRule="auto"/>
        <w:ind w:firstLine="420" w:firstLineChars="200"/>
        <w:rPr>
          <w:rFonts w:ascii="宋体" w:cs="宋体"/>
          <w:color w:val="000000"/>
          <w:kern w:val="0"/>
          <w:szCs w:val="21"/>
        </w:rPr>
      </w:pPr>
      <w:r>
        <w:rPr>
          <w:rFonts w:hint="eastAsia" w:ascii="宋体" w:cs="宋体"/>
          <w:color w:val="000000"/>
          <w:kern w:val="0"/>
          <w:szCs w:val="21"/>
        </w:rPr>
        <w:t>电话：18999926988</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 采购代理机构信息</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名称：新疆诚晟源项目管理咨询有限公司</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地址：乌市水磨沟区龙盛街2799号金昊•浙商大厦1501室</w:t>
      </w:r>
    </w:p>
    <w:p>
      <w:pPr>
        <w:spacing w:line="360" w:lineRule="auto"/>
        <w:ind w:firstLine="420" w:firstLineChars="200"/>
      </w:pPr>
      <w:r>
        <w:rPr>
          <w:rFonts w:hint="eastAsia" w:asciiTheme="minorEastAsia" w:hAnsiTheme="minorEastAsia" w:eastAsiaTheme="minorEastAsia" w:cstheme="minorEastAsia"/>
          <w:szCs w:val="21"/>
        </w:rPr>
        <w:t>电话：13199838283 </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 项目联系方式</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联系人：王淑敏</w:t>
      </w:r>
    </w:p>
    <w:p>
      <w:pPr>
        <w:spacing w:line="360" w:lineRule="auto"/>
        <w:ind w:firstLine="420" w:firstLineChars="200"/>
        <w:rPr>
          <w:rFonts w:asciiTheme="minorEastAsia" w:hAnsiTheme="minorEastAsia" w:eastAsiaTheme="minorEastAsia" w:cstheme="minorEastAsia"/>
          <w:szCs w:val="21"/>
        </w:rPr>
        <w:sectPr>
          <w:pgSz w:w="11906" w:h="16838"/>
          <w:pgMar w:top="1701" w:right="1417" w:bottom="1701" w:left="1701" w:header="851" w:footer="992" w:gutter="0"/>
          <w:pgNumType w:fmt="numberInDash" w:start="1"/>
          <w:cols w:space="720" w:num="1"/>
          <w:docGrid w:type="lines" w:linePitch="312" w:charSpace="0"/>
        </w:sectPr>
      </w:pPr>
      <w:r>
        <w:rPr>
          <w:rFonts w:hint="eastAsia" w:asciiTheme="minorEastAsia" w:hAnsiTheme="minorEastAsia" w:eastAsiaTheme="minorEastAsia" w:cstheme="minorEastAsia"/>
          <w:szCs w:val="21"/>
        </w:rPr>
        <w:t>电话：13199838283</w:t>
      </w:r>
    </w:p>
    <w:p>
      <w:pPr>
        <w:ind w:firstLine="560" w:firstLineChars="200"/>
        <w:jc w:val="center"/>
        <w:rPr>
          <w:rFonts w:ascii="宋体"/>
          <w:sz w:val="28"/>
          <w:szCs w:val="28"/>
        </w:rPr>
      </w:pPr>
      <w:r>
        <w:rPr>
          <w:rFonts w:ascii="宋体"/>
          <w:sz w:val="28"/>
          <w:szCs w:val="28"/>
        </w:rPr>
        <w:t>目</w:t>
      </w:r>
      <w:r>
        <w:rPr>
          <w:rFonts w:hint="eastAsia" w:ascii="宋体"/>
          <w:sz w:val="28"/>
          <w:szCs w:val="28"/>
        </w:rPr>
        <w:t xml:space="preserve">  </w:t>
      </w:r>
      <w:r>
        <w:rPr>
          <w:rFonts w:ascii="宋体"/>
          <w:sz w:val="28"/>
          <w:szCs w:val="28"/>
        </w:rPr>
        <w:t>录</w:t>
      </w:r>
    </w:p>
    <w:p>
      <w:pPr>
        <w:pStyle w:val="7"/>
      </w:pPr>
    </w:p>
    <w:p>
      <w:pPr>
        <w:pStyle w:val="20"/>
        <w:tabs>
          <w:tab w:val="right" w:leader="dot" w:pos="8788"/>
        </w:tabs>
        <w:ind w:firstLine="420" w:firstLineChars="200"/>
      </w:pPr>
      <w:r>
        <w:rPr>
          <w:rFonts w:hint="eastAsia" w:ascii="宋体" w:cs="宋体"/>
          <w:szCs w:val="21"/>
        </w:rPr>
        <w:fldChar w:fldCharType="begin"/>
      </w:r>
      <w:r>
        <w:rPr>
          <w:rFonts w:hint="eastAsia" w:ascii="宋体" w:cs="宋体"/>
          <w:szCs w:val="21"/>
        </w:rPr>
        <w:instrText xml:space="preserve">TOC \o "1-3" \h \u </w:instrText>
      </w:r>
      <w:r>
        <w:rPr>
          <w:rFonts w:hint="eastAsia" w:ascii="宋体" w:cs="宋体"/>
          <w:szCs w:val="21"/>
        </w:rPr>
        <w:fldChar w:fldCharType="separate"/>
      </w:r>
      <w:r>
        <w:fldChar w:fldCharType="begin"/>
      </w:r>
      <w:r>
        <w:instrText xml:space="preserve"> HYPERLINK \l "_Toc6779" </w:instrText>
      </w:r>
      <w:r>
        <w:fldChar w:fldCharType="separate"/>
      </w:r>
      <w:r>
        <w:rPr>
          <w:rFonts w:hint="eastAsia" w:ascii="黑体" w:eastAsia="黑体" w:cs="黑体"/>
        </w:rPr>
        <w:t>第一章 投标人须知前附表</w:t>
      </w:r>
      <w:r>
        <w:tab/>
      </w:r>
      <w:r>
        <w:fldChar w:fldCharType="begin"/>
      </w:r>
      <w:r>
        <w:instrText xml:space="preserve"> PAGEREF _Toc6779 \h </w:instrText>
      </w:r>
      <w:r>
        <w:fldChar w:fldCharType="separate"/>
      </w:r>
      <w:r>
        <w:t>- 1 -</w:t>
      </w:r>
      <w:r>
        <w:fldChar w:fldCharType="end"/>
      </w:r>
      <w:r>
        <w:fldChar w:fldCharType="end"/>
      </w:r>
    </w:p>
    <w:p>
      <w:pPr>
        <w:pStyle w:val="20"/>
        <w:tabs>
          <w:tab w:val="right" w:leader="dot" w:pos="8788"/>
        </w:tabs>
        <w:ind w:firstLine="420" w:firstLineChars="200"/>
      </w:pPr>
      <w:r>
        <w:fldChar w:fldCharType="begin"/>
      </w:r>
      <w:r>
        <w:instrText xml:space="preserve"> HYPERLINK \l "_Toc31926" </w:instrText>
      </w:r>
      <w:r>
        <w:fldChar w:fldCharType="separate"/>
      </w:r>
      <w:r>
        <w:rPr>
          <w:rFonts w:hint="eastAsia" w:ascii="黑体" w:eastAsia="黑体" w:cs="黑体"/>
        </w:rPr>
        <w:t>第二章  投标须知</w:t>
      </w:r>
      <w:r>
        <w:tab/>
      </w:r>
      <w:r>
        <w:fldChar w:fldCharType="begin"/>
      </w:r>
      <w:r>
        <w:instrText xml:space="preserve"> PAGEREF _Toc31926 \h </w:instrText>
      </w:r>
      <w:r>
        <w:fldChar w:fldCharType="separate"/>
      </w:r>
      <w:r>
        <w:t>- 6 -</w:t>
      </w:r>
      <w:r>
        <w:fldChar w:fldCharType="end"/>
      </w:r>
      <w:r>
        <w:fldChar w:fldCharType="end"/>
      </w:r>
    </w:p>
    <w:p>
      <w:pPr>
        <w:pStyle w:val="22"/>
        <w:tabs>
          <w:tab w:val="right" w:leader="dot" w:pos="8788"/>
        </w:tabs>
        <w:ind w:left="420" w:firstLine="420" w:firstLineChars="200"/>
      </w:pPr>
      <w:r>
        <w:fldChar w:fldCharType="begin"/>
      </w:r>
      <w:r>
        <w:instrText xml:space="preserve"> HYPERLINK \l "_Toc8879" </w:instrText>
      </w:r>
      <w:r>
        <w:fldChar w:fldCharType="separate"/>
      </w:r>
      <w:r>
        <w:rPr>
          <w:rFonts w:ascii="Times New Roman" w:hAnsi="Times New Roman"/>
        </w:rPr>
        <w:t>第</w:t>
      </w:r>
      <w:r>
        <w:rPr>
          <w:rFonts w:hint="eastAsia" w:ascii="Times New Roman" w:hAnsi="Times New Roman"/>
        </w:rPr>
        <w:t>一</w:t>
      </w:r>
      <w:r>
        <w:rPr>
          <w:rFonts w:ascii="Times New Roman" w:hAnsi="Times New Roman"/>
        </w:rPr>
        <w:t>节</w:t>
      </w:r>
      <w:r>
        <w:rPr>
          <w:rFonts w:hint="eastAsia" w:ascii="Times New Roman" w:hAnsi="Times New Roman"/>
        </w:rPr>
        <w:t xml:space="preserve"> 总则</w:t>
      </w:r>
      <w:r>
        <w:tab/>
      </w:r>
      <w:r>
        <w:fldChar w:fldCharType="begin"/>
      </w:r>
      <w:r>
        <w:instrText xml:space="preserve"> PAGEREF _Toc8879 \h </w:instrText>
      </w:r>
      <w:r>
        <w:fldChar w:fldCharType="separate"/>
      </w:r>
      <w:r>
        <w:t>- 7 -</w:t>
      </w:r>
      <w:r>
        <w:fldChar w:fldCharType="end"/>
      </w:r>
      <w:r>
        <w:fldChar w:fldCharType="end"/>
      </w:r>
    </w:p>
    <w:p>
      <w:pPr>
        <w:pStyle w:val="22"/>
        <w:tabs>
          <w:tab w:val="right" w:leader="dot" w:pos="8788"/>
        </w:tabs>
        <w:ind w:left="420" w:firstLine="420" w:firstLineChars="200"/>
      </w:pPr>
      <w:r>
        <w:fldChar w:fldCharType="begin"/>
      </w:r>
      <w:r>
        <w:instrText xml:space="preserve"> HYPERLINK \l "_Toc15349" </w:instrText>
      </w:r>
      <w:r>
        <w:fldChar w:fldCharType="separate"/>
      </w:r>
      <w:r>
        <w:rPr>
          <w:rFonts w:ascii="Times New Roman" w:hAnsi="Times New Roman"/>
        </w:rPr>
        <w:t>第二节</w:t>
      </w:r>
      <w:r>
        <w:rPr>
          <w:rFonts w:hint="eastAsia" w:ascii="Times New Roman" w:hAnsi="Times New Roman"/>
        </w:rPr>
        <w:t xml:space="preserve"> 招标文件</w:t>
      </w:r>
      <w:r>
        <w:tab/>
      </w:r>
      <w:r>
        <w:fldChar w:fldCharType="begin"/>
      </w:r>
      <w:r>
        <w:instrText xml:space="preserve"> PAGEREF _Toc15349 \h </w:instrText>
      </w:r>
      <w:r>
        <w:fldChar w:fldCharType="separate"/>
      </w:r>
      <w:r>
        <w:t>- 12 -</w:t>
      </w:r>
      <w:r>
        <w:fldChar w:fldCharType="end"/>
      </w:r>
      <w:r>
        <w:fldChar w:fldCharType="end"/>
      </w:r>
    </w:p>
    <w:p>
      <w:pPr>
        <w:pStyle w:val="22"/>
        <w:tabs>
          <w:tab w:val="right" w:leader="dot" w:pos="8788"/>
        </w:tabs>
        <w:ind w:left="420" w:firstLine="420" w:firstLineChars="200"/>
      </w:pPr>
      <w:r>
        <w:fldChar w:fldCharType="begin"/>
      </w:r>
      <w:r>
        <w:instrText xml:space="preserve"> HYPERLINK \l "_Toc15107" </w:instrText>
      </w:r>
      <w:r>
        <w:fldChar w:fldCharType="separate"/>
      </w:r>
      <w:r>
        <w:rPr>
          <w:rFonts w:ascii="Times New Roman" w:hAnsi="Times New Roman"/>
        </w:rPr>
        <w:t>第</w:t>
      </w:r>
      <w:r>
        <w:rPr>
          <w:rFonts w:hint="eastAsia" w:ascii="Times New Roman" w:hAnsi="Times New Roman"/>
        </w:rPr>
        <w:t>三</w:t>
      </w:r>
      <w:r>
        <w:rPr>
          <w:rFonts w:ascii="Times New Roman" w:hAnsi="Times New Roman"/>
        </w:rPr>
        <w:t>节</w:t>
      </w:r>
      <w:r>
        <w:rPr>
          <w:rFonts w:hint="eastAsia" w:ascii="Times New Roman" w:hAnsi="Times New Roman"/>
        </w:rPr>
        <w:t xml:space="preserve"> 投标文件</w:t>
      </w:r>
      <w:r>
        <w:tab/>
      </w:r>
      <w:r>
        <w:fldChar w:fldCharType="begin"/>
      </w:r>
      <w:r>
        <w:instrText xml:space="preserve"> PAGEREF _Toc15107 \h </w:instrText>
      </w:r>
      <w:r>
        <w:fldChar w:fldCharType="separate"/>
      </w:r>
      <w:r>
        <w:t>- 13 -</w:t>
      </w:r>
      <w:r>
        <w:fldChar w:fldCharType="end"/>
      </w:r>
      <w:r>
        <w:fldChar w:fldCharType="end"/>
      </w:r>
    </w:p>
    <w:p>
      <w:pPr>
        <w:pStyle w:val="22"/>
        <w:tabs>
          <w:tab w:val="right" w:leader="dot" w:pos="8788"/>
        </w:tabs>
        <w:ind w:left="420" w:firstLine="420" w:firstLineChars="200"/>
      </w:pPr>
      <w:r>
        <w:fldChar w:fldCharType="begin"/>
      </w:r>
      <w:r>
        <w:instrText xml:space="preserve"> HYPERLINK \l "_Toc22507" </w:instrText>
      </w:r>
      <w:r>
        <w:fldChar w:fldCharType="separate"/>
      </w:r>
      <w:r>
        <w:rPr>
          <w:rFonts w:ascii="Times New Roman" w:hAnsi="Times New Roman"/>
        </w:rPr>
        <w:t>第</w:t>
      </w:r>
      <w:r>
        <w:rPr>
          <w:rFonts w:hint="eastAsia" w:ascii="Times New Roman" w:hAnsi="Times New Roman"/>
        </w:rPr>
        <w:t>四</w:t>
      </w:r>
      <w:r>
        <w:rPr>
          <w:rFonts w:ascii="Times New Roman" w:hAnsi="Times New Roman"/>
        </w:rPr>
        <w:t>节</w:t>
      </w:r>
      <w:r>
        <w:rPr>
          <w:rFonts w:hint="eastAsia" w:ascii="Times New Roman" w:hAnsi="Times New Roman"/>
        </w:rPr>
        <w:t xml:space="preserve"> 投标</w:t>
      </w:r>
      <w:r>
        <w:tab/>
      </w:r>
      <w:r>
        <w:fldChar w:fldCharType="begin"/>
      </w:r>
      <w:r>
        <w:instrText xml:space="preserve"> PAGEREF _Toc22507 \h </w:instrText>
      </w:r>
      <w:r>
        <w:fldChar w:fldCharType="separate"/>
      </w:r>
      <w:r>
        <w:t>- 19 -</w:t>
      </w:r>
      <w:r>
        <w:fldChar w:fldCharType="end"/>
      </w:r>
      <w:r>
        <w:fldChar w:fldCharType="end"/>
      </w:r>
    </w:p>
    <w:p>
      <w:pPr>
        <w:pStyle w:val="22"/>
        <w:tabs>
          <w:tab w:val="right" w:leader="dot" w:pos="8788"/>
        </w:tabs>
        <w:ind w:left="420" w:firstLine="420" w:firstLineChars="200"/>
      </w:pPr>
      <w:r>
        <w:fldChar w:fldCharType="begin"/>
      </w:r>
      <w:r>
        <w:instrText xml:space="preserve"> HYPERLINK \l "_Toc746" </w:instrText>
      </w:r>
      <w:r>
        <w:fldChar w:fldCharType="separate"/>
      </w:r>
      <w:r>
        <w:rPr>
          <w:rFonts w:ascii="Times New Roman" w:hAnsi="Times New Roman"/>
        </w:rPr>
        <w:t>第</w:t>
      </w:r>
      <w:r>
        <w:rPr>
          <w:rFonts w:hint="eastAsia" w:ascii="Times New Roman" w:hAnsi="Times New Roman"/>
        </w:rPr>
        <w:t>五</w:t>
      </w:r>
      <w:r>
        <w:rPr>
          <w:rFonts w:ascii="Times New Roman" w:hAnsi="Times New Roman"/>
        </w:rPr>
        <w:t>节</w:t>
      </w:r>
      <w:r>
        <w:rPr>
          <w:rFonts w:hint="eastAsia" w:ascii="Times New Roman" w:hAnsi="Times New Roman"/>
        </w:rPr>
        <w:t xml:space="preserve"> 开标</w:t>
      </w:r>
      <w:r>
        <w:tab/>
      </w:r>
      <w:r>
        <w:fldChar w:fldCharType="begin"/>
      </w:r>
      <w:r>
        <w:instrText xml:space="preserve"> PAGEREF _Toc746 \h </w:instrText>
      </w:r>
      <w:r>
        <w:fldChar w:fldCharType="separate"/>
      </w:r>
      <w:r>
        <w:t>- 20 -</w:t>
      </w:r>
      <w:r>
        <w:fldChar w:fldCharType="end"/>
      </w:r>
      <w:r>
        <w:fldChar w:fldCharType="end"/>
      </w:r>
    </w:p>
    <w:p>
      <w:pPr>
        <w:pStyle w:val="22"/>
        <w:tabs>
          <w:tab w:val="right" w:leader="dot" w:pos="8788"/>
        </w:tabs>
        <w:ind w:left="420" w:firstLine="420" w:firstLineChars="200"/>
      </w:pPr>
      <w:r>
        <w:fldChar w:fldCharType="begin"/>
      </w:r>
      <w:r>
        <w:instrText xml:space="preserve"> HYPERLINK \l "_Toc19704" </w:instrText>
      </w:r>
      <w:r>
        <w:fldChar w:fldCharType="separate"/>
      </w:r>
      <w:r>
        <w:rPr>
          <w:rFonts w:ascii="Times New Roman" w:hAnsi="Times New Roman"/>
        </w:rPr>
        <w:t>第</w:t>
      </w:r>
      <w:r>
        <w:rPr>
          <w:rFonts w:hint="eastAsia" w:ascii="Times New Roman" w:hAnsi="Times New Roman"/>
        </w:rPr>
        <w:t>六</w:t>
      </w:r>
      <w:r>
        <w:rPr>
          <w:rFonts w:ascii="Times New Roman" w:hAnsi="Times New Roman"/>
        </w:rPr>
        <w:t>节</w:t>
      </w:r>
      <w:r>
        <w:rPr>
          <w:rFonts w:hint="eastAsia" w:ascii="Times New Roman" w:hAnsi="Times New Roman"/>
        </w:rPr>
        <w:t xml:space="preserve"> 评标</w:t>
      </w:r>
      <w:r>
        <w:tab/>
      </w:r>
      <w:r>
        <w:fldChar w:fldCharType="begin"/>
      </w:r>
      <w:r>
        <w:instrText xml:space="preserve"> PAGEREF _Toc19704 \h </w:instrText>
      </w:r>
      <w:r>
        <w:fldChar w:fldCharType="separate"/>
      </w:r>
      <w:r>
        <w:t>- 22 -</w:t>
      </w:r>
      <w:r>
        <w:fldChar w:fldCharType="end"/>
      </w:r>
      <w:r>
        <w:fldChar w:fldCharType="end"/>
      </w:r>
    </w:p>
    <w:p>
      <w:pPr>
        <w:pStyle w:val="22"/>
        <w:tabs>
          <w:tab w:val="right" w:leader="dot" w:pos="8788"/>
        </w:tabs>
        <w:ind w:left="420" w:firstLine="420" w:firstLineChars="200"/>
      </w:pPr>
      <w:r>
        <w:fldChar w:fldCharType="begin"/>
      </w:r>
      <w:r>
        <w:instrText xml:space="preserve"> HYPERLINK \l "_Toc23832" </w:instrText>
      </w:r>
      <w:r>
        <w:fldChar w:fldCharType="separate"/>
      </w:r>
      <w:r>
        <w:rPr>
          <w:rFonts w:ascii="Times New Roman" w:hAnsi="Times New Roman"/>
        </w:rPr>
        <w:t>第</w:t>
      </w:r>
      <w:r>
        <w:rPr>
          <w:rFonts w:hint="eastAsia" w:ascii="Times New Roman" w:hAnsi="Times New Roman"/>
        </w:rPr>
        <w:t>七</w:t>
      </w:r>
      <w:r>
        <w:rPr>
          <w:rFonts w:ascii="Times New Roman" w:hAnsi="Times New Roman"/>
        </w:rPr>
        <w:t>节</w:t>
      </w:r>
      <w:r>
        <w:rPr>
          <w:rFonts w:hint="eastAsia" w:ascii="Times New Roman" w:hAnsi="Times New Roman"/>
        </w:rPr>
        <w:t xml:space="preserve"> 合同授予</w:t>
      </w:r>
      <w:r>
        <w:tab/>
      </w:r>
      <w:r>
        <w:fldChar w:fldCharType="begin"/>
      </w:r>
      <w:r>
        <w:instrText xml:space="preserve"> PAGEREF _Toc23832 \h </w:instrText>
      </w:r>
      <w:r>
        <w:fldChar w:fldCharType="separate"/>
      </w:r>
      <w:r>
        <w:t>- 24 -</w:t>
      </w:r>
      <w:r>
        <w:fldChar w:fldCharType="end"/>
      </w:r>
      <w:r>
        <w:fldChar w:fldCharType="end"/>
      </w:r>
    </w:p>
    <w:p>
      <w:pPr>
        <w:pStyle w:val="22"/>
        <w:tabs>
          <w:tab w:val="right" w:leader="dot" w:pos="8788"/>
        </w:tabs>
        <w:ind w:left="420" w:firstLine="420" w:firstLineChars="200"/>
      </w:pPr>
      <w:r>
        <w:fldChar w:fldCharType="begin"/>
      </w:r>
      <w:r>
        <w:instrText xml:space="preserve"> HYPERLINK \l "_Toc13199" </w:instrText>
      </w:r>
      <w:r>
        <w:fldChar w:fldCharType="separate"/>
      </w:r>
      <w:r>
        <w:rPr>
          <w:rFonts w:ascii="Times New Roman" w:hAnsi="Times New Roman"/>
        </w:rPr>
        <w:t>第</w:t>
      </w:r>
      <w:r>
        <w:rPr>
          <w:rFonts w:hint="eastAsia" w:ascii="Times New Roman" w:hAnsi="Times New Roman"/>
        </w:rPr>
        <w:t>八</w:t>
      </w:r>
      <w:r>
        <w:rPr>
          <w:rFonts w:ascii="Times New Roman" w:hAnsi="Times New Roman"/>
        </w:rPr>
        <w:t>节</w:t>
      </w:r>
      <w:r>
        <w:rPr>
          <w:rFonts w:hint="eastAsia" w:ascii="Times New Roman" w:hAnsi="Times New Roman"/>
        </w:rPr>
        <w:t xml:space="preserve"> 重新招标和不再招标</w:t>
      </w:r>
      <w:r>
        <w:tab/>
      </w:r>
      <w:r>
        <w:fldChar w:fldCharType="begin"/>
      </w:r>
      <w:r>
        <w:instrText xml:space="preserve"> PAGEREF _Toc13199 \h </w:instrText>
      </w:r>
      <w:r>
        <w:fldChar w:fldCharType="separate"/>
      </w:r>
      <w:r>
        <w:t>- 26 -</w:t>
      </w:r>
      <w:r>
        <w:fldChar w:fldCharType="end"/>
      </w:r>
      <w:r>
        <w:fldChar w:fldCharType="end"/>
      </w:r>
    </w:p>
    <w:p>
      <w:pPr>
        <w:pStyle w:val="22"/>
        <w:tabs>
          <w:tab w:val="right" w:leader="dot" w:pos="8788"/>
        </w:tabs>
        <w:ind w:left="420" w:firstLine="420" w:firstLineChars="200"/>
      </w:pPr>
      <w:r>
        <w:fldChar w:fldCharType="begin"/>
      </w:r>
      <w:r>
        <w:instrText xml:space="preserve"> HYPERLINK \l "_Toc26262" </w:instrText>
      </w:r>
      <w:r>
        <w:fldChar w:fldCharType="separate"/>
      </w:r>
      <w:r>
        <w:rPr>
          <w:rFonts w:ascii="Times New Roman" w:hAnsi="Times New Roman"/>
        </w:rPr>
        <w:t>第</w:t>
      </w:r>
      <w:r>
        <w:rPr>
          <w:rFonts w:hint="eastAsia" w:ascii="Times New Roman" w:hAnsi="Times New Roman"/>
        </w:rPr>
        <w:t>九</w:t>
      </w:r>
      <w:r>
        <w:rPr>
          <w:rFonts w:ascii="Times New Roman" w:hAnsi="Times New Roman"/>
        </w:rPr>
        <w:t>节</w:t>
      </w:r>
      <w:r>
        <w:rPr>
          <w:rFonts w:hint="eastAsia" w:ascii="Times New Roman" w:hAnsi="Times New Roman"/>
        </w:rPr>
        <w:t xml:space="preserve"> 纪律和监督</w:t>
      </w:r>
      <w:r>
        <w:tab/>
      </w:r>
      <w:r>
        <w:fldChar w:fldCharType="begin"/>
      </w:r>
      <w:r>
        <w:instrText xml:space="preserve"> PAGEREF _Toc26262 \h </w:instrText>
      </w:r>
      <w:r>
        <w:fldChar w:fldCharType="separate"/>
      </w:r>
      <w:r>
        <w:t>- 27 -</w:t>
      </w:r>
      <w:r>
        <w:fldChar w:fldCharType="end"/>
      </w:r>
      <w:r>
        <w:fldChar w:fldCharType="end"/>
      </w:r>
    </w:p>
    <w:p>
      <w:pPr>
        <w:pStyle w:val="22"/>
        <w:tabs>
          <w:tab w:val="right" w:leader="dot" w:pos="8788"/>
        </w:tabs>
        <w:ind w:left="420" w:firstLine="420" w:firstLineChars="200"/>
      </w:pPr>
      <w:r>
        <w:fldChar w:fldCharType="begin"/>
      </w:r>
      <w:r>
        <w:instrText xml:space="preserve"> HYPERLINK \l "_Toc2408" </w:instrText>
      </w:r>
      <w:r>
        <w:fldChar w:fldCharType="separate"/>
      </w:r>
      <w:r>
        <w:rPr>
          <w:rFonts w:ascii="Times New Roman" w:hAnsi="Times New Roman"/>
        </w:rPr>
        <w:t>第</w:t>
      </w:r>
      <w:r>
        <w:rPr>
          <w:rFonts w:hint="eastAsia" w:ascii="Times New Roman" w:hAnsi="Times New Roman"/>
        </w:rPr>
        <w:t>十</w:t>
      </w:r>
      <w:r>
        <w:rPr>
          <w:rFonts w:ascii="Times New Roman" w:hAnsi="Times New Roman"/>
        </w:rPr>
        <w:t>节</w:t>
      </w:r>
      <w:r>
        <w:rPr>
          <w:rFonts w:hint="eastAsia" w:ascii="Times New Roman" w:hAnsi="Times New Roman"/>
        </w:rPr>
        <w:t xml:space="preserve"> 需要补充的其他内容</w:t>
      </w:r>
      <w:r>
        <w:tab/>
      </w:r>
      <w:r>
        <w:fldChar w:fldCharType="begin"/>
      </w:r>
      <w:r>
        <w:instrText xml:space="preserve"> PAGEREF _Toc2408 \h </w:instrText>
      </w:r>
      <w:r>
        <w:fldChar w:fldCharType="separate"/>
      </w:r>
      <w:r>
        <w:t>- 29 -</w:t>
      </w:r>
      <w:r>
        <w:fldChar w:fldCharType="end"/>
      </w:r>
      <w:r>
        <w:fldChar w:fldCharType="end"/>
      </w:r>
    </w:p>
    <w:p>
      <w:pPr>
        <w:pStyle w:val="20"/>
        <w:tabs>
          <w:tab w:val="right" w:leader="dot" w:pos="8788"/>
        </w:tabs>
        <w:ind w:firstLine="420" w:firstLineChars="200"/>
      </w:pPr>
      <w:r>
        <w:fldChar w:fldCharType="begin"/>
      </w:r>
      <w:r>
        <w:instrText xml:space="preserve"> HYPERLINK \l "_Toc4017" </w:instrText>
      </w:r>
      <w:r>
        <w:fldChar w:fldCharType="separate"/>
      </w:r>
      <w:r>
        <w:rPr>
          <w:rFonts w:hint="eastAsia" w:ascii="黑体" w:eastAsia="黑体" w:cs="黑体"/>
        </w:rPr>
        <w:t>第三章  评标办法</w:t>
      </w:r>
      <w:r>
        <w:tab/>
      </w:r>
      <w:r>
        <w:fldChar w:fldCharType="begin"/>
      </w:r>
      <w:r>
        <w:instrText xml:space="preserve"> PAGEREF _Toc4017 \h </w:instrText>
      </w:r>
      <w:r>
        <w:fldChar w:fldCharType="separate"/>
      </w:r>
      <w:r>
        <w:t>- 30 -</w:t>
      </w:r>
      <w:r>
        <w:fldChar w:fldCharType="end"/>
      </w:r>
      <w:r>
        <w:fldChar w:fldCharType="end"/>
      </w:r>
    </w:p>
    <w:p>
      <w:pPr>
        <w:pStyle w:val="22"/>
        <w:tabs>
          <w:tab w:val="right" w:leader="dot" w:pos="8788"/>
        </w:tabs>
        <w:ind w:left="420" w:firstLine="420" w:firstLineChars="200"/>
      </w:pPr>
      <w:r>
        <w:fldChar w:fldCharType="begin"/>
      </w:r>
      <w:r>
        <w:instrText xml:space="preserve"> HYPERLINK \l "_Toc2379" </w:instrText>
      </w:r>
      <w:r>
        <w:fldChar w:fldCharType="separate"/>
      </w:r>
      <w:r>
        <w:rPr>
          <w:rFonts w:ascii="Times New Roman" w:hAnsi="Times New Roman"/>
        </w:rPr>
        <w:t>第一节</w:t>
      </w:r>
      <w:r>
        <w:rPr>
          <w:rFonts w:cs="宋体"/>
          <w:bCs/>
        </w:rPr>
        <w:t>评标方法</w:t>
      </w:r>
      <w:r>
        <w:tab/>
      </w:r>
      <w:r>
        <w:fldChar w:fldCharType="begin"/>
      </w:r>
      <w:r>
        <w:instrText xml:space="preserve"> PAGEREF _Toc2379 \h </w:instrText>
      </w:r>
      <w:r>
        <w:fldChar w:fldCharType="separate"/>
      </w:r>
      <w:r>
        <w:t>- 30 -</w:t>
      </w:r>
      <w:r>
        <w:fldChar w:fldCharType="end"/>
      </w:r>
      <w:r>
        <w:fldChar w:fldCharType="end"/>
      </w:r>
    </w:p>
    <w:p>
      <w:pPr>
        <w:pStyle w:val="22"/>
        <w:tabs>
          <w:tab w:val="right" w:leader="dot" w:pos="8788"/>
        </w:tabs>
        <w:ind w:left="420" w:firstLine="420" w:firstLineChars="200"/>
      </w:pPr>
      <w:r>
        <w:fldChar w:fldCharType="begin"/>
      </w:r>
      <w:r>
        <w:instrText xml:space="preserve"> HYPERLINK \l "_Toc11533" </w:instrText>
      </w:r>
      <w:r>
        <w:fldChar w:fldCharType="separate"/>
      </w:r>
      <w:r>
        <w:rPr>
          <w:rFonts w:ascii="Times New Roman" w:hAnsi="Times New Roman"/>
        </w:rPr>
        <w:t>第二节</w:t>
      </w:r>
      <w:r>
        <w:rPr>
          <w:rFonts w:cs="宋体"/>
          <w:bCs/>
        </w:rPr>
        <w:t>评标标准</w:t>
      </w:r>
      <w:r>
        <w:tab/>
      </w:r>
      <w:r>
        <w:fldChar w:fldCharType="begin"/>
      </w:r>
      <w:r>
        <w:instrText xml:space="preserve"> PAGEREF _Toc11533 \h </w:instrText>
      </w:r>
      <w:r>
        <w:fldChar w:fldCharType="separate"/>
      </w:r>
      <w:r>
        <w:t>- 30 -</w:t>
      </w:r>
      <w:r>
        <w:fldChar w:fldCharType="end"/>
      </w:r>
      <w:r>
        <w:fldChar w:fldCharType="end"/>
      </w:r>
    </w:p>
    <w:p>
      <w:pPr>
        <w:pStyle w:val="22"/>
        <w:tabs>
          <w:tab w:val="right" w:leader="dot" w:pos="8788"/>
        </w:tabs>
        <w:ind w:left="420" w:firstLine="420" w:firstLineChars="200"/>
      </w:pPr>
      <w:r>
        <w:fldChar w:fldCharType="begin"/>
      </w:r>
      <w:r>
        <w:instrText xml:space="preserve"> HYPERLINK \l "_Toc11841" </w:instrText>
      </w:r>
      <w:r>
        <w:fldChar w:fldCharType="separate"/>
      </w:r>
      <w:r>
        <w:rPr>
          <w:rFonts w:ascii="Times New Roman" w:hAnsi="Times New Roman"/>
        </w:rPr>
        <w:t>第三节</w:t>
      </w:r>
      <w:r>
        <w:rPr>
          <w:rFonts w:cs="宋体"/>
          <w:bCs/>
        </w:rPr>
        <w:t>评标程序</w:t>
      </w:r>
      <w:r>
        <w:tab/>
      </w:r>
      <w:r>
        <w:fldChar w:fldCharType="begin"/>
      </w:r>
      <w:r>
        <w:instrText xml:space="preserve"> PAGEREF _Toc11841 \h </w:instrText>
      </w:r>
      <w:r>
        <w:fldChar w:fldCharType="separate"/>
      </w:r>
      <w:r>
        <w:t>- 30 -</w:t>
      </w:r>
      <w:r>
        <w:fldChar w:fldCharType="end"/>
      </w:r>
      <w:r>
        <w:fldChar w:fldCharType="end"/>
      </w:r>
    </w:p>
    <w:p>
      <w:pPr>
        <w:pStyle w:val="22"/>
        <w:tabs>
          <w:tab w:val="right" w:leader="dot" w:pos="8788"/>
        </w:tabs>
        <w:ind w:left="420" w:firstLine="420" w:firstLineChars="200"/>
      </w:pPr>
      <w:r>
        <w:fldChar w:fldCharType="begin"/>
      </w:r>
      <w:r>
        <w:instrText xml:space="preserve"> HYPERLINK \l "_Toc19110" </w:instrText>
      </w:r>
      <w:r>
        <w:fldChar w:fldCharType="separate"/>
      </w:r>
      <w:r>
        <w:rPr>
          <w:rFonts w:cs="宋体"/>
        </w:rPr>
        <w:t xml:space="preserve">第四节 </w:t>
      </w:r>
      <w:r>
        <w:rPr>
          <w:rFonts w:cs="宋体"/>
          <w:bCs/>
        </w:rPr>
        <w:t>评标准备</w:t>
      </w:r>
      <w:r>
        <w:tab/>
      </w:r>
      <w:r>
        <w:fldChar w:fldCharType="begin"/>
      </w:r>
      <w:r>
        <w:instrText xml:space="preserve"> PAGEREF _Toc19110 \h </w:instrText>
      </w:r>
      <w:r>
        <w:fldChar w:fldCharType="separate"/>
      </w:r>
      <w:r>
        <w:t>- 30 -</w:t>
      </w:r>
      <w:r>
        <w:fldChar w:fldCharType="end"/>
      </w:r>
      <w:r>
        <w:fldChar w:fldCharType="end"/>
      </w:r>
    </w:p>
    <w:p>
      <w:pPr>
        <w:pStyle w:val="20"/>
        <w:tabs>
          <w:tab w:val="right" w:leader="dot" w:pos="8788"/>
        </w:tabs>
        <w:ind w:firstLine="420" w:firstLineChars="200"/>
      </w:pPr>
      <w:r>
        <w:fldChar w:fldCharType="begin"/>
      </w:r>
      <w:r>
        <w:instrText xml:space="preserve"> HYPERLINK \l "_Toc9511" </w:instrText>
      </w:r>
      <w:r>
        <w:fldChar w:fldCharType="separate"/>
      </w:r>
      <w:r>
        <w:rPr>
          <w:rFonts w:hint="eastAsia" w:ascii="黑体" w:eastAsia="黑体" w:cs="黑体"/>
        </w:rPr>
        <w:t>第四章  合同条款及格式</w:t>
      </w:r>
      <w:r>
        <w:tab/>
      </w:r>
      <w:r>
        <w:fldChar w:fldCharType="begin"/>
      </w:r>
      <w:r>
        <w:instrText xml:space="preserve"> PAGEREF _Toc6021 \h </w:instrText>
      </w:r>
      <w:r>
        <w:fldChar w:fldCharType="separate"/>
      </w:r>
      <w:r>
        <w:t>- 39 -</w:t>
      </w:r>
      <w:r>
        <w:fldChar w:fldCharType="end"/>
      </w:r>
      <w:r>
        <w:fldChar w:fldCharType="end"/>
      </w:r>
    </w:p>
    <w:p>
      <w:pPr>
        <w:pStyle w:val="22"/>
        <w:tabs>
          <w:tab w:val="right" w:leader="dot" w:pos="8788"/>
        </w:tabs>
        <w:ind w:left="420" w:firstLine="420" w:firstLineChars="200"/>
      </w:pPr>
      <w:r>
        <w:fldChar w:fldCharType="begin"/>
      </w:r>
      <w:r>
        <w:instrText xml:space="preserve"> HYPERLINK \l "_Toc6021" </w:instrText>
      </w:r>
      <w:r>
        <w:fldChar w:fldCharType="separate"/>
      </w:r>
      <w:r>
        <w:rPr>
          <w:rFonts w:ascii="Times New Roman" w:hAnsi="Times New Roman"/>
        </w:rPr>
        <w:t>第</w:t>
      </w:r>
      <w:r>
        <w:rPr>
          <w:rFonts w:hint="eastAsia" w:ascii="Times New Roman" w:hAnsi="Times New Roman"/>
        </w:rPr>
        <w:t>一</w:t>
      </w:r>
      <w:r>
        <w:rPr>
          <w:rFonts w:ascii="Times New Roman" w:hAnsi="Times New Roman"/>
        </w:rPr>
        <w:t>节</w:t>
      </w:r>
      <w:r>
        <w:rPr>
          <w:rFonts w:hint="eastAsia" w:cs="宋体"/>
          <w:bCs/>
        </w:rPr>
        <w:t>通用合同条款</w:t>
      </w:r>
      <w:r>
        <w:tab/>
      </w:r>
      <w:r>
        <w:fldChar w:fldCharType="begin"/>
      </w:r>
      <w:r>
        <w:instrText xml:space="preserve"> PAGEREF _Toc6021 \h </w:instrText>
      </w:r>
      <w:r>
        <w:fldChar w:fldCharType="separate"/>
      </w:r>
      <w:r>
        <w:t>- 39 -</w:t>
      </w:r>
      <w:r>
        <w:fldChar w:fldCharType="end"/>
      </w:r>
      <w:r>
        <w:fldChar w:fldCharType="end"/>
      </w:r>
    </w:p>
    <w:p>
      <w:pPr>
        <w:pStyle w:val="22"/>
        <w:tabs>
          <w:tab w:val="right" w:leader="dot" w:pos="8788"/>
        </w:tabs>
        <w:ind w:left="420" w:firstLine="420" w:firstLineChars="200"/>
      </w:pPr>
      <w:r>
        <w:fldChar w:fldCharType="begin"/>
      </w:r>
      <w:r>
        <w:instrText xml:space="preserve"> HYPERLINK \l "_Toc18422" </w:instrText>
      </w:r>
      <w:r>
        <w:fldChar w:fldCharType="separate"/>
      </w:r>
      <w:r>
        <w:rPr>
          <w:rFonts w:ascii="Times New Roman" w:hAnsi="Times New Roman"/>
        </w:rPr>
        <w:t>第二节</w:t>
      </w:r>
      <w:r>
        <w:rPr>
          <w:rFonts w:hint="eastAsia" w:cs="宋体"/>
          <w:bCs/>
        </w:rPr>
        <w:t>专用合同条款</w:t>
      </w:r>
      <w:r>
        <w:tab/>
      </w:r>
      <w:r>
        <w:fldChar w:fldCharType="begin"/>
      </w:r>
      <w:r>
        <w:instrText xml:space="preserve"> PAGEREF _Toc18422 \h </w:instrText>
      </w:r>
      <w:r>
        <w:fldChar w:fldCharType="separate"/>
      </w:r>
      <w:r>
        <w:t>- 45 -</w:t>
      </w:r>
      <w:r>
        <w:fldChar w:fldCharType="end"/>
      </w:r>
      <w:r>
        <w:fldChar w:fldCharType="end"/>
      </w:r>
    </w:p>
    <w:p>
      <w:pPr>
        <w:pStyle w:val="20"/>
        <w:tabs>
          <w:tab w:val="right" w:leader="dot" w:pos="8788"/>
        </w:tabs>
        <w:ind w:firstLine="420" w:firstLineChars="200"/>
      </w:pPr>
      <w:r>
        <w:fldChar w:fldCharType="begin"/>
      </w:r>
      <w:r>
        <w:instrText xml:space="preserve"> HYPERLINK \l "_Toc14451" </w:instrText>
      </w:r>
      <w:r>
        <w:fldChar w:fldCharType="separate"/>
      </w:r>
      <w:r>
        <w:rPr>
          <w:rFonts w:hint="eastAsia" w:ascii="黑体" w:eastAsia="黑体" w:cs="黑体"/>
        </w:rPr>
        <w:t>第五章  技术标准和要求</w:t>
      </w:r>
      <w:r>
        <w:tab/>
      </w:r>
      <w:r>
        <w:fldChar w:fldCharType="begin"/>
      </w:r>
      <w:r>
        <w:instrText xml:space="preserve"> PAGEREF _Toc14451 \h </w:instrText>
      </w:r>
      <w:r>
        <w:fldChar w:fldCharType="separate"/>
      </w:r>
      <w:r>
        <w:t>- 50 -</w:t>
      </w:r>
      <w:r>
        <w:fldChar w:fldCharType="end"/>
      </w:r>
      <w:r>
        <w:fldChar w:fldCharType="end"/>
      </w:r>
    </w:p>
    <w:p>
      <w:pPr>
        <w:pStyle w:val="20"/>
        <w:tabs>
          <w:tab w:val="right" w:leader="dot" w:pos="8788"/>
        </w:tabs>
        <w:ind w:firstLine="420" w:firstLineChars="200"/>
      </w:pPr>
      <w:r>
        <w:fldChar w:fldCharType="begin"/>
      </w:r>
      <w:r>
        <w:instrText xml:space="preserve"> HYPERLINK \l "_Toc22595" </w:instrText>
      </w:r>
      <w:r>
        <w:fldChar w:fldCharType="separate"/>
      </w:r>
      <w:r>
        <w:rPr>
          <w:rFonts w:hint="eastAsia" w:ascii="黑体" w:eastAsia="黑体" w:cs="黑体"/>
        </w:rPr>
        <w:t>第六章  投标文件格式</w:t>
      </w:r>
      <w:r>
        <w:tab/>
      </w:r>
      <w:r>
        <w:fldChar w:fldCharType="begin"/>
      </w:r>
      <w:r>
        <w:instrText xml:space="preserve"> PAGEREF _Toc22595 \h </w:instrText>
      </w:r>
      <w:r>
        <w:fldChar w:fldCharType="separate"/>
      </w:r>
      <w:r>
        <w:t>- 53 -</w:t>
      </w:r>
      <w:r>
        <w:fldChar w:fldCharType="end"/>
      </w:r>
      <w:r>
        <w:fldChar w:fldCharType="end"/>
      </w:r>
    </w:p>
    <w:p>
      <w:pPr>
        <w:pStyle w:val="22"/>
        <w:tabs>
          <w:tab w:val="right" w:leader="dot" w:pos="8788"/>
        </w:tabs>
        <w:ind w:left="420" w:firstLine="420" w:firstLineChars="200"/>
      </w:pPr>
      <w:r>
        <w:fldChar w:fldCharType="begin"/>
      </w:r>
      <w:r>
        <w:instrText xml:space="preserve"> HYPERLINK \l "_Toc240" </w:instrText>
      </w:r>
      <w:r>
        <w:fldChar w:fldCharType="separate"/>
      </w:r>
      <w:r>
        <w:rPr>
          <w:rFonts w:hint="eastAsia" w:ascii="宋体" w:cs="宋体"/>
        </w:rPr>
        <w:t>第一节 投标文件封面示例</w:t>
      </w:r>
      <w:r>
        <w:tab/>
      </w:r>
      <w:r>
        <w:fldChar w:fldCharType="begin"/>
      </w:r>
      <w:r>
        <w:instrText xml:space="preserve"> PAGEREF _Toc240 \h </w:instrText>
      </w:r>
      <w:r>
        <w:fldChar w:fldCharType="separate"/>
      </w:r>
      <w:r>
        <w:t>- 53 -</w:t>
      </w:r>
      <w:r>
        <w:fldChar w:fldCharType="end"/>
      </w:r>
      <w:r>
        <w:fldChar w:fldCharType="end"/>
      </w:r>
    </w:p>
    <w:p>
      <w:pPr>
        <w:pStyle w:val="22"/>
        <w:tabs>
          <w:tab w:val="right" w:leader="dot" w:pos="8788"/>
        </w:tabs>
        <w:ind w:left="420" w:firstLine="420" w:firstLineChars="200"/>
      </w:pPr>
      <w:r>
        <w:fldChar w:fldCharType="begin"/>
      </w:r>
      <w:r>
        <w:instrText xml:space="preserve"> HYPERLINK \l "_Toc6848" </w:instrText>
      </w:r>
      <w:r>
        <w:fldChar w:fldCharType="separate"/>
      </w:r>
      <w:r>
        <w:rPr>
          <w:rFonts w:hint="eastAsia" w:ascii="宋体" w:cs="宋体"/>
        </w:rPr>
        <w:t>第二节 投标文件目录示例</w:t>
      </w:r>
      <w:r>
        <w:tab/>
      </w:r>
      <w:r>
        <w:fldChar w:fldCharType="begin"/>
      </w:r>
      <w:r>
        <w:instrText xml:space="preserve"> PAGEREF _Toc6848 \h </w:instrText>
      </w:r>
      <w:r>
        <w:fldChar w:fldCharType="separate"/>
      </w:r>
      <w:r>
        <w:t>- 55 -</w:t>
      </w:r>
      <w:r>
        <w:fldChar w:fldCharType="end"/>
      </w:r>
      <w:r>
        <w:fldChar w:fldCharType="end"/>
      </w:r>
    </w:p>
    <w:p>
      <w:pPr>
        <w:spacing w:line="360" w:lineRule="auto"/>
        <w:ind w:firstLine="420" w:firstLineChars="200"/>
        <w:rPr>
          <w:rFonts w:ascii="宋体" w:cs="宋体"/>
          <w:szCs w:val="21"/>
        </w:rPr>
      </w:pPr>
      <w:r>
        <w:rPr>
          <w:rFonts w:hint="eastAsia" w:ascii="宋体" w:cs="宋体"/>
          <w:szCs w:val="21"/>
        </w:rPr>
        <w:fldChar w:fldCharType="end"/>
      </w:r>
    </w:p>
    <w:p>
      <w:pPr>
        <w:pStyle w:val="3"/>
        <w:jc w:val="center"/>
        <w:rPr>
          <w:rFonts w:ascii="黑体" w:eastAsia="黑体" w:cs="黑体"/>
          <w:sz w:val="24"/>
        </w:rPr>
        <w:sectPr>
          <w:footerReference r:id="rId3" w:type="default"/>
          <w:pgSz w:w="11906" w:h="16838"/>
          <w:pgMar w:top="1701" w:right="1417" w:bottom="1701" w:left="1701" w:header="851" w:footer="992" w:gutter="0"/>
          <w:pgNumType w:fmt="numberInDash" w:start="1"/>
          <w:cols w:space="720" w:num="1"/>
          <w:docGrid w:type="lines" w:linePitch="312" w:charSpace="0"/>
        </w:sectPr>
      </w:pPr>
    </w:p>
    <w:p>
      <w:pPr>
        <w:pStyle w:val="3"/>
        <w:numPr>
          <w:ilvl w:val="0"/>
          <w:numId w:val="3"/>
        </w:numPr>
        <w:ind w:firstLine="482" w:firstLineChars="200"/>
        <w:jc w:val="center"/>
        <w:rPr>
          <w:rFonts w:ascii="黑体" w:eastAsia="黑体" w:cs="黑体"/>
          <w:sz w:val="24"/>
        </w:rPr>
      </w:pPr>
      <w:bookmarkStart w:id="0" w:name="_Toc6779"/>
      <w:r>
        <w:rPr>
          <w:rFonts w:hint="eastAsia" w:ascii="黑体" w:eastAsia="黑体" w:cs="黑体"/>
          <w:sz w:val="24"/>
        </w:rPr>
        <w:t>投标人须知前附表</w:t>
      </w:r>
      <w:bookmarkEnd w:id="0"/>
    </w:p>
    <w:tbl>
      <w:tblPr>
        <w:tblStyle w:val="25"/>
        <w:tblW w:w="90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57" w:type="dxa"/>
          <w:bottom w:w="57" w:type="dxa"/>
          <w:right w:w="57" w:type="dxa"/>
        </w:tblCellMar>
      </w:tblPr>
      <w:tblGrid>
        <w:gridCol w:w="813"/>
        <w:gridCol w:w="1410"/>
        <w:gridCol w:w="6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87" w:hRule="atLeast"/>
          <w:jc w:val="center"/>
        </w:trPr>
        <w:tc>
          <w:tcPr>
            <w:tcW w:w="813" w:type="dxa"/>
            <w:vAlign w:val="center"/>
          </w:tcPr>
          <w:p>
            <w:pPr>
              <w:keepNext/>
              <w:widowControl/>
              <w:jc w:val="center"/>
              <w:rPr>
                <w:rFonts w:ascii="宋体" w:cs="宋体"/>
                <w:b/>
                <w:bCs/>
                <w:kern w:val="0"/>
                <w:szCs w:val="21"/>
              </w:rPr>
            </w:pPr>
            <w:r>
              <w:rPr>
                <w:rFonts w:hint="eastAsia" w:ascii="宋体" w:cs="宋体"/>
                <w:b/>
                <w:bCs/>
                <w:kern w:val="0"/>
                <w:szCs w:val="21"/>
              </w:rPr>
              <w:t>条款号</w:t>
            </w:r>
          </w:p>
        </w:tc>
        <w:tc>
          <w:tcPr>
            <w:tcW w:w="1410" w:type="dxa"/>
            <w:tcBorders>
              <w:right w:val="single" w:color="auto" w:sz="4" w:space="0"/>
            </w:tcBorders>
            <w:vAlign w:val="center"/>
          </w:tcPr>
          <w:p>
            <w:pPr>
              <w:keepNext/>
              <w:widowControl/>
              <w:jc w:val="center"/>
              <w:rPr>
                <w:rFonts w:ascii="宋体" w:cs="宋体"/>
                <w:b/>
                <w:bCs/>
                <w:kern w:val="0"/>
                <w:szCs w:val="21"/>
              </w:rPr>
            </w:pPr>
            <w:r>
              <w:rPr>
                <w:rFonts w:hint="eastAsia" w:ascii="宋体" w:cs="宋体"/>
                <w:b/>
                <w:bCs/>
                <w:kern w:val="0"/>
                <w:szCs w:val="21"/>
              </w:rPr>
              <w:t>项   目</w:t>
            </w:r>
          </w:p>
        </w:tc>
        <w:tc>
          <w:tcPr>
            <w:tcW w:w="6857" w:type="dxa"/>
            <w:tcBorders>
              <w:left w:val="single" w:color="auto" w:sz="4" w:space="0"/>
            </w:tcBorders>
            <w:vAlign w:val="center"/>
          </w:tcPr>
          <w:p>
            <w:pPr>
              <w:keepNext/>
              <w:widowControl/>
              <w:jc w:val="center"/>
              <w:rPr>
                <w:rFonts w:ascii="宋体" w:cs="宋体"/>
                <w:b/>
                <w:bCs/>
                <w:kern w:val="0"/>
                <w:szCs w:val="21"/>
              </w:rPr>
            </w:pPr>
            <w:r>
              <w:rPr>
                <w:rFonts w:hint="eastAsia" w:ascii="宋体" w:cs="宋体"/>
                <w:b/>
                <w:bCs/>
                <w:kern w:val="0"/>
                <w:szCs w:val="21"/>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813" w:type="dxa"/>
            <w:tcBorders>
              <w:bottom w:val="single" w:color="auto" w:sz="4" w:space="0"/>
            </w:tcBorders>
            <w:vAlign w:val="center"/>
          </w:tcPr>
          <w:p>
            <w:pPr>
              <w:jc w:val="center"/>
              <w:rPr>
                <w:rFonts w:ascii="宋体"/>
                <w:kern w:val="0"/>
                <w:szCs w:val="21"/>
              </w:rPr>
            </w:pPr>
            <w:r>
              <w:rPr>
                <w:rFonts w:hint="eastAsia" w:ascii="宋体"/>
                <w:kern w:val="0"/>
                <w:szCs w:val="21"/>
              </w:rPr>
              <w:t>1</w:t>
            </w:r>
          </w:p>
        </w:tc>
        <w:tc>
          <w:tcPr>
            <w:tcW w:w="1410" w:type="dxa"/>
            <w:tcBorders>
              <w:right w:val="single" w:color="auto" w:sz="4" w:space="0"/>
            </w:tcBorders>
            <w:vAlign w:val="center"/>
          </w:tcPr>
          <w:p>
            <w:pPr>
              <w:keepNext/>
              <w:widowControl/>
              <w:jc w:val="distribute"/>
              <w:rPr>
                <w:rFonts w:ascii="黑体" w:eastAsia="黑体" w:cs="黑体"/>
                <w:kern w:val="0"/>
                <w:szCs w:val="21"/>
              </w:rPr>
            </w:pPr>
            <w:r>
              <w:rPr>
                <w:rFonts w:hint="eastAsia" w:ascii="黑体" w:eastAsia="黑体" w:cs="黑体"/>
                <w:kern w:val="0"/>
                <w:szCs w:val="21"/>
              </w:rPr>
              <w:t>采购人</w:t>
            </w:r>
          </w:p>
        </w:tc>
        <w:tc>
          <w:tcPr>
            <w:tcW w:w="6857" w:type="dxa"/>
            <w:tcBorders>
              <w:left w:val="single" w:color="auto" w:sz="4" w:space="0"/>
            </w:tcBorders>
            <w:vAlign w:val="center"/>
          </w:tcPr>
          <w:p>
            <w:pPr>
              <w:widowControl/>
              <w:wordWrap w:val="0"/>
              <w:spacing w:line="440" w:lineRule="exact"/>
              <w:ind w:firstLine="420" w:firstLineChars="200"/>
              <w:jc w:val="left"/>
              <w:rPr>
                <w:rFonts w:ascii="宋体" w:cs="宋体"/>
                <w:color w:val="000000"/>
                <w:kern w:val="0"/>
                <w:szCs w:val="21"/>
              </w:rPr>
            </w:pPr>
            <w:r>
              <w:rPr>
                <w:rFonts w:hint="eastAsia" w:ascii="宋体" w:cs="宋体"/>
                <w:color w:val="000000"/>
                <w:kern w:val="0"/>
                <w:szCs w:val="21"/>
              </w:rPr>
              <w:t>名称：乌鲁木齐市米东区农业农村局（农业综合行政执法大队）</w:t>
            </w:r>
          </w:p>
          <w:p>
            <w:pPr>
              <w:keepNext/>
              <w:widowControl/>
              <w:ind w:firstLine="420" w:firstLineChars="200"/>
              <w:jc w:val="left"/>
              <w:rPr>
                <w:rFonts w:ascii="宋体" w:cs="宋体"/>
                <w:color w:val="000000"/>
                <w:kern w:val="0"/>
                <w:szCs w:val="21"/>
              </w:rPr>
            </w:pPr>
            <w:r>
              <w:rPr>
                <w:rFonts w:hint="eastAsia" w:ascii="宋体" w:cs="宋体"/>
                <w:color w:val="000000"/>
                <w:kern w:val="0"/>
                <w:szCs w:val="21"/>
              </w:rPr>
              <w:t>地址：乌鲁木齐市米东区中鼎街1018号</w:t>
            </w:r>
          </w:p>
          <w:p>
            <w:pPr>
              <w:keepNext/>
              <w:widowControl/>
              <w:ind w:firstLine="420" w:firstLineChars="200"/>
              <w:jc w:val="left"/>
              <w:rPr>
                <w:rFonts w:ascii="宋体" w:cs="宋体"/>
                <w:color w:val="000000"/>
                <w:kern w:val="0"/>
                <w:szCs w:val="21"/>
              </w:rPr>
            </w:pPr>
            <w:r>
              <w:rPr>
                <w:rFonts w:hint="eastAsia" w:ascii="宋体" w:cs="宋体"/>
                <w:color w:val="000000"/>
                <w:kern w:val="0"/>
                <w:szCs w:val="21"/>
              </w:rPr>
              <w:t>联系人：单鹏</w:t>
            </w:r>
          </w:p>
          <w:p>
            <w:pPr>
              <w:keepNext/>
              <w:widowControl/>
              <w:ind w:firstLine="420" w:firstLineChars="200"/>
              <w:jc w:val="left"/>
              <w:rPr>
                <w:rFonts w:ascii="宋体" w:cs="宋体"/>
                <w:color w:val="000000"/>
                <w:kern w:val="0"/>
                <w:szCs w:val="21"/>
              </w:rPr>
            </w:pPr>
            <w:r>
              <w:rPr>
                <w:rFonts w:hint="eastAsia" w:ascii="宋体" w:cs="宋体"/>
                <w:color w:val="000000"/>
                <w:kern w:val="0"/>
                <w:szCs w:val="21"/>
              </w:rPr>
              <w:t>电话：18999926988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tcBorders>
              <w:top w:val="single" w:color="auto" w:sz="4" w:space="0"/>
              <w:bottom w:val="single" w:color="auto" w:sz="4" w:space="0"/>
            </w:tcBorders>
            <w:vAlign w:val="center"/>
          </w:tcPr>
          <w:p>
            <w:pPr>
              <w:jc w:val="center"/>
            </w:pPr>
            <w:r>
              <w:rPr>
                <w:rFonts w:hint="eastAsia" w:ascii="宋体"/>
                <w:kern w:val="0"/>
                <w:szCs w:val="21"/>
              </w:rPr>
              <w:t>2</w:t>
            </w:r>
          </w:p>
        </w:tc>
        <w:tc>
          <w:tcPr>
            <w:tcW w:w="1410" w:type="dxa"/>
            <w:tcBorders>
              <w:bottom w:val="single" w:color="auto" w:sz="4" w:space="0"/>
            </w:tcBorders>
            <w:vAlign w:val="center"/>
          </w:tcPr>
          <w:p>
            <w:pPr>
              <w:keepNext/>
              <w:widowControl/>
              <w:jc w:val="distribute"/>
              <w:rPr>
                <w:rFonts w:ascii="黑体" w:eastAsia="黑体" w:cs="黑体"/>
                <w:kern w:val="0"/>
                <w:szCs w:val="21"/>
              </w:rPr>
            </w:pPr>
            <w:r>
              <w:rPr>
                <w:rFonts w:hint="eastAsia" w:ascii="黑体" w:eastAsia="黑体" w:cs="黑体"/>
                <w:kern w:val="0"/>
                <w:szCs w:val="21"/>
              </w:rPr>
              <w:t>采购代理机构</w:t>
            </w:r>
          </w:p>
        </w:tc>
        <w:tc>
          <w:tcPr>
            <w:tcW w:w="6857" w:type="dxa"/>
            <w:vAlign w:val="center"/>
          </w:tcPr>
          <w:p>
            <w:pPr>
              <w:keepNext/>
              <w:widowControl/>
              <w:ind w:firstLine="420" w:firstLineChars="200"/>
              <w:jc w:val="left"/>
            </w:pPr>
            <w:r>
              <w:rPr>
                <w:rFonts w:hint="eastAsia"/>
              </w:rPr>
              <w:t>名称：</w:t>
            </w:r>
            <w:r>
              <w:rPr>
                <w:rFonts w:hint="eastAsia" w:ascii="宋体" w:cs="宋体"/>
                <w:color w:val="000000"/>
                <w:kern w:val="0"/>
                <w:szCs w:val="21"/>
              </w:rPr>
              <w:t>新疆诚晟源项目管理咨询有限公司</w:t>
            </w:r>
          </w:p>
          <w:p>
            <w:pPr>
              <w:pStyle w:val="10"/>
              <w:numPr>
                <w:ilvl w:val="0"/>
                <w:numId w:val="0"/>
              </w:numPr>
              <w:ind w:firstLine="420" w:firstLineChars="200"/>
              <w:rPr>
                <w:rFonts w:ascii="宋体" w:eastAsia="宋体" w:cs="宋体"/>
                <w:color w:val="000000"/>
                <w:kern w:val="0"/>
                <w:sz w:val="21"/>
                <w:szCs w:val="21"/>
              </w:rPr>
            </w:pPr>
            <w:r>
              <w:rPr>
                <w:rFonts w:hint="eastAsia" w:ascii="宋体" w:eastAsia="宋体" w:cs="宋体"/>
                <w:color w:val="000000"/>
                <w:kern w:val="0"/>
                <w:sz w:val="21"/>
                <w:szCs w:val="21"/>
              </w:rPr>
              <w:t>地址：乌市水磨沟区龙盛街2799号金昊•浙商大厦1501室</w:t>
            </w:r>
          </w:p>
          <w:p>
            <w:pPr>
              <w:pStyle w:val="10"/>
              <w:numPr>
                <w:ilvl w:val="0"/>
                <w:numId w:val="0"/>
              </w:numPr>
              <w:ind w:firstLine="420" w:firstLineChars="200"/>
              <w:rPr>
                <w:rFonts w:ascii="宋体" w:eastAsia="宋体" w:cs="宋体"/>
                <w:color w:val="000000"/>
                <w:kern w:val="0"/>
                <w:sz w:val="21"/>
                <w:szCs w:val="21"/>
              </w:rPr>
            </w:pPr>
            <w:r>
              <w:rPr>
                <w:rFonts w:hint="eastAsia" w:ascii="宋体" w:eastAsia="宋体" w:cs="宋体"/>
                <w:color w:val="000000"/>
                <w:kern w:val="0"/>
                <w:sz w:val="21"/>
                <w:szCs w:val="21"/>
              </w:rPr>
              <w:t>联系人：王淑敏</w:t>
            </w:r>
          </w:p>
          <w:p>
            <w:pPr>
              <w:pStyle w:val="10"/>
              <w:numPr>
                <w:ilvl w:val="0"/>
                <w:numId w:val="0"/>
              </w:numPr>
              <w:ind w:firstLine="420" w:firstLineChars="200"/>
              <w:rPr>
                <w:rFonts w:ascii="宋体" w:eastAsia="宋体" w:cs="宋体"/>
                <w:color w:val="000000"/>
                <w:kern w:val="0"/>
                <w:sz w:val="21"/>
                <w:szCs w:val="21"/>
              </w:rPr>
            </w:pPr>
            <w:r>
              <w:rPr>
                <w:rFonts w:hint="eastAsia" w:ascii="宋体" w:eastAsia="宋体" w:cs="宋体"/>
                <w:color w:val="000000"/>
                <w:kern w:val="0"/>
                <w:sz w:val="21"/>
                <w:szCs w:val="21"/>
              </w:rPr>
              <w:t>电话：13199838283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tcBorders>
              <w:top w:val="single" w:color="auto" w:sz="4" w:space="0"/>
              <w:bottom w:val="single" w:color="auto" w:sz="4" w:space="0"/>
            </w:tcBorders>
            <w:vAlign w:val="center"/>
          </w:tcPr>
          <w:p>
            <w:pPr>
              <w:jc w:val="center"/>
              <w:rPr>
                <w:rFonts w:ascii="宋体"/>
                <w:kern w:val="0"/>
                <w:szCs w:val="21"/>
              </w:rPr>
            </w:pPr>
            <w:r>
              <w:rPr>
                <w:rFonts w:hint="eastAsia" w:ascii="宋体"/>
                <w:kern w:val="0"/>
                <w:szCs w:val="21"/>
              </w:rPr>
              <w:t>3</w:t>
            </w:r>
          </w:p>
        </w:tc>
        <w:tc>
          <w:tcPr>
            <w:tcW w:w="1410" w:type="dxa"/>
            <w:tcBorders>
              <w:bottom w:val="single" w:color="auto" w:sz="4" w:space="0"/>
            </w:tcBorders>
            <w:vAlign w:val="center"/>
          </w:tcPr>
          <w:p>
            <w:pPr>
              <w:keepNext/>
              <w:widowControl/>
              <w:jc w:val="distribute"/>
              <w:rPr>
                <w:rFonts w:ascii="黑体" w:eastAsia="黑体" w:cs="黑体"/>
                <w:color w:val="000000" w:themeColor="text1"/>
                <w:kern w:val="0"/>
                <w:szCs w:val="21"/>
              </w:rPr>
            </w:pPr>
            <w:r>
              <w:rPr>
                <w:rFonts w:hint="eastAsia" w:ascii="黑体" w:eastAsia="黑体" w:cs="黑体"/>
                <w:color w:val="000000" w:themeColor="text1"/>
                <w:kern w:val="0"/>
                <w:szCs w:val="21"/>
              </w:rPr>
              <w:t>项目基本情况</w:t>
            </w:r>
          </w:p>
        </w:tc>
        <w:tc>
          <w:tcPr>
            <w:tcW w:w="6857" w:type="dxa"/>
            <w:vAlign w:val="center"/>
          </w:tcPr>
          <w:p>
            <w:pPr>
              <w:spacing w:line="360" w:lineRule="auto"/>
              <w:ind w:firstLine="420" w:firstLineChars="200"/>
              <w:rPr>
                <w:rFonts w:ascii="宋体" w:hAnsi="宋体" w:cs="宋体"/>
                <w:color w:val="000000" w:themeColor="text1"/>
              </w:rPr>
            </w:pPr>
            <w:r>
              <w:rPr>
                <w:rFonts w:hint="eastAsia"/>
                <w:color w:val="000000" w:themeColor="text1"/>
              </w:rPr>
              <w:t>项目名称</w:t>
            </w:r>
            <w:r>
              <w:rPr>
                <w:rFonts w:hint="eastAsia" w:ascii="宋体" w:hAnsi="宋体" w:cs="宋体"/>
                <w:color w:val="000000" w:themeColor="text1"/>
              </w:rPr>
              <w:t>：</w:t>
            </w:r>
            <w:r>
              <w:rPr>
                <w:rFonts w:hint="eastAsia" w:asciiTheme="minorEastAsia" w:hAnsiTheme="minorEastAsia" w:eastAsiaTheme="minorEastAsia" w:cstheme="minorEastAsia"/>
                <w:szCs w:val="21"/>
              </w:rPr>
              <w:t>米东区铁厂沟镇天山村星空露营基地项目-露营设备</w:t>
            </w:r>
          </w:p>
          <w:p>
            <w:pPr>
              <w:spacing w:line="360" w:lineRule="auto"/>
              <w:ind w:firstLine="420" w:firstLineChars="200"/>
              <w:rPr>
                <w:rFonts w:hint="eastAsia" w:ascii="宋体" w:hAnsi="宋体" w:eastAsia="宋体" w:cs="宋体"/>
                <w:color w:val="000000" w:themeColor="text1"/>
                <w:lang w:eastAsia="zh-CN"/>
              </w:rPr>
            </w:pPr>
            <w:r>
              <w:rPr>
                <w:rFonts w:hint="eastAsia"/>
                <w:color w:val="000000" w:themeColor="text1"/>
              </w:rPr>
              <w:t>项目编号：[2023]1119号-00</w:t>
            </w:r>
            <w:r>
              <w:rPr>
                <w:rFonts w:hint="eastAsia"/>
                <w:color w:val="000000" w:themeColor="text1"/>
                <w:lang w:val="en-US" w:eastAsia="zh-CN"/>
              </w:rPr>
              <w:t>3</w:t>
            </w:r>
          </w:p>
          <w:p>
            <w:pPr>
              <w:spacing w:line="360" w:lineRule="auto"/>
              <w:ind w:firstLine="420" w:firstLineChars="200"/>
              <w:rPr>
                <w:color w:val="000000" w:themeColor="text1"/>
              </w:rPr>
            </w:pPr>
            <w:r>
              <w:rPr>
                <w:rFonts w:hint="eastAsia"/>
                <w:color w:val="000000" w:themeColor="text1"/>
              </w:rPr>
              <w:t>预算金额</w:t>
            </w:r>
            <w:r>
              <w:rPr>
                <w:rFonts w:hint="eastAsia" w:ascii="宋体" w:hAnsi="宋体" w:cs="宋体"/>
                <w:color w:val="000000" w:themeColor="text1"/>
              </w:rPr>
              <w:t>：245.02</w:t>
            </w:r>
            <w:r>
              <w:rPr>
                <w:rFonts w:hint="eastAsia" w:ascii="宋体" w:hAnsi="宋体" w:cs="宋体"/>
                <w:color w:val="000000" w:themeColor="text1"/>
                <w:lang w:val="en-US" w:eastAsia="zh-CN"/>
              </w:rPr>
              <w:t>万</w:t>
            </w:r>
            <w:r>
              <w:rPr>
                <w:rFonts w:hint="eastAsia" w:ascii="宋体" w:hAnsi="宋体" w:cs="宋体"/>
                <w:color w:val="000000" w:themeColor="text1"/>
              </w:rPr>
              <w:t>元</w:t>
            </w:r>
          </w:p>
          <w:p>
            <w:pPr>
              <w:spacing w:line="360" w:lineRule="auto"/>
              <w:ind w:firstLine="420" w:firstLineChars="200"/>
              <w:rPr>
                <w:color w:val="000000" w:themeColor="text1"/>
              </w:rPr>
            </w:pPr>
            <w:r>
              <w:rPr>
                <w:rFonts w:hint="eastAsia"/>
                <w:color w:val="000000" w:themeColor="text1"/>
              </w:rPr>
              <w:t>详见技术标准和要求</w:t>
            </w:r>
          </w:p>
          <w:p>
            <w:pPr>
              <w:keepNext/>
              <w:widowControl/>
              <w:ind w:firstLine="420" w:firstLineChars="200"/>
              <w:jc w:val="left"/>
              <w:rPr>
                <w:color w:val="000000" w:themeColor="text1"/>
              </w:rPr>
            </w:pPr>
            <w:r>
              <w:rPr>
                <w:rFonts w:hint="eastAsia"/>
                <w:color w:val="000000" w:themeColor="text1"/>
              </w:rPr>
              <w:t>采购内容及数量： 厨房帐篷1套、大床房野奢帐篷（移动民宿1）3套、亲子款营地房（移动民宿2）4套、印第安敞开帐-10m(星空房)2套、长方形L棉布天幕6套、4m蒙古包8套、大号A型帐套装（露营天幕1）26套。</w:t>
            </w:r>
          </w:p>
          <w:p>
            <w:pPr>
              <w:keepNext/>
              <w:widowControl/>
              <w:ind w:firstLine="420" w:firstLineChars="200"/>
              <w:jc w:val="left"/>
              <w:rPr>
                <w:color w:val="000000" w:themeColor="text1"/>
              </w:rPr>
            </w:pPr>
            <w:r>
              <w:rPr>
                <w:rFonts w:hint="eastAsia"/>
                <w:color w:val="000000" w:themeColor="text1"/>
              </w:rPr>
              <w:t xml:space="preserve">资金情况： </w:t>
            </w:r>
            <w:r>
              <w:rPr>
                <w:rFonts w:hint="eastAsia" w:ascii="宋体" w:cs="宋体"/>
                <w:color w:val="000000" w:themeColor="text1"/>
                <w:kern w:val="0"/>
                <w:szCs w:val="21"/>
              </w:rPr>
              <w:t>财政资金</w:t>
            </w:r>
          </w:p>
          <w:p>
            <w:pPr>
              <w:keepNext/>
              <w:widowControl/>
              <w:ind w:firstLine="420" w:firstLineChars="200"/>
              <w:jc w:val="left"/>
              <w:rPr>
                <w:color w:val="000000" w:themeColor="text1"/>
              </w:rPr>
            </w:pPr>
            <w:r>
              <w:rPr>
                <w:rFonts w:hint="eastAsia"/>
                <w:color w:val="000000" w:themeColor="text1"/>
              </w:rPr>
              <w:t>服务/供货/完工期限：合同签订后90日内完成供货及安装服务</w:t>
            </w:r>
          </w:p>
          <w:p>
            <w:pPr>
              <w:keepNext/>
              <w:widowControl/>
              <w:ind w:firstLine="420" w:firstLineChars="200"/>
              <w:jc w:val="left"/>
              <w:rPr>
                <w:color w:val="000000" w:themeColor="text1"/>
              </w:rPr>
            </w:pPr>
            <w:r>
              <w:rPr>
                <w:rFonts w:hint="eastAsia"/>
                <w:color w:val="000000" w:themeColor="text1"/>
              </w:rPr>
              <w:t>服务/供货/建设地点：采购人指定区域</w:t>
            </w:r>
          </w:p>
          <w:p>
            <w:pPr>
              <w:keepNext/>
              <w:widowControl/>
              <w:ind w:firstLine="420" w:firstLineChars="200"/>
              <w:jc w:val="left"/>
              <w:rPr>
                <w:color w:val="000000" w:themeColor="text1"/>
              </w:rPr>
            </w:pPr>
            <w:r>
              <w:rPr>
                <w:rFonts w:hint="eastAsia"/>
                <w:color w:val="000000" w:themeColor="text1"/>
              </w:rPr>
              <w:t>付款方式：</w:t>
            </w:r>
            <w:r>
              <w:rPr>
                <w:rFonts w:hint="eastAsia" w:ascii="宋体" w:cs="宋体"/>
                <w:color w:val="000000" w:themeColor="text1"/>
                <w:kern w:val="0"/>
                <w:szCs w:val="21"/>
              </w:rPr>
              <w:t>最终以与采购人签订的《采购供应合同》的具体约定为准</w:t>
            </w:r>
          </w:p>
          <w:p>
            <w:pPr>
              <w:keepNext/>
              <w:widowControl/>
              <w:ind w:firstLine="420" w:firstLineChars="200"/>
              <w:jc w:val="left"/>
              <w:rPr>
                <w:color w:val="000000" w:themeColor="text1"/>
              </w:rPr>
            </w:pPr>
            <w:r>
              <w:rPr>
                <w:rFonts w:hint="eastAsia"/>
                <w:color w:val="000000" w:themeColor="text1"/>
              </w:rPr>
              <w:t>采购方式：</w:t>
            </w:r>
            <w:r>
              <w:rPr>
                <w:rFonts w:hint="eastAsia" w:ascii="宋体" w:cs="宋体"/>
                <w:color w:val="000000" w:themeColor="text1"/>
                <w:kern w:val="0"/>
                <w:szCs w:val="21"/>
              </w:rPr>
              <w:t>公开招标</w:t>
            </w:r>
          </w:p>
          <w:p>
            <w:pPr>
              <w:keepNext/>
              <w:widowControl/>
              <w:ind w:firstLine="420" w:firstLineChars="200"/>
              <w:jc w:val="left"/>
              <w:rPr>
                <w:color w:val="000000" w:themeColor="text1"/>
              </w:rPr>
            </w:pPr>
            <w:r>
              <w:rPr>
                <w:rFonts w:hint="eastAsia"/>
                <w:color w:val="000000" w:themeColor="text1"/>
              </w:rPr>
              <w:t>质保期： 2年</w:t>
            </w:r>
          </w:p>
          <w:p>
            <w:pPr>
              <w:keepNext/>
              <w:widowControl/>
              <w:ind w:firstLine="420" w:firstLineChars="200"/>
              <w:jc w:val="left"/>
              <w:rPr>
                <w:rFonts w:ascii="宋体" w:cs="宋体"/>
                <w:color w:val="000000" w:themeColor="text1"/>
                <w:kern w:val="0"/>
                <w:szCs w:val="21"/>
              </w:rPr>
            </w:pPr>
            <w:r>
              <w:rPr>
                <w:rFonts w:hint="eastAsia"/>
                <w:color w:val="000000" w:themeColor="text1"/>
                <w:lang w:val="en-US" w:eastAsia="zh-CN"/>
              </w:rPr>
              <w:t>产品</w:t>
            </w:r>
            <w:r>
              <w:rPr>
                <w:rFonts w:hint="eastAsia"/>
                <w:color w:val="000000" w:themeColor="text1"/>
              </w:rPr>
              <w:t>质量： 产品为全新未使用过的原装合格正品，安装质量应符合各项技术标准和国家强制性标准。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410" w:type="dxa"/>
            <w:vAlign w:val="center"/>
          </w:tcPr>
          <w:p>
            <w:pPr>
              <w:keepNext/>
              <w:widowControl/>
              <w:jc w:val="distribute"/>
              <w:rPr>
                <w:rFonts w:ascii="黑体" w:eastAsia="黑体" w:cs="黑体"/>
                <w:color w:val="000000" w:themeColor="text1"/>
                <w:kern w:val="0"/>
                <w:szCs w:val="21"/>
              </w:rPr>
            </w:pPr>
            <w:r>
              <w:rPr>
                <w:rFonts w:hint="eastAsia" w:ascii="黑体" w:eastAsia="黑体" w:cs="黑体"/>
                <w:color w:val="000000" w:themeColor="text1"/>
                <w:kern w:val="0"/>
                <w:szCs w:val="21"/>
              </w:rPr>
              <w:t>核心产品</w:t>
            </w:r>
          </w:p>
        </w:tc>
        <w:tc>
          <w:tcPr>
            <w:tcW w:w="6857" w:type="dxa"/>
            <w:vAlign w:val="center"/>
          </w:tcPr>
          <w:p>
            <w:pPr>
              <w:keepNext/>
              <w:widowControl/>
              <w:ind w:firstLine="420" w:firstLineChars="200"/>
              <w:jc w:val="left"/>
              <w:rPr>
                <w:rFonts w:asciiTheme="minorEastAsia" w:hAnsiTheme="minorEastAsia" w:cstheme="minorEastAsia"/>
                <w:color w:val="000000" w:themeColor="text1"/>
                <w:kern w:val="0"/>
                <w:szCs w:val="21"/>
              </w:rPr>
            </w:pPr>
            <w:r>
              <w:rPr>
                <w:rFonts w:hint="eastAsia" w:asciiTheme="minorEastAsia" w:hAnsiTheme="minorEastAsia" w:eastAsiaTheme="minorEastAsia" w:cstheme="minorEastAsia"/>
                <w:color w:val="000000" w:themeColor="text1"/>
                <w:kern w:val="0"/>
                <w:szCs w:val="21"/>
              </w:rPr>
              <w:sym w:font="Wingdings" w:char="00FE"/>
            </w:r>
            <w:r>
              <w:rPr>
                <w:rFonts w:hint="eastAsia" w:asciiTheme="minorEastAsia" w:hAnsiTheme="minorEastAsia" w:eastAsiaTheme="minorEastAsia" w:cstheme="minorEastAsia"/>
                <w:color w:val="000000" w:themeColor="text1"/>
                <w:kern w:val="0"/>
                <w:szCs w:val="21"/>
              </w:rPr>
              <w:t>无</w:t>
            </w:r>
          </w:p>
          <w:p>
            <w:pPr>
              <w:keepNext/>
              <w:widowControl/>
              <w:ind w:firstLine="420" w:firstLineChars="200"/>
              <w:jc w:val="left"/>
              <w:rPr>
                <w:rFonts w:ascii="宋体" w:cs="宋体" w:eastAsiaTheme="minorEastAsia"/>
                <w:color w:val="000000" w:themeColor="text1"/>
                <w:kern w:val="0"/>
                <w:szCs w:val="21"/>
              </w:rPr>
            </w:pPr>
            <w:r>
              <w:rPr>
                <w:rFonts w:hint="eastAsia" w:asciiTheme="minorEastAsia" w:hAnsiTheme="minorEastAsia" w:eastAsiaTheme="minorEastAsia" w:cstheme="minorEastAsia"/>
                <w:color w:val="000000" w:themeColor="text1"/>
                <w:kern w:val="0"/>
                <w:szCs w:val="21"/>
              </w:rPr>
              <w:sym w:font="Wingdings" w:char="00A8"/>
            </w:r>
            <w:r>
              <w:rPr>
                <w:rFonts w:hint="eastAsia" w:asciiTheme="minorEastAsia" w:hAnsiTheme="minorEastAsia" w:eastAsiaTheme="minorEastAsia" w:cstheme="minorEastAsia"/>
                <w:color w:val="000000" w:themeColor="text1"/>
                <w:kern w:val="0"/>
                <w:szCs w:val="21"/>
              </w:rPr>
              <w:t>若有则为：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1410" w:type="dxa"/>
            <w:vAlign w:val="center"/>
          </w:tcPr>
          <w:p>
            <w:pPr>
              <w:keepNext/>
              <w:widowControl/>
              <w:jc w:val="distribute"/>
              <w:rPr>
                <w:rFonts w:ascii="黑体" w:hAnsi="黑体" w:eastAsia="黑体" w:cs="黑体"/>
                <w:kern w:val="0"/>
                <w:szCs w:val="21"/>
              </w:rPr>
            </w:pPr>
            <w:r>
              <w:rPr>
                <w:rFonts w:hint="eastAsia" w:ascii="黑体" w:hAnsi="黑体" w:eastAsia="黑体" w:cs="黑体"/>
                <w:kern w:val="0"/>
                <w:szCs w:val="21"/>
              </w:rPr>
              <w:t>是否允许</w:t>
            </w:r>
          </w:p>
          <w:p>
            <w:pPr>
              <w:keepNext/>
              <w:widowControl/>
              <w:jc w:val="distribute"/>
              <w:rPr>
                <w:rFonts w:ascii="黑体" w:eastAsia="黑体" w:cs="黑体"/>
                <w:color w:val="000000"/>
                <w:kern w:val="0"/>
                <w:szCs w:val="21"/>
              </w:rPr>
            </w:pPr>
            <w:r>
              <w:rPr>
                <w:rFonts w:hint="eastAsia" w:ascii="黑体" w:hAnsi="黑体" w:eastAsia="黑体" w:cs="黑体"/>
                <w:kern w:val="0"/>
                <w:szCs w:val="21"/>
              </w:rPr>
              <w:t>联合体投标</w:t>
            </w:r>
          </w:p>
        </w:tc>
        <w:tc>
          <w:tcPr>
            <w:tcW w:w="6857" w:type="dxa"/>
            <w:vAlign w:val="center"/>
          </w:tcPr>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sym w:font="Wingdings" w:char="00FE"/>
            </w:r>
            <w:r>
              <w:rPr>
                <w:rFonts w:hint="eastAsia" w:asciiTheme="minorEastAsia" w:hAnsiTheme="minorEastAsia" w:eastAsiaTheme="minorEastAsia" w:cstheme="minorEastAsia"/>
                <w:kern w:val="0"/>
                <w:szCs w:val="21"/>
              </w:rPr>
              <w:t>不接受</w:t>
            </w:r>
          </w:p>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sym w:font="Wingdings" w:char="00A8"/>
            </w:r>
            <w:r>
              <w:rPr>
                <w:rFonts w:hint="eastAsia" w:asciiTheme="minorEastAsia" w:hAnsiTheme="minorEastAsia" w:eastAsiaTheme="minorEastAsia" w:cstheme="minorEastAsia"/>
                <w:kern w:val="0"/>
                <w:szCs w:val="21"/>
              </w:rPr>
              <w:t>接受，联合体投标的须在投标文件中提供联合体协议书，联合体所有成员不得超过2家，联合体的任何一方均不得再与其他投标单位联合。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w:t>
            </w:r>
          </w:p>
        </w:tc>
        <w:tc>
          <w:tcPr>
            <w:tcW w:w="1410" w:type="dxa"/>
            <w:vAlign w:val="center"/>
          </w:tcPr>
          <w:p>
            <w:pPr>
              <w:keepNext/>
              <w:widowControl/>
              <w:jc w:val="distribute"/>
              <w:rPr>
                <w:rFonts w:ascii="黑体" w:hAnsi="黑体" w:eastAsia="黑体" w:cs="黑体"/>
                <w:kern w:val="0"/>
                <w:szCs w:val="21"/>
              </w:rPr>
            </w:pPr>
            <w:r>
              <w:rPr>
                <w:rFonts w:hint="eastAsia" w:ascii="黑体" w:hAnsi="黑体" w:eastAsia="黑体" w:cs="黑体"/>
                <w:kern w:val="0"/>
                <w:szCs w:val="21"/>
              </w:rPr>
              <w:t>计量单位</w:t>
            </w:r>
          </w:p>
        </w:tc>
        <w:tc>
          <w:tcPr>
            <w:tcW w:w="6857" w:type="dxa"/>
            <w:vAlign w:val="center"/>
          </w:tcPr>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sym w:font="Wingdings" w:char="00FE"/>
            </w:r>
            <w:r>
              <w:rPr>
                <w:rFonts w:hint="eastAsia" w:asciiTheme="minorEastAsia" w:hAnsiTheme="minorEastAsia" w:eastAsiaTheme="minorEastAsia" w:cstheme="minorEastAsia"/>
                <w:kern w:val="0"/>
                <w:szCs w:val="21"/>
              </w:rPr>
              <w:t>中华人民共和国法定计量单位</w:t>
            </w:r>
          </w:p>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sym w:font="Wingdings" w:char="00A8"/>
            </w:r>
            <w:r>
              <w:rPr>
                <w:rFonts w:hint="eastAsia" w:asciiTheme="minorEastAsia" w:hAnsiTheme="minorEastAsia" w:eastAsiaTheme="minorEastAsia" w:cstheme="minorEastAsia"/>
                <w:kern w:val="0"/>
                <w:szCs w:val="21"/>
              </w:rPr>
              <w:t xml:space="preserve">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tcBorders>
              <w:bottom w:val="single" w:color="auto" w:sz="4" w:space="0"/>
            </w:tcBorders>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7</w:t>
            </w:r>
          </w:p>
        </w:tc>
        <w:tc>
          <w:tcPr>
            <w:tcW w:w="1410" w:type="dxa"/>
            <w:vAlign w:val="center"/>
          </w:tcPr>
          <w:p>
            <w:pPr>
              <w:keepNext/>
              <w:widowControl/>
              <w:jc w:val="distribute"/>
              <w:rPr>
                <w:rFonts w:ascii="黑体" w:eastAsia="黑体" w:cs="黑体"/>
                <w:kern w:val="0"/>
                <w:szCs w:val="21"/>
              </w:rPr>
            </w:pPr>
            <w:r>
              <w:rPr>
                <w:rFonts w:hint="eastAsia" w:ascii="黑体" w:hAnsi="黑体" w:eastAsia="黑体" w:cs="黑体"/>
                <w:kern w:val="0"/>
                <w:szCs w:val="21"/>
              </w:rPr>
              <w:t>现场考察、开标前答疑会</w:t>
            </w:r>
          </w:p>
        </w:tc>
        <w:tc>
          <w:tcPr>
            <w:tcW w:w="6857" w:type="dxa"/>
            <w:vAlign w:val="center"/>
          </w:tcPr>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sym w:font="Wingdings" w:char="00FE"/>
            </w:r>
            <w:r>
              <w:rPr>
                <w:rFonts w:hint="eastAsia" w:asciiTheme="minorEastAsia" w:hAnsiTheme="minorEastAsia" w:eastAsiaTheme="minorEastAsia" w:cstheme="minorEastAsia"/>
                <w:kern w:val="0"/>
                <w:szCs w:val="21"/>
              </w:rPr>
              <w:t>不组织</w:t>
            </w:r>
          </w:p>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sym w:font="Wingdings" w:char="00A8"/>
            </w:r>
            <w:r>
              <w:rPr>
                <w:rFonts w:hint="eastAsia" w:asciiTheme="minorEastAsia" w:hAnsiTheme="minorEastAsia" w:eastAsiaTheme="minorEastAsia" w:cstheme="minorEastAsia"/>
                <w:kern w:val="0"/>
                <w:szCs w:val="21"/>
              </w:rPr>
              <w:t xml:space="preserve">组织，时  间：                          </w:t>
            </w:r>
          </w:p>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地  点：                           </w:t>
            </w:r>
          </w:p>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联系人：                           </w:t>
            </w:r>
          </w:p>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电  话：                           </w:t>
            </w:r>
          </w:p>
          <w:p>
            <w:pPr>
              <w:keepNext/>
              <w:widowControl/>
              <w:ind w:firstLine="420" w:firstLineChars="200"/>
              <w:jc w:val="left"/>
              <w:rPr>
                <w:rFonts w:ascii="宋体" w:cs="宋体"/>
                <w:kern w:val="0"/>
                <w:szCs w:val="21"/>
              </w:rPr>
            </w:pPr>
            <w:r>
              <w:rPr>
                <w:rFonts w:hint="eastAsia" w:asciiTheme="minorEastAsia" w:hAnsiTheme="minorEastAsia" w:eastAsiaTheme="minorEastAsia" w:cstheme="minorEastAsia"/>
                <w:kern w:val="0"/>
                <w:szCs w:val="21"/>
              </w:rPr>
              <w:sym w:font="Wingdings" w:char="00A8"/>
            </w:r>
            <w:r>
              <w:rPr>
                <w:rFonts w:hint="eastAsia" w:asciiTheme="minorEastAsia" w:hAnsiTheme="minorEastAsia" w:eastAsiaTheme="minorEastAsia" w:cstheme="minorEastAsia"/>
                <w:kern w:val="0"/>
                <w:szCs w:val="21"/>
              </w:rPr>
              <w:t>组织，招标（采购）文件提供期限截止后以书面形式通知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tcBorders>
              <w:top w:val="single" w:color="auto" w:sz="4" w:space="0"/>
              <w:bottom w:val="single" w:color="auto" w:sz="4" w:space="0"/>
            </w:tcBorders>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8</w:t>
            </w:r>
          </w:p>
        </w:tc>
        <w:tc>
          <w:tcPr>
            <w:tcW w:w="1410" w:type="dxa"/>
            <w:vAlign w:val="center"/>
          </w:tcPr>
          <w:p>
            <w:pPr>
              <w:keepNext/>
              <w:widowControl/>
              <w:jc w:val="distribute"/>
              <w:rPr>
                <w:rFonts w:ascii="黑体" w:hAnsi="黑体" w:eastAsia="黑体" w:cs="黑体"/>
                <w:kern w:val="0"/>
                <w:szCs w:val="21"/>
              </w:rPr>
            </w:pPr>
            <w:r>
              <w:rPr>
                <w:rFonts w:hint="eastAsia" w:ascii="黑体" w:hAnsi="黑体" w:eastAsia="黑体" w:cs="黑体"/>
                <w:kern w:val="0"/>
                <w:szCs w:val="21"/>
              </w:rPr>
              <w:t>投标</w:t>
            </w:r>
          </w:p>
          <w:p>
            <w:pPr>
              <w:keepNext/>
              <w:widowControl/>
              <w:jc w:val="distribute"/>
              <w:rPr>
                <w:rFonts w:ascii="黑体" w:eastAsia="黑体" w:cs="黑体"/>
                <w:kern w:val="0"/>
                <w:szCs w:val="21"/>
              </w:rPr>
            </w:pPr>
            <w:r>
              <w:rPr>
                <w:rFonts w:hint="eastAsia" w:ascii="黑体" w:hAnsi="黑体" w:eastAsia="黑体" w:cs="黑体"/>
                <w:kern w:val="0"/>
                <w:szCs w:val="21"/>
              </w:rPr>
              <w:t>预备会</w:t>
            </w:r>
          </w:p>
        </w:tc>
        <w:tc>
          <w:tcPr>
            <w:tcW w:w="6857" w:type="dxa"/>
            <w:vAlign w:val="center"/>
          </w:tcPr>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sym w:font="Wingdings" w:char="00FE"/>
            </w:r>
            <w:r>
              <w:rPr>
                <w:rFonts w:hint="eastAsia" w:asciiTheme="minorEastAsia" w:hAnsiTheme="minorEastAsia" w:eastAsiaTheme="minorEastAsia" w:cstheme="minorEastAsia"/>
                <w:kern w:val="0"/>
                <w:szCs w:val="21"/>
              </w:rPr>
              <w:t>不召开</w:t>
            </w:r>
          </w:p>
          <w:p>
            <w:pPr>
              <w:keepNext/>
              <w:widowControl/>
              <w:ind w:firstLine="420" w:firstLineChars="200"/>
              <w:jc w:val="left"/>
              <w:rPr>
                <w:rFonts w:ascii="宋体" w:cs="宋体"/>
                <w:kern w:val="0"/>
                <w:szCs w:val="21"/>
              </w:rPr>
            </w:pPr>
            <w:r>
              <w:rPr>
                <w:rFonts w:hint="eastAsia" w:asciiTheme="minorEastAsia" w:hAnsiTheme="minorEastAsia" w:eastAsiaTheme="minorEastAsia" w:cstheme="minorEastAsia"/>
                <w:kern w:val="0"/>
                <w:szCs w:val="21"/>
              </w:rPr>
              <w:sym w:font="Wingdings" w:char="00A8"/>
            </w:r>
            <w:r>
              <w:rPr>
                <w:rFonts w:hint="eastAsia" w:asciiTheme="minorEastAsia" w:hAnsiTheme="minorEastAsia" w:eastAsiaTheme="minorEastAsia" w:cstheme="minorEastAsia"/>
                <w:kern w:val="0"/>
                <w:szCs w:val="21"/>
              </w:rPr>
              <w:t>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tcBorders>
              <w:top w:val="single" w:color="auto" w:sz="4" w:space="0"/>
              <w:bottom w:val="single" w:color="auto" w:sz="4" w:space="0"/>
            </w:tcBorders>
            <w:vAlign w:val="center"/>
          </w:tcPr>
          <w:p>
            <w:pPr>
              <w:jc w:val="center"/>
            </w:pPr>
            <w:r>
              <w:rPr>
                <w:rFonts w:hint="eastAsia" w:asciiTheme="minorEastAsia" w:hAnsiTheme="minorEastAsia" w:eastAsiaTheme="minorEastAsia" w:cstheme="minorEastAsia"/>
              </w:rPr>
              <w:t>9</w:t>
            </w:r>
          </w:p>
        </w:tc>
        <w:tc>
          <w:tcPr>
            <w:tcW w:w="1410" w:type="dxa"/>
            <w:vAlign w:val="center"/>
          </w:tcPr>
          <w:p>
            <w:pPr>
              <w:keepNext/>
              <w:widowControl/>
              <w:jc w:val="distribute"/>
              <w:rPr>
                <w:rFonts w:ascii="黑体" w:eastAsia="黑体" w:cs="黑体"/>
                <w:kern w:val="0"/>
                <w:szCs w:val="21"/>
              </w:rPr>
            </w:pPr>
            <w:r>
              <w:rPr>
                <w:rFonts w:hint="eastAsia" w:ascii="黑体" w:hAnsi="黑体" w:eastAsia="黑体" w:cs="黑体"/>
                <w:kern w:val="0"/>
                <w:szCs w:val="21"/>
              </w:rPr>
              <w:t>样品或演示</w:t>
            </w:r>
          </w:p>
        </w:tc>
        <w:tc>
          <w:tcPr>
            <w:tcW w:w="6857" w:type="dxa"/>
            <w:vAlign w:val="center"/>
          </w:tcPr>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1、样品</w:t>
            </w:r>
          </w:p>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sym w:font="Wingdings" w:char="00FE"/>
            </w:r>
            <w:r>
              <w:rPr>
                <w:rFonts w:hint="eastAsia" w:asciiTheme="minorEastAsia" w:hAnsiTheme="minorEastAsia" w:eastAsiaTheme="minorEastAsia" w:cstheme="minorEastAsia"/>
                <w:kern w:val="0"/>
                <w:szCs w:val="21"/>
              </w:rPr>
              <w:t>不需要提供样品</w:t>
            </w:r>
          </w:p>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sym w:font="Wingdings" w:char="00A8"/>
            </w:r>
            <w:r>
              <w:rPr>
                <w:rFonts w:hint="eastAsia" w:asciiTheme="minorEastAsia" w:hAnsiTheme="minorEastAsia" w:eastAsiaTheme="minorEastAsia" w:cstheme="minorEastAsia"/>
                <w:kern w:val="0"/>
                <w:szCs w:val="21"/>
              </w:rPr>
              <w:t>需要提供样品</w:t>
            </w:r>
          </w:p>
          <w:p>
            <w:pPr>
              <w:keepNext/>
              <w:widowControl/>
              <w:ind w:firstLine="420" w:firstLineChars="200"/>
              <w:jc w:val="left"/>
              <w:rPr>
                <w:rFonts w:asciiTheme="minorEastAsia" w:hAnsiTheme="minorEastAsia" w:eastAsiaTheme="minorEastAsia" w:cstheme="minorEastAsia"/>
                <w:kern w:val="0"/>
                <w:szCs w:val="21"/>
              </w:rPr>
            </w:pPr>
            <w:r>
              <w:rPr>
                <w:rFonts w:hint="eastAsia" w:ascii="宋体" w:hAnsi="宋体" w:cs="宋体"/>
                <w:kern w:val="0"/>
                <w:szCs w:val="21"/>
              </w:rPr>
              <w:t>⑴</w:t>
            </w:r>
            <w:r>
              <w:rPr>
                <w:rFonts w:hint="eastAsia" w:asciiTheme="minorEastAsia" w:hAnsiTheme="minorEastAsia" w:eastAsiaTheme="minorEastAsia" w:cstheme="minorEastAsia"/>
                <w:kern w:val="0"/>
                <w:szCs w:val="21"/>
              </w:rPr>
              <w:t>递交样品的截止时间：   年  月  日  时（北京时间）</w:t>
            </w:r>
          </w:p>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递交样品地点：                     </w:t>
            </w:r>
          </w:p>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递交样品联系人：                   </w:t>
            </w:r>
          </w:p>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递交样品联系电话：                 </w:t>
            </w:r>
          </w:p>
          <w:p>
            <w:pPr>
              <w:keepNext/>
              <w:widowControl/>
              <w:ind w:firstLine="420" w:firstLineChars="200"/>
              <w:jc w:val="left"/>
              <w:rPr>
                <w:rFonts w:asciiTheme="minorEastAsia" w:hAnsiTheme="minorEastAsia" w:eastAsiaTheme="minorEastAsia" w:cstheme="minorEastAsia"/>
                <w:kern w:val="0"/>
                <w:szCs w:val="21"/>
              </w:rPr>
            </w:pPr>
            <w:r>
              <w:rPr>
                <w:rFonts w:hint="eastAsia" w:ascii="宋体" w:hAnsi="宋体" w:cs="宋体"/>
                <w:kern w:val="0"/>
                <w:szCs w:val="21"/>
              </w:rPr>
              <w:t>⑵</w:t>
            </w:r>
            <w:r>
              <w:rPr>
                <w:rFonts w:hint="eastAsia" w:asciiTheme="minorEastAsia" w:hAnsiTheme="minorEastAsia" w:eastAsiaTheme="minorEastAsia" w:cstheme="minorEastAsia"/>
                <w:kern w:val="0"/>
                <w:szCs w:val="21"/>
              </w:rPr>
              <w:t xml:space="preserve">样品制作的标准和要求：             </w:t>
            </w:r>
          </w:p>
          <w:p>
            <w:pPr>
              <w:keepNext/>
              <w:widowControl/>
              <w:ind w:firstLine="420" w:firstLineChars="200"/>
              <w:jc w:val="left"/>
              <w:rPr>
                <w:rFonts w:asciiTheme="minorEastAsia" w:hAnsiTheme="minorEastAsia" w:eastAsiaTheme="minorEastAsia" w:cstheme="minorEastAsia"/>
                <w:kern w:val="0"/>
                <w:szCs w:val="21"/>
              </w:rPr>
            </w:pPr>
            <w:r>
              <w:rPr>
                <w:rFonts w:hint="eastAsia" w:ascii="宋体" w:hAnsi="宋体" w:cs="宋体"/>
                <w:kern w:val="0"/>
                <w:szCs w:val="21"/>
              </w:rPr>
              <w:t>⑶</w:t>
            </w:r>
            <w:r>
              <w:rPr>
                <w:rFonts w:hint="eastAsia" w:asciiTheme="minorEastAsia" w:hAnsiTheme="minorEastAsia" w:eastAsiaTheme="minorEastAsia" w:cstheme="minorEastAsia"/>
                <w:kern w:val="0"/>
                <w:szCs w:val="21"/>
              </w:rPr>
              <w:t xml:space="preserve">随样品提交相关检测报告要求：       </w:t>
            </w:r>
          </w:p>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（包含是否要求提供、检测机构要求、检测内容等）</w:t>
            </w:r>
          </w:p>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样品的封存及退回：中标投标人的样品将由采购人进行保管、封存，并作为履约验收的参考。未中标的投标人提供的样品，应当由采购人进行保管、封存，中标公告之日起七个工作日后，由未中标人自行领回或经未中标人同意后自行处理。</w:t>
            </w:r>
          </w:p>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2、演示</w:t>
            </w:r>
          </w:p>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sym w:font="Wingdings" w:char="F0FE"/>
            </w:r>
            <w:r>
              <w:rPr>
                <w:rFonts w:hint="eastAsia" w:asciiTheme="minorEastAsia" w:hAnsiTheme="minorEastAsia" w:eastAsiaTheme="minorEastAsia" w:cstheme="minorEastAsia"/>
                <w:kern w:val="0"/>
                <w:szCs w:val="21"/>
              </w:rPr>
              <w:t>不需要提供演示</w:t>
            </w:r>
          </w:p>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sym w:font="Wingdings" w:char="00A8"/>
            </w:r>
            <w:r>
              <w:rPr>
                <w:rFonts w:hint="eastAsia" w:asciiTheme="minorEastAsia" w:hAnsiTheme="minorEastAsia" w:eastAsiaTheme="minorEastAsia" w:cstheme="minorEastAsia"/>
                <w:kern w:val="0"/>
                <w:szCs w:val="21"/>
              </w:rPr>
              <w:t>需要提供演示</w:t>
            </w:r>
          </w:p>
          <w:p>
            <w:pPr>
              <w:keepNext/>
              <w:widowControl/>
              <w:ind w:firstLine="420" w:firstLineChars="200"/>
              <w:jc w:val="left"/>
              <w:rPr>
                <w:rFonts w:asciiTheme="minorEastAsia" w:hAnsiTheme="minorEastAsia" w:eastAsiaTheme="minorEastAsia" w:cstheme="minorEastAsia"/>
                <w:kern w:val="0"/>
                <w:szCs w:val="21"/>
              </w:rPr>
            </w:pPr>
            <w:r>
              <w:rPr>
                <w:rFonts w:hint="eastAsia" w:ascii="宋体" w:hAnsi="宋体" w:cs="宋体"/>
                <w:kern w:val="0"/>
                <w:szCs w:val="21"/>
              </w:rPr>
              <w:t>⑴</w:t>
            </w:r>
            <w:r>
              <w:rPr>
                <w:rFonts w:hint="eastAsia" w:asciiTheme="minorEastAsia" w:hAnsiTheme="minorEastAsia" w:eastAsiaTheme="minorEastAsia" w:cstheme="minorEastAsia"/>
                <w:kern w:val="0"/>
                <w:szCs w:val="21"/>
              </w:rPr>
              <w:t xml:space="preserve">演示时间及顺序：            </w:t>
            </w:r>
          </w:p>
          <w:p>
            <w:pPr>
              <w:keepNext/>
              <w:widowControl/>
              <w:ind w:firstLine="420" w:firstLineChars="200"/>
              <w:jc w:val="left"/>
              <w:rPr>
                <w:rFonts w:asciiTheme="minorEastAsia" w:hAnsiTheme="minorEastAsia" w:eastAsiaTheme="minorEastAsia" w:cstheme="minorEastAsia"/>
                <w:kern w:val="0"/>
                <w:szCs w:val="21"/>
              </w:rPr>
            </w:pPr>
            <w:r>
              <w:rPr>
                <w:rFonts w:hint="eastAsia" w:ascii="宋体" w:hAnsi="宋体" w:cs="宋体"/>
                <w:kern w:val="0"/>
                <w:szCs w:val="21"/>
              </w:rPr>
              <w:t>⑵</w:t>
            </w:r>
            <w:r>
              <w:rPr>
                <w:rFonts w:hint="eastAsia" w:asciiTheme="minorEastAsia" w:hAnsiTheme="minorEastAsia" w:eastAsiaTheme="minorEastAsia" w:cstheme="minorEastAsia"/>
                <w:kern w:val="0"/>
                <w:szCs w:val="21"/>
              </w:rPr>
              <w:t xml:space="preserve">演示地点：                        </w:t>
            </w:r>
          </w:p>
          <w:p>
            <w:pPr>
              <w:keepNext/>
              <w:widowControl/>
              <w:ind w:firstLine="420" w:firstLineChars="200"/>
              <w:jc w:val="left"/>
              <w:rPr>
                <w:rFonts w:asciiTheme="minorEastAsia" w:hAnsiTheme="minorEastAsia" w:eastAsiaTheme="minorEastAsia" w:cstheme="minorEastAsia"/>
                <w:kern w:val="0"/>
                <w:szCs w:val="21"/>
              </w:rPr>
            </w:pPr>
            <w:r>
              <w:rPr>
                <w:rFonts w:hint="eastAsia" w:ascii="宋体" w:hAnsi="宋体" w:cs="宋体"/>
                <w:kern w:val="0"/>
                <w:szCs w:val="21"/>
              </w:rPr>
              <w:t>⑶</w:t>
            </w:r>
            <w:r>
              <w:rPr>
                <w:rFonts w:hint="eastAsia" w:asciiTheme="minorEastAsia" w:hAnsiTheme="minorEastAsia" w:eastAsiaTheme="minorEastAsia" w:cstheme="minorEastAsia"/>
                <w:kern w:val="0"/>
                <w:szCs w:val="21"/>
              </w:rPr>
              <w:t xml:space="preserve">演示内容：                  </w:t>
            </w:r>
          </w:p>
          <w:p>
            <w:pPr>
              <w:keepNext/>
              <w:widowControl/>
              <w:ind w:firstLine="420" w:firstLineChars="200"/>
              <w:jc w:val="left"/>
              <w:rPr>
                <w:rFonts w:asciiTheme="minorEastAsia" w:hAnsiTheme="minorEastAsia" w:eastAsiaTheme="minorEastAsia" w:cstheme="minorEastAsia"/>
                <w:kern w:val="0"/>
                <w:szCs w:val="21"/>
              </w:rPr>
            </w:pPr>
            <w:r>
              <w:rPr>
                <w:rFonts w:hint="eastAsia" w:ascii="宋体" w:hAnsi="宋体" w:cs="宋体"/>
                <w:kern w:val="0"/>
                <w:szCs w:val="21"/>
              </w:rPr>
              <w:t>⑷</w:t>
            </w:r>
            <w:r>
              <w:rPr>
                <w:rFonts w:hint="eastAsia" w:asciiTheme="minorEastAsia" w:hAnsiTheme="minorEastAsia" w:eastAsiaTheme="minorEastAsia" w:cstheme="minorEastAsia"/>
                <w:kern w:val="0"/>
                <w:szCs w:val="21"/>
              </w:rPr>
              <w:t xml:space="preserve">演示要求：                  </w:t>
            </w:r>
          </w:p>
          <w:p>
            <w:pPr>
              <w:keepNext/>
              <w:widowControl/>
              <w:ind w:firstLine="422" w:firstLineChars="200"/>
              <w:jc w:val="left"/>
              <w:rPr>
                <w:rFonts w:asciiTheme="minorEastAsia" w:hAnsiTheme="minorEastAsia" w:eastAsiaTheme="minorEastAsia" w:cstheme="minorEastAsia"/>
                <w:b/>
                <w:bCs/>
                <w:kern w:val="0"/>
                <w:szCs w:val="21"/>
              </w:rPr>
            </w:pPr>
            <w:r>
              <w:rPr>
                <w:rFonts w:hint="eastAsia" w:asciiTheme="minorEastAsia" w:hAnsiTheme="minorEastAsia" w:eastAsiaTheme="minorEastAsia" w:cstheme="minorEastAsia"/>
                <w:b/>
                <w:bCs/>
                <w:kern w:val="0"/>
                <w:szCs w:val="21"/>
              </w:rPr>
              <w:t>3、备注：</w:t>
            </w:r>
          </w:p>
          <w:p>
            <w:pPr>
              <w:keepNext/>
              <w:widowControl/>
              <w:ind w:firstLine="422" w:firstLineChars="200"/>
              <w:jc w:val="left"/>
              <w:rPr>
                <w:rFonts w:asciiTheme="minorEastAsia" w:hAnsiTheme="minorEastAsia" w:eastAsiaTheme="minorEastAsia" w:cstheme="minorEastAsia"/>
                <w:b/>
                <w:bCs/>
                <w:kern w:val="0"/>
                <w:szCs w:val="21"/>
              </w:rPr>
            </w:pPr>
            <w:r>
              <w:rPr>
                <w:rFonts w:hint="eastAsia" w:ascii="宋体" w:hAnsi="宋体" w:cs="宋体"/>
                <w:b/>
                <w:bCs/>
                <w:kern w:val="0"/>
                <w:szCs w:val="21"/>
              </w:rPr>
              <w:t>⑴</w:t>
            </w:r>
            <w:r>
              <w:rPr>
                <w:rFonts w:hint="eastAsia" w:asciiTheme="minorEastAsia" w:hAnsiTheme="minorEastAsia" w:eastAsiaTheme="minorEastAsia" w:cstheme="minorEastAsia"/>
                <w:b/>
                <w:bCs/>
                <w:kern w:val="0"/>
                <w:szCs w:val="21"/>
              </w:rPr>
              <w:t>经评标委员会认定为演示内容不能满足招标（采购）文件要求的视为无效投标。</w:t>
            </w:r>
          </w:p>
          <w:p>
            <w:pPr>
              <w:keepNext/>
              <w:widowControl/>
              <w:ind w:firstLine="422" w:firstLineChars="200"/>
              <w:jc w:val="left"/>
              <w:rPr>
                <w:rFonts w:ascii="宋体" w:cs="宋体"/>
                <w:kern w:val="0"/>
                <w:szCs w:val="21"/>
              </w:rPr>
            </w:pPr>
            <w:r>
              <w:rPr>
                <w:rFonts w:hint="eastAsia" w:ascii="宋体" w:hAnsi="宋体" w:cs="宋体"/>
                <w:b/>
                <w:bCs/>
                <w:kern w:val="0"/>
                <w:szCs w:val="21"/>
              </w:rPr>
              <w:t>⑵</w:t>
            </w:r>
            <w:r>
              <w:rPr>
                <w:rFonts w:hint="eastAsia" w:asciiTheme="minorEastAsia" w:hAnsiTheme="minorEastAsia" w:eastAsiaTheme="minorEastAsia" w:cstheme="minorEastAsia"/>
                <w:b/>
                <w:bCs/>
                <w:kern w:val="0"/>
                <w:szCs w:val="21"/>
              </w:rPr>
              <w:t>演示应在规定时限内完成。演示不完整的，按实际演示功能记分。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tcBorders>
              <w:top w:val="single" w:color="auto" w:sz="4" w:space="0"/>
              <w:bottom w:val="single" w:color="auto" w:sz="4" w:space="0"/>
            </w:tcBorders>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10</w:t>
            </w:r>
          </w:p>
        </w:tc>
        <w:tc>
          <w:tcPr>
            <w:tcW w:w="1410" w:type="dxa"/>
            <w:vAlign w:val="center"/>
          </w:tcPr>
          <w:p>
            <w:pPr>
              <w:keepNext/>
              <w:widowControl/>
              <w:jc w:val="distribute"/>
              <w:rPr>
                <w:rFonts w:ascii="黑体" w:eastAsia="黑体" w:cs="黑体"/>
                <w:kern w:val="0"/>
                <w:szCs w:val="21"/>
              </w:rPr>
            </w:pPr>
            <w:r>
              <w:rPr>
                <w:rFonts w:hint="eastAsia" w:ascii="黑体" w:hAnsi="黑体" w:eastAsia="黑体" w:cs="黑体"/>
                <w:kern w:val="0"/>
                <w:szCs w:val="21"/>
              </w:rPr>
              <w:t>资格审查方式</w:t>
            </w:r>
          </w:p>
        </w:tc>
        <w:tc>
          <w:tcPr>
            <w:tcW w:w="6857" w:type="dxa"/>
            <w:vAlign w:val="center"/>
          </w:tcPr>
          <w:p>
            <w:pPr>
              <w:keepNext/>
              <w:widowControl/>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sym w:font="Wingdings" w:char="00FE"/>
            </w:r>
            <w:r>
              <w:rPr>
                <w:rFonts w:hint="eastAsia" w:asciiTheme="minorEastAsia" w:hAnsiTheme="minorEastAsia" w:eastAsiaTheme="minorEastAsia" w:cstheme="minorEastAsia"/>
                <w:kern w:val="0"/>
                <w:szCs w:val="21"/>
              </w:rPr>
              <w:t>资格后审</w:t>
            </w:r>
          </w:p>
          <w:p>
            <w:pPr>
              <w:keepNext/>
              <w:widowControl/>
              <w:ind w:firstLine="420" w:firstLineChars="200"/>
              <w:jc w:val="left"/>
              <w:rPr>
                <w:rFonts w:ascii="宋体" w:cs="宋体"/>
                <w:kern w:val="0"/>
                <w:szCs w:val="21"/>
              </w:rPr>
            </w:pPr>
            <w:r>
              <w:rPr>
                <w:rFonts w:hint="eastAsia" w:asciiTheme="minorEastAsia" w:hAnsiTheme="minorEastAsia" w:eastAsiaTheme="minorEastAsia" w:cstheme="minorEastAsia"/>
                <w:kern w:val="0"/>
                <w:szCs w:val="21"/>
              </w:rPr>
              <w:sym w:font="Wingdings" w:char="00A8"/>
            </w:r>
            <w:r>
              <w:rPr>
                <w:rFonts w:hint="eastAsia" w:asciiTheme="minorEastAsia" w:hAnsiTheme="minorEastAsia" w:eastAsiaTheme="minorEastAsia" w:cstheme="minorEastAsia"/>
                <w:kern w:val="0"/>
                <w:szCs w:val="21"/>
              </w:rPr>
              <w:t>资格预审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tcBorders>
              <w:top w:val="single" w:color="auto" w:sz="4" w:space="0"/>
              <w:bottom w:val="single" w:color="auto" w:sz="4" w:space="0"/>
            </w:tcBorders>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11</w:t>
            </w:r>
          </w:p>
        </w:tc>
        <w:tc>
          <w:tcPr>
            <w:tcW w:w="1410" w:type="dxa"/>
            <w:vAlign w:val="center"/>
          </w:tcPr>
          <w:p>
            <w:pPr>
              <w:keepNext/>
              <w:widowControl/>
              <w:jc w:val="distribute"/>
              <w:rPr>
                <w:rFonts w:ascii="黑体" w:eastAsia="黑体" w:cs="黑体"/>
                <w:kern w:val="0"/>
                <w:szCs w:val="21"/>
              </w:rPr>
            </w:pPr>
            <w:r>
              <w:rPr>
                <w:rFonts w:hint="eastAsia" w:ascii="黑体" w:eastAsia="黑体" w:cs="黑体"/>
                <w:kern w:val="0"/>
                <w:szCs w:val="21"/>
              </w:rPr>
              <w:t>替代方案</w:t>
            </w:r>
          </w:p>
        </w:tc>
        <w:tc>
          <w:tcPr>
            <w:tcW w:w="6857" w:type="dxa"/>
            <w:vAlign w:val="center"/>
          </w:tcPr>
          <w:p>
            <w:pPr>
              <w:keepNext/>
              <w:widowControl/>
              <w:jc w:val="left"/>
              <w:rPr>
                <w:rFonts w:ascii="宋体" w:cs="宋体"/>
                <w:kern w:val="0"/>
                <w:szCs w:val="21"/>
              </w:rPr>
            </w:pPr>
            <w:r>
              <w:rPr>
                <w:rFonts w:hint="eastAsia" w:ascii="宋体" w:cs="宋体"/>
                <w:kern w:val="0"/>
                <w:szCs w:val="21"/>
              </w:rPr>
              <w:t>不允许投标人提交替代方案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tcBorders>
              <w:top w:val="single" w:color="auto" w:sz="4" w:space="0"/>
              <w:bottom w:val="single" w:color="auto" w:sz="4" w:space="0"/>
            </w:tcBorders>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12</w:t>
            </w:r>
          </w:p>
        </w:tc>
        <w:tc>
          <w:tcPr>
            <w:tcW w:w="1410" w:type="dxa"/>
            <w:vAlign w:val="center"/>
          </w:tcPr>
          <w:p>
            <w:pPr>
              <w:keepNext/>
              <w:widowControl/>
              <w:jc w:val="distribute"/>
              <w:rPr>
                <w:rFonts w:ascii="黑体" w:eastAsia="黑体" w:cs="黑体"/>
                <w:kern w:val="0"/>
                <w:szCs w:val="21"/>
              </w:rPr>
            </w:pPr>
            <w:r>
              <w:rPr>
                <w:rFonts w:hint="eastAsia" w:ascii="黑体" w:eastAsia="黑体" w:cs="黑体"/>
                <w:kern w:val="0"/>
                <w:szCs w:val="21"/>
              </w:rPr>
              <w:t>投标报价</w:t>
            </w:r>
          </w:p>
          <w:p>
            <w:pPr>
              <w:keepNext/>
              <w:widowControl/>
              <w:jc w:val="distribute"/>
              <w:rPr>
                <w:rFonts w:ascii="黑体" w:eastAsia="黑体" w:cs="黑体"/>
                <w:kern w:val="0"/>
                <w:szCs w:val="21"/>
              </w:rPr>
            </w:pPr>
            <w:r>
              <w:rPr>
                <w:rFonts w:hint="eastAsia" w:ascii="黑体" w:eastAsia="黑体" w:cs="黑体"/>
                <w:kern w:val="0"/>
                <w:szCs w:val="21"/>
              </w:rPr>
              <w:t>货币要求</w:t>
            </w:r>
          </w:p>
        </w:tc>
        <w:tc>
          <w:tcPr>
            <w:tcW w:w="6857" w:type="dxa"/>
            <w:vAlign w:val="center"/>
          </w:tcPr>
          <w:p>
            <w:pPr>
              <w:keepNext/>
              <w:widowControl/>
              <w:ind w:firstLine="420" w:firstLineChars="200"/>
              <w:jc w:val="left"/>
              <w:rPr>
                <w:rFonts w:ascii="宋体" w:cs="宋体"/>
                <w:kern w:val="0"/>
                <w:szCs w:val="21"/>
              </w:rPr>
            </w:pPr>
            <w:r>
              <w:rPr>
                <w:rFonts w:hint="eastAsia" w:ascii="宋体" w:cs="宋体"/>
                <w:kern w:val="0"/>
                <w:szCs w:val="21"/>
              </w:rPr>
              <w:sym w:font="Wingdings" w:char="00FE"/>
            </w:r>
            <w:r>
              <w:rPr>
                <w:rFonts w:hint="eastAsia" w:ascii="宋体" w:cs="宋体"/>
                <w:kern w:val="0"/>
                <w:szCs w:val="21"/>
              </w:rPr>
              <w:t>所有投标均按</w:t>
            </w:r>
            <w:r>
              <w:rPr>
                <w:rFonts w:hint="eastAsia" w:ascii="宋体" w:cs="宋体"/>
                <w:kern w:val="0"/>
                <w:szCs w:val="21"/>
                <w:u w:val="single"/>
              </w:rPr>
              <w:t xml:space="preserve"> 人民币 </w:t>
            </w:r>
            <w:r>
              <w:rPr>
                <w:rFonts w:hint="eastAsia" w:ascii="宋体" w:cs="宋体"/>
                <w:kern w:val="0"/>
                <w:szCs w:val="21"/>
              </w:rPr>
              <w:t>货币进行报价。</w:t>
            </w:r>
          </w:p>
          <w:p>
            <w:pPr>
              <w:keepNext/>
              <w:widowControl/>
              <w:ind w:firstLine="420" w:firstLineChars="200"/>
              <w:jc w:val="left"/>
              <w:rPr>
                <w:rFonts w:ascii="宋体" w:cs="宋体"/>
                <w:kern w:val="0"/>
                <w:szCs w:val="21"/>
              </w:rPr>
            </w:pPr>
            <w:r>
              <w:rPr>
                <w:rFonts w:hint="eastAsia" w:ascii="宋体" w:cs="宋体"/>
                <w:kern w:val="0"/>
                <w:szCs w:val="21"/>
              </w:rPr>
              <w:sym w:font="Wingdings" w:char="00A8"/>
            </w:r>
            <w:r>
              <w:rPr>
                <w:rFonts w:hint="eastAsia" w:ascii="宋体" w:cs="宋体"/>
                <w:kern w:val="0"/>
                <w:szCs w:val="21"/>
              </w:rPr>
              <w:t xml:space="preserve">其它：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tcBorders>
              <w:top w:val="single" w:color="auto" w:sz="4" w:space="0"/>
              <w:bottom w:val="single" w:color="auto" w:sz="4" w:space="0"/>
            </w:tcBorders>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13</w:t>
            </w:r>
          </w:p>
        </w:tc>
        <w:tc>
          <w:tcPr>
            <w:tcW w:w="1410" w:type="dxa"/>
            <w:vAlign w:val="center"/>
          </w:tcPr>
          <w:p>
            <w:pPr>
              <w:keepNext/>
              <w:widowControl/>
              <w:jc w:val="distribute"/>
              <w:rPr>
                <w:rFonts w:ascii="黑体" w:eastAsia="黑体" w:cs="黑体"/>
                <w:kern w:val="0"/>
                <w:szCs w:val="21"/>
              </w:rPr>
            </w:pPr>
            <w:r>
              <w:rPr>
                <w:rFonts w:hint="eastAsia" w:ascii="黑体" w:eastAsia="黑体" w:cs="黑体"/>
                <w:kern w:val="0"/>
                <w:szCs w:val="21"/>
              </w:rPr>
              <w:t>招标文件费</w:t>
            </w:r>
          </w:p>
        </w:tc>
        <w:tc>
          <w:tcPr>
            <w:tcW w:w="6857" w:type="dxa"/>
            <w:vAlign w:val="center"/>
          </w:tcPr>
          <w:p>
            <w:pPr>
              <w:keepNext/>
              <w:widowControl/>
              <w:jc w:val="left"/>
              <w:rPr>
                <w:rFonts w:ascii="宋体" w:cs="宋体"/>
                <w:kern w:val="0"/>
                <w:szCs w:val="21"/>
              </w:rPr>
            </w:pPr>
            <w:r>
              <w:rPr>
                <w:rFonts w:hint="eastAsia" w:ascii="宋体" w:cs="宋体"/>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tcBorders>
              <w:top w:val="single" w:color="auto" w:sz="4" w:space="0"/>
              <w:bottom w:val="single" w:color="auto" w:sz="4" w:space="0"/>
            </w:tcBorders>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14</w:t>
            </w:r>
          </w:p>
        </w:tc>
        <w:tc>
          <w:tcPr>
            <w:tcW w:w="1410" w:type="dxa"/>
            <w:vAlign w:val="center"/>
          </w:tcPr>
          <w:p>
            <w:pPr>
              <w:keepNext/>
              <w:widowControl/>
              <w:jc w:val="distribute"/>
              <w:rPr>
                <w:rFonts w:ascii="黑体" w:eastAsia="黑体" w:cs="黑体"/>
                <w:kern w:val="0"/>
                <w:szCs w:val="21"/>
              </w:rPr>
            </w:pPr>
            <w:r>
              <w:rPr>
                <w:rFonts w:hint="eastAsia" w:ascii="黑体" w:eastAsia="黑体" w:cs="黑体"/>
                <w:kern w:val="0"/>
                <w:szCs w:val="21"/>
              </w:rPr>
              <w:t>投标文件提交方式</w:t>
            </w:r>
          </w:p>
        </w:tc>
        <w:tc>
          <w:tcPr>
            <w:tcW w:w="6857" w:type="dxa"/>
            <w:vAlign w:val="center"/>
          </w:tcPr>
          <w:p>
            <w:pPr>
              <w:keepNext/>
              <w:widowControl/>
              <w:jc w:val="left"/>
              <w:rPr>
                <w:rFonts w:ascii="宋体" w:cs="宋体"/>
                <w:kern w:val="0"/>
                <w:szCs w:val="21"/>
              </w:rPr>
            </w:pPr>
            <w:r>
              <w:rPr>
                <w:rFonts w:hint="eastAsia" w:ascii="宋体" w:cs="宋体"/>
                <w:kern w:val="0"/>
                <w:szCs w:val="21"/>
              </w:rPr>
              <w:t>政采云平台https://www.zcygov.cn/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tcBorders>
              <w:top w:val="single" w:color="auto" w:sz="4" w:space="0"/>
              <w:bottom w:val="single" w:color="auto" w:sz="4" w:space="0"/>
            </w:tcBorders>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15</w:t>
            </w:r>
          </w:p>
        </w:tc>
        <w:tc>
          <w:tcPr>
            <w:tcW w:w="1410" w:type="dxa"/>
            <w:vAlign w:val="center"/>
          </w:tcPr>
          <w:p>
            <w:pPr>
              <w:keepNext/>
              <w:widowControl/>
              <w:jc w:val="distribute"/>
              <w:rPr>
                <w:rFonts w:ascii="黑体" w:eastAsia="黑体" w:cs="黑体"/>
                <w:kern w:val="0"/>
                <w:szCs w:val="21"/>
              </w:rPr>
            </w:pPr>
            <w:r>
              <w:rPr>
                <w:rFonts w:hint="eastAsia" w:ascii="黑体" w:eastAsia="黑体" w:cs="黑体"/>
                <w:kern w:val="0"/>
                <w:szCs w:val="21"/>
              </w:rPr>
              <w:t>投标保证金</w:t>
            </w:r>
          </w:p>
        </w:tc>
        <w:tc>
          <w:tcPr>
            <w:tcW w:w="6857" w:type="dxa"/>
            <w:vAlign w:val="center"/>
          </w:tcPr>
          <w:p>
            <w:pPr>
              <w:keepNext/>
              <w:widowControl/>
              <w:ind w:firstLine="420" w:firstLineChars="200"/>
              <w:jc w:val="left"/>
              <w:rPr>
                <w:rFonts w:ascii="宋体" w:cs="宋体"/>
                <w:kern w:val="0"/>
                <w:szCs w:val="21"/>
              </w:rPr>
            </w:pPr>
            <w:r>
              <w:rPr>
                <w:rFonts w:hint="eastAsia" w:ascii="宋体" w:cs="宋体"/>
                <w:kern w:val="0"/>
                <w:szCs w:val="21"/>
              </w:rPr>
              <w:t>1、金额：</w:t>
            </w:r>
            <w:r>
              <w:rPr>
                <w:rFonts w:hint="eastAsia" w:ascii="宋体" w:cs="宋体"/>
                <w:kern w:val="0"/>
                <w:szCs w:val="21"/>
                <w:u w:val="single"/>
              </w:rPr>
              <w:t>30000元</w:t>
            </w:r>
            <w:r>
              <w:rPr>
                <w:rFonts w:hint="eastAsia" w:ascii="宋体" w:cs="宋体"/>
                <w:kern w:val="0"/>
                <w:szCs w:val="21"/>
              </w:rPr>
              <w:t>（大写：叁万元整）；</w:t>
            </w:r>
          </w:p>
          <w:p>
            <w:pPr>
              <w:keepNext/>
              <w:widowControl/>
              <w:ind w:firstLine="420" w:firstLineChars="200"/>
              <w:jc w:val="left"/>
              <w:rPr>
                <w:rFonts w:ascii="宋体" w:cs="宋体"/>
                <w:kern w:val="0"/>
                <w:szCs w:val="21"/>
              </w:rPr>
            </w:pPr>
            <w:r>
              <w:rPr>
                <w:rFonts w:hint="eastAsia" w:ascii="宋体" w:cs="宋体"/>
                <w:kern w:val="0"/>
                <w:szCs w:val="21"/>
              </w:rPr>
              <w:t>2、投标保证金的缴纳方式：投标保证金于2023年0</w:t>
            </w:r>
            <w:r>
              <w:rPr>
                <w:rFonts w:hint="eastAsia" w:ascii="宋体" w:cs="宋体"/>
                <w:kern w:val="0"/>
                <w:szCs w:val="21"/>
                <w:lang w:val="en-US" w:eastAsia="zh-CN"/>
              </w:rPr>
              <w:t>6</w:t>
            </w:r>
            <w:r>
              <w:rPr>
                <w:rFonts w:hint="eastAsia" w:ascii="宋体" w:cs="宋体"/>
                <w:kern w:val="0"/>
                <w:szCs w:val="21"/>
              </w:rPr>
              <w:t>月</w:t>
            </w:r>
            <w:r>
              <w:rPr>
                <w:rFonts w:hint="eastAsia" w:ascii="宋体" w:cs="宋体"/>
                <w:kern w:val="0"/>
                <w:szCs w:val="21"/>
                <w:lang w:val="en-US" w:eastAsia="zh-CN"/>
              </w:rPr>
              <w:t>25</w:t>
            </w:r>
            <w:r>
              <w:rPr>
                <w:rFonts w:hint="eastAsia" w:ascii="宋体" w:cs="宋体"/>
                <w:kern w:val="0"/>
                <w:szCs w:val="21"/>
              </w:rPr>
              <w:t>日1</w:t>
            </w:r>
            <w:r>
              <w:rPr>
                <w:rFonts w:hint="eastAsia" w:ascii="宋体" w:cs="宋体"/>
                <w:kern w:val="0"/>
                <w:szCs w:val="21"/>
                <w:lang w:val="en-US" w:eastAsia="zh-CN"/>
              </w:rPr>
              <w:t>6</w:t>
            </w:r>
            <w:r>
              <w:rPr>
                <w:rFonts w:hint="eastAsia" w:ascii="宋体" w:cs="宋体"/>
                <w:kern w:val="0"/>
                <w:szCs w:val="21"/>
              </w:rPr>
              <w:t>:00分（北京时间）之前缴纳并到账，必须从投标人基本账户支出，可以采用电汇、网银、电子保函形式缴纳。</w:t>
            </w:r>
          </w:p>
          <w:p>
            <w:pPr>
              <w:keepNext/>
              <w:widowControl/>
              <w:ind w:firstLine="420" w:firstLineChars="200"/>
              <w:jc w:val="left"/>
              <w:rPr>
                <w:rFonts w:ascii="宋体" w:cs="宋体"/>
                <w:kern w:val="0"/>
                <w:szCs w:val="21"/>
              </w:rPr>
            </w:pPr>
            <w:r>
              <w:rPr>
                <w:rFonts w:hint="eastAsia" w:ascii="宋体" w:cs="宋体"/>
                <w:kern w:val="0"/>
                <w:szCs w:val="21"/>
              </w:rPr>
              <w:t>3、投标保证金缴纳账号：</w:t>
            </w:r>
          </w:p>
          <w:p>
            <w:pPr>
              <w:keepNext/>
              <w:widowControl/>
              <w:ind w:firstLine="420" w:firstLineChars="200"/>
              <w:jc w:val="left"/>
              <w:rPr>
                <w:rFonts w:ascii="宋体" w:cs="宋体"/>
                <w:kern w:val="0"/>
                <w:szCs w:val="21"/>
              </w:rPr>
            </w:pPr>
            <w:r>
              <w:rPr>
                <w:rFonts w:hint="eastAsia" w:ascii="宋体" w:cs="宋体"/>
                <w:kern w:val="0"/>
                <w:szCs w:val="21"/>
              </w:rPr>
              <w:t>3.1、账户名：新疆诚晟源项目管理咨询有限公司</w:t>
            </w:r>
          </w:p>
          <w:p>
            <w:pPr>
              <w:keepNext/>
              <w:widowControl/>
              <w:ind w:firstLine="420" w:firstLineChars="200"/>
              <w:jc w:val="left"/>
              <w:rPr>
                <w:rFonts w:ascii="宋体" w:cs="宋体"/>
                <w:kern w:val="0"/>
                <w:szCs w:val="21"/>
              </w:rPr>
            </w:pPr>
            <w:r>
              <w:rPr>
                <w:rFonts w:hint="eastAsia" w:ascii="宋体" w:cs="宋体"/>
                <w:kern w:val="0"/>
                <w:szCs w:val="21"/>
              </w:rPr>
              <w:t>3.2、开户行：中国建设银行股份有限公司乌鲁木齐南湖南路支行</w:t>
            </w:r>
          </w:p>
          <w:p>
            <w:pPr>
              <w:keepNext/>
              <w:widowControl/>
              <w:ind w:firstLine="420" w:firstLineChars="200"/>
              <w:jc w:val="left"/>
              <w:rPr>
                <w:rFonts w:ascii="宋体" w:cs="宋体"/>
                <w:kern w:val="0"/>
                <w:szCs w:val="21"/>
              </w:rPr>
            </w:pPr>
            <w:r>
              <w:rPr>
                <w:rFonts w:hint="eastAsia" w:ascii="宋体" w:cs="宋体"/>
                <w:kern w:val="0"/>
                <w:szCs w:val="21"/>
              </w:rPr>
              <w:t>3.3、行  号：105881001107</w:t>
            </w:r>
          </w:p>
          <w:p>
            <w:pPr>
              <w:keepNext/>
              <w:widowControl/>
              <w:ind w:firstLine="420" w:firstLineChars="200"/>
              <w:jc w:val="left"/>
              <w:rPr>
                <w:rFonts w:ascii="宋体" w:cs="宋体"/>
                <w:kern w:val="0"/>
                <w:szCs w:val="21"/>
              </w:rPr>
            </w:pPr>
            <w:r>
              <w:rPr>
                <w:rFonts w:hint="eastAsia" w:ascii="宋体" w:cs="宋体"/>
                <w:kern w:val="0"/>
                <w:szCs w:val="21"/>
              </w:rPr>
              <w:t>3.4、帐  号：65050161604300000259</w:t>
            </w:r>
          </w:p>
          <w:p>
            <w:pPr>
              <w:keepNext/>
              <w:widowControl/>
              <w:ind w:firstLine="420" w:firstLineChars="200"/>
              <w:jc w:val="left"/>
              <w:rPr>
                <w:rFonts w:ascii="宋体" w:cs="宋体"/>
                <w:kern w:val="0"/>
                <w:szCs w:val="21"/>
              </w:rPr>
            </w:pPr>
            <w:r>
              <w:rPr>
                <w:rFonts w:hint="eastAsia" w:ascii="宋体" w:cs="宋体"/>
                <w:kern w:val="0"/>
                <w:szCs w:val="21"/>
              </w:rPr>
              <w:t>注：1、供应商办理保证金时，须注明“项目名称+投标保证金”（如字数超出规定字数可简写项目名称）。</w:t>
            </w:r>
          </w:p>
          <w:p>
            <w:pPr>
              <w:keepNext/>
              <w:widowControl/>
              <w:ind w:firstLine="420" w:firstLineChars="200"/>
              <w:jc w:val="left"/>
              <w:rPr>
                <w:rFonts w:ascii="宋体" w:cs="宋体"/>
                <w:kern w:val="0"/>
                <w:szCs w:val="21"/>
              </w:rPr>
            </w:pPr>
            <w:r>
              <w:rPr>
                <w:rFonts w:hint="eastAsia" w:ascii="宋体" w:cs="宋体"/>
                <w:kern w:val="0"/>
                <w:szCs w:val="21"/>
              </w:rPr>
              <w:t>2、若投标人未按照上述规定缴纳投标保证金,投标文件将被拒绝评审。</w:t>
            </w:r>
          </w:p>
          <w:p>
            <w:pPr>
              <w:keepNext/>
              <w:widowControl/>
              <w:ind w:firstLine="420" w:firstLineChars="200"/>
              <w:jc w:val="left"/>
              <w:rPr>
                <w:rFonts w:ascii="宋体" w:cs="宋体"/>
                <w:kern w:val="0"/>
                <w:szCs w:val="21"/>
              </w:rPr>
            </w:pPr>
            <w:r>
              <w:rPr>
                <w:rFonts w:hint="eastAsia" w:ascii="宋体" w:cs="宋体"/>
                <w:kern w:val="0"/>
                <w:szCs w:val="21"/>
              </w:rPr>
              <w:t xml:space="preserve">3、退还投标保证金时，请携带法人授权委托书（加盖公章）、汇款凭证、开户行行号、账号等信息进行办理。  </w:t>
            </w:r>
          </w:p>
          <w:p>
            <w:pPr>
              <w:keepNext/>
              <w:widowControl/>
              <w:ind w:firstLine="420" w:firstLineChars="200"/>
              <w:jc w:val="left"/>
              <w:rPr>
                <w:rFonts w:ascii="宋体" w:cs="宋体"/>
                <w:kern w:val="0"/>
                <w:szCs w:val="21"/>
              </w:rPr>
            </w:pPr>
            <w:r>
              <w:rPr>
                <w:rFonts w:hint="eastAsia" w:ascii="宋体" w:cs="宋体"/>
                <w:kern w:val="0"/>
                <w:szCs w:val="21"/>
              </w:rPr>
              <w:t>4、保证金退还方式：原账户返还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tcBorders>
              <w:top w:val="single" w:color="auto" w:sz="4" w:space="0"/>
              <w:bottom w:val="single" w:color="auto" w:sz="4" w:space="0"/>
            </w:tcBorders>
            <w:vAlign w:val="center"/>
          </w:tcPr>
          <w:p>
            <w:pPr>
              <w:jc w:val="center"/>
              <w:rPr>
                <w:rFonts w:ascii="宋体"/>
                <w:kern w:val="0"/>
                <w:szCs w:val="21"/>
              </w:rPr>
            </w:pPr>
            <w:r>
              <w:rPr>
                <w:rFonts w:hint="eastAsia" w:ascii="宋体"/>
                <w:kern w:val="0"/>
                <w:szCs w:val="21"/>
              </w:rPr>
              <w:t>16</w:t>
            </w:r>
          </w:p>
        </w:tc>
        <w:tc>
          <w:tcPr>
            <w:tcW w:w="1410" w:type="dxa"/>
            <w:vAlign w:val="center"/>
          </w:tcPr>
          <w:p>
            <w:pPr>
              <w:keepNext/>
              <w:widowControl/>
              <w:jc w:val="distribute"/>
              <w:rPr>
                <w:rFonts w:ascii="黑体" w:eastAsia="黑体" w:cs="黑体"/>
                <w:kern w:val="0"/>
                <w:szCs w:val="21"/>
              </w:rPr>
            </w:pPr>
            <w:r>
              <w:rPr>
                <w:rFonts w:hint="eastAsia" w:ascii="黑体" w:eastAsia="黑体" w:cs="黑体"/>
                <w:kern w:val="0"/>
                <w:szCs w:val="21"/>
              </w:rPr>
              <w:t>投标文件</w:t>
            </w:r>
          </w:p>
          <w:p>
            <w:pPr>
              <w:keepNext/>
              <w:widowControl/>
              <w:jc w:val="distribute"/>
              <w:rPr>
                <w:rFonts w:ascii="黑体" w:eastAsia="黑体" w:cs="黑体"/>
                <w:kern w:val="0"/>
                <w:szCs w:val="21"/>
              </w:rPr>
            </w:pPr>
            <w:r>
              <w:rPr>
                <w:rFonts w:hint="eastAsia" w:ascii="黑体" w:eastAsia="黑体" w:cs="黑体"/>
                <w:kern w:val="0"/>
                <w:szCs w:val="21"/>
              </w:rPr>
              <w:t>的获取</w:t>
            </w:r>
          </w:p>
        </w:tc>
        <w:tc>
          <w:tcPr>
            <w:tcW w:w="6857" w:type="dxa"/>
            <w:vAlign w:val="center"/>
          </w:tcPr>
          <w:p>
            <w:pPr>
              <w:keepNext/>
              <w:widowControl/>
              <w:ind w:firstLine="420" w:firstLineChars="200"/>
              <w:jc w:val="left"/>
              <w:rPr>
                <w:rFonts w:ascii="宋体" w:cs="宋体"/>
                <w:color w:val="000000" w:themeColor="text1"/>
                <w:szCs w:val="21"/>
              </w:rPr>
            </w:pPr>
            <w:r>
              <w:rPr>
                <w:rFonts w:hint="eastAsia" w:ascii="宋体" w:cs="宋体"/>
                <w:color w:val="000000" w:themeColor="text1"/>
                <w:szCs w:val="21"/>
              </w:rPr>
              <w:t>时间</w:t>
            </w:r>
            <w:r>
              <w:rPr>
                <w:rFonts w:hint="eastAsia" w:ascii="宋体" w:cs="宋体"/>
                <w:color w:val="000000" w:themeColor="text1"/>
                <w:kern w:val="0"/>
                <w:szCs w:val="21"/>
              </w:rPr>
              <w:t>：2023年</w:t>
            </w:r>
            <w:r>
              <w:rPr>
                <w:rFonts w:hint="eastAsia" w:ascii="宋体" w:cs="宋体"/>
                <w:color w:val="000000" w:themeColor="text1"/>
                <w:kern w:val="0"/>
                <w:szCs w:val="21"/>
                <w:lang w:val="en-US" w:eastAsia="zh-CN"/>
              </w:rPr>
              <w:t>6</w:t>
            </w:r>
            <w:r>
              <w:rPr>
                <w:rFonts w:hint="eastAsia" w:ascii="宋体" w:cs="宋体"/>
                <w:color w:val="000000" w:themeColor="text1"/>
                <w:kern w:val="0"/>
                <w:szCs w:val="21"/>
              </w:rPr>
              <w:t>月</w:t>
            </w:r>
            <w:r>
              <w:rPr>
                <w:rFonts w:hint="eastAsia" w:ascii="宋体" w:cs="宋体"/>
                <w:color w:val="000000" w:themeColor="text1"/>
                <w:kern w:val="0"/>
                <w:szCs w:val="21"/>
                <w:lang w:val="en-US" w:eastAsia="zh-CN"/>
              </w:rPr>
              <w:t>2</w:t>
            </w:r>
            <w:r>
              <w:rPr>
                <w:rFonts w:hint="eastAsia" w:ascii="宋体" w:cs="宋体"/>
                <w:color w:val="000000" w:themeColor="text1"/>
                <w:kern w:val="0"/>
                <w:szCs w:val="21"/>
              </w:rPr>
              <w:t>日至2023年</w:t>
            </w:r>
            <w:r>
              <w:rPr>
                <w:rFonts w:hint="eastAsia" w:ascii="宋体" w:cs="宋体"/>
                <w:color w:val="000000" w:themeColor="text1"/>
                <w:kern w:val="0"/>
                <w:szCs w:val="21"/>
                <w:lang w:val="en-US" w:eastAsia="zh-CN"/>
              </w:rPr>
              <w:t>6</w:t>
            </w:r>
            <w:r>
              <w:rPr>
                <w:rFonts w:hint="eastAsia" w:ascii="宋体" w:cs="宋体"/>
                <w:color w:val="000000" w:themeColor="text1"/>
                <w:kern w:val="0"/>
                <w:szCs w:val="21"/>
              </w:rPr>
              <w:t>月</w:t>
            </w:r>
            <w:r>
              <w:rPr>
                <w:rFonts w:hint="eastAsia" w:ascii="宋体" w:cs="宋体"/>
                <w:color w:val="000000" w:themeColor="text1"/>
                <w:kern w:val="0"/>
                <w:szCs w:val="21"/>
                <w:lang w:val="en-US" w:eastAsia="zh-CN"/>
              </w:rPr>
              <w:t>12</w:t>
            </w:r>
            <w:r>
              <w:rPr>
                <w:rFonts w:hint="eastAsia" w:ascii="宋体" w:cs="宋体"/>
                <w:color w:val="000000" w:themeColor="text1"/>
                <w:kern w:val="0"/>
                <w:szCs w:val="21"/>
              </w:rPr>
              <w:t>日</w:t>
            </w:r>
            <w:r>
              <w:rPr>
                <w:rFonts w:hint="eastAsia" w:ascii="宋体" w:cs="宋体"/>
                <w:color w:val="000000" w:themeColor="text1"/>
                <w:szCs w:val="21"/>
              </w:rPr>
              <w:t>（北京时间，法定节假日除外）</w:t>
            </w:r>
          </w:p>
          <w:p>
            <w:pPr>
              <w:keepNext/>
              <w:widowControl/>
              <w:ind w:firstLine="420" w:firstLineChars="200"/>
              <w:jc w:val="left"/>
              <w:rPr>
                <w:rFonts w:ascii="宋体" w:cs="宋体"/>
                <w:color w:val="000000" w:themeColor="text1"/>
                <w:kern w:val="0"/>
                <w:szCs w:val="21"/>
              </w:rPr>
            </w:pPr>
            <w:r>
              <w:rPr>
                <w:rFonts w:hint="eastAsia" w:ascii="宋体" w:cs="宋体"/>
                <w:color w:val="000000" w:themeColor="text1"/>
                <w:kern w:val="0"/>
                <w:szCs w:val="21"/>
              </w:rPr>
              <w:t>地点：登陆政采云https://www.zcygov.cn/平台后进入“项目采购“应用，在获取文件菜单中选择项目，提交资格审查材料，审核通过后，方可获取招标文件。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Merge w:val="restart"/>
            <w:tcBorders>
              <w:top w:val="single" w:color="auto" w:sz="4" w:space="0"/>
              <w:bottom w:val="single" w:color="auto" w:sz="4" w:space="0"/>
            </w:tcBorders>
            <w:vAlign w:val="center"/>
          </w:tcPr>
          <w:p>
            <w:pPr>
              <w:jc w:val="center"/>
              <w:rPr>
                <w:rFonts w:ascii="宋体"/>
                <w:kern w:val="0"/>
                <w:szCs w:val="21"/>
              </w:rPr>
            </w:pPr>
            <w:r>
              <w:rPr>
                <w:rFonts w:hint="eastAsia" w:ascii="宋体"/>
                <w:kern w:val="0"/>
                <w:szCs w:val="21"/>
              </w:rPr>
              <w:t>17</w:t>
            </w:r>
          </w:p>
        </w:tc>
        <w:tc>
          <w:tcPr>
            <w:tcW w:w="1410" w:type="dxa"/>
            <w:vAlign w:val="center"/>
          </w:tcPr>
          <w:p>
            <w:pPr>
              <w:keepNext/>
              <w:widowControl/>
              <w:jc w:val="distribute"/>
              <w:rPr>
                <w:rFonts w:ascii="黑体" w:eastAsia="黑体" w:cs="黑体"/>
                <w:kern w:val="0"/>
                <w:szCs w:val="21"/>
              </w:rPr>
            </w:pPr>
            <w:r>
              <w:rPr>
                <w:rFonts w:hint="eastAsia" w:ascii="黑体" w:eastAsia="黑体" w:cs="黑体"/>
                <w:kern w:val="0"/>
                <w:szCs w:val="21"/>
              </w:rPr>
              <w:t>递交投标（响应）文件截止时间、地点</w:t>
            </w:r>
          </w:p>
        </w:tc>
        <w:tc>
          <w:tcPr>
            <w:tcW w:w="6857" w:type="dxa"/>
            <w:vAlign w:val="center"/>
          </w:tcPr>
          <w:p>
            <w:pPr>
              <w:keepNext/>
              <w:widowControl/>
              <w:ind w:firstLine="420" w:firstLineChars="200"/>
              <w:jc w:val="left"/>
              <w:rPr>
                <w:rFonts w:ascii="宋体" w:cs="宋体"/>
                <w:color w:val="000000" w:themeColor="text1"/>
                <w:kern w:val="0"/>
                <w:szCs w:val="21"/>
              </w:rPr>
            </w:pPr>
            <w:r>
              <w:rPr>
                <w:rFonts w:hint="eastAsia" w:ascii="宋体" w:cs="宋体"/>
                <w:color w:val="000000" w:themeColor="text1"/>
                <w:kern w:val="0"/>
                <w:szCs w:val="21"/>
              </w:rPr>
              <w:t>截止时间：2023年</w:t>
            </w:r>
            <w:r>
              <w:rPr>
                <w:rFonts w:hint="eastAsia" w:ascii="宋体" w:cs="宋体"/>
                <w:color w:val="000000" w:themeColor="text1"/>
                <w:kern w:val="0"/>
                <w:szCs w:val="21"/>
                <w:lang w:val="en-US" w:eastAsia="zh-CN"/>
              </w:rPr>
              <w:t>6</w:t>
            </w:r>
            <w:r>
              <w:rPr>
                <w:rFonts w:hint="eastAsia" w:ascii="宋体" w:cs="宋体"/>
                <w:color w:val="000000" w:themeColor="text1"/>
                <w:kern w:val="0"/>
                <w:szCs w:val="21"/>
              </w:rPr>
              <w:t>月</w:t>
            </w:r>
            <w:r>
              <w:rPr>
                <w:rFonts w:hint="eastAsia" w:ascii="宋体" w:cs="宋体"/>
                <w:color w:val="000000" w:themeColor="text1"/>
                <w:kern w:val="0"/>
                <w:szCs w:val="21"/>
                <w:lang w:val="en-US" w:eastAsia="zh-CN"/>
              </w:rPr>
              <w:t>25</w:t>
            </w:r>
            <w:r>
              <w:rPr>
                <w:rFonts w:hint="eastAsia" w:ascii="宋体" w:cs="宋体"/>
                <w:color w:val="000000" w:themeColor="text1"/>
                <w:kern w:val="0"/>
                <w:szCs w:val="21"/>
              </w:rPr>
              <w:t>日1</w:t>
            </w:r>
            <w:r>
              <w:rPr>
                <w:rFonts w:hint="eastAsia" w:ascii="宋体" w:cs="宋体"/>
                <w:color w:val="000000" w:themeColor="text1"/>
                <w:kern w:val="0"/>
                <w:szCs w:val="21"/>
                <w:lang w:val="en-US" w:eastAsia="zh-CN"/>
              </w:rPr>
              <w:t>6</w:t>
            </w:r>
            <w:r>
              <w:rPr>
                <w:rFonts w:hint="eastAsia" w:ascii="宋体" w:cs="宋体"/>
                <w:color w:val="000000" w:themeColor="text1"/>
                <w:kern w:val="0"/>
                <w:szCs w:val="21"/>
              </w:rPr>
              <w:t>:00（北京时间）</w:t>
            </w:r>
          </w:p>
          <w:p>
            <w:pPr>
              <w:keepNext/>
              <w:widowControl/>
              <w:ind w:firstLine="420" w:firstLineChars="200"/>
              <w:jc w:val="left"/>
              <w:rPr>
                <w:rFonts w:ascii="宋体" w:cs="宋体"/>
                <w:color w:val="000000" w:themeColor="text1"/>
                <w:kern w:val="0"/>
                <w:szCs w:val="21"/>
              </w:rPr>
            </w:pPr>
            <w:r>
              <w:rPr>
                <w:rFonts w:hint="eastAsia" w:ascii="宋体" w:cs="宋体"/>
                <w:color w:val="000000" w:themeColor="text1"/>
                <w:kern w:val="0"/>
                <w:szCs w:val="21"/>
              </w:rPr>
              <w:t>地点：</w:t>
            </w:r>
            <w:r>
              <w:rPr>
                <w:rFonts w:hint="eastAsia" w:ascii="宋体" w:hAnsi="宋体" w:cs="宋体"/>
                <w:snapToGrid w:val="0"/>
                <w:color w:val="000000" w:themeColor="text1"/>
                <w:szCs w:val="21"/>
              </w:rPr>
              <w:t>政采云平台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Merge w:val="continue"/>
            <w:tcBorders>
              <w:top w:val="single" w:color="auto" w:sz="4" w:space="0"/>
              <w:bottom w:val="single" w:color="auto" w:sz="4" w:space="0"/>
            </w:tcBorders>
            <w:vAlign w:val="center"/>
          </w:tcPr>
          <w:p/>
        </w:tc>
        <w:tc>
          <w:tcPr>
            <w:tcW w:w="1410" w:type="dxa"/>
            <w:vAlign w:val="center"/>
          </w:tcPr>
          <w:p>
            <w:pPr>
              <w:keepNext/>
              <w:widowControl/>
              <w:jc w:val="distribute"/>
              <w:rPr>
                <w:rFonts w:ascii="黑体" w:eastAsia="黑体" w:cs="黑体"/>
                <w:kern w:val="0"/>
                <w:szCs w:val="21"/>
              </w:rPr>
            </w:pPr>
            <w:r>
              <w:rPr>
                <w:rFonts w:hint="eastAsia" w:ascii="黑体" w:eastAsia="黑体" w:cs="黑体"/>
                <w:kern w:val="0"/>
                <w:szCs w:val="21"/>
              </w:rPr>
              <w:t>开标时间、</w:t>
            </w:r>
          </w:p>
          <w:p>
            <w:pPr>
              <w:keepNext/>
              <w:widowControl/>
              <w:jc w:val="distribute"/>
              <w:rPr>
                <w:rFonts w:ascii="黑体" w:eastAsia="黑体" w:cs="黑体"/>
                <w:kern w:val="0"/>
                <w:szCs w:val="21"/>
              </w:rPr>
            </w:pPr>
            <w:r>
              <w:rPr>
                <w:rFonts w:hint="eastAsia" w:ascii="黑体" w:eastAsia="黑体" w:cs="黑体"/>
                <w:kern w:val="0"/>
                <w:szCs w:val="21"/>
              </w:rPr>
              <w:t>地点</w:t>
            </w:r>
          </w:p>
        </w:tc>
        <w:tc>
          <w:tcPr>
            <w:tcW w:w="6857" w:type="dxa"/>
            <w:vAlign w:val="center"/>
          </w:tcPr>
          <w:p>
            <w:pPr>
              <w:rPr>
                <w:rFonts w:ascii="宋体" w:hAnsi="宋体" w:cs="宋体"/>
                <w:snapToGrid w:val="0"/>
                <w:szCs w:val="21"/>
              </w:rPr>
            </w:pPr>
            <w:r>
              <w:rPr>
                <w:rFonts w:hint="eastAsia" w:ascii="宋体" w:hAnsi="宋体" w:cs="宋体"/>
                <w:snapToGrid w:val="0"/>
                <w:szCs w:val="21"/>
              </w:rPr>
              <w:t>1）开标时间：2023年</w:t>
            </w:r>
            <w:r>
              <w:rPr>
                <w:rFonts w:hint="eastAsia" w:ascii="宋体" w:hAnsi="宋体" w:cs="宋体"/>
                <w:snapToGrid w:val="0"/>
                <w:szCs w:val="21"/>
                <w:lang w:val="en-US" w:eastAsia="zh-CN"/>
              </w:rPr>
              <w:t>6</w:t>
            </w:r>
            <w:r>
              <w:rPr>
                <w:rFonts w:hint="eastAsia" w:ascii="宋体" w:hAnsi="宋体" w:cs="宋体"/>
                <w:snapToGrid w:val="0"/>
                <w:szCs w:val="21"/>
              </w:rPr>
              <w:t>月</w:t>
            </w:r>
            <w:r>
              <w:rPr>
                <w:rFonts w:hint="eastAsia" w:ascii="宋体" w:hAnsi="宋体" w:cs="宋体"/>
                <w:snapToGrid w:val="0"/>
                <w:szCs w:val="21"/>
                <w:lang w:val="en-US" w:eastAsia="zh-CN"/>
              </w:rPr>
              <w:t>25</w:t>
            </w:r>
            <w:bookmarkStart w:id="39" w:name="_GoBack"/>
            <w:bookmarkEnd w:id="39"/>
            <w:r>
              <w:rPr>
                <w:rFonts w:hint="eastAsia" w:ascii="宋体" w:hAnsi="宋体" w:cs="宋体"/>
                <w:snapToGrid w:val="0"/>
                <w:szCs w:val="21"/>
              </w:rPr>
              <w:t>日 1</w:t>
            </w:r>
            <w:r>
              <w:rPr>
                <w:rFonts w:hint="eastAsia" w:ascii="宋体" w:hAnsi="宋体" w:cs="宋体"/>
                <w:snapToGrid w:val="0"/>
                <w:szCs w:val="21"/>
                <w:lang w:val="en-US" w:eastAsia="zh-CN"/>
              </w:rPr>
              <w:t>6</w:t>
            </w:r>
            <w:r>
              <w:rPr>
                <w:rFonts w:hint="eastAsia" w:ascii="宋体" w:hAnsi="宋体" w:cs="宋体"/>
                <w:snapToGrid w:val="0"/>
                <w:szCs w:val="21"/>
              </w:rPr>
              <w:t>：00分（北京时间）</w:t>
            </w:r>
          </w:p>
          <w:p>
            <w:pPr>
              <w:rPr>
                <w:rFonts w:ascii="宋体" w:hAnsi="宋体" w:cs="宋体"/>
                <w:snapToGrid w:val="0"/>
                <w:szCs w:val="21"/>
              </w:rPr>
            </w:pPr>
            <w:r>
              <w:rPr>
                <w:rFonts w:hint="eastAsia" w:ascii="宋体" w:hAnsi="宋体" w:cs="宋体"/>
                <w:snapToGrid w:val="0"/>
                <w:szCs w:val="21"/>
              </w:rPr>
              <w:t>2）开标地点：政采云平台</w:t>
            </w:r>
          </w:p>
          <w:p>
            <w:pPr>
              <w:keepNext/>
              <w:widowControl/>
              <w:ind w:firstLine="420" w:firstLineChars="200"/>
              <w:jc w:val="left"/>
              <w:rPr>
                <w:rFonts w:ascii="宋体" w:cs="宋体"/>
                <w:kern w:val="0"/>
                <w:szCs w:val="21"/>
              </w:rPr>
            </w:pPr>
            <w:r>
              <w:rPr>
                <w:rFonts w:hint="eastAsia" w:ascii="宋体" w:hAnsi="宋体" w:cs="宋体"/>
                <w:snapToGrid w:val="0"/>
                <w:szCs w:val="21"/>
              </w:rPr>
              <w:t>投标文件开启当日，供应商无需到达开标现场，仅需通过政采云平台“不见面”开标大厅完成远程解密。大厅操作提示：①开标前一小时在系统进行在线签到②30分钟内完成在线解密③开标结束后30分钟内完成“开标一览表”在线签章。注意：如未在规定时间进行以上操作，将导致投标（响应）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宋体"/>
                <w:kern w:val="0"/>
                <w:szCs w:val="21"/>
              </w:rPr>
            </w:pPr>
            <w:r>
              <w:rPr>
                <w:rFonts w:hint="eastAsia" w:ascii="宋体"/>
                <w:kern w:val="0"/>
                <w:szCs w:val="21"/>
              </w:rPr>
              <w:t>18</w:t>
            </w:r>
          </w:p>
        </w:tc>
        <w:tc>
          <w:tcPr>
            <w:tcW w:w="1410" w:type="dxa"/>
            <w:vAlign w:val="center"/>
          </w:tcPr>
          <w:p>
            <w:pPr>
              <w:keepNext/>
              <w:widowControl/>
              <w:jc w:val="distribute"/>
              <w:rPr>
                <w:rFonts w:ascii="黑体" w:eastAsia="黑体" w:cs="黑体"/>
                <w:kern w:val="0"/>
                <w:szCs w:val="21"/>
              </w:rPr>
            </w:pPr>
            <w:r>
              <w:rPr>
                <w:rFonts w:hint="eastAsia" w:ascii="黑体" w:eastAsia="黑体" w:cs="黑体"/>
                <w:kern w:val="0"/>
                <w:szCs w:val="21"/>
              </w:rPr>
              <w:t>投标文件份数</w:t>
            </w:r>
          </w:p>
        </w:tc>
        <w:tc>
          <w:tcPr>
            <w:tcW w:w="6857" w:type="dxa"/>
            <w:vAlign w:val="center"/>
          </w:tcPr>
          <w:p>
            <w:pPr>
              <w:keepNext/>
              <w:widowControl/>
              <w:jc w:val="left"/>
              <w:rPr>
                <w:rFonts w:ascii="宋体" w:cs="宋体"/>
                <w:b/>
                <w:bCs/>
                <w:color w:val="FF0000"/>
                <w:kern w:val="0"/>
                <w:szCs w:val="21"/>
              </w:rPr>
            </w:pPr>
            <w:r>
              <w:rPr>
                <w:rFonts w:hint="eastAsia" w:ascii="宋体" w:hAnsi="宋体" w:cs="宋体"/>
                <w:snapToGrid w:val="0"/>
                <w:szCs w:val="21"/>
              </w:rPr>
              <w:t>加密的电子响应文件应在递交截止时间前通过政采云平台上传完成。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宋体"/>
                <w:kern w:val="0"/>
                <w:szCs w:val="21"/>
              </w:rPr>
            </w:pPr>
            <w:r>
              <w:rPr>
                <w:rFonts w:hint="eastAsia" w:ascii="宋体"/>
                <w:kern w:val="0"/>
                <w:szCs w:val="21"/>
              </w:rPr>
              <w:t>19</w:t>
            </w:r>
          </w:p>
        </w:tc>
        <w:tc>
          <w:tcPr>
            <w:tcW w:w="1410" w:type="dxa"/>
            <w:vAlign w:val="center"/>
          </w:tcPr>
          <w:p>
            <w:pPr>
              <w:widowControl/>
              <w:jc w:val="center"/>
              <w:rPr>
                <w:rFonts w:ascii="黑体" w:eastAsia="黑体" w:cs="黑体"/>
                <w:kern w:val="0"/>
                <w:szCs w:val="21"/>
              </w:rPr>
            </w:pPr>
            <w:r>
              <w:rPr>
                <w:rFonts w:hint="eastAsia" w:ascii="黑体" w:eastAsia="黑体" w:cs="黑体"/>
                <w:kern w:val="0"/>
                <w:szCs w:val="21"/>
              </w:rPr>
              <w:t>评标办法</w:t>
            </w:r>
          </w:p>
        </w:tc>
        <w:tc>
          <w:tcPr>
            <w:tcW w:w="6857" w:type="dxa"/>
            <w:vAlign w:val="center"/>
          </w:tcPr>
          <w:p>
            <w:pPr>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sym w:font="Wingdings" w:char="00FE"/>
            </w:r>
            <w:r>
              <w:rPr>
                <w:rFonts w:hint="eastAsia" w:asciiTheme="minorEastAsia" w:hAnsiTheme="minorEastAsia" w:eastAsiaTheme="minorEastAsia" w:cstheme="minorEastAsia"/>
                <w:kern w:val="0"/>
                <w:szCs w:val="21"/>
              </w:rPr>
              <w:t>综合评分法</w:t>
            </w:r>
          </w:p>
          <w:p>
            <w:pPr>
              <w:ind w:firstLine="420" w:firstLineChars="200"/>
              <w:jc w:val="left"/>
              <w:rPr>
                <w:rFonts w:ascii="宋体" w:cs="宋体"/>
                <w:b/>
                <w:bCs/>
                <w:kern w:val="0"/>
                <w:szCs w:val="21"/>
              </w:rPr>
            </w:pPr>
            <w:r>
              <w:rPr>
                <w:rFonts w:hint="eastAsia" w:asciiTheme="minorEastAsia" w:hAnsiTheme="minorEastAsia" w:eastAsiaTheme="minorEastAsia" w:cstheme="minorEastAsia"/>
                <w:kern w:val="0"/>
                <w:szCs w:val="21"/>
              </w:rPr>
              <w:sym w:font="Wingdings" w:char="00A8"/>
            </w:r>
            <w:r>
              <w:rPr>
                <w:rFonts w:hint="eastAsia" w:asciiTheme="minorEastAsia" w:hAnsiTheme="minorEastAsia" w:eastAsiaTheme="minorEastAsia" w:cstheme="minorEastAsia"/>
                <w:kern w:val="0"/>
                <w:szCs w:val="21"/>
              </w:rPr>
              <w:t xml:space="preserve">最低评标价法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宋体"/>
                <w:kern w:val="0"/>
                <w:szCs w:val="21"/>
              </w:rPr>
            </w:pPr>
            <w:r>
              <w:rPr>
                <w:rFonts w:hint="eastAsia" w:ascii="宋体"/>
                <w:kern w:val="0"/>
                <w:szCs w:val="21"/>
              </w:rPr>
              <w:t>20</w:t>
            </w:r>
          </w:p>
        </w:tc>
        <w:tc>
          <w:tcPr>
            <w:tcW w:w="1410" w:type="dxa"/>
            <w:vAlign w:val="center"/>
          </w:tcPr>
          <w:p>
            <w:pPr>
              <w:widowControl/>
              <w:jc w:val="center"/>
              <w:rPr>
                <w:rFonts w:ascii="黑体" w:eastAsia="黑体" w:cs="黑体"/>
                <w:kern w:val="0"/>
                <w:szCs w:val="21"/>
              </w:rPr>
            </w:pPr>
            <w:r>
              <w:rPr>
                <w:rFonts w:hint="eastAsia" w:ascii="黑体" w:eastAsia="黑体" w:cs="黑体"/>
                <w:kern w:val="0"/>
                <w:szCs w:val="21"/>
              </w:rPr>
              <w:t>履约保证金</w:t>
            </w:r>
          </w:p>
        </w:tc>
        <w:tc>
          <w:tcPr>
            <w:tcW w:w="6857" w:type="dxa"/>
            <w:vAlign w:val="center"/>
          </w:tcPr>
          <w:p>
            <w:pPr>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sym w:font="Wingdings" w:char="00FE"/>
            </w:r>
            <w:r>
              <w:rPr>
                <w:rFonts w:hint="eastAsia" w:asciiTheme="minorEastAsia" w:hAnsiTheme="minorEastAsia" w:eastAsiaTheme="minorEastAsia" w:cstheme="minorEastAsia"/>
                <w:kern w:val="0"/>
                <w:szCs w:val="21"/>
              </w:rPr>
              <w:t>本项目不收取履约保证金</w:t>
            </w:r>
          </w:p>
          <w:p>
            <w:pPr>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sym w:font="Wingdings" w:char="00A8"/>
            </w:r>
            <w:r>
              <w:rPr>
                <w:rFonts w:hint="eastAsia" w:asciiTheme="minorEastAsia" w:hAnsiTheme="minorEastAsia" w:eastAsiaTheme="minorEastAsia" w:cstheme="minorEastAsia"/>
                <w:kern w:val="0"/>
                <w:szCs w:val="21"/>
              </w:rPr>
              <w:t>本项目收取履约保证金</w:t>
            </w:r>
          </w:p>
          <w:p>
            <w:pPr>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履约保证金金额： 政府采购合同金额的10%为履约保证金（如有调整，以采购人意见为准）    </w:t>
            </w:r>
          </w:p>
          <w:p>
            <w:pPr>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履约保证金递交时间：       按采购人要求执行     </w:t>
            </w:r>
          </w:p>
          <w:p>
            <w:pPr>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履约保证金递交方式：       按采购人要求执行      </w:t>
            </w:r>
          </w:p>
          <w:p>
            <w:pPr>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履约保证金退还时间及规定： 按采购人要求执行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宋体"/>
                <w:kern w:val="0"/>
                <w:szCs w:val="21"/>
              </w:rPr>
            </w:pPr>
            <w:r>
              <w:rPr>
                <w:rFonts w:hint="eastAsia" w:ascii="宋体"/>
                <w:kern w:val="0"/>
                <w:szCs w:val="21"/>
              </w:rPr>
              <w:t>21</w:t>
            </w:r>
          </w:p>
        </w:tc>
        <w:tc>
          <w:tcPr>
            <w:tcW w:w="1410" w:type="dxa"/>
            <w:vAlign w:val="center"/>
          </w:tcPr>
          <w:p>
            <w:pPr>
              <w:keepNext/>
              <w:widowControl/>
              <w:jc w:val="distribute"/>
              <w:rPr>
                <w:rFonts w:ascii="黑体" w:eastAsia="黑体" w:cs="黑体"/>
                <w:kern w:val="0"/>
                <w:szCs w:val="21"/>
              </w:rPr>
            </w:pPr>
            <w:r>
              <w:rPr>
                <w:rFonts w:hint="eastAsia" w:ascii="黑体" w:eastAsia="黑体" w:cs="黑体"/>
                <w:kern w:val="0"/>
                <w:szCs w:val="21"/>
              </w:rPr>
              <w:t>投标有效期</w:t>
            </w:r>
          </w:p>
        </w:tc>
        <w:tc>
          <w:tcPr>
            <w:tcW w:w="6857" w:type="dxa"/>
            <w:vAlign w:val="center"/>
          </w:tcPr>
          <w:p>
            <w:pPr>
              <w:jc w:val="left"/>
              <w:rPr>
                <w:rFonts w:asciiTheme="minorEastAsia" w:hAnsiTheme="minorEastAsia" w:eastAsiaTheme="minorEastAsia" w:cstheme="minorEastAsia"/>
                <w:kern w:val="0"/>
                <w:szCs w:val="21"/>
              </w:rPr>
            </w:pPr>
            <w:r>
              <w:rPr>
                <w:rFonts w:hint="eastAsia" w:ascii="宋体" w:cs="宋体"/>
                <w:kern w:val="0"/>
                <w:szCs w:val="21"/>
              </w:rPr>
              <w:t>自投标截止之日起</w:t>
            </w:r>
            <w:r>
              <w:rPr>
                <w:rFonts w:hint="eastAsia" w:ascii="宋体" w:cs="宋体"/>
                <w:color w:val="000000" w:themeColor="text1"/>
                <w:kern w:val="0"/>
                <w:szCs w:val="21"/>
              </w:rPr>
              <w:t xml:space="preserve"> 90</w:t>
            </w:r>
            <w:r>
              <w:rPr>
                <w:rFonts w:hint="eastAsia" w:ascii="宋体" w:cs="宋体"/>
                <w:kern w:val="0"/>
                <w:szCs w:val="21"/>
              </w:rPr>
              <w:t>个日历日，有效期不满足要求的投标将被视为非实质性响应投标。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宋体"/>
                <w:kern w:val="0"/>
                <w:szCs w:val="21"/>
              </w:rPr>
            </w:pPr>
            <w:r>
              <w:rPr>
                <w:rFonts w:hint="eastAsia" w:ascii="宋体"/>
                <w:kern w:val="0"/>
                <w:szCs w:val="21"/>
              </w:rPr>
              <w:t>22</w:t>
            </w:r>
          </w:p>
        </w:tc>
        <w:tc>
          <w:tcPr>
            <w:tcW w:w="1410" w:type="dxa"/>
            <w:vAlign w:val="center"/>
          </w:tcPr>
          <w:p>
            <w:pPr>
              <w:jc w:val="distribute"/>
              <w:rPr>
                <w:rFonts w:ascii="黑体" w:eastAsia="黑体" w:cs="黑体"/>
                <w:kern w:val="0"/>
                <w:szCs w:val="21"/>
              </w:rPr>
            </w:pPr>
            <w:r>
              <w:rPr>
                <w:rFonts w:hint="eastAsia" w:ascii="黑体" w:eastAsia="黑体" w:cs="黑体"/>
                <w:kern w:val="0"/>
                <w:szCs w:val="21"/>
              </w:rPr>
              <w:t>评标委员会</w:t>
            </w:r>
          </w:p>
          <w:p>
            <w:pPr>
              <w:jc w:val="distribute"/>
              <w:rPr>
                <w:rFonts w:ascii="黑体" w:eastAsia="黑体" w:cs="黑体"/>
                <w:kern w:val="0"/>
                <w:szCs w:val="21"/>
              </w:rPr>
            </w:pPr>
            <w:r>
              <w:rPr>
                <w:rFonts w:hint="eastAsia" w:ascii="黑体" w:eastAsia="黑体" w:cs="黑体"/>
                <w:kern w:val="0"/>
                <w:szCs w:val="21"/>
              </w:rPr>
              <w:t>的组建</w:t>
            </w:r>
          </w:p>
        </w:tc>
        <w:tc>
          <w:tcPr>
            <w:tcW w:w="6857" w:type="dxa"/>
            <w:vAlign w:val="center"/>
          </w:tcPr>
          <w:p>
            <w:pPr>
              <w:ind w:firstLine="420" w:firstLineChars="200"/>
              <w:jc w:val="left"/>
              <w:rPr>
                <w:rFonts w:ascii="宋体" w:cs="宋体"/>
              </w:rPr>
            </w:pPr>
            <w:r>
              <w:rPr>
                <w:rFonts w:hint="eastAsia" w:ascii="宋体" w:cs="宋体"/>
                <w:szCs w:val="21"/>
              </w:rPr>
              <w:t>1、评标委员会由招标人依法组建；</w:t>
            </w:r>
          </w:p>
          <w:p>
            <w:pPr>
              <w:ind w:firstLine="420" w:firstLineChars="200"/>
              <w:jc w:val="left"/>
              <w:rPr>
                <w:rFonts w:asciiTheme="minorEastAsia" w:hAnsiTheme="minorEastAsia" w:eastAsiaTheme="minorEastAsia" w:cstheme="minorEastAsia"/>
                <w:kern w:val="0"/>
                <w:szCs w:val="21"/>
              </w:rPr>
            </w:pPr>
            <w:r>
              <w:rPr>
                <w:rFonts w:hint="eastAsia" w:ascii="宋体" w:cs="宋体"/>
                <w:szCs w:val="21"/>
              </w:rPr>
              <w:t>2、评标专家</w:t>
            </w:r>
            <w:r>
              <w:rPr>
                <w:rFonts w:hint="eastAsia" w:asciiTheme="minorEastAsia" w:hAnsiTheme="minorEastAsia" w:eastAsiaTheme="minorEastAsia" w:cstheme="minorEastAsia"/>
                <w:kern w:val="0"/>
                <w:szCs w:val="21"/>
              </w:rPr>
              <w:t>由采购人的代表和有关技术、经济等方面的专家组成，成员人数为</w:t>
            </w:r>
            <w:r>
              <w:rPr>
                <w:rFonts w:hint="eastAsia" w:asciiTheme="minorEastAsia" w:hAnsiTheme="minorEastAsia" w:eastAsiaTheme="minorEastAsia" w:cstheme="minorEastAsia"/>
                <w:kern w:val="0"/>
                <w:szCs w:val="21"/>
                <w:u w:val="single"/>
              </w:rPr>
              <w:t xml:space="preserve"> 5 </w:t>
            </w:r>
            <w:r>
              <w:rPr>
                <w:rFonts w:hint="eastAsia" w:asciiTheme="minorEastAsia" w:hAnsiTheme="minorEastAsia" w:eastAsiaTheme="minorEastAsia" w:cstheme="minorEastAsia"/>
                <w:kern w:val="0"/>
                <w:szCs w:val="21"/>
              </w:rPr>
              <w:t>人以上单数，其中，技术、经济等方面的专家不得少于成员总数的2/3。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宋体"/>
                <w:kern w:val="0"/>
                <w:szCs w:val="21"/>
              </w:rPr>
            </w:pPr>
            <w:r>
              <w:rPr>
                <w:rFonts w:hint="eastAsia" w:ascii="宋体"/>
                <w:kern w:val="0"/>
                <w:szCs w:val="21"/>
              </w:rPr>
              <w:t>23</w:t>
            </w:r>
          </w:p>
        </w:tc>
        <w:tc>
          <w:tcPr>
            <w:tcW w:w="1410" w:type="dxa"/>
            <w:vAlign w:val="center"/>
          </w:tcPr>
          <w:p>
            <w:pPr>
              <w:jc w:val="distribute"/>
              <w:rPr>
                <w:rFonts w:ascii="黑体" w:eastAsia="黑体" w:cs="黑体"/>
                <w:kern w:val="0"/>
                <w:szCs w:val="21"/>
              </w:rPr>
            </w:pPr>
            <w:r>
              <w:rPr>
                <w:rFonts w:hint="eastAsia" w:ascii="黑体" w:eastAsia="黑体" w:cs="黑体"/>
                <w:kern w:val="0"/>
                <w:szCs w:val="21"/>
              </w:rPr>
              <w:t>中标候选人公示媒体</w:t>
            </w:r>
          </w:p>
        </w:tc>
        <w:tc>
          <w:tcPr>
            <w:tcW w:w="6857" w:type="dxa"/>
            <w:vAlign w:val="center"/>
          </w:tcPr>
          <w:p>
            <w:pPr>
              <w:jc w:val="left"/>
              <w:rPr>
                <w:rFonts w:asciiTheme="minorEastAsia" w:hAnsiTheme="minorEastAsia" w:eastAsiaTheme="minorEastAsia" w:cstheme="minorEastAsia"/>
                <w:kern w:val="0"/>
                <w:szCs w:val="21"/>
              </w:rPr>
            </w:pPr>
            <w:r>
              <w:rPr>
                <w:rFonts w:hint="eastAsia" w:ascii="宋体" w:cs="宋体"/>
                <w:kern w:val="0"/>
                <w:szCs w:val="21"/>
              </w:rPr>
              <w:t>新疆政府采购网（http://www.ccgp-xinjiang.gov.cn/）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宋体"/>
                <w:kern w:val="0"/>
                <w:szCs w:val="21"/>
              </w:rPr>
            </w:pPr>
            <w:r>
              <w:rPr>
                <w:rFonts w:hint="eastAsia" w:ascii="宋体"/>
                <w:kern w:val="0"/>
                <w:szCs w:val="21"/>
              </w:rPr>
              <w:t>24</w:t>
            </w:r>
          </w:p>
        </w:tc>
        <w:tc>
          <w:tcPr>
            <w:tcW w:w="1410" w:type="dxa"/>
            <w:vAlign w:val="center"/>
          </w:tcPr>
          <w:p>
            <w:pPr>
              <w:jc w:val="distribute"/>
              <w:rPr>
                <w:rFonts w:ascii="黑体" w:eastAsia="黑体" w:cs="黑体"/>
                <w:kern w:val="0"/>
                <w:szCs w:val="21"/>
              </w:rPr>
            </w:pPr>
            <w:r>
              <w:rPr>
                <w:rFonts w:hint="eastAsia" w:ascii="黑体" w:eastAsia="黑体" w:cs="黑体"/>
                <w:kern w:val="0"/>
                <w:szCs w:val="21"/>
              </w:rPr>
              <w:t>中标候选人</w:t>
            </w:r>
          </w:p>
        </w:tc>
        <w:tc>
          <w:tcPr>
            <w:tcW w:w="6857" w:type="dxa"/>
            <w:vAlign w:val="center"/>
          </w:tcPr>
          <w:p>
            <w:pPr>
              <w:jc w:val="left"/>
              <w:rPr>
                <w:rFonts w:ascii="宋体" w:cs="宋体"/>
                <w:kern w:val="0"/>
                <w:szCs w:val="21"/>
              </w:rPr>
            </w:pPr>
            <w:r>
              <w:rPr>
                <w:rFonts w:hint="eastAsia" w:ascii="宋体" w:cs="宋体"/>
                <w:szCs w:val="21"/>
              </w:rPr>
              <w:t>评标委员会推荐3名中标候选人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宋体"/>
                <w:kern w:val="0"/>
                <w:szCs w:val="21"/>
              </w:rPr>
            </w:pPr>
            <w:r>
              <w:rPr>
                <w:rFonts w:hint="eastAsia" w:ascii="宋体"/>
                <w:kern w:val="0"/>
                <w:szCs w:val="21"/>
              </w:rPr>
              <w:t>25</w:t>
            </w:r>
          </w:p>
        </w:tc>
        <w:tc>
          <w:tcPr>
            <w:tcW w:w="1410" w:type="dxa"/>
            <w:vAlign w:val="center"/>
          </w:tcPr>
          <w:p>
            <w:pPr>
              <w:keepNext/>
              <w:widowControl/>
              <w:jc w:val="distribute"/>
              <w:rPr>
                <w:rFonts w:ascii="黑体" w:hAnsi="黑体" w:eastAsia="黑体" w:cs="黑体"/>
                <w:kern w:val="0"/>
                <w:szCs w:val="21"/>
              </w:rPr>
            </w:pPr>
            <w:r>
              <w:rPr>
                <w:rFonts w:hint="eastAsia" w:ascii="黑体" w:hAnsi="黑体" w:eastAsia="黑体" w:cs="黑体"/>
                <w:kern w:val="0"/>
                <w:szCs w:val="21"/>
              </w:rPr>
              <w:t>投标人的</w:t>
            </w:r>
          </w:p>
          <w:p>
            <w:pPr>
              <w:keepNext/>
              <w:widowControl/>
              <w:jc w:val="distribute"/>
              <w:rPr>
                <w:rFonts w:ascii="黑体" w:eastAsia="黑体" w:cs="黑体"/>
                <w:kern w:val="0"/>
                <w:szCs w:val="21"/>
              </w:rPr>
            </w:pPr>
            <w:r>
              <w:rPr>
                <w:rFonts w:hint="eastAsia" w:ascii="黑体" w:hAnsi="黑体" w:eastAsia="黑体" w:cs="黑体"/>
                <w:kern w:val="0"/>
                <w:szCs w:val="21"/>
              </w:rPr>
              <w:t>资格要求</w:t>
            </w:r>
          </w:p>
        </w:tc>
        <w:tc>
          <w:tcPr>
            <w:tcW w:w="6857" w:type="dxa"/>
            <w:vAlign w:val="center"/>
          </w:tcPr>
          <w:p>
            <w:pPr>
              <w:keepNext/>
              <w:widowControl/>
              <w:jc w:val="left"/>
              <w:rPr>
                <w:rFonts w:ascii="宋体" w:cs="宋体"/>
                <w:kern w:val="0"/>
                <w:szCs w:val="21"/>
              </w:rPr>
            </w:pPr>
            <w:r>
              <w:rPr>
                <w:rFonts w:hint="eastAsia" w:asciiTheme="minorEastAsia" w:hAnsiTheme="minorEastAsia" w:eastAsiaTheme="minorEastAsia" w:cstheme="minorEastAsia"/>
              </w:rPr>
              <w:t>满</w:t>
            </w:r>
            <w:r>
              <w:rPr>
                <w:rFonts w:hint="eastAsia" w:asciiTheme="minorEastAsia" w:hAnsiTheme="minorEastAsia" w:eastAsiaTheme="minorEastAsia" w:cstheme="minorEastAsia"/>
                <w:color w:val="000000"/>
                <w:szCs w:val="21"/>
              </w:rPr>
              <w:t>足“招标公告”第二条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Merge w:val="restart"/>
            <w:vAlign w:val="center"/>
          </w:tcPr>
          <w:p>
            <w:pPr>
              <w:jc w:val="center"/>
              <w:rPr>
                <w:rFonts w:ascii="宋体"/>
                <w:kern w:val="0"/>
                <w:szCs w:val="21"/>
              </w:rPr>
            </w:pPr>
            <w:r>
              <w:rPr>
                <w:rFonts w:hint="eastAsia" w:ascii="宋体"/>
                <w:kern w:val="0"/>
                <w:szCs w:val="21"/>
              </w:rPr>
              <w:t>26</w:t>
            </w:r>
          </w:p>
        </w:tc>
        <w:tc>
          <w:tcPr>
            <w:tcW w:w="1410" w:type="dxa"/>
            <w:vAlign w:val="center"/>
          </w:tcPr>
          <w:p>
            <w:pPr>
              <w:keepNext/>
              <w:widowControl/>
              <w:jc w:val="distribute"/>
              <w:rPr>
                <w:rFonts w:ascii="黑体" w:eastAsia="黑体" w:cs="黑体"/>
                <w:kern w:val="0"/>
                <w:szCs w:val="21"/>
              </w:rPr>
            </w:pPr>
            <w:r>
              <w:rPr>
                <w:rFonts w:hint="eastAsia" w:ascii="黑体" w:eastAsia="黑体" w:cs="黑体"/>
                <w:kern w:val="0"/>
                <w:szCs w:val="21"/>
              </w:rPr>
              <w:t>投标文件编制须知</w:t>
            </w:r>
          </w:p>
        </w:tc>
        <w:tc>
          <w:tcPr>
            <w:tcW w:w="6857" w:type="dxa"/>
            <w:vAlign w:val="center"/>
          </w:tcPr>
          <w:p>
            <w:pPr>
              <w:rPr>
                <w:rFonts w:ascii="宋体" w:hAnsi="宋体" w:cs="宋体"/>
                <w:snapToGrid w:val="0"/>
                <w:szCs w:val="21"/>
              </w:rPr>
            </w:pPr>
            <w:r>
              <w:rPr>
                <w:rFonts w:hint="eastAsia" w:ascii="宋体" w:hAnsi="宋体" w:cs="宋体"/>
                <w:snapToGrid w:val="0"/>
                <w:szCs w:val="21"/>
              </w:rPr>
              <w:t>1、在招标文件领取截止时间前，使用办理的CA数字证书，通过政采云平台（https://www.zcygov.cn/）窗口下载所投项目的招标文件。</w:t>
            </w:r>
          </w:p>
          <w:p>
            <w:pPr>
              <w:jc w:val="left"/>
              <w:rPr>
                <w:rFonts w:ascii="宋体" w:cs="宋体"/>
                <w:kern w:val="0"/>
                <w:szCs w:val="21"/>
              </w:rPr>
            </w:pPr>
            <w:r>
              <w:rPr>
                <w:rFonts w:hint="eastAsia" w:ascii="宋体" w:hAnsi="宋体" w:cs="宋体"/>
                <w:snapToGrid w:val="0"/>
                <w:szCs w:val="21"/>
              </w:rPr>
              <w:t>2、供应商需在新疆政府采购网（</w:t>
            </w:r>
            <w:r>
              <w:rPr>
                <w:rFonts w:ascii="宋体" w:hAnsi="宋体" w:cs="宋体"/>
                <w:snapToGrid w:val="0"/>
                <w:szCs w:val="21"/>
              </w:rPr>
              <w:t>http://www.ccgp-xinjiang.gov.cn</w:t>
            </w:r>
            <w:r>
              <w:rPr>
                <w:rFonts w:hint="eastAsia" w:ascii="宋体" w:hAnsi="宋体" w:cs="宋体"/>
                <w:snapToGrid w:val="0"/>
                <w:szCs w:val="21"/>
              </w:rPr>
              <w:t>/）下载专区自行下载政采云电子投标客户端。在电子投标客户端内制作对应的投标文件。投标文件制作完成后在投标响应截止时间前上传至政采云平台对应项目即可。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Merge w:val="continue"/>
            <w:vAlign w:val="center"/>
          </w:tcPr>
          <w:p/>
        </w:tc>
        <w:tc>
          <w:tcPr>
            <w:tcW w:w="1410" w:type="dxa"/>
            <w:vAlign w:val="center"/>
          </w:tcPr>
          <w:p>
            <w:pPr>
              <w:keepNext/>
              <w:widowControl/>
              <w:jc w:val="center"/>
              <w:rPr>
                <w:rFonts w:ascii="黑体" w:eastAsia="黑体" w:cs="黑体"/>
                <w:kern w:val="0"/>
                <w:szCs w:val="21"/>
              </w:rPr>
            </w:pPr>
            <w:r>
              <w:rPr>
                <w:rFonts w:hint="eastAsia" w:ascii="黑体" w:hAnsi="黑体" w:eastAsia="黑体" w:cs="黑体"/>
                <w:bCs/>
                <w:szCs w:val="21"/>
              </w:rPr>
              <w:t>低于成本价不正当竞争预防措施</w:t>
            </w:r>
          </w:p>
        </w:tc>
        <w:tc>
          <w:tcPr>
            <w:tcW w:w="6857" w:type="dxa"/>
            <w:vAlign w:val="center"/>
          </w:tcPr>
          <w:p>
            <w:pPr>
              <w:keepNext/>
              <w:widowControl/>
              <w:ind w:firstLine="420" w:firstLineChars="200"/>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在评标过程中，评标委员会认为投标人的报价明显低于其他通过符合性审查投标人的报价，有可能影响产品质量或者不能诚信履约的，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keepNext/>
              <w:widowControl/>
              <w:ind w:firstLine="420" w:firstLineChars="200"/>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keepNext/>
              <w:widowControl/>
              <w:ind w:firstLine="420" w:firstLineChars="200"/>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供应商提供书面说明后，评标委员会应当结合采购项目采购需求、专业实际情况、供应商财务状况报告、与其他供应商比较情况等就供应商书面说明进行审查评价。</w:t>
            </w:r>
          </w:p>
          <w:p>
            <w:pPr>
              <w:keepNext/>
              <w:widowControl/>
              <w:ind w:firstLine="420" w:firstLineChars="200"/>
              <w:jc w:val="left"/>
              <w:rPr>
                <w:rFonts w:ascii="宋体" w:cs="宋体"/>
                <w:kern w:val="0"/>
                <w:szCs w:val="21"/>
              </w:rPr>
            </w:pPr>
            <w:r>
              <w:rPr>
                <w:rFonts w:hint="eastAsia" w:asciiTheme="minorEastAsia" w:hAnsiTheme="minorEastAsia" w:eastAsiaTheme="minorEastAsia" w:cstheme="minorEastAsia"/>
                <w:color w:val="000000"/>
                <w:szCs w:val="21"/>
              </w:rPr>
              <w:t>供应商拒绝或者变相拒绝提供有效书面说明或者书面说明不能证明其报价合理性的，评标委员会应当将其投标（响应）文件作为无效处理。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Merge w:val="restart"/>
            <w:vAlign w:val="center"/>
          </w:tcPr>
          <w:p>
            <w:pPr>
              <w:jc w:val="center"/>
              <w:rPr>
                <w:rFonts w:ascii="宋体"/>
                <w:kern w:val="0"/>
                <w:szCs w:val="21"/>
              </w:rPr>
            </w:pPr>
            <w:r>
              <w:rPr>
                <w:rFonts w:hint="eastAsia" w:ascii="宋体"/>
                <w:kern w:val="0"/>
                <w:szCs w:val="21"/>
              </w:rPr>
              <w:t>27</w:t>
            </w:r>
          </w:p>
        </w:tc>
        <w:tc>
          <w:tcPr>
            <w:tcW w:w="1410" w:type="dxa"/>
            <w:vAlign w:val="center"/>
          </w:tcPr>
          <w:p>
            <w:pPr>
              <w:keepNext/>
              <w:widowControl/>
              <w:jc w:val="center"/>
              <w:rPr>
                <w:rFonts w:ascii="黑体" w:eastAsia="黑体" w:cs="黑体"/>
                <w:kern w:val="0"/>
                <w:szCs w:val="21"/>
              </w:rPr>
            </w:pPr>
            <w:r>
              <w:rPr>
                <w:rFonts w:hint="eastAsia" w:ascii="黑体" w:hAnsi="黑体" w:eastAsia="黑体" w:cs="黑体"/>
                <w:bCs/>
                <w:szCs w:val="21"/>
              </w:rPr>
              <w:t>信用情况</w:t>
            </w:r>
          </w:p>
        </w:tc>
        <w:tc>
          <w:tcPr>
            <w:tcW w:w="6857" w:type="dxa"/>
            <w:vAlign w:val="center"/>
          </w:tcPr>
          <w:p>
            <w:pPr>
              <w:pStyle w:val="9"/>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本项目不接受失信企业投标。</w:t>
            </w:r>
          </w:p>
          <w:p>
            <w:pPr>
              <w:widowControl/>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1、信用记录查询方式及查询内容：</w:t>
            </w:r>
          </w:p>
          <w:p>
            <w:pPr>
              <w:widowControl/>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EQ \o\ac(○,1)</w:instrTex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t>“信用中国”（www.creditchina.gov.cn）未被列入重大税收违法案件当事人名单；</w:t>
            </w:r>
          </w:p>
          <w:p>
            <w:pPr>
              <w:widowControl/>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EQ \o\ac(○,2)</w:instrTex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t>“中国执行信息公开网”（http://zxgk.court.gov.cn/）未被列入失信被执行人；</w:t>
            </w:r>
          </w:p>
          <w:p>
            <w:pPr>
              <w:widowControl/>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EQ \o\ac(○,3)</w:instrTex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t>“中国政府采购网”（www.ccgp.gov.cn）网站上未被列入政府采购严重违法失信行为记录名单；</w:t>
            </w:r>
          </w:p>
          <w:p>
            <w:pPr>
              <w:widowControl/>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EQ \o\ac(○,4)</w:instrTex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t>中国裁判文书网（http://wenshu.court.gov.cn/）查询近三年无因投标申请人违约或不恰当履约引起的合同终止、纠纷、争议、仲裁和公诉纪录和无行贿犯罪记录证明。（网页打印件须自招标（采购）文件发售之日起至首次提交投标（响应）文件截止时间内从上述网站中打印，并加盖公章）</w:t>
            </w:r>
          </w:p>
          <w:p>
            <w:pPr>
              <w:keepNext/>
              <w:widowControl/>
              <w:ind w:firstLine="420" w:firstLineChars="200"/>
              <w:jc w:val="left"/>
              <w:rPr>
                <w:rFonts w:ascii="宋体" w:cs="宋体"/>
                <w:b/>
                <w:bCs/>
                <w:kern w:val="0"/>
                <w:szCs w:val="21"/>
              </w:rPr>
            </w:pPr>
            <w:r>
              <w:rPr>
                <w:rFonts w:hint="eastAsia" w:asciiTheme="minorEastAsia" w:hAnsiTheme="minorEastAsia" w:eastAsiaTheme="minorEastAsia" w:cstheme="minorEastAsia"/>
                <w:szCs w:val="21"/>
              </w:rPr>
              <w:t>2、供应商参加政府采购活动时，应当就自己的诚信情况在响应性文件中进行承诺或者提供以上网站的查询结果网页打印件。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Merge w:val="continue"/>
            <w:vAlign w:val="center"/>
          </w:tcPr>
          <w:p>
            <w:pPr>
              <w:jc w:val="center"/>
              <w:rPr>
                <w:rFonts w:ascii="宋体"/>
                <w:kern w:val="0"/>
                <w:szCs w:val="21"/>
              </w:rPr>
            </w:pPr>
          </w:p>
        </w:tc>
        <w:tc>
          <w:tcPr>
            <w:tcW w:w="1410" w:type="dxa"/>
            <w:vAlign w:val="center"/>
          </w:tcPr>
          <w:p>
            <w:pPr>
              <w:keepNext/>
              <w:widowControl/>
              <w:jc w:val="distribute"/>
              <w:rPr>
                <w:rFonts w:ascii="黑体" w:eastAsia="黑体" w:cs="黑体"/>
                <w:kern w:val="0"/>
                <w:szCs w:val="21"/>
              </w:rPr>
            </w:pPr>
            <w:r>
              <w:rPr>
                <w:rFonts w:hint="eastAsia" w:ascii="黑体" w:hAnsi="黑体" w:eastAsia="黑体" w:cs="黑体"/>
                <w:kern w:val="0"/>
                <w:szCs w:val="21"/>
              </w:rPr>
              <w:t>质疑须知</w:t>
            </w:r>
          </w:p>
        </w:tc>
        <w:tc>
          <w:tcPr>
            <w:tcW w:w="6857" w:type="dxa"/>
            <w:vAlign w:val="center"/>
          </w:tcPr>
          <w:p>
            <w:pPr>
              <w:pStyle w:val="10"/>
              <w:numPr>
                <w:ilvl w:val="0"/>
                <w:numId w:val="0"/>
              </w:numPr>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1、投标人认为自己的权益受到损害的，可以在知道或者应知其权益受到损害之日起七个工作日内，向采购代理机构提出质疑。</w:t>
            </w:r>
          </w:p>
          <w:p>
            <w:pPr>
              <w:pStyle w:val="10"/>
              <w:numPr>
                <w:ilvl w:val="0"/>
                <w:numId w:val="0"/>
              </w:numPr>
              <w:ind w:firstLine="420" w:firstLineChars="200"/>
              <w:rPr>
                <w:rFonts w:asciiTheme="minorEastAsia" w:hAnsiTheme="minorEastAsia" w:eastAsiaTheme="minorEastAsia" w:cstheme="minorEastAsia"/>
                <w:sz w:val="21"/>
                <w:szCs w:val="21"/>
              </w:rPr>
            </w:pPr>
            <w:r>
              <w:rPr>
                <w:rFonts w:hint="eastAsia" w:ascii="宋体" w:hAnsi="宋体" w:eastAsia="宋体" w:cs="宋体"/>
                <w:sz w:val="21"/>
                <w:szCs w:val="21"/>
              </w:rPr>
              <w:t>⑴</w:t>
            </w:r>
            <w:r>
              <w:rPr>
                <w:rFonts w:hint="eastAsia" w:asciiTheme="minorEastAsia" w:hAnsiTheme="minorEastAsia" w:eastAsiaTheme="minorEastAsia" w:cstheme="minorEastAsia"/>
                <w:sz w:val="21"/>
                <w:szCs w:val="21"/>
              </w:rPr>
              <w:t>接收质疑函的方式：接收加盖单位公章的书面质疑函</w:t>
            </w:r>
          </w:p>
          <w:p>
            <w:pPr>
              <w:pStyle w:val="10"/>
              <w:numPr>
                <w:ilvl w:val="0"/>
                <w:numId w:val="0"/>
              </w:numPr>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联系单位：新疆诚晟源项目管理咨询有限公司</w:t>
            </w:r>
          </w:p>
          <w:p>
            <w:pPr>
              <w:pStyle w:val="10"/>
              <w:numPr>
                <w:ilvl w:val="0"/>
                <w:numId w:val="0"/>
              </w:numPr>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 系 人：王淑敏</w:t>
            </w:r>
          </w:p>
          <w:p>
            <w:pPr>
              <w:pStyle w:val="10"/>
              <w:numPr>
                <w:ilvl w:val="0"/>
                <w:numId w:val="0"/>
              </w:numPr>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联系电话：13199838283</w:t>
            </w:r>
          </w:p>
          <w:p>
            <w:pPr>
              <w:pStyle w:val="10"/>
              <w:numPr>
                <w:ilvl w:val="0"/>
                <w:numId w:val="0"/>
              </w:numPr>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通讯地址：乌市水磨沟区龙盛街2799号金昊•浙商大厦1501室</w:t>
            </w:r>
          </w:p>
          <w:p>
            <w:pPr>
              <w:pStyle w:val="10"/>
              <w:numPr>
                <w:ilvl w:val="0"/>
                <w:numId w:val="0"/>
              </w:numPr>
              <w:ind w:firstLine="420" w:firstLineChars="200"/>
              <w:rPr>
                <w:rFonts w:asciiTheme="minorEastAsia" w:hAnsiTheme="minorEastAsia" w:eastAsiaTheme="minorEastAsia" w:cstheme="minorEastAsia"/>
                <w:sz w:val="21"/>
                <w:szCs w:val="21"/>
              </w:rPr>
            </w:pPr>
            <w:r>
              <w:rPr>
                <w:rFonts w:hint="eastAsia" w:ascii="宋体" w:hAnsi="宋体" w:eastAsia="宋体" w:cs="宋体"/>
                <w:sz w:val="21"/>
                <w:szCs w:val="21"/>
              </w:rPr>
              <w:t>⑵</w:t>
            </w:r>
            <w:r>
              <w:rPr>
                <w:rFonts w:hint="eastAsia" w:asciiTheme="minorEastAsia" w:hAnsiTheme="minorEastAsia" w:eastAsiaTheme="minorEastAsia" w:cstheme="minorEastAsia"/>
                <w:sz w:val="21"/>
                <w:szCs w:val="21"/>
              </w:rPr>
              <w:t>质疑函的内容、格式：应符合《政府采购质疑和投诉办法》相关规定和财政部门制定的《政府采购质疑函范本》格式。</w:t>
            </w:r>
          </w:p>
          <w:p>
            <w:pPr>
              <w:pStyle w:val="10"/>
              <w:numPr>
                <w:ilvl w:val="0"/>
                <w:numId w:val="0"/>
              </w:numPr>
              <w:ind w:firstLine="420" w:firstLineChars="200"/>
              <w:rPr>
                <w:rFonts w:ascii="宋体" w:cs="宋体"/>
                <w:b/>
                <w:bCs/>
                <w:kern w:val="0"/>
                <w:szCs w:val="21"/>
              </w:rPr>
            </w:pPr>
            <w:r>
              <w:rPr>
                <w:rFonts w:hint="eastAsia" w:asciiTheme="minorEastAsia" w:hAnsiTheme="minorEastAsia" w:eastAsiaTheme="minorEastAsia" w:cstheme="minorEastAsia"/>
                <w:sz w:val="21"/>
                <w:szCs w:val="21"/>
              </w:rPr>
              <w:t>2、投标人应在法定质疑期内一次性针对同一采购程序环节提出质疑，否则针对再次提出质疑将不予接收。（采购程序环节分为：招标公告、招标（采购）文件、招标过程、中标结果）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宋体"/>
                <w:kern w:val="0"/>
                <w:szCs w:val="21"/>
              </w:rPr>
            </w:pPr>
            <w:r>
              <w:rPr>
                <w:rFonts w:hint="eastAsia" w:asciiTheme="minorEastAsia" w:hAnsiTheme="minorEastAsia" w:eastAsiaTheme="minorEastAsia" w:cstheme="minorEastAsia"/>
                <w:kern w:val="0"/>
                <w:szCs w:val="21"/>
              </w:rPr>
              <w:t>28</w:t>
            </w:r>
          </w:p>
        </w:tc>
        <w:tc>
          <w:tcPr>
            <w:tcW w:w="1410" w:type="dxa"/>
            <w:vAlign w:val="center"/>
          </w:tcPr>
          <w:p>
            <w:pPr>
              <w:keepNext/>
              <w:widowControl/>
              <w:jc w:val="distribute"/>
              <w:rPr>
                <w:rFonts w:ascii="黑体" w:eastAsia="黑体" w:cs="黑体"/>
                <w:kern w:val="0"/>
                <w:szCs w:val="21"/>
              </w:rPr>
            </w:pPr>
            <w:r>
              <w:rPr>
                <w:rFonts w:hint="eastAsia" w:ascii="黑体" w:hAnsi="黑体" w:eastAsia="黑体" w:cs="黑体"/>
                <w:kern w:val="0"/>
                <w:szCs w:val="21"/>
              </w:rPr>
              <w:t>特别提示</w:t>
            </w:r>
          </w:p>
        </w:tc>
        <w:tc>
          <w:tcPr>
            <w:tcW w:w="6857" w:type="dxa"/>
            <w:vAlign w:val="center"/>
          </w:tcPr>
          <w:p>
            <w:pPr>
              <w:pStyle w:val="10"/>
              <w:numPr>
                <w:ilvl w:val="0"/>
                <w:numId w:val="0"/>
              </w:numPr>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1、中标企业根据采购人实际需求按照指定的收货地址及时供货，并向采购人提供收货单位的签收、验收单，否则自行承担一切损失。</w:t>
            </w:r>
          </w:p>
          <w:p>
            <w:pPr>
              <w:pStyle w:val="10"/>
              <w:numPr>
                <w:ilvl w:val="0"/>
                <w:numId w:val="0"/>
              </w:numPr>
              <w:ind w:firstLine="420" w:firstLineChars="200"/>
              <w:rPr>
                <w:rFonts w:asciiTheme="minorEastAsia" w:hAnsiTheme="minorEastAsia" w:eastAsiaTheme="minorEastAsia" w:cstheme="minorEastAsia"/>
                <w:b/>
                <w:bCs/>
                <w:kern w:val="0"/>
                <w:szCs w:val="21"/>
              </w:rPr>
            </w:pPr>
            <w:r>
              <w:rPr>
                <w:rFonts w:hint="eastAsia" w:asciiTheme="minorEastAsia" w:hAnsiTheme="minorEastAsia" w:eastAsiaTheme="minorEastAsia" w:cstheme="minorEastAsia"/>
                <w:sz w:val="21"/>
                <w:szCs w:val="21"/>
              </w:rPr>
              <w:t>2、国家政策调整或取消该招标品种的，该品种将不再列入招标计划或如果已经进行了招标的该品种将作为无效招标处理，由此产生的一切费用和损失由投标人承担，招标采购单位不承担任何责任。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29</w:t>
            </w:r>
          </w:p>
        </w:tc>
        <w:tc>
          <w:tcPr>
            <w:tcW w:w="1410" w:type="dxa"/>
            <w:vAlign w:val="center"/>
          </w:tcPr>
          <w:p>
            <w:pPr>
              <w:keepNext/>
              <w:widowControl/>
              <w:jc w:val="distribute"/>
              <w:rPr>
                <w:rFonts w:ascii="黑体" w:hAnsi="黑体" w:eastAsia="黑体" w:cs="黑体"/>
                <w:bCs/>
                <w:szCs w:val="21"/>
              </w:rPr>
            </w:pPr>
            <w:r>
              <w:rPr>
                <w:rFonts w:hint="eastAsia" w:ascii="黑体" w:eastAsia="黑体" w:cs="黑体"/>
                <w:kern w:val="0"/>
                <w:szCs w:val="21"/>
              </w:rPr>
              <w:t>招标代理费</w:t>
            </w:r>
          </w:p>
        </w:tc>
        <w:tc>
          <w:tcPr>
            <w:tcW w:w="6857" w:type="dxa"/>
            <w:vAlign w:val="center"/>
          </w:tcPr>
          <w:p>
            <w:pPr>
              <w:snapToGrid w:val="0"/>
              <w:spacing w:line="290" w:lineRule="exact"/>
              <w:ind w:firstLine="420" w:firstLineChars="200"/>
              <w:rPr>
                <w:rFonts w:asciiTheme="minorEastAsia" w:hAnsiTheme="minorEastAsia" w:eastAsiaTheme="minorEastAsia" w:cstheme="minorEastAsia"/>
                <w:snapToGrid w:val="0"/>
                <w:szCs w:val="21"/>
              </w:rPr>
            </w:pPr>
            <w:r>
              <w:rPr>
                <w:rFonts w:hint="eastAsia" w:asciiTheme="minorEastAsia" w:hAnsiTheme="minorEastAsia" w:eastAsiaTheme="minorEastAsia" w:cstheme="minorEastAsia"/>
                <w:snapToGrid w:val="0"/>
                <w:szCs w:val="21"/>
              </w:rPr>
              <w:t>1、依据国家发展计划委员会文件（计价格[2002]1980号文）、（发改办价格〖2003〗857号）、（发改价格〖2011〗534号）标准取费（下表）</w:t>
            </w:r>
          </w:p>
          <w:p>
            <w:pPr>
              <w:pStyle w:val="10"/>
              <w:numPr>
                <w:ilvl w:val="0"/>
                <w:numId w:val="0"/>
              </w:numPr>
              <w:ind w:firstLine="422" w:firstLineChars="200"/>
              <w:rPr>
                <w:rFonts w:asciiTheme="minorEastAsia" w:hAnsiTheme="minorEastAsia" w:eastAsiaTheme="minorEastAsia" w:cstheme="minorEastAsia"/>
                <w:b/>
                <w:bCs/>
                <w:snapToGrid w:val="0"/>
                <w:sz w:val="21"/>
                <w:szCs w:val="21"/>
              </w:rPr>
            </w:pPr>
            <w:r>
              <w:rPr>
                <w:rFonts w:hint="eastAsia" w:asciiTheme="minorEastAsia" w:hAnsiTheme="minorEastAsia" w:eastAsiaTheme="minorEastAsia" w:cstheme="minorEastAsia"/>
                <w:b/>
                <w:bCs/>
                <w:snapToGrid w:val="0"/>
                <w:sz w:val="21"/>
                <w:szCs w:val="21"/>
              </w:rPr>
              <w:t>2、中标企业在领取本项目中标通知书时，由中标企业向采购代理机构支付本项目代理费</w:t>
            </w:r>
            <w:r>
              <w:rPr>
                <w:rFonts w:hint="eastAsia" w:asciiTheme="minorEastAsia" w:hAnsiTheme="minorEastAsia" w:eastAsiaTheme="minorEastAsia" w:cstheme="minorEastAsia"/>
                <w:snapToGrid w:val="0"/>
                <w:sz w:val="21"/>
                <w:szCs w:val="21"/>
              </w:rPr>
              <w:t>；</w:t>
            </w:r>
          </w:p>
          <w:p>
            <w:pPr>
              <w:snapToGrid w:val="0"/>
              <w:spacing w:line="290" w:lineRule="exact"/>
              <w:ind w:firstLine="422" w:firstLineChars="200"/>
              <w:rPr>
                <w:rFonts w:asciiTheme="minorEastAsia" w:hAnsiTheme="minorEastAsia" w:eastAsiaTheme="minorEastAsia" w:cstheme="minorEastAsia"/>
                <w:b/>
                <w:bCs/>
                <w:snapToGrid w:val="0"/>
                <w:szCs w:val="21"/>
              </w:rPr>
            </w:pPr>
            <w:r>
              <w:rPr>
                <w:rFonts w:hint="eastAsia" w:asciiTheme="minorEastAsia" w:hAnsiTheme="minorEastAsia" w:eastAsiaTheme="minorEastAsia" w:cstheme="minorEastAsia"/>
                <w:b/>
                <w:bCs/>
                <w:snapToGrid w:val="0"/>
                <w:szCs w:val="21"/>
              </w:rPr>
              <w:t>3、代理费支付到以下账户信息</w:t>
            </w:r>
          </w:p>
          <w:p>
            <w:pPr>
              <w:snapToGrid w:val="0"/>
              <w:spacing w:line="290" w:lineRule="exact"/>
              <w:ind w:firstLine="420" w:firstLineChars="200"/>
              <w:rPr>
                <w:rFonts w:asciiTheme="minorEastAsia" w:hAnsiTheme="minorEastAsia" w:eastAsiaTheme="minorEastAsia" w:cstheme="minorEastAsia"/>
                <w:snapToGrid w:val="0"/>
                <w:szCs w:val="21"/>
              </w:rPr>
            </w:pPr>
            <w:r>
              <w:rPr>
                <w:rFonts w:hint="eastAsia" w:asciiTheme="minorEastAsia" w:hAnsiTheme="minorEastAsia" w:eastAsiaTheme="minorEastAsia" w:cstheme="minorEastAsia"/>
                <w:snapToGrid w:val="0"/>
                <w:szCs w:val="21"/>
              </w:rPr>
              <w:t>户名：新疆诚晟源项目管理咨询有限公司</w:t>
            </w:r>
          </w:p>
          <w:p>
            <w:pPr>
              <w:snapToGrid w:val="0"/>
              <w:spacing w:line="290" w:lineRule="exact"/>
              <w:ind w:firstLine="420" w:firstLineChars="200"/>
              <w:rPr>
                <w:rFonts w:asciiTheme="minorEastAsia" w:hAnsiTheme="minorEastAsia" w:eastAsiaTheme="minorEastAsia" w:cstheme="minorEastAsia"/>
                <w:snapToGrid w:val="0"/>
                <w:szCs w:val="21"/>
              </w:rPr>
            </w:pPr>
            <w:r>
              <w:rPr>
                <w:rFonts w:hint="eastAsia" w:asciiTheme="minorEastAsia" w:hAnsiTheme="minorEastAsia" w:eastAsiaTheme="minorEastAsia" w:cstheme="minorEastAsia"/>
                <w:snapToGrid w:val="0"/>
                <w:szCs w:val="21"/>
              </w:rPr>
              <w:t>账号：65050161604300000259</w:t>
            </w:r>
          </w:p>
          <w:p>
            <w:pPr>
              <w:snapToGrid w:val="0"/>
              <w:spacing w:line="290" w:lineRule="exact"/>
              <w:ind w:firstLine="420" w:firstLineChars="200"/>
              <w:rPr>
                <w:rFonts w:asciiTheme="minorEastAsia" w:hAnsiTheme="minorEastAsia" w:eastAsiaTheme="minorEastAsia" w:cstheme="minorEastAsia"/>
                <w:snapToGrid w:val="0"/>
                <w:szCs w:val="21"/>
              </w:rPr>
            </w:pPr>
            <w:r>
              <w:rPr>
                <w:rFonts w:hint="eastAsia" w:asciiTheme="minorEastAsia" w:hAnsiTheme="minorEastAsia" w:eastAsiaTheme="minorEastAsia" w:cstheme="minorEastAsia"/>
                <w:snapToGrid w:val="0"/>
                <w:szCs w:val="21"/>
              </w:rPr>
              <w:t>行名：中国建设银行股份有限公司乌鲁木齐南湖南路支行</w:t>
            </w:r>
          </w:p>
          <w:p>
            <w:pPr>
              <w:pStyle w:val="10"/>
              <w:numPr>
                <w:ilvl w:val="0"/>
                <w:numId w:val="0"/>
              </w:numPr>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napToGrid w:val="0"/>
                <w:sz w:val="21"/>
                <w:szCs w:val="21"/>
              </w:rPr>
              <w:t xml:space="preserve">行号：105881001107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30</w:t>
            </w:r>
          </w:p>
        </w:tc>
        <w:tc>
          <w:tcPr>
            <w:tcW w:w="1410" w:type="dxa"/>
            <w:vAlign w:val="center"/>
          </w:tcPr>
          <w:p>
            <w:pPr>
              <w:keepNext/>
              <w:widowControl/>
              <w:jc w:val="distribute"/>
              <w:rPr>
                <w:rFonts w:ascii="黑体" w:eastAsia="黑体" w:cs="黑体"/>
                <w:kern w:val="0"/>
                <w:szCs w:val="21"/>
              </w:rPr>
            </w:pPr>
            <w:r>
              <w:rPr>
                <w:rFonts w:hint="eastAsia" w:ascii="宋体" w:hAnsi="宋体" w:cs="宋体"/>
                <w:snapToGrid w:val="0"/>
                <w:szCs w:val="21"/>
              </w:rPr>
              <w:t>投标文件的现场解密</w:t>
            </w:r>
          </w:p>
        </w:tc>
        <w:tc>
          <w:tcPr>
            <w:tcW w:w="6857" w:type="dxa"/>
            <w:vAlign w:val="center"/>
          </w:tcPr>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投标文件解密时长：30分钟（过时未进行解密的投标文件，开标现场不进行解密时间延长。）</w:t>
            </w:r>
          </w:p>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开标当日仅需在任意地点通过政采云平台不见面开标系统（登录地址详见网站操作手册）完成远程解密、提疑澄清、开标唱标、结果公布等交互环节。供应商必须在规定的时间内使用能正确解密响应文件的“CA锁”完成远程解密，因供应商原因未能解密、解密失败或解密超时，视为供应商撤销其响应文件，系统内投标文件将被退回；因网上招投标平台发生故障，导致无法按时完成投标文件解密或开、评标工作无法进行的，可根据实际情况相应延迟解密时间或调整开、评标时间。</w:t>
            </w:r>
          </w:p>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（友情提示：若供应商已领取副锁（含多把副锁）请注意正副锁的使用差别，务必使用生成投标文件的那把锁解密）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31</w:t>
            </w:r>
          </w:p>
        </w:tc>
        <w:tc>
          <w:tcPr>
            <w:tcW w:w="1410" w:type="dxa"/>
            <w:vAlign w:val="center"/>
          </w:tcPr>
          <w:p>
            <w:pPr>
              <w:keepNext/>
              <w:widowControl/>
              <w:jc w:val="distribute"/>
              <w:rPr>
                <w:rFonts w:ascii="黑体" w:eastAsia="黑体" w:cs="黑体"/>
                <w:kern w:val="0"/>
                <w:szCs w:val="21"/>
              </w:rPr>
            </w:pPr>
            <w:r>
              <w:rPr>
                <w:rFonts w:ascii="宋体" w:hAnsi="宋体" w:cs="宋体"/>
                <w:snapToGrid w:val="0"/>
                <w:szCs w:val="21"/>
              </w:rPr>
              <w:t>其他</w:t>
            </w:r>
          </w:p>
        </w:tc>
        <w:tc>
          <w:tcPr>
            <w:tcW w:w="6857" w:type="dxa"/>
            <w:vAlign w:val="center"/>
          </w:tcPr>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1、各供应商必须针对项目制作投标文件并报价，投标文件均必须满足招标文件份数与制作等要求，否则将导致投标被拒绝。</w:t>
            </w:r>
          </w:p>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2、当出现下列情形之一，投标文件将予以退回：</w:t>
            </w:r>
          </w:p>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（1）供应商在投标文件递交截止时间前未成功上传加密电子投标文件；</w:t>
            </w:r>
          </w:p>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（2）供应商使用解密的CA数字证书与上传加密投标文件使用的CA数字证书不一致；</w:t>
            </w:r>
          </w:p>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（3）供应商解密时CA数字证书已过期，导致无法正常解密；</w:t>
            </w:r>
          </w:p>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（4）加密投标文件时，CA数字证书未过期，解密时，显示CA数字证书已过期，导致无法正常解密；</w:t>
            </w:r>
          </w:p>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（5）未在规定的投标文件解密时间内进行解密的；</w:t>
            </w:r>
          </w:p>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 xml:space="preserve">（6）供应商个人原因导致无法解密的其他情形。 </w:t>
            </w:r>
          </w:p>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3、供应商应在投标截止时间前将投标时使用的计算机安装相关的浏览器（推荐使用谷歌浏览器）、CA驱动等软件，方便投标文件解密时能够正常解密。</w:t>
            </w:r>
          </w:p>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4、供应商需在投标截止时间前自行测试开标时使用的计算机，如因供应商自身原因导致投标文件解密失败的，由供应商自行承担相应后果。</w:t>
            </w:r>
          </w:p>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5、本次采购，供应商须按招标文件第二章“投标须知”中规定的内容提交投标文件。并根据第六章“投标文件格式”中的全部内容进行投标文件的编制，在评标过程中若发现供应商的投标文件内容未按照招标文件编制，编制内容存在缺失或提供无效资料的，将导致投标被拒绝。所有资料均不允许在投标截止时间后补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32</w:t>
            </w:r>
          </w:p>
        </w:tc>
        <w:tc>
          <w:tcPr>
            <w:tcW w:w="1410" w:type="dxa"/>
            <w:vAlign w:val="center"/>
          </w:tcPr>
          <w:p>
            <w:pPr>
              <w:keepNext/>
              <w:widowControl/>
              <w:jc w:val="distribute"/>
              <w:rPr>
                <w:rFonts w:ascii="黑体" w:eastAsia="黑体" w:cs="黑体"/>
                <w:kern w:val="0"/>
                <w:szCs w:val="21"/>
              </w:rPr>
            </w:pPr>
            <w:r>
              <w:rPr>
                <w:rFonts w:hint="eastAsia" w:ascii="黑体" w:eastAsia="黑体" w:cs="黑体"/>
                <w:kern w:val="0"/>
                <w:szCs w:val="21"/>
              </w:rPr>
              <w:t>注意事项</w:t>
            </w:r>
          </w:p>
        </w:tc>
        <w:tc>
          <w:tcPr>
            <w:tcW w:w="6857" w:type="dxa"/>
            <w:vAlign w:val="center"/>
          </w:tcPr>
          <w:p>
            <w:pPr>
              <w:pStyle w:val="10"/>
              <w:numPr>
                <w:ilvl w:val="0"/>
                <w:numId w:val="0"/>
              </w:numPr>
              <w:rPr>
                <w:rFonts w:asciiTheme="minorEastAsia" w:hAnsiTheme="minorEastAsia" w:eastAsiaTheme="minorEastAsia" w:cstheme="minorEastAsia"/>
                <w:b/>
                <w:bCs/>
                <w:snapToGrid w:val="0"/>
                <w:sz w:val="21"/>
                <w:szCs w:val="21"/>
              </w:rPr>
            </w:pPr>
            <w:r>
              <w:rPr>
                <w:rFonts w:hint="eastAsia" w:asciiTheme="minorEastAsia" w:hAnsiTheme="minorEastAsia" w:eastAsiaTheme="minorEastAsia" w:cstheme="minorEastAsia"/>
                <w:b/>
                <w:bCs/>
                <w:snapToGrid w:val="0"/>
                <w:sz w:val="21"/>
                <w:szCs w:val="21"/>
              </w:rPr>
              <w:t>注：</w:t>
            </w:r>
          </w:p>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1、无论何种原因，在投标文件中未提供相应材料的，评审小组将视同其未提供。</w:t>
            </w:r>
          </w:p>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2、各供应商应在开标前应确保成为新疆政府采购网正式注册入库供应商，并完成CA数字证书（符合国密标准）申领。如需咨询，请联系新疆CA服务热线0991-2819290；</w:t>
            </w:r>
          </w:p>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3、供应商将政采云电子交易客户端下载、安装完成后，可通过账号密码或CA登录客户端进行响应文件的制作。在使用政采云投标客户端时，建议使用WIN7及以上操作系统。客户端请至新疆政府采购网（http://www.ccgp-xinjiang.gov.cn/）下载专区查看，如有问题可拨打政采云客户服务热线95763进行咨询。</w:t>
            </w:r>
          </w:p>
          <w:p>
            <w:pPr>
              <w:pStyle w:val="10"/>
              <w:numPr>
                <w:ilvl w:val="0"/>
                <w:numId w:val="0"/>
              </w:numPr>
              <w:ind w:firstLine="420" w:firstLineChars="200"/>
              <w:rPr>
                <w:rFonts w:asciiTheme="minorEastAsia" w:hAnsiTheme="minorEastAsia" w:eastAsiaTheme="minorEastAsia" w:cstheme="minorEastAsia"/>
                <w:snapToGrid w:val="0"/>
                <w:sz w:val="21"/>
                <w:szCs w:val="21"/>
              </w:rPr>
            </w:pPr>
            <w:r>
              <w:rPr>
                <w:rFonts w:hint="eastAsia" w:asciiTheme="minorEastAsia" w:hAnsiTheme="minorEastAsia" w:eastAsiaTheme="minorEastAsia" w:cstheme="minorEastAsia"/>
                <w:snapToGrid w:val="0"/>
                <w:sz w:val="21"/>
                <w:szCs w:val="21"/>
              </w:rPr>
              <w:t>4、供应商首次参加政府采购活动的，可前往新疆政府采购网（ http://www.ccgp-xinjiang.gov.cn/）下载操作指南。（步骤：进入新疆政府采购网（http://www.ccgp-xinjiang.gov.cn/）点击主页面的办事指南—选择并下载供应商政采云平台操作指南。）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813" w:type="dxa"/>
            <w:vAlign w:val="center"/>
          </w:tcPr>
          <w:p>
            <w:pPr>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33</w:t>
            </w:r>
          </w:p>
        </w:tc>
        <w:tc>
          <w:tcPr>
            <w:tcW w:w="1410" w:type="dxa"/>
            <w:vAlign w:val="center"/>
          </w:tcPr>
          <w:p>
            <w:pPr>
              <w:keepNext/>
              <w:widowControl/>
              <w:jc w:val="distribute"/>
              <w:rPr>
                <w:rFonts w:ascii="黑体" w:hAnsi="黑体" w:eastAsia="黑体" w:cs="黑体"/>
                <w:bCs/>
                <w:szCs w:val="21"/>
              </w:rPr>
            </w:pPr>
            <w:r>
              <w:rPr>
                <w:rFonts w:hint="eastAsia" w:ascii="黑体" w:eastAsia="黑体" w:cs="黑体"/>
                <w:kern w:val="0"/>
                <w:szCs w:val="21"/>
              </w:rPr>
              <w:t>备注</w:t>
            </w:r>
          </w:p>
        </w:tc>
        <w:tc>
          <w:tcPr>
            <w:tcW w:w="6857" w:type="dxa"/>
            <w:vAlign w:val="center"/>
          </w:tcPr>
          <w:p>
            <w:pPr>
              <w:pStyle w:val="9"/>
              <w:spacing w:line="320" w:lineRule="exact"/>
              <w:ind w:firstLine="420" w:firstLineChars="200"/>
              <w:rPr>
                <w:rFonts w:asciiTheme="minorEastAsia" w:hAnsiTheme="minorEastAsia" w:eastAsiaTheme="minorEastAsia" w:cstheme="minorEastAsia"/>
                <w:snapToGrid w:val="0"/>
                <w:szCs w:val="21"/>
              </w:rPr>
            </w:pPr>
            <w:r>
              <w:rPr>
                <w:rFonts w:hint="eastAsia" w:asciiTheme="minorEastAsia" w:hAnsiTheme="minorEastAsia" w:eastAsiaTheme="minorEastAsia" w:cstheme="minorEastAsia"/>
                <w:snapToGrid w:val="0"/>
                <w:szCs w:val="21"/>
              </w:rPr>
              <w:t>1、招标（采购）文件中部分加“*”、加粗、加下划线、废标、无效标、投标被拒绝字样的条款，为招标的实质性要求和条件，着重提醒各投标人注意，并认真查看招标（采购）文件中的每一个条款及要求，因误读招标（采购）文件而造成的后果，招标人概不负责。</w:t>
            </w:r>
          </w:p>
          <w:p>
            <w:pPr>
              <w:pStyle w:val="9"/>
              <w:spacing w:line="320" w:lineRule="exact"/>
              <w:ind w:firstLine="420" w:firstLineChars="200"/>
              <w:rPr>
                <w:rFonts w:asciiTheme="minorEastAsia" w:hAnsiTheme="minorEastAsia" w:eastAsiaTheme="minorEastAsia" w:cstheme="minorEastAsia"/>
                <w:snapToGrid w:val="0"/>
                <w:szCs w:val="21"/>
              </w:rPr>
            </w:pPr>
            <w:r>
              <w:rPr>
                <w:rFonts w:hint="eastAsia" w:asciiTheme="minorEastAsia" w:hAnsiTheme="minorEastAsia" w:eastAsiaTheme="minorEastAsia" w:cstheme="minorEastAsia"/>
                <w:snapToGrid w:val="0"/>
                <w:szCs w:val="21"/>
              </w:rPr>
              <w:t>2、投标（响应）文件中有弄虚作假的内容，其投标（响应）文件作废。（如假证书、假业绩、隐瞒不良行为记录、夸大荣誉、使用非本单位在职员工的相关证件及不符合招标（采购）文件规定的条款等）；在签订合同之前，投标人如发现投标人的投标（响应）文件有弄虚作假内容，招标人可拒绝与其签订合同及后续三年内不得其参加采购人的采购活动。并报财政主管部门将其列入政府采购黑名单库。</w:t>
            </w:r>
          </w:p>
          <w:p>
            <w:pPr>
              <w:pStyle w:val="10"/>
              <w:numPr>
                <w:ilvl w:val="0"/>
                <w:numId w:val="0"/>
              </w:numPr>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napToGrid w:val="0"/>
                <w:sz w:val="21"/>
                <w:szCs w:val="21"/>
              </w:rPr>
              <w:t>3、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w:t>
            </w:r>
          </w:p>
        </w:tc>
      </w:tr>
    </w:tbl>
    <w:p>
      <w:pPr>
        <w:ind w:firstLine="422" w:firstLineChars="200"/>
        <w:jc w:val="left"/>
        <w:rPr>
          <w:rFonts w:ascii="宋体"/>
          <w:b/>
          <w:bCs/>
          <w:szCs w:val="21"/>
        </w:rPr>
      </w:pPr>
      <w:r>
        <w:rPr>
          <w:rFonts w:hint="eastAsia" w:ascii="宋体"/>
          <w:b/>
          <w:bCs/>
          <w:szCs w:val="21"/>
        </w:rPr>
        <w:t>说明：《投标人须知前附表》是对投标须知条款的具体规定和补充，投标人应详细阅读，如有矛盾，以本资料表为准。</w:t>
      </w:r>
      <w:bookmarkStart w:id="1" w:name="_Toc8879"/>
      <w:bookmarkStart w:id="2" w:name="_Toc17407"/>
    </w:p>
    <w:p>
      <w:pPr>
        <w:ind w:firstLine="422" w:firstLineChars="200"/>
        <w:jc w:val="left"/>
        <w:rPr>
          <w:rFonts w:ascii="宋体"/>
          <w:b/>
          <w:bCs/>
          <w:szCs w:val="21"/>
        </w:rPr>
      </w:pPr>
    </w:p>
    <w:p>
      <w:pPr>
        <w:ind w:firstLine="422" w:firstLineChars="200"/>
        <w:jc w:val="left"/>
        <w:rPr>
          <w:rFonts w:ascii="宋体"/>
          <w:b/>
          <w:bCs/>
          <w:szCs w:val="21"/>
        </w:rPr>
      </w:pPr>
    </w:p>
    <w:p>
      <w:pPr>
        <w:ind w:firstLine="422" w:firstLineChars="200"/>
        <w:jc w:val="left"/>
        <w:rPr>
          <w:rFonts w:ascii="宋体"/>
          <w:b/>
          <w:bCs/>
          <w:szCs w:val="21"/>
        </w:rPr>
      </w:pPr>
    </w:p>
    <w:p>
      <w:pPr>
        <w:pStyle w:val="7"/>
      </w:pPr>
    </w:p>
    <w:p/>
    <w:p>
      <w:pPr>
        <w:pStyle w:val="7"/>
      </w:pPr>
    </w:p>
    <w:p/>
    <w:p>
      <w:pPr>
        <w:pStyle w:val="7"/>
      </w:pPr>
    </w:p>
    <w:p/>
    <w:p>
      <w:pPr>
        <w:pStyle w:val="7"/>
      </w:pPr>
    </w:p>
    <w:p>
      <w:pPr>
        <w:ind w:firstLine="422" w:firstLineChars="200"/>
        <w:jc w:val="left"/>
        <w:rPr>
          <w:rFonts w:ascii="宋体"/>
          <w:b/>
          <w:bCs/>
          <w:szCs w:val="21"/>
        </w:rPr>
      </w:pPr>
    </w:p>
    <w:p>
      <w:pPr>
        <w:ind w:firstLine="422" w:firstLineChars="200"/>
        <w:jc w:val="left"/>
        <w:rPr>
          <w:rFonts w:ascii="宋体"/>
          <w:b/>
          <w:bCs/>
          <w:szCs w:val="21"/>
        </w:rPr>
      </w:pPr>
    </w:p>
    <w:p>
      <w:pPr>
        <w:ind w:firstLine="422" w:firstLineChars="200"/>
        <w:jc w:val="left"/>
        <w:rPr>
          <w:rFonts w:ascii="宋体"/>
          <w:b/>
          <w:bCs/>
          <w:szCs w:val="21"/>
        </w:rPr>
      </w:pPr>
    </w:p>
    <w:p>
      <w:pPr>
        <w:ind w:firstLine="600" w:firstLineChars="200"/>
        <w:jc w:val="center"/>
        <w:rPr>
          <w:rFonts w:asciiTheme="minorEastAsia" w:hAnsiTheme="minorEastAsia" w:eastAsiaTheme="minorEastAsia"/>
          <w:b/>
          <w:bCs/>
          <w:sz w:val="30"/>
          <w:szCs w:val="30"/>
        </w:rPr>
      </w:pPr>
      <w:r>
        <w:rPr>
          <w:rFonts w:hint="eastAsia" w:cs="黑体" w:asciiTheme="minorEastAsia" w:hAnsiTheme="minorEastAsia" w:eastAsiaTheme="minorEastAsia"/>
          <w:sz w:val="30"/>
          <w:szCs w:val="30"/>
        </w:rPr>
        <w:t>第二章  投标须知</w:t>
      </w:r>
    </w:p>
    <w:p>
      <w:pPr>
        <w:pStyle w:val="4"/>
        <w:ind w:firstLine="482" w:firstLineChars="200"/>
        <w:jc w:val="center"/>
        <w:rPr>
          <w:rFonts w:cs="宋体" w:asciiTheme="minorEastAsia" w:hAnsiTheme="minorEastAsia" w:eastAsiaTheme="minorEastAsia"/>
          <w:sz w:val="24"/>
          <w:szCs w:val="24"/>
        </w:rPr>
      </w:pPr>
      <w:r>
        <w:rPr>
          <w:rFonts w:asciiTheme="minorEastAsia" w:hAnsiTheme="minorEastAsia" w:eastAsiaTheme="minorEastAsia"/>
          <w:sz w:val="24"/>
          <w:szCs w:val="24"/>
        </w:rPr>
        <w:t>第</w:t>
      </w:r>
      <w:r>
        <w:rPr>
          <w:rFonts w:hint="eastAsia" w:asciiTheme="minorEastAsia" w:hAnsiTheme="minorEastAsia" w:eastAsiaTheme="minorEastAsia"/>
          <w:sz w:val="24"/>
          <w:szCs w:val="24"/>
        </w:rPr>
        <w:t>一</w:t>
      </w:r>
      <w:r>
        <w:rPr>
          <w:rFonts w:asciiTheme="minorEastAsia" w:hAnsiTheme="minorEastAsia" w:eastAsiaTheme="minorEastAsia"/>
          <w:sz w:val="24"/>
          <w:szCs w:val="24"/>
        </w:rPr>
        <w:t>节</w:t>
      </w:r>
      <w:r>
        <w:rPr>
          <w:rFonts w:hint="eastAsia" w:asciiTheme="minorEastAsia" w:hAnsiTheme="minorEastAsia" w:eastAsiaTheme="minorEastAsia"/>
          <w:sz w:val="24"/>
          <w:szCs w:val="24"/>
        </w:rPr>
        <w:t xml:space="preserve"> 总则</w:t>
      </w:r>
      <w:bookmarkEnd w:id="1"/>
    </w:p>
    <w:bookmarkEnd w:id="2"/>
    <w:p>
      <w:pPr>
        <w:widowControl/>
        <w:shd w:val="clear" w:color="auto" w:fill="FFFFFF"/>
        <w:snapToGrid w:val="0"/>
        <w:spacing w:line="360" w:lineRule="auto"/>
        <w:ind w:firstLine="482" w:firstLineChars="200"/>
        <w:rPr>
          <w:rFonts w:cs="宋体" w:asciiTheme="minorEastAsia" w:hAnsiTheme="minorEastAsia" w:eastAsiaTheme="minorEastAsia"/>
          <w:b/>
          <w:bCs/>
          <w:kern w:val="0"/>
          <w:sz w:val="24"/>
        </w:rPr>
      </w:pPr>
      <w:r>
        <w:rPr>
          <w:rFonts w:hint="eastAsia" w:cs="宋体" w:asciiTheme="minorEastAsia" w:hAnsiTheme="minorEastAsia" w:eastAsiaTheme="minorEastAsia"/>
          <w:b/>
          <w:bCs/>
          <w:kern w:val="0"/>
          <w:sz w:val="24"/>
        </w:rPr>
        <w:t>一、适用范围</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根据《中华人民共和国招标投标法》等有关法律、法规和规章的规定，本项目已具备招标条件，本次招标采取</w:t>
      </w:r>
      <w:r>
        <w:rPr>
          <w:rFonts w:hint="eastAsia" w:cs="宋体" w:asciiTheme="minorEastAsia" w:hAnsiTheme="minorEastAsia" w:eastAsiaTheme="minorEastAsia"/>
          <w:b/>
          <w:bCs/>
          <w:sz w:val="24"/>
        </w:rPr>
        <w:t>公开招标方式</w:t>
      </w:r>
      <w:r>
        <w:rPr>
          <w:rFonts w:hint="eastAsia" w:cs="宋体" w:asciiTheme="minorEastAsia" w:hAnsiTheme="minorEastAsia" w:eastAsiaTheme="minorEastAsia"/>
          <w:sz w:val="24"/>
        </w:rPr>
        <w:t>，且文件仅适用于本招标项目中所叙述的货物(服务)等。</w:t>
      </w:r>
    </w:p>
    <w:p>
      <w:pPr>
        <w:spacing w:line="360" w:lineRule="auto"/>
        <w:ind w:firstLine="480" w:firstLineChars="200"/>
        <w:rPr>
          <w:rFonts w:asciiTheme="minorEastAsia" w:hAnsiTheme="minorEastAsia" w:eastAsiaTheme="minorEastAsia" w:cstheme="minorEastAsia"/>
          <w:sz w:val="24"/>
        </w:rPr>
      </w:pPr>
      <w:r>
        <w:rPr>
          <w:rFonts w:hint="eastAsia" w:cs="宋体" w:asciiTheme="minorEastAsia" w:hAnsiTheme="minorEastAsia" w:eastAsiaTheme="minorEastAsia"/>
          <w:sz w:val="24"/>
        </w:rPr>
        <w:t>1.1</w:t>
      </w:r>
      <w:r>
        <w:rPr>
          <w:rFonts w:hint="eastAsia" w:asciiTheme="minorEastAsia" w:hAnsiTheme="minorEastAsia" w:eastAsiaTheme="minorEastAsia" w:cstheme="minorEastAsia"/>
          <w:sz w:val="24"/>
        </w:rPr>
        <w:t>采购人：见投标人须知前附表；</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1.2采购代理机构：见投标人须知前附表；</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1.3“招标采购单位”系指“采购人”和“采购代理机构”的统称；</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1.4投标人：购买了招标文件拟参加投标和向采购人提供服务的供应商；</w:t>
      </w:r>
    </w:p>
    <w:p>
      <w:pPr>
        <w:spacing w:line="360" w:lineRule="auto"/>
        <w:ind w:firstLine="480" w:firstLineChars="200"/>
        <w:rPr>
          <w:rFonts w:cs="宋体" w:asciiTheme="minorEastAsia" w:hAnsiTheme="minorEastAsia" w:eastAsiaTheme="minorEastAsia"/>
          <w:sz w:val="24"/>
        </w:rPr>
      </w:pPr>
      <w:r>
        <w:rPr>
          <w:rFonts w:hint="eastAsia" w:asciiTheme="minorEastAsia" w:hAnsiTheme="minorEastAsia" w:eastAsiaTheme="minorEastAsia" w:cstheme="minorEastAsia"/>
          <w:sz w:val="24"/>
        </w:rPr>
        <w:t>1.5项目名称：见投标人须知前附表；</w:t>
      </w:r>
    </w:p>
    <w:p>
      <w:pPr>
        <w:spacing w:line="360" w:lineRule="auto"/>
        <w:ind w:firstLine="480" w:firstLineChars="200"/>
        <w:rPr>
          <w:rFonts w:asciiTheme="minorEastAsia" w:hAnsiTheme="minorEastAsia" w:eastAsiaTheme="minorEastAsia" w:cstheme="minorEastAsia"/>
          <w:sz w:val="24"/>
        </w:rPr>
      </w:pPr>
      <w:r>
        <w:rPr>
          <w:rFonts w:hint="eastAsia" w:cs="宋体" w:asciiTheme="minorEastAsia" w:hAnsiTheme="minorEastAsia" w:eastAsiaTheme="minorEastAsia"/>
          <w:sz w:val="24"/>
        </w:rPr>
        <w:t>1.6供货（服务）地址：见投标人须知前</w:t>
      </w:r>
      <w:r>
        <w:rPr>
          <w:rFonts w:hint="eastAsia" w:asciiTheme="minorEastAsia" w:hAnsiTheme="minorEastAsia" w:eastAsiaTheme="minorEastAsia" w:cstheme="minorEastAsia"/>
          <w:sz w:val="24"/>
        </w:rPr>
        <w:t>附表；</w:t>
      </w:r>
    </w:p>
    <w:p>
      <w:pPr>
        <w:spacing w:line="360" w:lineRule="auto"/>
        <w:ind w:firstLine="482" w:firstLineChars="20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二、资金来源</w:t>
      </w:r>
    </w:p>
    <w:p>
      <w:pPr>
        <w:spacing w:line="360" w:lineRule="auto"/>
        <w:ind w:firstLine="480" w:firstLineChars="200"/>
        <w:rPr>
          <w:rFonts w:cs="宋体" w:asciiTheme="minorEastAsia" w:hAnsiTheme="minorEastAsia" w:eastAsiaTheme="minorEastAsia"/>
          <w:sz w:val="24"/>
        </w:rPr>
      </w:pPr>
      <w:r>
        <w:rPr>
          <w:rFonts w:hint="eastAsia" w:asciiTheme="minorEastAsia" w:hAnsiTheme="minorEastAsia" w:eastAsiaTheme="minorEastAsia" w:cstheme="minorEastAsia"/>
          <w:sz w:val="24"/>
        </w:rPr>
        <w:t>2.1资金情况：见投标人须知前附表</w:t>
      </w:r>
    </w:p>
    <w:p>
      <w:pPr>
        <w:spacing w:line="360" w:lineRule="auto"/>
        <w:ind w:firstLine="480" w:firstLineChars="200"/>
        <w:rPr>
          <w:rFonts w:asciiTheme="minorEastAsia" w:hAnsiTheme="minorEastAsia" w:eastAsiaTheme="minorEastAsia" w:cstheme="minorEastAsia"/>
          <w:sz w:val="24"/>
        </w:rPr>
      </w:pPr>
      <w:r>
        <w:rPr>
          <w:rFonts w:hint="eastAsia" w:cs="宋体" w:asciiTheme="minorEastAsia" w:hAnsiTheme="minorEastAsia" w:eastAsiaTheme="minorEastAsia"/>
          <w:sz w:val="24"/>
        </w:rPr>
        <w:t>2.2最高</w:t>
      </w:r>
      <w:r>
        <w:rPr>
          <w:rFonts w:hint="eastAsia" w:asciiTheme="minorEastAsia" w:hAnsiTheme="minorEastAsia" w:eastAsiaTheme="minorEastAsia" w:cstheme="minorEastAsia"/>
          <w:sz w:val="24"/>
          <w:lang w:val="zh-CN"/>
        </w:rPr>
        <w:t>限价</w:t>
      </w:r>
      <w:r>
        <w:rPr>
          <w:rFonts w:hint="eastAsia" w:asciiTheme="minorEastAsia" w:hAnsiTheme="minorEastAsia" w:eastAsiaTheme="minorEastAsia" w:cstheme="minorEastAsia"/>
          <w:sz w:val="24"/>
        </w:rPr>
        <w:t>：见投标人须知前附表</w:t>
      </w:r>
    </w:p>
    <w:p>
      <w:pPr>
        <w:spacing w:line="360" w:lineRule="auto"/>
        <w:ind w:firstLine="482" w:firstLineChars="20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三、招标范围、计划工期和质量要求</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3.1本招标项目的范围：见投标人须知前附表</w:t>
      </w:r>
    </w:p>
    <w:p>
      <w:pPr>
        <w:spacing w:line="360" w:lineRule="auto"/>
        <w:ind w:firstLine="480" w:firstLineChars="200"/>
        <w:rPr>
          <w:rFonts w:cs="宋体" w:asciiTheme="minorEastAsia" w:hAnsiTheme="minorEastAsia" w:eastAsiaTheme="minorEastAsia"/>
          <w:sz w:val="24"/>
        </w:rPr>
      </w:pPr>
      <w:r>
        <w:rPr>
          <w:rFonts w:hint="eastAsia" w:asciiTheme="minorEastAsia" w:hAnsiTheme="minorEastAsia" w:eastAsiaTheme="minorEastAsia" w:cstheme="minorEastAsia"/>
          <w:sz w:val="24"/>
        </w:rPr>
        <w:t>3.2本招标项目的供货</w:t>
      </w:r>
      <w:r>
        <w:rPr>
          <w:rFonts w:hint="eastAsia" w:cs="宋体" w:asciiTheme="minorEastAsia" w:hAnsiTheme="minorEastAsia" w:eastAsiaTheme="minorEastAsia"/>
          <w:sz w:val="24"/>
        </w:rPr>
        <w:t>（服务）</w:t>
      </w:r>
      <w:r>
        <w:rPr>
          <w:rFonts w:hint="eastAsia" w:asciiTheme="minorEastAsia" w:hAnsiTheme="minorEastAsia" w:eastAsiaTheme="minorEastAsia" w:cstheme="minorEastAsia"/>
          <w:sz w:val="24"/>
        </w:rPr>
        <w:t>周期：见</w:t>
      </w:r>
      <w:r>
        <w:rPr>
          <w:rFonts w:hint="eastAsia" w:cs="宋体" w:asciiTheme="minorEastAsia" w:hAnsiTheme="minorEastAsia" w:eastAsiaTheme="minorEastAsia"/>
          <w:sz w:val="24"/>
        </w:rPr>
        <w:t>投标人须知前附表</w:t>
      </w:r>
    </w:p>
    <w:p>
      <w:pPr>
        <w:spacing w:line="360" w:lineRule="auto"/>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3.3本招标项目的质量要求：见投标人须知前附表</w:t>
      </w:r>
    </w:p>
    <w:p>
      <w:pPr>
        <w:widowControl/>
        <w:shd w:val="clear" w:color="auto" w:fill="FFFFFF"/>
        <w:snapToGrid w:val="0"/>
        <w:spacing w:line="360" w:lineRule="auto"/>
        <w:ind w:firstLine="482" w:firstLineChars="200"/>
        <w:rPr>
          <w:rFonts w:asciiTheme="minorEastAsia" w:hAnsiTheme="minorEastAsia" w:eastAsiaTheme="minorEastAsia"/>
          <w:b/>
          <w:bCs/>
          <w:kern w:val="0"/>
          <w:sz w:val="24"/>
        </w:rPr>
      </w:pPr>
      <w:r>
        <w:rPr>
          <w:rFonts w:hint="eastAsia" w:cs="宋体" w:asciiTheme="minorEastAsia" w:hAnsiTheme="minorEastAsia" w:eastAsiaTheme="minorEastAsia"/>
          <w:b/>
          <w:bCs/>
          <w:sz w:val="24"/>
        </w:rPr>
        <w:t>四、</w:t>
      </w:r>
      <w:r>
        <w:rPr>
          <w:rFonts w:hint="eastAsia" w:asciiTheme="minorEastAsia" w:hAnsiTheme="minorEastAsia" w:eastAsiaTheme="minorEastAsia"/>
          <w:b/>
          <w:bCs/>
          <w:kern w:val="0"/>
          <w:sz w:val="24"/>
        </w:rPr>
        <w:t>申请人的资格要求及</w:t>
      </w:r>
      <w:r>
        <w:rPr>
          <w:rFonts w:hint="eastAsia" w:cs="宋体" w:asciiTheme="minorEastAsia" w:hAnsiTheme="minorEastAsia" w:eastAsiaTheme="minorEastAsia"/>
          <w:b/>
          <w:bCs/>
          <w:sz w:val="24"/>
          <w:shd w:val="clear" w:color="auto" w:fill="FFFFFF"/>
        </w:rPr>
        <w:t>特殊资格要求：</w:t>
      </w:r>
      <w:r>
        <w:rPr>
          <w:rFonts w:hint="eastAsia" w:cs="宋体" w:asciiTheme="minorEastAsia" w:hAnsiTheme="minorEastAsia" w:eastAsiaTheme="minorEastAsia"/>
          <w:sz w:val="24"/>
        </w:rPr>
        <w:t>见投标人须知前附表</w:t>
      </w:r>
    </w:p>
    <w:p>
      <w:pPr>
        <w:spacing w:line="360" w:lineRule="auto"/>
        <w:ind w:firstLine="480" w:firstLineChars="200"/>
        <w:rPr>
          <w:rFonts w:cs="宋体" w:asciiTheme="minorEastAsia" w:hAnsiTheme="minorEastAsia" w:eastAsiaTheme="minorEastAsia"/>
          <w:sz w:val="24"/>
        </w:rPr>
      </w:pPr>
      <w:r>
        <w:rPr>
          <w:rFonts w:hint="eastAsia" w:asciiTheme="minorEastAsia" w:hAnsiTheme="minorEastAsia" w:eastAsiaTheme="minorEastAsia"/>
          <w:kern w:val="0"/>
          <w:sz w:val="24"/>
        </w:rPr>
        <w:t>4.1 满足《中华人民共和国政府采购法》第二十二条规定：</w:t>
      </w:r>
    </w:p>
    <w:p>
      <w:pPr>
        <w:pStyle w:val="23"/>
        <w:spacing w:before="0" w:beforeAutospacing="0" w:after="0" w:afterAutospacing="0" w:line="500" w:lineRule="exact"/>
        <w:ind w:firstLine="480" w:firstLineChars="200"/>
        <w:rPr>
          <w:rFonts w:asciiTheme="minorEastAsia" w:hAnsiTheme="minorEastAsia" w:eastAsiaTheme="minorEastAsia"/>
          <w:kern w:val="2"/>
        </w:rPr>
      </w:pPr>
      <w:r>
        <w:rPr>
          <w:rFonts w:hint="eastAsia" w:asciiTheme="minorEastAsia" w:hAnsiTheme="minorEastAsia" w:eastAsiaTheme="minorEastAsia"/>
        </w:rPr>
        <w:t xml:space="preserve">4.2 </w:t>
      </w:r>
      <w:r>
        <w:rPr>
          <w:rFonts w:hint="eastAsia" w:asciiTheme="minorEastAsia" w:hAnsiTheme="minorEastAsia" w:eastAsiaTheme="minorEastAsia"/>
          <w:color w:val="111111"/>
          <w:shd w:val="clear" w:color="auto" w:fill="FFFFFF"/>
        </w:rPr>
        <w:t>落实政府采购政策需满足得资格要求：见投标人须知前附表</w:t>
      </w:r>
    </w:p>
    <w:p>
      <w:pPr>
        <w:spacing w:line="360" w:lineRule="auto"/>
        <w:ind w:firstLine="482" w:firstLineChars="200"/>
        <w:rPr>
          <w:rFonts w:cs="宋体" w:asciiTheme="minorEastAsia" w:hAnsiTheme="minorEastAsia" w:eastAsiaTheme="minorEastAsia"/>
          <w:b/>
          <w:bCs/>
          <w:color w:val="111111"/>
          <w:sz w:val="24"/>
          <w:shd w:val="clear" w:color="auto" w:fill="FFFFFF"/>
        </w:rPr>
      </w:pPr>
      <w:r>
        <w:rPr>
          <w:rFonts w:hint="eastAsia" w:cs="宋体" w:asciiTheme="minorEastAsia" w:hAnsiTheme="minorEastAsia" w:eastAsiaTheme="minorEastAsia"/>
          <w:b/>
          <w:bCs/>
          <w:sz w:val="24"/>
        </w:rPr>
        <w:t>⑴ 采购政策</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政府采购应当优先采购本国货物、工程和服务，并执行节能产品、环境标志产品、中小企业、残疾人福利性单位、监狱企业等适宜本项目的政府采购政策。</w:t>
      </w:r>
    </w:p>
    <w:p>
      <w:pPr>
        <w:spacing w:line="360" w:lineRule="auto"/>
        <w:ind w:firstLine="482" w:firstLineChars="200"/>
        <w:rPr>
          <w:rFonts w:cs="宋体" w:asciiTheme="minorEastAsia" w:hAnsiTheme="minorEastAsia" w:eastAsiaTheme="minorEastAsia"/>
          <w:sz w:val="24"/>
        </w:rPr>
      </w:pPr>
      <w:r>
        <w:rPr>
          <w:rFonts w:hint="eastAsia" w:cs="宋体" w:asciiTheme="minorEastAsia" w:hAnsiTheme="minorEastAsia" w:eastAsiaTheme="minorEastAsia"/>
          <w:b/>
          <w:bCs/>
          <w:sz w:val="24"/>
        </w:rPr>
        <w:t>⑵ 政策依据</w:t>
      </w:r>
      <w:r>
        <w:rPr>
          <w:rFonts w:hint="eastAsia" w:cs="宋体" w:asciiTheme="minorEastAsia" w:hAnsiTheme="minorEastAsia" w:eastAsiaTheme="minorEastAsia"/>
          <w:sz w:val="24"/>
        </w:rPr>
        <w:t>；</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color w:val="111111"/>
          <w:sz w:val="24"/>
          <w:shd w:val="clear" w:color="auto" w:fill="FFFFFF"/>
        </w:rPr>
        <w:t>⒈ 财政部、国家发展改革委、生态环境部、市场监管总局《关于调整优化节能产品、环境标志产品政府采购执行机制的通知》（财库[2019]9号文）；</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color w:val="111111"/>
          <w:sz w:val="24"/>
          <w:shd w:val="clear" w:color="auto" w:fill="FFFFFF"/>
        </w:rPr>
        <w:t>⒉ 财政部、生态环境部《关于印发</w:t>
      </w:r>
      <w:r>
        <w:rPr>
          <w:rFonts w:hint="eastAsia" w:cs="宋体" w:asciiTheme="minorEastAsia" w:hAnsiTheme="minorEastAsia" w:eastAsiaTheme="minorEastAsia"/>
          <w:color w:val="000000"/>
          <w:sz w:val="24"/>
          <w:shd w:val="clear" w:color="auto" w:fill="FFFFFF"/>
        </w:rPr>
        <w:t>环境标志</w:t>
      </w:r>
      <w:r>
        <w:rPr>
          <w:rFonts w:hint="eastAsia" w:cs="宋体" w:asciiTheme="minorEastAsia" w:hAnsiTheme="minorEastAsia" w:eastAsiaTheme="minorEastAsia"/>
          <w:color w:val="111111"/>
          <w:sz w:val="24"/>
          <w:shd w:val="clear" w:color="auto" w:fill="FFFFFF"/>
        </w:rPr>
        <w:t>产品政府采购品目清单的通知》（财库[2019]18号文）；</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color w:val="111111"/>
          <w:sz w:val="24"/>
          <w:shd w:val="clear" w:color="auto" w:fill="FFFFFF"/>
        </w:rPr>
        <w:t>⒊ 财政部、发展改革委《关于印发</w:t>
      </w:r>
      <w:r>
        <w:rPr>
          <w:rFonts w:hint="eastAsia" w:cs="宋体" w:asciiTheme="minorEastAsia" w:hAnsiTheme="minorEastAsia" w:eastAsiaTheme="minorEastAsia"/>
          <w:color w:val="000000"/>
          <w:sz w:val="24"/>
          <w:shd w:val="clear" w:color="auto" w:fill="FFFFFF"/>
        </w:rPr>
        <w:t>节能产品</w:t>
      </w:r>
      <w:r>
        <w:rPr>
          <w:rFonts w:hint="eastAsia" w:cs="宋体" w:asciiTheme="minorEastAsia" w:hAnsiTheme="minorEastAsia" w:eastAsiaTheme="minorEastAsia"/>
          <w:color w:val="111111"/>
          <w:sz w:val="24"/>
          <w:shd w:val="clear" w:color="auto" w:fill="FFFFFF"/>
        </w:rPr>
        <w:t>政府采购品目清单的通知》（财库[2019]19号文）；</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color w:val="111111"/>
          <w:sz w:val="24"/>
          <w:shd w:val="clear" w:color="auto" w:fill="FFFFFF"/>
        </w:rPr>
        <w:t>⒋ 市场监管总局《市场监管总局关于发布参与实施政府采购节能产品、环境标志产品认证机构名录的公告》（2019年第16号）；</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color w:val="111111"/>
          <w:sz w:val="24"/>
          <w:shd w:val="clear" w:color="auto" w:fill="FFFFFF"/>
        </w:rPr>
        <w:t>⒌ 财政部、工业和信息化部《关于印发《政府采购</w:t>
      </w:r>
      <w:r>
        <w:rPr>
          <w:rFonts w:hint="eastAsia" w:cs="宋体" w:asciiTheme="minorEastAsia" w:hAnsiTheme="minorEastAsia" w:eastAsiaTheme="minorEastAsia"/>
          <w:color w:val="000000"/>
          <w:sz w:val="24"/>
          <w:shd w:val="clear" w:color="auto" w:fill="FFFFFF"/>
        </w:rPr>
        <w:t>促进中小企业</w:t>
      </w:r>
      <w:r>
        <w:rPr>
          <w:rFonts w:hint="eastAsia" w:cs="宋体" w:asciiTheme="minorEastAsia" w:hAnsiTheme="minorEastAsia" w:eastAsiaTheme="minorEastAsia"/>
          <w:color w:val="111111"/>
          <w:sz w:val="24"/>
          <w:shd w:val="clear" w:color="auto" w:fill="FFFFFF"/>
        </w:rPr>
        <w:t>展暂行办法》的通知》（财库[2020]46号文）；</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color w:val="111111"/>
          <w:sz w:val="24"/>
          <w:shd w:val="clear" w:color="auto" w:fill="FFFFFF"/>
        </w:rPr>
        <w:t>⒍ 财政部、民政部、中国残疾人联合会《关于促进残疾人就业政府采购政策的通知》（财库[2017]141号文）；</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color w:val="111111"/>
          <w:sz w:val="24"/>
          <w:shd w:val="clear" w:color="auto" w:fill="FFFFFF"/>
        </w:rPr>
        <w:t>⒎ 财政部、司法部《关于政府采购支持监狱企业发展有关问题的通知》（财库[2014]68号文）；</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color w:val="111111"/>
          <w:sz w:val="24"/>
          <w:shd w:val="clear" w:color="auto" w:fill="FFFFFF"/>
        </w:rPr>
        <w:t>⒏ 《财政部农业农村部国家乡村振兴局关于运用政府采购政策支持乡村产业振兴的通知》（财库[2021]19号文）、《财政部农业农村部国家乡村振兴局中华全国供销合作总社关于印发&lt;关于深入开展政府采购脱贫地区农副产品工作推进乡村产业振兴的实施意见&gt;的通知》（财库[2021]20号文）、《财政部办公厅关于组织地方预算单位做好2021年政府采购脱贫地区农副产品工作的通知》（财办库[2021]76号文）、关于印发《关于深入开展政府采购脱贫地区农副产品工作推进乡村产业振兴的实施意见》的通知。</w:t>
      </w:r>
    </w:p>
    <w:p>
      <w:pPr>
        <w:spacing w:line="360" w:lineRule="auto"/>
        <w:ind w:firstLine="480" w:firstLineChars="200"/>
        <w:rPr>
          <w:rFonts w:asciiTheme="minorEastAsia" w:hAnsiTheme="minorEastAsia" w:eastAsiaTheme="minorEastAsia" w:cstheme="minorEastAsia"/>
          <w:b/>
          <w:bCs/>
          <w:color w:val="FF0000"/>
          <w:sz w:val="24"/>
          <w:shd w:val="clear" w:color="auto" w:fill="FFFFFF"/>
        </w:rPr>
      </w:pPr>
      <w:r>
        <w:rPr>
          <w:rFonts w:hint="eastAsia" w:asciiTheme="minorEastAsia" w:hAnsiTheme="minorEastAsia" w:eastAsiaTheme="minorEastAsia"/>
          <w:kern w:val="0"/>
          <w:sz w:val="24"/>
        </w:rPr>
        <w:t>4.3</w:t>
      </w:r>
      <w:r>
        <w:rPr>
          <w:rFonts w:hint="eastAsia" w:asciiTheme="minorEastAsia" w:hAnsiTheme="minorEastAsia" w:eastAsiaTheme="minorEastAsia" w:cstheme="minorEastAsia"/>
          <w:b/>
          <w:bCs/>
          <w:kern w:val="0"/>
          <w:sz w:val="24"/>
        </w:rPr>
        <w:t>投标人的</w:t>
      </w:r>
      <w:r>
        <w:rPr>
          <w:rFonts w:hint="eastAsia" w:asciiTheme="minorEastAsia" w:hAnsiTheme="minorEastAsia" w:eastAsiaTheme="minorEastAsia" w:cstheme="minorEastAsia"/>
          <w:b/>
          <w:bCs/>
          <w:sz w:val="24"/>
          <w:shd w:val="clear" w:color="auto" w:fill="FFFFFF"/>
        </w:rPr>
        <w:t>特定资格要求，</w:t>
      </w:r>
      <w:r>
        <w:rPr>
          <w:rFonts w:hint="eastAsia" w:asciiTheme="minorEastAsia" w:hAnsiTheme="minorEastAsia" w:eastAsiaTheme="minorEastAsia" w:cstheme="minorEastAsia"/>
          <w:b/>
          <w:bCs/>
          <w:sz w:val="24"/>
        </w:rPr>
        <w:t>见投标人须知前附表</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符合政府采购政策、相关法律、法规规定的其他条件，如投标人本行业有特殊资格要求的，投标人应附上其证明材料，并对自己的资格能力满足招标文件做出承诺。</w:t>
      </w:r>
    </w:p>
    <w:p>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4.4 投标人须知前附表规定接受联合体投标的，除应符合投标人须知前附表的要求外，还应遵守以下规定：</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⑴ 联合体各方应按招标文件提供的格式签订联合体协议书，明确联合体牵头人和各方权利义务；</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⑵ 由同一专业的单位组成的联合体，按照资质等级较低的单位确定资质等级；</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⑶ 联合体各方不得再以自己名义单独或参加其他联合体在同一标段中投标；</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⑷ 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80" w:firstLineChars="200"/>
        <w:rPr>
          <w:rFonts w:asciiTheme="minorEastAsia" w:hAnsiTheme="minorEastAsia" w:eastAsiaTheme="minorEastAsia" w:cstheme="minorEastAsia"/>
          <w:sz w:val="24"/>
        </w:rPr>
      </w:pPr>
      <w:r>
        <w:rPr>
          <w:rFonts w:hint="eastAsia" w:cs="宋体" w:asciiTheme="minorEastAsia" w:hAnsiTheme="minorEastAsia" w:eastAsiaTheme="minorEastAsia"/>
          <w:sz w:val="24"/>
        </w:rPr>
        <w:t>⑸本项目是否接受联合体投标见投标人须知前附表。</w:t>
      </w:r>
    </w:p>
    <w:p>
      <w:pPr>
        <w:spacing w:line="360" w:lineRule="auto"/>
        <w:ind w:firstLine="482" w:firstLineChars="20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4.5 遵守国家有关法律、法规、规章和其他政策规定。</w:t>
      </w:r>
    </w:p>
    <w:p>
      <w:pPr>
        <w:spacing w:line="360" w:lineRule="auto"/>
        <w:ind w:firstLine="482"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b/>
          <w:bCs/>
          <w:sz w:val="24"/>
        </w:rPr>
        <w:t>4.6 公平竞争措施</w:t>
      </w:r>
      <w:r>
        <w:rPr>
          <w:rFonts w:hint="eastAsia" w:asciiTheme="minorEastAsia" w:hAnsiTheme="minorEastAsia" w:eastAsiaTheme="minorEastAsia" w:cstheme="minorEastAsia"/>
          <w:sz w:val="24"/>
        </w:rPr>
        <w:t>：</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⑴ 关于相同品牌产品（政府采购服务类项目不适用本条款规定）；</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color w:val="111111"/>
          <w:sz w:val="24"/>
          <w:shd w:val="clear" w:color="auto" w:fill="FFFFFF"/>
        </w:rPr>
        <w:t>⒈ 采用最低评标价法的，</w:t>
      </w:r>
      <w:r>
        <w:rPr>
          <w:rFonts w:hint="eastAsia" w:asciiTheme="minorEastAsia" w:hAnsiTheme="minorEastAsia" w:eastAsiaTheme="minorEastAsia" w:cstheme="minorEastAsia"/>
          <w:sz w:val="24"/>
        </w:rPr>
        <w:t>提供相同品牌产品的不同投标人参加同一标项的，以其中通过资格审查、符合性审查且报价最低的参加评审；报价相同的，由评标委员会采取公平、择优的方式确定一个参加评标的投标人，其他投标无效；</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color w:val="111111"/>
          <w:sz w:val="24"/>
          <w:shd w:val="clear" w:color="auto" w:fill="FFFFFF"/>
        </w:rPr>
        <w:t>⒉ 采用综合评分法的，</w:t>
      </w:r>
      <w:r>
        <w:rPr>
          <w:rFonts w:hint="eastAsia" w:asciiTheme="minorEastAsia" w:hAnsiTheme="minorEastAsia" w:eastAsiaTheme="minorEastAsia" w:cstheme="minorEastAsia"/>
          <w:sz w:val="24"/>
        </w:rPr>
        <w:t>提供相同品牌产品且通过资格审查、符合性审查的不同投标人参加同一标项的，按一家投标人计算，评审后得分最高的同品牌投标人作为中标候选人推荐；评审得分相同的，由评标委员会采取公平、择优的方式确定一个参加评标的投标人，其他投标无效；</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color w:val="111111"/>
          <w:sz w:val="24"/>
          <w:shd w:val="clear" w:color="auto" w:fill="FFFFFF"/>
        </w:rPr>
        <w:t xml:space="preserve">⒊ </w:t>
      </w:r>
      <w:r>
        <w:rPr>
          <w:rFonts w:hint="eastAsia" w:asciiTheme="minorEastAsia" w:hAnsiTheme="minorEastAsia" w:eastAsiaTheme="minorEastAsia" w:cstheme="minorEastAsia"/>
          <w:sz w:val="24"/>
        </w:rPr>
        <w:t>非单一产品采购项目中，多家投标人提供的部分或所有核心产品品牌相同的，视为提供相同品牌产品；</w:t>
      </w:r>
    </w:p>
    <w:p>
      <w:pPr>
        <w:spacing w:line="360" w:lineRule="auto"/>
        <w:ind w:firstLine="480" w:firstLineChars="200"/>
        <w:rPr>
          <w:rFonts w:asciiTheme="minorEastAsia" w:hAnsiTheme="minorEastAsia" w:eastAsiaTheme="minorEastAsia" w:cstheme="minorEastAsia"/>
          <w:sz w:val="24"/>
        </w:rPr>
      </w:pPr>
      <w:r>
        <w:rPr>
          <w:rFonts w:hint="eastAsia" w:cs="宋体" w:asciiTheme="minorEastAsia" w:hAnsiTheme="minorEastAsia" w:eastAsiaTheme="minorEastAsia"/>
          <w:color w:val="111111"/>
          <w:sz w:val="24"/>
          <w:shd w:val="clear" w:color="auto" w:fill="FFFFFF"/>
        </w:rPr>
        <w:t>⒋</w:t>
      </w:r>
      <w:r>
        <w:rPr>
          <w:rFonts w:hint="eastAsia" w:asciiTheme="minorEastAsia" w:hAnsiTheme="minorEastAsia" w:eastAsiaTheme="minorEastAsia" w:cstheme="minorEastAsia"/>
          <w:sz w:val="24"/>
        </w:rPr>
        <w:t>本采购项目核心产品:</w:t>
      </w:r>
      <w:r>
        <w:rPr>
          <w:rFonts w:hint="eastAsia" w:asciiTheme="minorEastAsia" w:hAnsiTheme="minorEastAsia" w:eastAsiaTheme="minorEastAsia" w:cstheme="minorEastAsia"/>
          <w:color w:val="000000" w:themeColor="text1"/>
          <w:sz w:val="24"/>
        </w:rPr>
        <w:t>见投标人须知前附表</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 利害关系供应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 利害关系授权代表。两家以上的供应商不得在同一合同项下的采购项目中，委托同一个自然人、同一家庭的人员、同一单位的人员作为其授权代表，否则，其投标文件作为无效处理；</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 供应商实际控制人或者中高级管理人员，同时是采购代理机构工作人员，不得参与本项目政府采购活动；</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 同一母公司的两家以上的子公司只能组成联合体参加本项目同一合同项下的采购活动，不得以不同供应商身份同时参加本项目同一合同项下的采购活动，联合体投标要求见投标人须知前附表；</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5） 供应商与采购代理机构存在关联关系，或者是采购代理机构的母公司或子公司，不得参加本项目政府采购活动； </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6） 采购人员及相关人员与供应商有下列利害关系之一的，应当回避： </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color w:val="111111"/>
          <w:sz w:val="24"/>
          <w:shd w:val="clear" w:color="auto" w:fill="FFFFFF"/>
        </w:rPr>
        <w:t>A、</w:t>
      </w:r>
      <w:r>
        <w:rPr>
          <w:rFonts w:hint="eastAsia" w:asciiTheme="minorEastAsia" w:hAnsiTheme="minorEastAsia" w:eastAsiaTheme="minorEastAsia" w:cstheme="minorEastAsia"/>
          <w:sz w:val="24"/>
        </w:rPr>
        <w:t>参加采购活动前 3 年内与供应商存在劳动关系，担任供应商的董事、监事，是供应商的控股股东或者实际控制人；</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color w:val="111111"/>
          <w:sz w:val="24"/>
          <w:shd w:val="clear" w:color="auto" w:fill="FFFFFF"/>
        </w:rPr>
        <w:t xml:space="preserve">B、 </w:t>
      </w:r>
      <w:r>
        <w:rPr>
          <w:rFonts w:hint="eastAsia" w:asciiTheme="minorEastAsia" w:hAnsiTheme="minorEastAsia" w:eastAsiaTheme="minorEastAsia" w:cstheme="minorEastAsia"/>
          <w:sz w:val="24"/>
        </w:rPr>
        <w:t>与供应商的法定代表人或者负责人有夫妻、直系血亲、三代以内旁系血亲或者近姻亲关系；</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color w:val="111111"/>
          <w:sz w:val="24"/>
          <w:shd w:val="clear" w:color="auto" w:fill="FFFFFF"/>
        </w:rPr>
        <w:t xml:space="preserve">C、 </w:t>
      </w:r>
      <w:r>
        <w:rPr>
          <w:rFonts w:hint="eastAsia" w:asciiTheme="minorEastAsia" w:hAnsiTheme="minorEastAsia" w:eastAsiaTheme="minorEastAsia" w:cstheme="minorEastAsia"/>
          <w:sz w:val="24"/>
        </w:rPr>
        <w:t>与供应商有其他可能影响政府采购活动公平、公正进行的关系；</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7） 本项目政府采购活动中需要依法回避的采购人员是指采购人内部负责采购项目的具体经办工作人员和直接分管采购项目的负责人，以及采购代理机构负责采购项目的具体经办工作人员和直接分管采购活动的负责人。供应商认为采购人员及相关人员与其他供应商有利害关系的，可以向采购代理机构书面提出回避申请，并说明理由。采购代理机构将及时询问被申请回避人员，有利害关系的被申请回避人员应当回避。 </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8） 被责令停业的，被暂停或取消投标资格的，财产被接管或冻结的；</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9） 在最近三年内有骗取中标或严重违约或重大工程质量问题的。</w:t>
      </w:r>
    </w:p>
    <w:p>
      <w:pPr>
        <w:spacing w:line="360" w:lineRule="auto"/>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五、费用承担</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5.1投标人自行承担所有与参加投标有关的费用。不论投标的结果如何，采购人或采购代理机构在任何情况下均无义务和责任，承担因投标所发生的一切费用；</w:t>
      </w:r>
    </w:p>
    <w:p>
      <w:pPr>
        <w:widowControl/>
        <w:shd w:val="clear" w:color="auto" w:fill="FFFFFF"/>
        <w:snapToGrid w:val="0"/>
        <w:spacing w:line="360" w:lineRule="auto"/>
        <w:ind w:firstLine="480" w:firstLineChars="200"/>
        <w:rPr>
          <w:rFonts w:cs="宋体" w:asciiTheme="minorEastAsia" w:hAnsiTheme="minorEastAsia" w:eastAsiaTheme="minorEastAsia"/>
          <w:sz w:val="24"/>
        </w:rPr>
      </w:pPr>
      <w:r>
        <w:rPr>
          <w:rFonts w:hint="eastAsia" w:asciiTheme="minorEastAsia" w:hAnsiTheme="minorEastAsia" w:eastAsiaTheme="minorEastAsia" w:cstheme="minorEastAsia"/>
          <w:kern w:val="0"/>
          <w:sz w:val="24"/>
        </w:rPr>
        <w:t xml:space="preserve">5.2 </w:t>
      </w:r>
      <w:r>
        <w:rPr>
          <w:rFonts w:hint="eastAsia" w:asciiTheme="minorEastAsia" w:hAnsiTheme="minorEastAsia" w:eastAsiaTheme="minorEastAsia" w:cstheme="minorEastAsia"/>
          <w:sz w:val="24"/>
        </w:rPr>
        <w:t>投标人应认真阅读和充分理解招标文件中的所有内容，如果没有满足招标文件的有关要求，其风险由投标人自行承担</w:t>
      </w:r>
      <w:r>
        <w:rPr>
          <w:rFonts w:hint="eastAsia" w:cs="宋体" w:asciiTheme="minorEastAsia" w:hAnsiTheme="minorEastAsia" w:eastAsiaTheme="minorEastAsia"/>
          <w:sz w:val="24"/>
        </w:rPr>
        <w:t>。</w:t>
      </w:r>
    </w:p>
    <w:p>
      <w:pPr>
        <w:widowControl/>
        <w:shd w:val="clear" w:color="auto" w:fill="FFFFFF"/>
        <w:snapToGrid w:val="0"/>
        <w:spacing w:line="360" w:lineRule="auto"/>
        <w:rPr>
          <w:rFonts w:cs="宋体" w:asciiTheme="minorEastAsia" w:hAnsiTheme="minorEastAsia" w:eastAsiaTheme="minorEastAsia"/>
          <w:b/>
          <w:bCs/>
          <w:kern w:val="0"/>
          <w:sz w:val="24"/>
        </w:rPr>
      </w:pPr>
      <w:r>
        <w:rPr>
          <w:rFonts w:hint="eastAsia" w:cs="宋体" w:asciiTheme="minorEastAsia" w:hAnsiTheme="minorEastAsia" w:eastAsiaTheme="minorEastAsia"/>
          <w:b/>
          <w:bCs/>
          <w:sz w:val="24"/>
        </w:rPr>
        <w:t>六、</w:t>
      </w:r>
      <w:r>
        <w:rPr>
          <w:rFonts w:hint="eastAsia" w:cs="宋体" w:asciiTheme="minorEastAsia" w:hAnsiTheme="minorEastAsia" w:eastAsiaTheme="minorEastAsia"/>
          <w:b/>
          <w:bCs/>
          <w:kern w:val="0"/>
          <w:sz w:val="24"/>
        </w:rPr>
        <w:t>保密</w:t>
      </w:r>
    </w:p>
    <w:p>
      <w:pPr>
        <w:spacing w:line="360" w:lineRule="auto"/>
        <w:ind w:firstLine="480" w:firstLineChars="200"/>
        <w:rPr>
          <w:rFonts w:asciiTheme="minorEastAsia" w:hAnsiTheme="minorEastAsia" w:eastAsiaTheme="minorEastAsia"/>
          <w:sz w:val="24"/>
        </w:rPr>
      </w:pPr>
      <w:r>
        <w:rPr>
          <w:rFonts w:hint="eastAsia" w:cs="宋体" w:asciiTheme="minorEastAsia" w:hAnsiTheme="minorEastAsia" w:eastAsiaTheme="minorEastAsia"/>
          <w:kern w:val="0"/>
          <w:sz w:val="24"/>
        </w:rPr>
        <w:t>参与招标投标活动的各方应对</w:t>
      </w:r>
      <w:r>
        <w:rPr>
          <w:rFonts w:hint="eastAsia" w:asciiTheme="minorEastAsia" w:hAnsiTheme="minorEastAsia" w:eastAsiaTheme="minorEastAsia"/>
          <w:kern w:val="0"/>
          <w:sz w:val="24"/>
        </w:rPr>
        <w:t>招标文件或投标文件中的商业和技术等秘密保密，违者应对由此造成的后果承担法律责任</w:t>
      </w:r>
      <w:r>
        <w:rPr>
          <w:rFonts w:hint="eastAsia" w:cs="宋体" w:asciiTheme="minorEastAsia" w:hAnsiTheme="minorEastAsia" w:eastAsiaTheme="minorEastAsia"/>
          <w:sz w:val="24"/>
        </w:rPr>
        <w:t>。</w:t>
      </w:r>
    </w:p>
    <w:p>
      <w:pPr>
        <w:spacing w:line="360" w:lineRule="auto"/>
        <w:rPr>
          <w:rFonts w:asciiTheme="minorEastAsia" w:hAnsiTheme="minorEastAsia" w:eastAsiaTheme="minorEastAsia" w:cstheme="minorEastAsia"/>
          <w:b/>
          <w:bCs/>
          <w:kern w:val="0"/>
          <w:sz w:val="24"/>
        </w:rPr>
      </w:pPr>
      <w:r>
        <w:rPr>
          <w:rFonts w:hint="eastAsia" w:cs="宋体" w:asciiTheme="minorEastAsia" w:hAnsiTheme="minorEastAsia" w:eastAsiaTheme="minorEastAsia"/>
          <w:b/>
          <w:bCs/>
          <w:sz w:val="24"/>
        </w:rPr>
        <w:t>七、</w:t>
      </w:r>
      <w:r>
        <w:rPr>
          <w:rFonts w:hint="eastAsia" w:asciiTheme="minorEastAsia" w:hAnsiTheme="minorEastAsia" w:eastAsiaTheme="minorEastAsia" w:cstheme="minorEastAsia"/>
          <w:b/>
          <w:bCs/>
          <w:kern w:val="0"/>
          <w:sz w:val="24"/>
        </w:rPr>
        <w:t>踏勘现场</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rPr>
        <w:t>7.1</w:t>
      </w:r>
      <w:r>
        <w:rPr>
          <w:rFonts w:hint="eastAsia" w:asciiTheme="minorEastAsia" w:hAnsiTheme="minorEastAsia" w:eastAsiaTheme="minorEastAsia" w:cstheme="minorEastAsia"/>
          <w:sz w:val="24"/>
        </w:rPr>
        <w:t>投标人须知前附表规定组织踏勘现场的，招标人按投标人须知前附表规定的时间、地点组织投标人踏勘项目现场；</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rPr>
        <w:t xml:space="preserve">7.2 </w:t>
      </w:r>
      <w:r>
        <w:rPr>
          <w:rFonts w:hint="eastAsia" w:asciiTheme="minorEastAsia" w:hAnsiTheme="minorEastAsia" w:eastAsiaTheme="minorEastAsia" w:cstheme="minorEastAsia"/>
          <w:sz w:val="24"/>
        </w:rPr>
        <w:t>投标人踏勘项目现场发生的费用自理；</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rPr>
        <w:t>7.3 除招标人的原因外，</w:t>
      </w:r>
      <w:r>
        <w:rPr>
          <w:rFonts w:hint="eastAsia" w:asciiTheme="minorEastAsia" w:hAnsiTheme="minorEastAsia" w:eastAsiaTheme="minorEastAsia" w:cstheme="minorEastAsia"/>
          <w:sz w:val="24"/>
        </w:rPr>
        <w:t>投标人自行负责在踏勘现场中所发生的人员伤亡和财产损失；</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rPr>
        <w:t xml:space="preserve">7.4 </w:t>
      </w:r>
      <w:r>
        <w:rPr>
          <w:rFonts w:hint="eastAsia" w:asciiTheme="minorEastAsia" w:hAnsiTheme="minorEastAsia" w:eastAsiaTheme="minorEastAsia" w:cstheme="minorEastAsia"/>
          <w:sz w:val="24"/>
        </w:rPr>
        <w:t>招标人在踏勘现场中介绍的工程场地和相关的周边环境情况，供投标人在编制投标文件时参考，招标人不对投标人据此作出的判断和决策负责；</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rPr>
        <w:t xml:space="preserve">7.5 </w:t>
      </w:r>
      <w:r>
        <w:rPr>
          <w:rFonts w:hint="eastAsia" w:asciiTheme="minorEastAsia" w:hAnsiTheme="minorEastAsia" w:eastAsiaTheme="minorEastAsia" w:cstheme="minorEastAsia"/>
          <w:sz w:val="24"/>
        </w:rPr>
        <w:t>本项目是否现场踏勘见投标人须知前附表。</w:t>
      </w:r>
    </w:p>
    <w:p>
      <w:pPr>
        <w:widowControl/>
        <w:shd w:val="clear" w:color="auto" w:fill="FFFFFF"/>
        <w:snapToGrid w:val="0"/>
        <w:spacing w:line="360" w:lineRule="auto"/>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sz w:val="24"/>
        </w:rPr>
        <w:t>八、</w:t>
      </w:r>
      <w:r>
        <w:rPr>
          <w:rFonts w:hint="eastAsia" w:asciiTheme="minorEastAsia" w:hAnsiTheme="minorEastAsia" w:eastAsiaTheme="minorEastAsia" w:cstheme="minorEastAsia"/>
          <w:b/>
          <w:bCs/>
          <w:kern w:val="0"/>
          <w:sz w:val="24"/>
        </w:rPr>
        <w:t>投标预备会</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rPr>
        <w:t>8.1</w:t>
      </w:r>
      <w:r>
        <w:rPr>
          <w:rFonts w:hint="eastAsia" w:asciiTheme="minorEastAsia" w:hAnsiTheme="minorEastAsia" w:eastAsiaTheme="minorEastAsia" w:cstheme="minorEastAsia"/>
          <w:sz w:val="24"/>
        </w:rPr>
        <w:t>投标人须知前附表规定召开投标预备会的，招标人按投标人须知前附表规定的时间和地点召开投标预备会，澄清投标人提出的问题；</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rPr>
        <w:t xml:space="preserve">8.2 </w:t>
      </w:r>
      <w:r>
        <w:rPr>
          <w:rFonts w:hint="eastAsia" w:asciiTheme="minorEastAsia" w:hAnsiTheme="minorEastAsia" w:eastAsiaTheme="minorEastAsia" w:cstheme="minorEastAsia"/>
          <w:sz w:val="24"/>
        </w:rPr>
        <w:t>招标人应在投标人须知前附表规定的时间前，以书面形式将提出的问题送达招标人，以便招标人在会议期间澄清；</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rPr>
        <w:t xml:space="preserve">8.3 </w:t>
      </w:r>
      <w:r>
        <w:rPr>
          <w:rFonts w:hint="eastAsia" w:asciiTheme="minorEastAsia" w:hAnsiTheme="minorEastAsia" w:eastAsiaTheme="minorEastAsia" w:cstheme="minorEastAsia"/>
          <w:sz w:val="24"/>
        </w:rPr>
        <w:t>投标预备会后，招标人在投标人须知前附表规定的时间内，将对投标人所提问题的澄清，以书面方式通知所有购买招标文件的投标人。该澄清内容为招标文件的组成部分；</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rPr>
        <w:t xml:space="preserve">8.4 </w:t>
      </w:r>
      <w:r>
        <w:rPr>
          <w:rFonts w:hint="eastAsia" w:asciiTheme="minorEastAsia" w:hAnsiTheme="minorEastAsia" w:eastAsiaTheme="minorEastAsia" w:cstheme="minorEastAsia"/>
          <w:sz w:val="24"/>
        </w:rPr>
        <w:t>投标人认为需要对招标文件进行澄清或者修改的，应当在法定期限内向招标采购单位提出书面申请，招标采购单位有权决定是否采纳投标人的申请事项；</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rPr>
        <w:t xml:space="preserve">8.5 </w:t>
      </w:r>
      <w:r>
        <w:rPr>
          <w:rFonts w:hint="eastAsia" w:asciiTheme="minorEastAsia" w:hAnsiTheme="minorEastAsia" w:eastAsiaTheme="minorEastAsia" w:cstheme="minorEastAsia"/>
          <w:sz w:val="24"/>
        </w:rPr>
        <w:t>本项目是否组织投标预备会见投标人须知前附表</w:t>
      </w:r>
    </w:p>
    <w:p>
      <w:pPr>
        <w:widowControl/>
        <w:shd w:val="clear" w:color="auto" w:fill="FFFFFF"/>
        <w:snapToGrid w:val="0"/>
        <w:spacing w:line="360" w:lineRule="auto"/>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sz w:val="24"/>
        </w:rPr>
        <w:t>九、</w:t>
      </w:r>
      <w:r>
        <w:rPr>
          <w:rFonts w:hint="eastAsia" w:asciiTheme="minorEastAsia" w:hAnsiTheme="minorEastAsia" w:eastAsiaTheme="minorEastAsia" w:cstheme="minorEastAsia"/>
          <w:b/>
          <w:bCs/>
          <w:kern w:val="0"/>
          <w:sz w:val="24"/>
        </w:rPr>
        <w:t>分包</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rPr>
        <w:t>投标人拟在中标后将中标项目的部分非主体、非关键性工作进行分包的，应符合投标人须知前附表规定的分包内容、分包金额和接受分包的第三人资质要求等限制性条件。</w:t>
      </w:r>
    </w:p>
    <w:p>
      <w:pPr>
        <w:spacing w:line="360" w:lineRule="auto"/>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sz w:val="24"/>
        </w:rPr>
        <w:t>十、</w:t>
      </w:r>
      <w:r>
        <w:rPr>
          <w:rFonts w:hint="eastAsia" w:asciiTheme="minorEastAsia" w:hAnsiTheme="minorEastAsia" w:eastAsiaTheme="minorEastAsia" w:cstheme="minorEastAsia"/>
          <w:b/>
          <w:bCs/>
          <w:kern w:val="0"/>
          <w:sz w:val="24"/>
        </w:rPr>
        <w:t>偏离</w:t>
      </w:r>
    </w:p>
    <w:p>
      <w:pPr>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cstheme="minorEastAsia"/>
          <w:kern w:val="0"/>
          <w:sz w:val="24"/>
        </w:rPr>
        <w:t>投标人须知前附表允许投标文件偏离招标文件某些要求的，偏离应当符合招标文件规定的偏离范围和幅度</w:t>
      </w:r>
      <w:r>
        <w:rPr>
          <w:rFonts w:hint="eastAsia" w:asciiTheme="minorEastAsia" w:hAnsiTheme="minorEastAsia" w:eastAsiaTheme="minorEastAsia"/>
          <w:kern w:val="0"/>
          <w:sz w:val="24"/>
        </w:rPr>
        <w:t>。</w:t>
      </w:r>
    </w:p>
    <w:p>
      <w:pPr>
        <w:pStyle w:val="4"/>
        <w:jc w:val="center"/>
        <w:rPr>
          <w:rFonts w:cs="宋体"/>
          <w:sz w:val="24"/>
          <w:szCs w:val="24"/>
        </w:rPr>
      </w:pPr>
      <w:bookmarkStart w:id="3" w:name="_Toc15349"/>
      <w:r>
        <w:rPr>
          <w:rFonts w:ascii="Times New Roman" w:hAnsi="Times New Roman"/>
          <w:sz w:val="24"/>
          <w:szCs w:val="24"/>
        </w:rPr>
        <w:t>第二节</w:t>
      </w:r>
      <w:r>
        <w:rPr>
          <w:rFonts w:hint="eastAsia" w:ascii="Times New Roman" w:hAnsi="Times New Roman"/>
          <w:sz w:val="24"/>
          <w:szCs w:val="24"/>
        </w:rPr>
        <w:t xml:space="preserve"> 招标文件</w:t>
      </w:r>
      <w:bookmarkEnd w:id="3"/>
    </w:p>
    <w:p>
      <w:pPr>
        <w:widowControl/>
        <w:shd w:val="clear" w:color="auto" w:fill="FFFFFF"/>
        <w:snapToGrid w:val="0"/>
        <w:spacing w:line="360" w:lineRule="auto"/>
        <w:ind w:firstLine="482" w:firstLineChars="200"/>
        <w:rPr>
          <w:rFonts w:ascii="宋体"/>
          <w:b/>
          <w:bCs/>
          <w:kern w:val="0"/>
          <w:sz w:val="24"/>
        </w:rPr>
      </w:pPr>
      <w:r>
        <w:rPr>
          <w:rFonts w:hint="eastAsia" w:ascii="宋体" w:cs="宋体"/>
          <w:b/>
          <w:bCs/>
          <w:sz w:val="24"/>
        </w:rPr>
        <w:t>一、</w:t>
      </w:r>
      <w:r>
        <w:rPr>
          <w:rFonts w:hint="eastAsia" w:ascii="宋体" w:cs="宋体"/>
          <w:b/>
          <w:bCs/>
          <w:kern w:val="0"/>
          <w:sz w:val="24"/>
        </w:rPr>
        <w:t>招标文件的组成</w:t>
      </w:r>
    </w:p>
    <w:p>
      <w:pPr>
        <w:spacing w:line="360" w:lineRule="auto"/>
        <w:ind w:firstLine="480" w:firstLineChars="200"/>
        <w:rPr>
          <w:rFonts w:ascii="宋体" w:cs="宋体"/>
          <w:sz w:val="24"/>
        </w:rPr>
      </w:pPr>
      <w:r>
        <w:rPr>
          <w:rFonts w:hint="eastAsia" w:ascii="宋体" w:cs="宋体"/>
          <w:sz w:val="24"/>
        </w:rPr>
        <w:t>1.1 招标公告；</w:t>
      </w:r>
    </w:p>
    <w:p>
      <w:pPr>
        <w:spacing w:line="360" w:lineRule="auto"/>
        <w:ind w:firstLine="480" w:firstLineChars="200"/>
        <w:rPr>
          <w:rFonts w:ascii="宋体" w:cs="宋体"/>
          <w:sz w:val="24"/>
        </w:rPr>
      </w:pPr>
      <w:r>
        <w:rPr>
          <w:rFonts w:hint="eastAsia" w:ascii="宋体" w:cs="宋体"/>
          <w:sz w:val="24"/>
        </w:rPr>
        <w:t>1.2 投标人须知前附表；</w:t>
      </w:r>
    </w:p>
    <w:p>
      <w:pPr>
        <w:spacing w:line="360" w:lineRule="auto"/>
        <w:ind w:firstLine="480" w:firstLineChars="200"/>
        <w:rPr>
          <w:rFonts w:ascii="宋体" w:cs="宋体"/>
          <w:sz w:val="24"/>
        </w:rPr>
      </w:pPr>
      <w:r>
        <w:rPr>
          <w:rFonts w:hint="eastAsia" w:ascii="宋体" w:cs="宋体"/>
          <w:sz w:val="24"/>
        </w:rPr>
        <w:t>1.3 投标须知；</w:t>
      </w:r>
    </w:p>
    <w:p>
      <w:pPr>
        <w:spacing w:line="360" w:lineRule="auto"/>
        <w:ind w:firstLine="480" w:firstLineChars="200"/>
        <w:rPr>
          <w:rFonts w:ascii="宋体" w:cs="宋体"/>
          <w:sz w:val="24"/>
        </w:rPr>
      </w:pPr>
      <w:r>
        <w:rPr>
          <w:rFonts w:hint="eastAsia" w:ascii="宋体" w:cs="宋体"/>
          <w:sz w:val="24"/>
        </w:rPr>
        <w:t>1.4 评标办法；</w:t>
      </w:r>
    </w:p>
    <w:p>
      <w:pPr>
        <w:spacing w:line="360" w:lineRule="auto"/>
        <w:ind w:firstLine="480" w:firstLineChars="200"/>
        <w:rPr>
          <w:rFonts w:ascii="宋体" w:cs="宋体"/>
          <w:sz w:val="24"/>
        </w:rPr>
      </w:pPr>
      <w:r>
        <w:rPr>
          <w:rFonts w:hint="eastAsia" w:ascii="宋体" w:cs="宋体"/>
          <w:sz w:val="24"/>
        </w:rPr>
        <w:t>1.5 合同条款及格式；</w:t>
      </w:r>
    </w:p>
    <w:p>
      <w:pPr>
        <w:spacing w:line="360" w:lineRule="auto"/>
        <w:ind w:firstLine="480" w:firstLineChars="200"/>
        <w:rPr>
          <w:rFonts w:ascii="宋体" w:cs="宋体"/>
          <w:sz w:val="24"/>
        </w:rPr>
      </w:pPr>
      <w:r>
        <w:rPr>
          <w:rFonts w:hint="eastAsia" w:ascii="宋体" w:cs="宋体"/>
          <w:sz w:val="24"/>
        </w:rPr>
        <w:t>1.6技术标准和要求；</w:t>
      </w:r>
    </w:p>
    <w:p>
      <w:pPr>
        <w:spacing w:line="360" w:lineRule="auto"/>
        <w:ind w:firstLine="480" w:firstLineChars="200"/>
        <w:rPr>
          <w:rFonts w:ascii="宋体" w:cs="宋体"/>
          <w:sz w:val="24"/>
        </w:rPr>
      </w:pPr>
      <w:r>
        <w:rPr>
          <w:rFonts w:hint="eastAsia" w:ascii="宋体" w:cs="宋体"/>
          <w:sz w:val="24"/>
        </w:rPr>
        <w:t>1.7 投标文件格式；</w:t>
      </w:r>
    </w:p>
    <w:p>
      <w:pPr>
        <w:spacing w:line="360" w:lineRule="auto"/>
        <w:ind w:firstLine="480" w:firstLineChars="200"/>
      </w:pPr>
      <w:r>
        <w:rPr>
          <w:rFonts w:hint="eastAsia" w:ascii="宋体" w:hAnsi="宋体" w:cs="宋体"/>
          <w:sz w:val="24"/>
        </w:rPr>
        <w:t>1.8</w:t>
      </w:r>
      <w:r>
        <w:rPr>
          <w:rFonts w:hint="eastAsia" w:ascii="宋体" w:cs="宋体"/>
          <w:sz w:val="24"/>
        </w:rPr>
        <w:t xml:space="preserve"> 投标人须知前附表规定的其他材料。</w:t>
      </w:r>
    </w:p>
    <w:p>
      <w:pPr>
        <w:widowControl/>
        <w:shd w:val="clear" w:color="auto" w:fill="FFFFFF"/>
        <w:snapToGrid w:val="0"/>
        <w:spacing w:line="360" w:lineRule="auto"/>
        <w:ind w:firstLine="482" w:firstLineChars="200"/>
        <w:rPr>
          <w:rFonts w:ascii="宋体"/>
          <w:b/>
          <w:bCs/>
          <w:kern w:val="0"/>
          <w:sz w:val="24"/>
        </w:rPr>
      </w:pPr>
      <w:r>
        <w:rPr>
          <w:rFonts w:hint="eastAsia" w:ascii="宋体" w:cs="宋体"/>
          <w:b/>
          <w:bCs/>
          <w:sz w:val="24"/>
        </w:rPr>
        <w:t>二、</w:t>
      </w:r>
      <w:r>
        <w:rPr>
          <w:rFonts w:hint="eastAsia" w:ascii="宋体" w:cs="宋体"/>
          <w:b/>
          <w:bCs/>
          <w:kern w:val="0"/>
          <w:sz w:val="24"/>
        </w:rPr>
        <w:t>招标文件的澄清和修改</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2.1投标人应仔细阅读和检查招标文件的全部内容。如发现缺页或附件不全，应及时向招标人提出，以便补齐。如有疑问，应在投标人须知前附表规定的时间前以书面形式，要求招标人对招标文件予以澄清。</w:t>
      </w:r>
    </w:p>
    <w:p>
      <w:pPr>
        <w:widowControl/>
        <w:shd w:val="clear" w:color="auto" w:fill="FFFFFF"/>
        <w:snapToGrid w:val="0"/>
        <w:spacing w:line="360" w:lineRule="auto"/>
        <w:ind w:firstLine="480" w:firstLineChars="200"/>
        <w:rPr>
          <w:rFonts w:ascii="宋体" w:cs="宋体"/>
          <w:kern w:val="0"/>
          <w:sz w:val="24"/>
        </w:rPr>
      </w:pPr>
      <w:r>
        <w:rPr>
          <w:rFonts w:hint="eastAsia" w:asciiTheme="minorEastAsia" w:hAnsiTheme="minorEastAsia" w:eastAsiaTheme="minorEastAsia" w:cstheme="minorEastAsia"/>
          <w:kern w:val="0"/>
          <w:sz w:val="24"/>
        </w:rPr>
        <w:t>2.2 在投标人须知前附表规定的截止时间前，无论出于何种原因，采购代理机构和采购人可主动地或在解答潜在投标人提出的澄清问题时对招标文件进行修改。</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2.3招标文件的澄清将在投标人须知前附表规定的投标截止时间前以书面形式或网上发给所有购买招标文件的投标人，但不指明澄清问题的来源。如果澄清发出的时间距投标截止时间不足的，相应延长投标截止时间。</w:t>
      </w:r>
    </w:p>
    <w:p>
      <w:pPr>
        <w:spacing w:line="360" w:lineRule="auto"/>
        <w:ind w:firstLine="480" w:firstLineChars="200"/>
      </w:pPr>
      <w:r>
        <w:rPr>
          <w:rFonts w:hint="eastAsia" w:ascii="宋体" w:cs="宋体"/>
          <w:kern w:val="0"/>
          <w:sz w:val="24"/>
        </w:rPr>
        <w:t>2.4投标人在收到澄清后，应在规定时间内以书面形式或网上通知招标人，确认已收到该澄清。</w:t>
      </w:r>
    </w:p>
    <w:p>
      <w:pPr>
        <w:pStyle w:val="4"/>
        <w:ind w:firstLine="482" w:firstLineChars="200"/>
        <w:jc w:val="center"/>
        <w:rPr>
          <w:rFonts w:cs="宋体"/>
          <w:sz w:val="24"/>
          <w:szCs w:val="24"/>
        </w:rPr>
      </w:pPr>
      <w:bookmarkStart w:id="4" w:name="_Toc15107"/>
      <w:r>
        <w:rPr>
          <w:rFonts w:ascii="Times New Roman" w:hAnsi="Times New Roman"/>
          <w:sz w:val="24"/>
          <w:szCs w:val="24"/>
        </w:rPr>
        <w:t>第</w:t>
      </w:r>
      <w:r>
        <w:rPr>
          <w:rFonts w:hint="eastAsia" w:ascii="Times New Roman" w:hAnsi="Times New Roman"/>
          <w:sz w:val="24"/>
          <w:szCs w:val="24"/>
        </w:rPr>
        <w:t>三</w:t>
      </w:r>
      <w:r>
        <w:rPr>
          <w:rFonts w:ascii="Times New Roman" w:hAnsi="Times New Roman"/>
          <w:sz w:val="24"/>
          <w:szCs w:val="24"/>
        </w:rPr>
        <w:t>节</w:t>
      </w:r>
      <w:r>
        <w:rPr>
          <w:rFonts w:hint="eastAsia" w:ascii="Times New Roman" w:hAnsi="Times New Roman"/>
          <w:sz w:val="24"/>
          <w:szCs w:val="24"/>
        </w:rPr>
        <w:t xml:space="preserve"> 投标文件</w:t>
      </w:r>
      <w:bookmarkEnd w:id="4"/>
    </w:p>
    <w:p>
      <w:pPr>
        <w:widowControl/>
        <w:shd w:val="clear" w:color="auto" w:fill="FFFFFF"/>
        <w:snapToGrid w:val="0"/>
        <w:spacing w:line="360" w:lineRule="auto"/>
        <w:rPr>
          <w:rFonts w:ascii="宋体"/>
          <w:b/>
          <w:bCs/>
          <w:kern w:val="0"/>
          <w:sz w:val="24"/>
        </w:rPr>
      </w:pPr>
      <w:r>
        <w:rPr>
          <w:rFonts w:hint="eastAsia" w:ascii="宋体" w:cs="宋体"/>
          <w:b/>
          <w:bCs/>
          <w:sz w:val="24"/>
        </w:rPr>
        <w:t>一、</w:t>
      </w:r>
      <w:r>
        <w:rPr>
          <w:rFonts w:hint="eastAsia" w:ascii="宋体" w:cs="宋体"/>
          <w:b/>
          <w:bCs/>
          <w:kern w:val="0"/>
          <w:sz w:val="24"/>
        </w:rPr>
        <w:t>投标文件的组成</w:t>
      </w:r>
    </w:p>
    <w:p>
      <w:pPr>
        <w:spacing w:line="360" w:lineRule="auto"/>
        <w:ind w:firstLine="480" w:firstLineChars="200"/>
        <w:rPr>
          <w:rFonts w:ascii="宋体" w:cs="宋体"/>
          <w:sz w:val="24"/>
          <w:highlight w:val="none"/>
        </w:rPr>
      </w:pPr>
      <w:r>
        <w:rPr>
          <w:rFonts w:hint="eastAsia" w:ascii="宋体" w:cs="宋体"/>
          <w:sz w:val="24"/>
          <w:highlight w:val="none"/>
        </w:rPr>
        <w:t>1.1 投标文件应包括下列内容：</w:t>
      </w:r>
    </w:p>
    <w:p>
      <w:pPr>
        <w:spacing w:line="360" w:lineRule="auto"/>
        <w:ind w:firstLine="480" w:firstLineChars="200"/>
        <w:rPr>
          <w:rFonts w:ascii="宋体" w:cs="宋体"/>
          <w:sz w:val="24"/>
          <w:highlight w:val="none"/>
        </w:rPr>
      </w:pPr>
      <w:r>
        <w:rPr>
          <w:rFonts w:hint="eastAsia" w:ascii="宋体" w:cs="宋体"/>
          <w:sz w:val="24"/>
          <w:highlight w:val="none"/>
        </w:rPr>
        <w:t>1.1.1 投标函；</w:t>
      </w:r>
    </w:p>
    <w:p>
      <w:pPr>
        <w:spacing w:line="360" w:lineRule="auto"/>
        <w:ind w:firstLine="480" w:firstLineChars="200"/>
        <w:rPr>
          <w:rFonts w:hint="eastAsia" w:ascii="宋体" w:eastAsia="宋体"/>
          <w:kern w:val="0"/>
          <w:sz w:val="24"/>
          <w:highlight w:val="none"/>
          <w:lang w:eastAsia="zh-CN"/>
        </w:rPr>
      </w:pPr>
      <w:r>
        <w:rPr>
          <w:rFonts w:hint="eastAsia" w:ascii="宋体" w:cs="宋体"/>
          <w:sz w:val="24"/>
          <w:highlight w:val="none"/>
        </w:rPr>
        <w:t xml:space="preserve">1.1.2 </w:t>
      </w:r>
      <w:r>
        <w:rPr>
          <w:rFonts w:hint="eastAsia" w:ascii="宋体"/>
          <w:kern w:val="0"/>
          <w:sz w:val="24"/>
          <w:highlight w:val="none"/>
        </w:rPr>
        <w:t>开标一览表</w:t>
      </w:r>
      <w:r>
        <w:rPr>
          <w:rFonts w:hint="eastAsia" w:ascii="宋体"/>
          <w:kern w:val="0"/>
          <w:sz w:val="24"/>
          <w:highlight w:val="none"/>
          <w:lang w:eastAsia="zh-CN"/>
        </w:rPr>
        <w:t>；</w:t>
      </w:r>
    </w:p>
    <w:p>
      <w:pPr>
        <w:spacing w:line="360" w:lineRule="auto"/>
        <w:ind w:firstLine="480" w:firstLineChars="200"/>
        <w:rPr>
          <w:rFonts w:ascii="宋体" w:cs="宋体"/>
          <w:sz w:val="24"/>
          <w:highlight w:val="none"/>
        </w:rPr>
      </w:pPr>
      <w:r>
        <w:rPr>
          <w:rFonts w:hint="eastAsia" w:ascii="宋体"/>
          <w:kern w:val="0"/>
          <w:sz w:val="24"/>
          <w:highlight w:val="none"/>
          <w:lang w:val="en-US" w:eastAsia="zh-CN"/>
        </w:rPr>
        <w:t>1.1.3</w:t>
      </w:r>
      <w:r>
        <w:rPr>
          <w:rFonts w:hint="eastAsia" w:ascii="宋体"/>
          <w:kern w:val="0"/>
          <w:sz w:val="24"/>
          <w:highlight w:val="none"/>
        </w:rPr>
        <w:t>报价明细表</w:t>
      </w:r>
      <w:r>
        <w:rPr>
          <w:rFonts w:hint="eastAsia" w:ascii="宋体" w:cs="宋体"/>
          <w:sz w:val="24"/>
          <w:highlight w:val="none"/>
        </w:rPr>
        <w:t>；</w:t>
      </w:r>
    </w:p>
    <w:p>
      <w:pPr>
        <w:spacing w:line="360" w:lineRule="auto"/>
        <w:ind w:firstLine="480" w:firstLineChars="200"/>
        <w:rPr>
          <w:rFonts w:ascii="宋体" w:cs="宋体"/>
          <w:sz w:val="24"/>
          <w:highlight w:val="none"/>
        </w:rPr>
      </w:pPr>
      <w:r>
        <w:rPr>
          <w:rFonts w:hint="eastAsia" w:ascii="宋体" w:cs="宋体"/>
          <w:sz w:val="24"/>
          <w:highlight w:val="none"/>
        </w:rPr>
        <w:t>1.1.</w:t>
      </w:r>
      <w:r>
        <w:rPr>
          <w:rFonts w:hint="eastAsia" w:ascii="宋体" w:cs="宋体"/>
          <w:sz w:val="24"/>
          <w:highlight w:val="none"/>
          <w:lang w:val="en-US" w:eastAsia="zh-CN"/>
        </w:rPr>
        <w:t>4</w:t>
      </w:r>
      <w:r>
        <w:rPr>
          <w:rFonts w:hint="eastAsia" w:ascii="宋体" w:cs="宋体"/>
          <w:sz w:val="24"/>
          <w:highlight w:val="none"/>
        </w:rPr>
        <w:t xml:space="preserve"> </w:t>
      </w:r>
      <w:r>
        <w:rPr>
          <w:rFonts w:hint="eastAsia" w:ascii="宋体"/>
          <w:kern w:val="0"/>
          <w:sz w:val="24"/>
          <w:highlight w:val="none"/>
        </w:rPr>
        <w:t>法定代表人身份证明书</w:t>
      </w:r>
      <w:r>
        <w:rPr>
          <w:rFonts w:hint="eastAsia" w:ascii="宋体" w:cs="宋体"/>
          <w:sz w:val="24"/>
          <w:highlight w:val="none"/>
        </w:rPr>
        <w:t>；</w:t>
      </w:r>
    </w:p>
    <w:p>
      <w:pPr>
        <w:spacing w:line="360" w:lineRule="auto"/>
        <w:ind w:firstLine="480" w:firstLineChars="200"/>
        <w:rPr>
          <w:rFonts w:ascii="宋体" w:cs="宋体"/>
          <w:sz w:val="24"/>
          <w:highlight w:val="none"/>
        </w:rPr>
      </w:pPr>
      <w:r>
        <w:rPr>
          <w:rFonts w:hint="eastAsia" w:ascii="宋体" w:cs="宋体"/>
          <w:sz w:val="24"/>
          <w:highlight w:val="none"/>
        </w:rPr>
        <w:t>1.1.</w:t>
      </w:r>
      <w:r>
        <w:rPr>
          <w:rFonts w:hint="eastAsia" w:ascii="宋体" w:cs="宋体"/>
          <w:sz w:val="24"/>
          <w:highlight w:val="none"/>
          <w:lang w:val="en-US" w:eastAsia="zh-CN"/>
        </w:rPr>
        <w:t>5</w:t>
      </w:r>
      <w:r>
        <w:rPr>
          <w:rFonts w:hint="eastAsia" w:ascii="宋体" w:cs="宋体"/>
          <w:sz w:val="24"/>
          <w:highlight w:val="none"/>
        </w:rPr>
        <w:t xml:space="preserve"> </w:t>
      </w:r>
      <w:r>
        <w:rPr>
          <w:rFonts w:hint="eastAsia" w:ascii="宋体"/>
          <w:kern w:val="0"/>
          <w:sz w:val="24"/>
          <w:highlight w:val="none"/>
        </w:rPr>
        <w:t>授权委托书</w:t>
      </w:r>
      <w:r>
        <w:rPr>
          <w:rFonts w:hint="eastAsia" w:ascii="宋体" w:cs="宋体"/>
          <w:sz w:val="24"/>
          <w:highlight w:val="none"/>
        </w:rPr>
        <w:t>；</w:t>
      </w:r>
    </w:p>
    <w:p>
      <w:pPr>
        <w:spacing w:line="360" w:lineRule="auto"/>
        <w:ind w:firstLine="480" w:firstLineChars="200"/>
        <w:rPr>
          <w:rFonts w:hint="eastAsia" w:ascii="宋体"/>
          <w:kern w:val="0"/>
          <w:sz w:val="24"/>
          <w:highlight w:val="none"/>
        </w:rPr>
      </w:pPr>
      <w:r>
        <w:rPr>
          <w:rFonts w:hint="eastAsia" w:ascii="宋体" w:cs="宋体"/>
          <w:sz w:val="24"/>
          <w:highlight w:val="none"/>
        </w:rPr>
        <w:t>1.1.</w:t>
      </w:r>
      <w:r>
        <w:rPr>
          <w:rFonts w:hint="eastAsia" w:ascii="宋体" w:cs="宋体"/>
          <w:sz w:val="24"/>
          <w:highlight w:val="none"/>
          <w:lang w:val="en-US" w:eastAsia="zh-CN"/>
        </w:rPr>
        <w:t>6</w:t>
      </w:r>
      <w:r>
        <w:rPr>
          <w:rFonts w:hint="eastAsia" w:ascii="宋体" w:cs="宋体"/>
          <w:sz w:val="24"/>
          <w:highlight w:val="none"/>
        </w:rPr>
        <w:t xml:space="preserve"> </w:t>
      </w:r>
      <w:r>
        <w:rPr>
          <w:rFonts w:hint="eastAsia" w:ascii="宋体"/>
          <w:kern w:val="0"/>
          <w:sz w:val="24"/>
          <w:highlight w:val="none"/>
        </w:rPr>
        <w:t xml:space="preserve">投标人概况（企业营业执照副本复印件等）； </w:t>
      </w:r>
    </w:p>
    <w:p>
      <w:pPr>
        <w:pStyle w:val="24"/>
        <w:ind w:left="0" w:leftChars="0" w:firstLine="480" w:firstLineChars="200"/>
        <w:rPr>
          <w:rFonts w:hint="default" w:eastAsia="宋体"/>
          <w:highlight w:val="none"/>
          <w:lang w:val="en-US" w:eastAsia="zh-CN"/>
        </w:rPr>
      </w:pPr>
      <w:r>
        <w:rPr>
          <w:rFonts w:hint="eastAsia"/>
          <w:kern w:val="0"/>
          <w:sz w:val="24"/>
          <w:highlight w:val="none"/>
          <w:lang w:val="en-US" w:eastAsia="zh-CN"/>
        </w:rPr>
        <w:t>1.1.7 项目管理人员</w:t>
      </w:r>
    </w:p>
    <w:p>
      <w:pPr>
        <w:spacing w:line="360" w:lineRule="auto"/>
        <w:ind w:firstLine="480" w:firstLineChars="200"/>
        <w:rPr>
          <w:rFonts w:ascii="宋体"/>
          <w:kern w:val="0"/>
          <w:sz w:val="24"/>
          <w:highlight w:val="none"/>
        </w:rPr>
      </w:pPr>
      <w:r>
        <w:rPr>
          <w:rFonts w:hint="eastAsia" w:ascii="宋体"/>
          <w:kern w:val="0"/>
          <w:sz w:val="24"/>
          <w:highlight w:val="none"/>
        </w:rPr>
        <w:t>1.1.</w:t>
      </w:r>
      <w:r>
        <w:rPr>
          <w:rFonts w:hint="eastAsia" w:ascii="宋体"/>
          <w:kern w:val="0"/>
          <w:sz w:val="24"/>
          <w:highlight w:val="none"/>
          <w:lang w:val="en-US" w:eastAsia="zh-CN"/>
        </w:rPr>
        <w:t>8</w:t>
      </w:r>
      <w:r>
        <w:rPr>
          <w:rFonts w:hint="eastAsia" w:ascii="宋体"/>
          <w:kern w:val="0"/>
          <w:sz w:val="24"/>
          <w:highlight w:val="none"/>
        </w:rPr>
        <w:t xml:space="preserve"> 技术条款偏离表；</w:t>
      </w:r>
    </w:p>
    <w:p>
      <w:pPr>
        <w:spacing w:line="360" w:lineRule="auto"/>
        <w:ind w:firstLine="480" w:firstLineChars="200"/>
        <w:rPr>
          <w:rFonts w:hint="eastAsia" w:ascii="宋体"/>
          <w:kern w:val="0"/>
          <w:sz w:val="24"/>
          <w:highlight w:val="none"/>
        </w:rPr>
      </w:pPr>
      <w:r>
        <w:rPr>
          <w:rFonts w:hint="eastAsia" w:ascii="宋体"/>
          <w:kern w:val="0"/>
          <w:sz w:val="24"/>
          <w:highlight w:val="none"/>
        </w:rPr>
        <w:t>1.1.</w:t>
      </w:r>
      <w:r>
        <w:rPr>
          <w:rFonts w:hint="eastAsia" w:ascii="宋体"/>
          <w:kern w:val="0"/>
          <w:sz w:val="24"/>
          <w:highlight w:val="none"/>
          <w:lang w:val="en-US" w:eastAsia="zh-CN"/>
        </w:rPr>
        <w:t>9</w:t>
      </w:r>
      <w:r>
        <w:rPr>
          <w:rFonts w:hint="eastAsia" w:ascii="宋体"/>
          <w:kern w:val="0"/>
          <w:sz w:val="24"/>
          <w:highlight w:val="none"/>
        </w:rPr>
        <w:t xml:space="preserve"> 商务条款偏离表；</w:t>
      </w:r>
    </w:p>
    <w:p>
      <w:pPr>
        <w:pStyle w:val="24"/>
        <w:ind w:left="959" w:leftChars="228" w:hanging="480" w:hangingChars="200"/>
        <w:rPr>
          <w:rFonts w:hint="eastAsia" w:cs="Arial"/>
          <w:kern w:val="0"/>
          <w:sz w:val="24"/>
          <w:highlight w:val="none"/>
          <w:lang w:val="en-US" w:eastAsia="zh-CN"/>
        </w:rPr>
      </w:pPr>
      <w:r>
        <w:rPr>
          <w:rFonts w:hint="eastAsia" w:cs="Arial"/>
          <w:kern w:val="0"/>
          <w:sz w:val="24"/>
          <w:highlight w:val="none"/>
          <w:lang w:val="en-US" w:eastAsia="zh-CN"/>
        </w:rPr>
        <w:t>(一)具有良好的商业信誉和健全的财务会计制度《银行出具的近 1 年内资信证明或上年度经审计的财务报告，新成立企业无需提供)</w:t>
      </w:r>
    </w:p>
    <w:p>
      <w:pPr>
        <w:pStyle w:val="24"/>
        <w:ind w:left="959" w:leftChars="228" w:hanging="480" w:hangingChars="200"/>
        <w:rPr>
          <w:rFonts w:hint="eastAsia" w:cs="Arial"/>
          <w:kern w:val="0"/>
          <w:sz w:val="24"/>
          <w:highlight w:val="none"/>
          <w:lang w:val="en-US" w:eastAsia="zh-CN"/>
        </w:rPr>
      </w:pPr>
      <w:r>
        <w:rPr>
          <w:rFonts w:hint="eastAsia" w:cs="Arial"/>
          <w:kern w:val="0"/>
          <w:sz w:val="24"/>
          <w:highlight w:val="none"/>
          <w:lang w:val="en-US" w:eastAsia="zh-CN"/>
        </w:rPr>
        <w:t>(二)具有履行合同所必需的专业技术能力与人员队伍(三)有依法缴纳税收和社会保障资金的良好记录(提供近半年任意连续二个月依法缴纳税收和社会保障资金的相关材料,如依法免税或不需要缴纳社会保障资金的, 应提供相应证明文件)</w:t>
      </w:r>
    </w:p>
    <w:p>
      <w:pPr>
        <w:pStyle w:val="24"/>
        <w:ind w:left="0" w:leftChars="0" w:firstLine="480" w:firstLineChars="200"/>
        <w:rPr>
          <w:rFonts w:hint="eastAsia" w:cs="Arial"/>
          <w:kern w:val="0"/>
          <w:sz w:val="24"/>
          <w:highlight w:val="none"/>
          <w:lang w:val="en-US" w:eastAsia="zh-CN"/>
        </w:rPr>
      </w:pPr>
      <w:r>
        <w:rPr>
          <w:rFonts w:hint="eastAsia" w:cs="Arial"/>
          <w:kern w:val="0"/>
          <w:sz w:val="24"/>
          <w:highlight w:val="none"/>
          <w:lang w:val="en-US" w:eastAsia="zh-CN"/>
        </w:rPr>
        <w:t>(四)反商业贿赂承诺书</w:t>
      </w:r>
    </w:p>
    <w:p>
      <w:pPr>
        <w:pStyle w:val="24"/>
        <w:ind w:left="0" w:leftChars="0" w:firstLine="480" w:firstLineChars="200"/>
        <w:rPr>
          <w:rFonts w:hint="eastAsia" w:cs="Arial"/>
          <w:kern w:val="0"/>
          <w:sz w:val="24"/>
          <w:highlight w:val="none"/>
          <w:lang w:val="en-US" w:eastAsia="zh-CN"/>
        </w:rPr>
      </w:pPr>
      <w:r>
        <w:rPr>
          <w:rFonts w:hint="eastAsia" w:cs="Arial"/>
          <w:kern w:val="0"/>
          <w:sz w:val="24"/>
          <w:highlight w:val="none"/>
          <w:lang w:val="en-US" w:eastAsia="zh-CN"/>
        </w:rPr>
        <w:t>(五)参加政府采购活动前3年内在经营活动中没有重大违法记录的承诺书</w:t>
      </w:r>
    </w:p>
    <w:p>
      <w:pPr>
        <w:spacing w:line="360" w:lineRule="auto"/>
        <w:ind w:firstLine="480" w:firstLineChars="200"/>
        <w:rPr>
          <w:rFonts w:ascii="宋体"/>
          <w:kern w:val="0"/>
          <w:sz w:val="24"/>
          <w:highlight w:val="none"/>
        </w:rPr>
      </w:pPr>
      <w:r>
        <w:rPr>
          <w:rFonts w:hint="eastAsia" w:ascii="宋体"/>
          <w:kern w:val="0"/>
          <w:sz w:val="24"/>
          <w:highlight w:val="none"/>
        </w:rPr>
        <w:t>1.1.</w:t>
      </w:r>
      <w:r>
        <w:rPr>
          <w:rFonts w:hint="eastAsia" w:ascii="宋体"/>
          <w:kern w:val="0"/>
          <w:sz w:val="24"/>
          <w:highlight w:val="none"/>
          <w:lang w:val="en-US" w:eastAsia="zh-CN"/>
        </w:rPr>
        <w:t>10</w:t>
      </w:r>
      <w:r>
        <w:rPr>
          <w:rFonts w:hint="eastAsia" w:ascii="宋体"/>
          <w:kern w:val="0"/>
          <w:sz w:val="24"/>
          <w:highlight w:val="none"/>
        </w:rPr>
        <w:t xml:space="preserve"> 资格声明《制造商、代理商或经销商)；</w:t>
      </w:r>
    </w:p>
    <w:p>
      <w:pPr>
        <w:spacing w:line="360" w:lineRule="auto"/>
        <w:ind w:firstLine="480" w:firstLineChars="200"/>
        <w:rPr>
          <w:rFonts w:ascii="宋体"/>
          <w:kern w:val="0"/>
          <w:sz w:val="24"/>
          <w:highlight w:val="none"/>
        </w:rPr>
      </w:pPr>
      <w:r>
        <w:rPr>
          <w:rFonts w:hint="eastAsia" w:ascii="宋体"/>
          <w:kern w:val="0"/>
          <w:sz w:val="24"/>
          <w:highlight w:val="none"/>
        </w:rPr>
        <w:t>1.1.</w:t>
      </w:r>
      <w:r>
        <w:rPr>
          <w:rFonts w:hint="eastAsia" w:ascii="宋体"/>
          <w:kern w:val="0"/>
          <w:sz w:val="24"/>
          <w:highlight w:val="none"/>
          <w:lang w:val="en-US" w:eastAsia="zh-CN"/>
        </w:rPr>
        <w:t>11</w:t>
      </w:r>
      <w:r>
        <w:rPr>
          <w:rFonts w:hint="eastAsia" w:ascii="宋体"/>
          <w:kern w:val="0"/>
          <w:sz w:val="24"/>
          <w:highlight w:val="none"/>
        </w:rPr>
        <w:t xml:space="preserve"> 项目实施方案；</w:t>
      </w:r>
    </w:p>
    <w:p>
      <w:pPr>
        <w:spacing w:line="360" w:lineRule="auto"/>
        <w:ind w:firstLine="480" w:firstLineChars="200"/>
        <w:rPr>
          <w:rFonts w:ascii="宋体"/>
          <w:kern w:val="0"/>
          <w:sz w:val="24"/>
          <w:highlight w:val="none"/>
        </w:rPr>
      </w:pPr>
      <w:r>
        <w:rPr>
          <w:rFonts w:hint="eastAsia" w:ascii="宋体"/>
          <w:kern w:val="0"/>
          <w:sz w:val="24"/>
          <w:highlight w:val="none"/>
        </w:rPr>
        <w:t>1.1.1</w:t>
      </w:r>
      <w:r>
        <w:rPr>
          <w:rFonts w:hint="eastAsia" w:ascii="宋体"/>
          <w:kern w:val="0"/>
          <w:sz w:val="24"/>
          <w:highlight w:val="none"/>
          <w:lang w:val="en-US" w:eastAsia="zh-CN"/>
        </w:rPr>
        <w:t>2</w:t>
      </w:r>
      <w:r>
        <w:rPr>
          <w:rFonts w:hint="eastAsia" w:ascii="宋体"/>
          <w:kern w:val="0"/>
          <w:sz w:val="24"/>
          <w:highlight w:val="none"/>
        </w:rPr>
        <w:t>质量保证和售后服务承诺</w:t>
      </w:r>
    </w:p>
    <w:p>
      <w:pPr>
        <w:spacing w:line="360" w:lineRule="auto"/>
        <w:ind w:firstLine="480" w:firstLineChars="200"/>
        <w:rPr>
          <w:rFonts w:ascii="宋体"/>
          <w:kern w:val="0"/>
          <w:sz w:val="24"/>
          <w:highlight w:val="none"/>
        </w:rPr>
      </w:pPr>
      <w:r>
        <w:rPr>
          <w:rFonts w:hint="eastAsia" w:ascii="宋体"/>
          <w:kern w:val="0"/>
          <w:sz w:val="24"/>
          <w:highlight w:val="none"/>
        </w:rPr>
        <w:t>1.1.1</w:t>
      </w:r>
      <w:r>
        <w:rPr>
          <w:rFonts w:hint="eastAsia" w:ascii="宋体"/>
          <w:kern w:val="0"/>
          <w:sz w:val="24"/>
          <w:highlight w:val="none"/>
          <w:lang w:val="en-US" w:eastAsia="zh-CN"/>
        </w:rPr>
        <w:t>3</w:t>
      </w:r>
      <w:r>
        <w:rPr>
          <w:rFonts w:hint="eastAsia" w:ascii="宋体"/>
          <w:kern w:val="0"/>
          <w:sz w:val="24"/>
          <w:highlight w:val="none"/>
        </w:rPr>
        <w:t>设备或产品品牌的证明材料扫描件</w:t>
      </w:r>
    </w:p>
    <w:p>
      <w:pPr>
        <w:spacing w:line="360" w:lineRule="auto"/>
        <w:ind w:firstLine="480" w:firstLineChars="200"/>
        <w:rPr>
          <w:rFonts w:hint="eastAsia" w:ascii="宋体"/>
          <w:kern w:val="0"/>
          <w:sz w:val="24"/>
          <w:highlight w:val="none"/>
        </w:rPr>
      </w:pPr>
      <w:r>
        <w:rPr>
          <w:rFonts w:hint="eastAsia" w:ascii="宋体"/>
          <w:kern w:val="0"/>
          <w:sz w:val="24"/>
          <w:highlight w:val="none"/>
        </w:rPr>
        <w:t>1.1.1</w:t>
      </w:r>
      <w:r>
        <w:rPr>
          <w:rFonts w:hint="eastAsia" w:ascii="宋体"/>
          <w:kern w:val="0"/>
          <w:sz w:val="24"/>
          <w:highlight w:val="none"/>
          <w:lang w:val="en-US" w:eastAsia="zh-CN"/>
        </w:rPr>
        <w:t>4</w:t>
      </w:r>
      <w:r>
        <w:rPr>
          <w:rFonts w:hint="eastAsia" w:ascii="宋体"/>
          <w:kern w:val="0"/>
          <w:sz w:val="24"/>
          <w:highlight w:val="none"/>
        </w:rPr>
        <w:t>投标保证金缴纳凭证</w:t>
      </w:r>
    </w:p>
    <w:p>
      <w:pPr>
        <w:pStyle w:val="24"/>
        <w:ind w:left="0" w:leftChars="0" w:firstLine="480" w:firstLineChars="200"/>
        <w:rPr>
          <w:rFonts w:hint="eastAsia" w:ascii="宋体" w:hAnsi="Calibri" w:eastAsia="宋体" w:cs="Arial"/>
          <w:kern w:val="0"/>
          <w:sz w:val="24"/>
          <w:szCs w:val="24"/>
          <w:highlight w:val="none"/>
          <w:lang w:val="en-US" w:eastAsia="zh-CN" w:bidi="ar-SA"/>
        </w:rPr>
      </w:pPr>
      <w:r>
        <w:rPr>
          <w:rFonts w:hint="eastAsia" w:ascii="宋体" w:hAnsi="Calibri" w:eastAsia="宋体" w:cs="Arial"/>
          <w:kern w:val="0"/>
          <w:sz w:val="24"/>
          <w:szCs w:val="24"/>
          <w:highlight w:val="none"/>
          <w:lang w:val="en-US" w:eastAsia="zh-CN" w:bidi="ar-SA"/>
        </w:rPr>
        <w:t>1.1.15中小微企业声明函货物)</w:t>
      </w:r>
    </w:p>
    <w:p>
      <w:pPr>
        <w:spacing w:line="360" w:lineRule="auto"/>
        <w:ind w:firstLine="480" w:firstLineChars="200"/>
        <w:rPr>
          <w:rFonts w:ascii="宋体"/>
          <w:kern w:val="0"/>
          <w:sz w:val="24"/>
          <w:highlight w:val="none"/>
        </w:rPr>
      </w:pPr>
      <w:r>
        <w:rPr>
          <w:rFonts w:hint="eastAsia" w:ascii="宋体"/>
          <w:kern w:val="0"/>
          <w:sz w:val="24"/>
          <w:highlight w:val="none"/>
        </w:rPr>
        <w:t>1.1.1</w:t>
      </w:r>
      <w:r>
        <w:rPr>
          <w:rFonts w:hint="eastAsia" w:ascii="宋体"/>
          <w:kern w:val="0"/>
          <w:sz w:val="24"/>
          <w:highlight w:val="none"/>
          <w:lang w:val="en-US" w:eastAsia="zh-CN"/>
        </w:rPr>
        <w:t>6</w:t>
      </w:r>
      <w:r>
        <w:rPr>
          <w:rFonts w:hint="eastAsia" w:ascii="宋体"/>
          <w:kern w:val="0"/>
          <w:sz w:val="24"/>
          <w:highlight w:val="none"/>
        </w:rPr>
        <w:t>其他需要提交的材料（根据招标文件的要求和投标人认为需要提供的资料）</w:t>
      </w:r>
    </w:p>
    <w:p>
      <w:pPr>
        <w:spacing w:line="360" w:lineRule="auto"/>
        <w:ind w:firstLine="480" w:firstLineChars="200"/>
        <w:rPr>
          <w:rFonts w:ascii="宋体"/>
          <w:kern w:val="0"/>
          <w:sz w:val="24"/>
        </w:rPr>
      </w:pPr>
      <w:r>
        <w:rPr>
          <w:rFonts w:hint="eastAsia" w:ascii="宋体"/>
          <w:kern w:val="0"/>
          <w:sz w:val="24"/>
        </w:rPr>
        <w:t>1.2 投标人须知前附表规定不接受联合体投标的，或投标人没有组成联合体的，投标文件不包括本章所指的联合体协议书。</w:t>
      </w:r>
    </w:p>
    <w:p>
      <w:pPr>
        <w:spacing w:line="360" w:lineRule="auto"/>
        <w:ind w:firstLine="480" w:firstLineChars="200"/>
        <w:rPr>
          <w:rFonts w:ascii="宋体"/>
          <w:kern w:val="0"/>
          <w:sz w:val="24"/>
        </w:rPr>
      </w:pPr>
      <w:r>
        <w:rPr>
          <w:rFonts w:hint="eastAsia" w:ascii="宋体"/>
          <w:kern w:val="0"/>
          <w:sz w:val="24"/>
        </w:rPr>
        <w:t>1.3 语言文字</w:t>
      </w:r>
    </w:p>
    <w:p>
      <w:pPr>
        <w:spacing w:line="360" w:lineRule="auto"/>
        <w:ind w:firstLine="480" w:firstLineChars="200"/>
        <w:rPr>
          <w:rFonts w:ascii="宋体"/>
          <w:kern w:val="0"/>
          <w:sz w:val="24"/>
        </w:rPr>
      </w:pPr>
      <w:r>
        <w:rPr>
          <w:rFonts w:hint="eastAsia" w:ascii="宋体"/>
          <w:kern w:val="0"/>
          <w:sz w:val="24"/>
        </w:rPr>
        <w:t xml:space="preserve">⑴ 投标人提交的投标文件以及投标人与招标采购单位就有关投标的所有来往书面文件均须使用中文。投标文件中如附有外文资料，必须逐一对应正确翻译成中文并加盖投标人公章后附在相关外文资料后面，否则，所提供的外文资料将将视为无效。（说明：供应商的法定代表人或负责人为外籍人士的，则法定代表人或负责人的签字和护照除外。） </w:t>
      </w:r>
    </w:p>
    <w:p>
      <w:pPr>
        <w:spacing w:line="360" w:lineRule="auto"/>
        <w:ind w:firstLine="480" w:firstLineChars="200"/>
        <w:rPr>
          <w:rFonts w:ascii="宋体"/>
          <w:kern w:val="0"/>
          <w:sz w:val="24"/>
        </w:rPr>
      </w:pPr>
      <w:r>
        <w:rPr>
          <w:rFonts w:hint="eastAsia" w:ascii="宋体"/>
          <w:kern w:val="0"/>
          <w:sz w:val="24"/>
        </w:rPr>
        <w:t>⑵ 翻译的中文资料与外文资料如果出现差异和矛盾时，以中文为准。涉嫌虚假投标的按照相关法律法规处理。</w:t>
      </w:r>
    </w:p>
    <w:p>
      <w:pPr>
        <w:spacing w:line="360" w:lineRule="auto"/>
        <w:ind w:firstLine="480" w:firstLineChars="200"/>
        <w:rPr>
          <w:rFonts w:ascii="宋体"/>
          <w:kern w:val="0"/>
          <w:sz w:val="24"/>
        </w:rPr>
      </w:pPr>
      <w:r>
        <w:rPr>
          <w:rFonts w:hint="eastAsia" w:ascii="宋体"/>
          <w:kern w:val="0"/>
          <w:sz w:val="24"/>
        </w:rPr>
        <w:t>1.4 计量单位</w:t>
      </w:r>
    </w:p>
    <w:p>
      <w:pPr>
        <w:spacing w:line="360" w:lineRule="auto"/>
        <w:ind w:firstLine="480" w:firstLineChars="200"/>
        <w:rPr>
          <w:rFonts w:ascii="宋体"/>
          <w:kern w:val="0"/>
          <w:sz w:val="24"/>
        </w:rPr>
      </w:pPr>
      <w:r>
        <w:rPr>
          <w:rFonts w:hint="eastAsia" w:ascii="宋体"/>
          <w:kern w:val="0"/>
          <w:sz w:val="24"/>
        </w:rPr>
        <w:t>除技术规格及要求中另有规定外，本采购项目的投标均采用中华人民共和国法定计量单位。</w:t>
      </w:r>
    </w:p>
    <w:p>
      <w:pPr>
        <w:spacing w:line="360" w:lineRule="auto"/>
        <w:ind w:firstLine="480" w:firstLineChars="200"/>
        <w:rPr>
          <w:rFonts w:ascii="宋体"/>
          <w:kern w:val="0"/>
          <w:sz w:val="24"/>
        </w:rPr>
      </w:pPr>
      <w:r>
        <w:rPr>
          <w:rFonts w:hint="eastAsia" w:ascii="宋体"/>
          <w:kern w:val="0"/>
          <w:sz w:val="24"/>
        </w:rPr>
        <w:t>1.5 投标货币</w:t>
      </w:r>
    </w:p>
    <w:p>
      <w:pPr>
        <w:spacing w:line="360" w:lineRule="auto"/>
        <w:ind w:firstLine="480" w:firstLineChars="200"/>
        <w:rPr>
          <w:rFonts w:ascii="宋体" w:cs="宋体"/>
          <w:kern w:val="0"/>
          <w:sz w:val="24"/>
        </w:rPr>
      </w:pPr>
      <w:r>
        <w:rPr>
          <w:rFonts w:hint="eastAsia" w:ascii="宋体"/>
          <w:kern w:val="0"/>
          <w:sz w:val="24"/>
        </w:rPr>
        <w:t>本次招标项目的投标均以人民币报价。</w:t>
      </w:r>
    </w:p>
    <w:p>
      <w:pPr>
        <w:widowControl/>
        <w:shd w:val="clear" w:color="auto" w:fill="FFFFFF"/>
        <w:snapToGrid w:val="0"/>
        <w:spacing w:line="360" w:lineRule="auto"/>
        <w:rPr>
          <w:rFonts w:ascii="宋体"/>
          <w:b/>
          <w:bCs/>
          <w:kern w:val="0"/>
          <w:sz w:val="24"/>
        </w:rPr>
      </w:pPr>
      <w:r>
        <w:rPr>
          <w:rFonts w:hint="eastAsia" w:ascii="宋体" w:cs="宋体"/>
          <w:b/>
          <w:bCs/>
          <w:sz w:val="24"/>
        </w:rPr>
        <w:t>二、</w:t>
      </w:r>
      <w:r>
        <w:rPr>
          <w:rFonts w:hint="eastAsia" w:ascii="宋体" w:cs="宋体"/>
          <w:b/>
          <w:bCs/>
          <w:kern w:val="0"/>
          <w:sz w:val="24"/>
        </w:rPr>
        <w:t>投标报价</w:t>
      </w:r>
    </w:p>
    <w:p>
      <w:pPr>
        <w:widowControl/>
        <w:shd w:val="clear" w:color="auto" w:fill="FFFFFF"/>
        <w:snapToGrid w:val="0"/>
        <w:spacing w:line="360" w:lineRule="auto"/>
        <w:ind w:firstLine="480" w:firstLineChars="200"/>
        <w:rPr>
          <w:rFonts w:ascii="宋体"/>
          <w:kern w:val="0"/>
          <w:sz w:val="24"/>
        </w:rPr>
      </w:pPr>
      <w:r>
        <w:rPr>
          <w:rFonts w:ascii="宋体"/>
          <w:kern w:val="0"/>
          <w:sz w:val="24"/>
        </w:rPr>
        <w:t xml:space="preserve">2.1 </w:t>
      </w:r>
      <w:r>
        <w:rPr>
          <w:rFonts w:hint="eastAsia" w:ascii="宋体"/>
          <w:kern w:val="0"/>
          <w:sz w:val="24"/>
        </w:rPr>
        <w:t>投标人应当按“技术标准和服务要求”的规定进行综合报价，并填写“投标文件格式”中开标一览表（报价表）的投标报价表。</w:t>
      </w:r>
    </w:p>
    <w:p>
      <w:pPr>
        <w:widowControl/>
        <w:shd w:val="clear" w:color="auto" w:fill="FFFFFF"/>
        <w:snapToGrid w:val="0"/>
        <w:spacing w:line="360" w:lineRule="auto"/>
        <w:ind w:firstLine="480" w:firstLineChars="200"/>
        <w:rPr>
          <w:rFonts w:ascii="宋体"/>
          <w:kern w:val="0"/>
          <w:sz w:val="24"/>
        </w:rPr>
      </w:pPr>
      <w:r>
        <w:rPr>
          <w:rFonts w:ascii="宋体"/>
          <w:kern w:val="0"/>
          <w:sz w:val="24"/>
        </w:rPr>
        <w:t xml:space="preserve">2.2 </w:t>
      </w:r>
      <w:r>
        <w:rPr>
          <w:rFonts w:hint="eastAsia" w:ascii="宋体"/>
          <w:b/>
          <w:bCs/>
          <w:kern w:val="0"/>
          <w:sz w:val="24"/>
        </w:rPr>
        <w:t>投标人的投标价格不能超出本项目预算金额</w:t>
      </w:r>
      <w:r>
        <w:rPr>
          <w:rFonts w:hint="eastAsia" w:ascii="宋体"/>
          <w:kern w:val="0"/>
          <w:sz w:val="24"/>
        </w:rPr>
        <w:t>。</w:t>
      </w:r>
    </w:p>
    <w:p>
      <w:pPr>
        <w:widowControl/>
        <w:shd w:val="clear" w:color="auto" w:fill="FFFFFF"/>
        <w:snapToGrid w:val="0"/>
        <w:spacing w:line="360" w:lineRule="auto"/>
        <w:ind w:firstLine="480" w:firstLineChars="200"/>
        <w:rPr>
          <w:rFonts w:ascii="宋体"/>
          <w:kern w:val="0"/>
          <w:sz w:val="24"/>
        </w:rPr>
      </w:pPr>
      <w:r>
        <w:rPr>
          <w:rFonts w:hint="eastAsia" w:ascii="宋体"/>
          <w:kern w:val="0"/>
          <w:sz w:val="24"/>
        </w:rPr>
        <w:t xml:space="preserve">2.3 </w:t>
      </w:r>
      <w:r>
        <w:rPr>
          <w:rFonts w:hint="eastAsia" w:ascii="宋体"/>
          <w:b/>
          <w:bCs/>
          <w:kern w:val="0"/>
          <w:sz w:val="24"/>
        </w:rPr>
        <w:t>为保证本项目质量，良好的售后服务，最低报价不作为中标的唯一依据</w:t>
      </w:r>
      <w:r>
        <w:rPr>
          <w:rFonts w:hint="eastAsia" w:ascii="宋体"/>
          <w:kern w:val="0"/>
          <w:sz w:val="24"/>
        </w:rPr>
        <w:t>。</w:t>
      </w:r>
    </w:p>
    <w:p>
      <w:pPr>
        <w:widowControl/>
        <w:shd w:val="clear" w:color="auto" w:fill="FFFFFF"/>
        <w:snapToGrid w:val="0"/>
        <w:spacing w:line="360" w:lineRule="auto"/>
        <w:ind w:firstLine="480" w:firstLineChars="200"/>
        <w:rPr>
          <w:rFonts w:ascii="宋体"/>
          <w:kern w:val="0"/>
          <w:sz w:val="24"/>
        </w:rPr>
      </w:pPr>
      <w:r>
        <w:rPr>
          <w:rFonts w:ascii="宋体"/>
          <w:kern w:val="0"/>
          <w:sz w:val="24"/>
        </w:rPr>
        <w:t>2.</w:t>
      </w:r>
      <w:r>
        <w:rPr>
          <w:rFonts w:hint="eastAsia" w:ascii="宋体"/>
          <w:kern w:val="0"/>
          <w:sz w:val="24"/>
        </w:rPr>
        <w:t>4投标人在投标截止时间前修改投标函中的投标报价的，应同时修改“投标文件格式”中开标一览表（报价表）的相应报价。</w:t>
      </w:r>
    </w:p>
    <w:p>
      <w:pPr>
        <w:widowControl/>
        <w:shd w:val="clear" w:color="auto" w:fill="FFFFFF"/>
        <w:snapToGrid w:val="0"/>
        <w:spacing w:line="360" w:lineRule="auto"/>
        <w:rPr>
          <w:rFonts w:ascii="宋体"/>
          <w:b/>
          <w:bCs/>
          <w:kern w:val="0"/>
          <w:sz w:val="24"/>
        </w:rPr>
      </w:pPr>
      <w:r>
        <w:rPr>
          <w:rFonts w:hint="eastAsia" w:ascii="宋体" w:cs="宋体"/>
          <w:b/>
          <w:bCs/>
          <w:sz w:val="24"/>
        </w:rPr>
        <w:t>三、</w:t>
      </w:r>
      <w:r>
        <w:rPr>
          <w:rFonts w:hint="eastAsia" w:ascii="宋体" w:cs="宋体"/>
          <w:b/>
          <w:bCs/>
          <w:kern w:val="0"/>
          <w:sz w:val="24"/>
        </w:rPr>
        <w:t>投标有效期</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sz w:val="24"/>
        </w:rPr>
        <w:t>3.1 在投标人须知前附表规定的投标有效期内，投标人不得要求撤销或修改其投标文件。</w:t>
      </w:r>
    </w:p>
    <w:p>
      <w:pPr>
        <w:spacing w:line="360" w:lineRule="auto"/>
        <w:ind w:firstLine="480" w:firstLineChars="200"/>
        <w:rPr>
          <w:rFonts w:ascii="宋体" w:cs="宋体"/>
          <w:sz w:val="24"/>
        </w:rPr>
      </w:pPr>
      <w:r>
        <w:rPr>
          <w:rFonts w:hint="eastAsia" w:ascii="宋体" w:cs="宋体"/>
          <w:kern w:val="0"/>
          <w:sz w:val="24"/>
        </w:rPr>
        <w:t>3.2 出现特殊情况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widowControl/>
        <w:shd w:val="clear" w:color="auto" w:fill="FFFFFF"/>
        <w:snapToGrid w:val="0"/>
        <w:spacing w:line="360" w:lineRule="auto"/>
        <w:rPr>
          <w:rFonts w:ascii="宋体"/>
          <w:b/>
          <w:bCs/>
          <w:kern w:val="0"/>
          <w:sz w:val="24"/>
        </w:rPr>
      </w:pPr>
      <w:r>
        <w:rPr>
          <w:rFonts w:hint="eastAsia" w:ascii="宋体"/>
          <w:b/>
          <w:bCs/>
          <w:kern w:val="0"/>
          <w:sz w:val="24"/>
        </w:rPr>
        <w:t>四、投标保证金</w:t>
      </w:r>
    </w:p>
    <w:p>
      <w:pPr>
        <w:spacing w:line="360" w:lineRule="auto"/>
        <w:ind w:firstLine="480" w:firstLineChars="200"/>
        <w:jc w:val="left"/>
        <w:rPr>
          <w:rFonts w:ascii="宋体" w:cs="宋体"/>
          <w:sz w:val="24"/>
        </w:rPr>
      </w:pPr>
      <w:r>
        <w:rPr>
          <w:rFonts w:hint="eastAsia" w:ascii="宋体" w:cs="宋体"/>
          <w:sz w:val="24"/>
        </w:rPr>
        <w:t>4.1投标人在递交投标文件的同时，应按投标人须知前附表规定的金额、担保形式和</w:t>
      </w:r>
      <w:r>
        <w:rPr>
          <w:rFonts w:hint="eastAsia" w:ascii="宋体" w:cs="宋体"/>
          <w:b/>
          <w:bCs/>
          <w:sz w:val="24"/>
        </w:rPr>
        <w:t>“</w:t>
      </w:r>
      <w:r>
        <w:rPr>
          <w:rFonts w:hint="eastAsia" w:ascii="宋体" w:cs="宋体"/>
          <w:sz w:val="24"/>
        </w:rPr>
        <w:t>投标文件格式</w:t>
      </w:r>
      <w:r>
        <w:rPr>
          <w:rFonts w:hint="eastAsia" w:ascii="宋体" w:cs="宋体"/>
          <w:b/>
          <w:bCs/>
          <w:sz w:val="24"/>
        </w:rPr>
        <w:t>”</w:t>
      </w:r>
      <w:r>
        <w:rPr>
          <w:rFonts w:hint="eastAsia" w:ascii="宋体" w:cs="宋体"/>
          <w:sz w:val="24"/>
        </w:rPr>
        <w:t>规定的投标保证金格式递交投标保证金，并作为其投标文件的组成部分。联合体投标的，其投标保证金由牵头人递交，并应符合投标人须知前附表的规定。</w:t>
      </w:r>
    </w:p>
    <w:p>
      <w:pPr>
        <w:spacing w:line="360" w:lineRule="auto"/>
        <w:ind w:firstLine="480" w:firstLineChars="200"/>
        <w:jc w:val="left"/>
        <w:rPr>
          <w:rFonts w:ascii="宋体" w:cs="宋体"/>
          <w:kern w:val="0"/>
          <w:sz w:val="24"/>
        </w:rPr>
      </w:pPr>
      <w:r>
        <w:rPr>
          <w:rFonts w:hint="eastAsia" w:ascii="宋体" w:cs="宋体"/>
          <w:kern w:val="0"/>
          <w:sz w:val="24"/>
        </w:rPr>
        <w:t>4.2投标人不按本章第4.1项要求提交投标保证金的，其投标文件作废标处理。</w:t>
      </w:r>
    </w:p>
    <w:p>
      <w:pPr>
        <w:spacing w:line="360" w:lineRule="auto"/>
        <w:ind w:firstLine="480" w:firstLineChars="200"/>
        <w:jc w:val="left"/>
        <w:rPr>
          <w:rFonts w:ascii="宋体" w:cs="宋体"/>
          <w:b/>
          <w:bCs/>
          <w:kern w:val="0"/>
          <w:sz w:val="24"/>
        </w:rPr>
      </w:pPr>
      <w:r>
        <w:rPr>
          <w:rFonts w:hint="eastAsia" w:ascii="宋体" w:cs="宋体"/>
          <w:kern w:val="0"/>
          <w:sz w:val="24"/>
        </w:rPr>
        <w:t>4.3投标保证金有效期与投标有效期一致。</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4.4投标保证金退还</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⑴</w:t>
      </w:r>
      <w:r>
        <w:rPr>
          <w:rFonts w:ascii="宋体" w:hAnsi="宋体" w:cs="宋体"/>
          <w:sz w:val="24"/>
        </w:rPr>
        <w:t>投标人所交纳的投标保证金不计利息。</w:t>
      </w:r>
    </w:p>
    <w:p>
      <w:pPr>
        <w:widowControl/>
        <w:shd w:val="clear" w:color="auto" w:fill="FFFFFF"/>
        <w:snapToGrid w:val="0"/>
        <w:spacing w:line="360" w:lineRule="auto"/>
        <w:ind w:firstLine="480" w:firstLineChars="200"/>
        <w:rPr>
          <w:rFonts w:ascii="宋体" w:hAnsi="宋体" w:cs="宋体"/>
          <w:sz w:val="24"/>
        </w:rPr>
      </w:pPr>
      <w:r>
        <w:rPr>
          <w:rFonts w:hint="eastAsia" w:ascii="宋体" w:cs="宋体"/>
          <w:kern w:val="0"/>
          <w:sz w:val="24"/>
        </w:rPr>
        <w:t>⑵</w:t>
      </w:r>
      <w:r>
        <w:rPr>
          <w:rFonts w:hint="eastAsia" w:asciiTheme="minorEastAsia" w:hAnsiTheme="minorEastAsia" w:eastAsiaTheme="minorEastAsia" w:cstheme="minorEastAsia"/>
          <w:kern w:val="0"/>
          <w:sz w:val="24"/>
        </w:rPr>
        <w:t xml:space="preserve"> 中标公示期满后，</w:t>
      </w:r>
      <w:r>
        <w:rPr>
          <w:rFonts w:ascii="宋体" w:hAnsi="宋体" w:cs="宋体"/>
          <w:sz w:val="24"/>
        </w:rPr>
        <w:t>未</w:t>
      </w:r>
      <w:r>
        <w:rPr>
          <w:rFonts w:hint="eastAsia" w:ascii="宋体" w:hAnsi="宋体" w:cs="宋体"/>
          <w:sz w:val="24"/>
        </w:rPr>
        <w:t>成交人</w:t>
      </w:r>
      <w:r>
        <w:rPr>
          <w:rFonts w:ascii="宋体" w:hAnsi="宋体" w:cs="宋体"/>
          <w:sz w:val="24"/>
        </w:rPr>
        <w:t>的投标保证金，将在中标通知书发出后五个工作日内原渠道退还缴款账户。</w:t>
      </w:r>
    </w:p>
    <w:p>
      <w:pPr>
        <w:widowControl/>
        <w:shd w:val="clear" w:color="auto" w:fill="FFFFFF"/>
        <w:snapToGrid w:val="0"/>
        <w:spacing w:line="360" w:lineRule="auto"/>
        <w:ind w:firstLine="480" w:firstLineChars="200"/>
        <w:rPr>
          <w:rFonts w:ascii="宋体" w:hAnsi="宋体" w:cs="宋体"/>
          <w:sz w:val="24"/>
        </w:rPr>
      </w:pPr>
      <w:r>
        <w:rPr>
          <w:rFonts w:hint="eastAsia" w:asciiTheme="minorEastAsia" w:hAnsiTheme="minorEastAsia" w:eastAsiaTheme="minorEastAsia" w:cstheme="minorEastAsia"/>
          <w:kern w:val="0"/>
          <w:sz w:val="24"/>
        </w:rPr>
        <w:t>⑶ 中标公示期满后，</w:t>
      </w:r>
      <w:r>
        <w:rPr>
          <w:rFonts w:hint="eastAsia" w:ascii="宋体" w:hAnsi="宋体" w:cs="宋体"/>
          <w:sz w:val="24"/>
        </w:rPr>
        <w:t>成交人</w:t>
      </w:r>
      <w:r>
        <w:rPr>
          <w:rFonts w:ascii="宋体" w:hAnsi="宋体" w:cs="宋体"/>
          <w:sz w:val="24"/>
        </w:rPr>
        <w:t>的投标保证金，在</w:t>
      </w:r>
      <w:r>
        <w:rPr>
          <w:rFonts w:hint="eastAsia" w:asciiTheme="minorEastAsia" w:hAnsiTheme="minorEastAsia" w:eastAsiaTheme="minorEastAsia" w:cstheme="minorEastAsia"/>
          <w:kern w:val="0"/>
          <w:sz w:val="24"/>
        </w:rPr>
        <w:t>与招标人</w:t>
      </w:r>
      <w:r>
        <w:rPr>
          <w:rFonts w:ascii="宋体" w:hAnsi="宋体" w:cs="宋体"/>
          <w:sz w:val="24"/>
        </w:rPr>
        <w:t>合同签订生效后</w:t>
      </w:r>
      <w:r>
        <w:rPr>
          <w:rFonts w:hint="eastAsia" w:asciiTheme="minorEastAsia" w:hAnsiTheme="minorEastAsia" w:eastAsiaTheme="minorEastAsia" w:cstheme="minorEastAsia"/>
          <w:kern w:val="0"/>
          <w:sz w:val="24"/>
        </w:rPr>
        <w:t>按招标文件要求提交相应资料后</w:t>
      </w:r>
      <w:r>
        <w:rPr>
          <w:rFonts w:ascii="宋体" w:hAnsi="宋体" w:cs="宋体"/>
          <w:sz w:val="24"/>
        </w:rPr>
        <w:t>五个工作日内全额退还。</w:t>
      </w:r>
    </w:p>
    <w:p>
      <w:pPr>
        <w:widowControl/>
        <w:shd w:val="clear" w:color="auto" w:fill="FFFFFF"/>
        <w:snapToGrid w:val="0"/>
        <w:spacing w:line="360" w:lineRule="auto"/>
        <w:ind w:firstLine="480" w:firstLineChars="200"/>
        <w:rPr>
          <w:rFonts w:ascii="宋体" w:cs="宋体"/>
          <w:kern w:val="0"/>
          <w:sz w:val="24"/>
        </w:rPr>
      </w:pPr>
      <w:r>
        <w:rPr>
          <w:rFonts w:hint="eastAsia" w:ascii="宋体" w:hAnsi="宋体" w:cs="宋体"/>
          <w:sz w:val="24"/>
        </w:rPr>
        <w:t xml:space="preserve">⑷ </w:t>
      </w:r>
      <w:r>
        <w:rPr>
          <w:rFonts w:ascii="宋体" w:hAnsi="宋体" w:cs="宋体"/>
          <w:sz w:val="24"/>
        </w:rPr>
        <w:t>因供应商涉嫌违法违规，按照规定应当不予退还保证金的，有关部门处理认定违法违规行为期间的，以及因投标人自身原因导致无法及时退还的不计入退还保证金时限之内。</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4.5</w:t>
      </w:r>
      <w:r>
        <w:rPr>
          <w:rFonts w:hint="eastAsia" w:ascii="宋体" w:cs="宋体"/>
          <w:b/>
          <w:bCs/>
          <w:kern w:val="0"/>
          <w:sz w:val="24"/>
        </w:rPr>
        <w:t>有下列情形之一的，投标保证金将不予退还</w:t>
      </w:r>
      <w:r>
        <w:rPr>
          <w:rFonts w:hint="eastAsia" w:ascii="宋体" w:cs="宋体"/>
          <w:kern w:val="0"/>
          <w:sz w:val="24"/>
        </w:rPr>
        <w:t>：</w:t>
      </w:r>
    </w:p>
    <w:p>
      <w:pPr>
        <w:widowControl/>
        <w:shd w:val="clear" w:color="auto" w:fill="FFFFFF"/>
        <w:snapToGrid w:val="0"/>
        <w:spacing w:line="360" w:lineRule="auto"/>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⑴ 投标人</w:t>
      </w:r>
      <w:r>
        <w:rPr>
          <w:rFonts w:ascii="宋体" w:hAnsi="宋体" w:cs="宋体"/>
          <w:sz w:val="24"/>
        </w:rPr>
        <w:t>在</w:t>
      </w:r>
      <w:r>
        <w:rPr>
          <w:rFonts w:hint="eastAsia" w:asciiTheme="minorEastAsia" w:hAnsiTheme="minorEastAsia" w:eastAsiaTheme="minorEastAsia" w:cstheme="minorEastAsia"/>
          <w:kern w:val="0"/>
          <w:sz w:val="24"/>
        </w:rPr>
        <w:t>投标</w:t>
      </w:r>
      <w:r>
        <w:rPr>
          <w:rFonts w:ascii="宋体" w:hAnsi="宋体" w:cs="宋体"/>
          <w:sz w:val="24"/>
        </w:rPr>
        <w:t>文件规定的投标有效期内撤回</w:t>
      </w:r>
      <w:r>
        <w:rPr>
          <w:rFonts w:hint="eastAsia" w:asciiTheme="minorEastAsia" w:hAnsiTheme="minorEastAsia" w:eastAsiaTheme="minorEastAsia" w:cstheme="minorEastAsia"/>
          <w:kern w:val="0"/>
          <w:sz w:val="24"/>
        </w:rPr>
        <w:t>投标</w:t>
      </w:r>
      <w:r>
        <w:rPr>
          <w:rFonts w:ascii="宋体" w:hAnsi="宋体" w:cs="宋体"/>
          <w:sz w:val="24"/>
        </w:rPr>
        <w:t>文件的</w:t>
      </w:r>
      <w:r>
        <w:rPr>
          <w:rFonts w:hint="eastAsia" w:asciiTheme="minorEastAsia" w:hAnsiTheme="minorEastAsia" w:eastAsiaTheme="minorEastAsia" w:cstheme="minorEastAsia"/>
          <w:kern w:val="0"/>
          <w:sz w:val="24"/>
        </w:rPr>
        <w:t>；</w:t>
      </w:r>
    </w:p>
    <w:p>
      <w:pPr>
        <w:widowControl/>
        <w:shd w:val="clear" w:color="auto" w:fill="FFFFFF"/>
        <w:snapToGrid w:val="0"/>
        <w:spacing w:line="360" w:lineRule="auto"/>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 xml:space="preserve">⑵ </w:t>
      </w:r>
      <w:r>
        <w:rPr>
          <w:rFonts w:ascii="宋体" w:hAnsi="宋体" w:cs="宋体"/>
          <w:sz w:val="24"/>
        </w:rPr>
        <w:t>在采购人确定</w:t>
      </w:r>
      <w:r>
        <w:rPr>
          <w:rFonts w:hint="eastAsia" w:ascii="宋体" w:hAnsi="宋体" w:cs="宋体"/>
          <w:sz w:val="24"/>
        </w:rPr>
        <w:t>中标人</w:t>
      </w:r>
      <w:r>
        <w:rPr>
          <w:rFonts w:ascii="宋体" w:hAnsi="宋体" w:cs="宋体"/>
          <w:sz w:val="24"/>
        </w:rPr>
        <w:t>以前无正当理由放弃中标候选资格的</w:t>
      </w:r>
      <w:r>
        <w:rPr>
          <w:rFonts w:hint="eastAsia" w:asciiTheme="minorEastAsia" w:hAnsiTheme="minorEastAsia" w:eastAsiaTheme="minorEastAsia" w:cstheme="minorEastAsia"/>
          <w:kern w:val="0"/>
          <w:sz w:val="24"/>
        </w:rPr>
        <w:t>；</w:t>
      </w:r>
    </w:p>
    <w:p>
      <w:pPr>
        <w:widowControl/>
        <w:shd w:val="clear" w:color="auto" w:fill="FFFFFF"/>
        <w:snapToGrid w:val="0"/>
        <w:spacing w:line="360" w:lineRule="auto"/>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 xml:space="preserve">⑶ </w:t>
      </w:r>
      <w:r>
        <w:rPr>
          <w:rFonts w:ascii="宋体" w:hAnsi="宋体" w:cs="宋体"/>
          <w:sz w:val="24"/>
        </w:rPr>
        <w:t>因</w:t>
      </w:r>
      <w:r>
        <w:rPr>
          <w:rFonts w:hint="eastAsia" w:asciiTheme="minorEastAsia" w:hAnsiTheme="minorEastAsia" w:eastAsiaTheme="minorEastAsia" w:cstheme="minorEastAsia"/>
          <w:kern w:val="0"/>
          <w:sz w:val="24"/>
        </w:rPr>
        <w:t>投标</w:t>
      </w:r>
      <w:r>
        <w:rPr>
          <w:rFonts w:hint="eastAsia" w:ascii="宋体" w:hAnsi="宋体" w:cs="宋体"/>
          <w:sz w:val="24"/>
        </w:rPr>
        <w:t>人</w:t>
      </w:r>
      <w:r>
        <w:rPr>
          <w:rFonts w:ascii="宋体" w:hAnsi="宋体" w:cs="宋体"/>
          <w:sz w:val="24"/>
        </w:rPr>
        <w:t>自身原因放弃中标的</w:t>
      </w:r>
      <w:r>
        <w:rPr>
          <w:rFonts w:hint="eastAsia" w:asciiTheme="minorEastAsia" w:hAnsiTheme="minorEastAsia" w:eastAsiaTheme="minorEastAsia" w:cstheme="minorEastAsia"/>
          <w:kern w:val="0"/>
          <w:sz w:val="24"/>
        </w:rPr>
        <w:t>；</w:t>
      </w:r>
    </w:p>
    <w:p>
      <w:pPr>
        <w:widowControl/>
        <w:shd w:val="clear" w:color="auto" w:fill="FFFFFF"/>
        <w:snapToGrid w:val="0"/>
        <w:spacing w:line="360" w:lineRule="auto"/>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 xml:space="preserve">⑷ </w:t>
      </w:r>
      <w:r>
        <w:rPr>
          <w:rFonts w:ascii="宋体" w:hAnsi="宋体" w:cs="宋体"/>
          <w:sz w:val="24"/>
        </w:rPr>
        <w:t>由于</w:t>
      </w:r>
      <w:r>
        <w:rPr>
          <w:rFonts w:hint="eastAsia" w:asciiTheme="minorEastAsia" w:hAnsiTheme="minorEastAsia" w:eastAsiaTheme="minorEastAsia" w:cstheme="minorEastAsia"/>
          <w:kern w:val="0"/>
          <w:sz w:val="24"/>
        </w:rPr>
        <w:t>投标</w:t>
      </w:r>
      <w:r>
        <w:rPr>
          <w:rFonts w:hint="eastAsia" w:ascii="宋体" w:hAnsi="宋体" w:cs="宋体"/>
          <w:sz w:val="24"/>
        </w:rPr>
        <w:t>人</w:t>
      </w:r>
      <w:r>
        <w:rPr>
          <w:rFonts w:ascii="宋体" w:hAnsi="宋体" w:cs="宋体"/>
          <w:sz w:val="24"/>
        </w:rPr>
        <w:t>的原因拒绝与采购人签订合同的</w:t>
      </w:r>
      <w:r>
        <w:rPr>
          <w:rFonts w:hint="eastAsia" w:asciiTheme="minorEastAsia" w:hAnsiTheme="minorEastAsia" w:eastAsiaTheme="minorEastAsia" w:cstheme="minorEastAsia"/>
          <w:kern w:val="0"/>
          <w:sz w:val="24"/>
        </w:rPr>
        <w:t>；</w:t>
      </w:r>
    </w:p>
    <w:p>
      <w:pPr>
        <w:widowControl/>
        <w:shd w:val="clear" w:color="auto" w:fill="FFFFFF"/>
        <w:snapToGrid w:val="0"/>
        <w:spacing w:line="360" w:lineRule="auto"/>
        <w:ind w:firstLine="480" w:firstLineChars="200"/>
        <w:rPr>
          <w:rFonts w:asciiTheme="minorEastAsia" w:hAnsiTheme="minorEastAsia" w:eastAsiaTheme="minorEastAsia" w:cstheme="minorEastAsia"/>
          <w:kern w:val="0"/>
          <w:sz w:val="24"/>
        </w:rPr>
      </w:pPr>
      <w:r>
        <w:rPr>
          <w:rFonts w:hint="eastAsia" w:ascii="宋体" w:hAnsi="宋体" w:cs="宋体"/>
          <w:kern w:val="0"/>
          <w:sz w:val="24"/>
        </w:rPr>
        <w:t>⑸</w:t>
      </w:r>
      <w:r>
        <w:rPr>
          <w:rFonts w:ascii="宋体" w:hAnsi="宋体" w:cs="宋体"/>
          <w:sz w:val="24"/>
        </w:rPr>
        <w:t>由于</w:t>
      </w:r>
      <w:r>
        <w:rPr>
          <w:rFonts w:hint="eastAsia" w:asciiTheme="minorEastAsia" w:hAnsiTheme="minorEastAsia" w:eastAsiaTheme="minorEastAsia" w:cstheme="minorEastAsia"/>
          <w:kern w:val="0"/>
          <w:sz w:val="24"/>
        </w:rPr>
        <w:t>投标</w:t>
      </w:r>
      <w:r>
        <w:rPr>
          <w:rFonts w:hint="eastAsia" w:ascii="宋体" w:hAnsi="宋体" w:cs="宋体"/>
          <w:sz w:val="24"/>
        </w:rPr>
        <w:t>人</w:t>
      </w:r>
      <w:r>
        <w:rPr>
          <w:rFonts w:ascii="宋体" w:hAnsi="宋体" w:cs="宋体"/>
          <w:sz w:val="24"/>
        </w:rPr>
        <w:t>的原因未能按照</w:t>
      </w:r>
      <w:r>
        <w:rPr>
          <w:rFonts w:hint="eastAsia" w:ascii="宋体" w:hAnsi="宋体" w:cs="宋体"/>
          <w:sz w:val="24"/>
        </w:rPr>
        <w:t>招标</w:t>
      </w:r>
      <w:r>
        <w:rPr>
          <w:rFonts w:ascii="宋体" w:hAnsi="宋体" w:cs="宋体"/>
          <w:sz w:val="24"/>
        </w:rPr>
        <w:t>文件的规定交纳履约保证金的</w:t>
      </w:r>
      <w:r>
        <w:rPr>
          <w:rFonts w:hint="eastAsia" w:asciiTheme="minorEastAsia" w:hAnsiTheme="minorEastAsia" w:eastAsiaTheme="minorEastAsia" w:cstheme="minorEastAsia"/>
          <w:kern w:val="0"/>
          <w:sz w:val="24"/>
        </w:rPr>
        <w:t>；</w:t>
      </w:r>
    </w:p>
    <w:p>
      <w:pPr>
        <w:widowControl/>
        <w:shd w:val="clear" w:color="auto" w:fill="FFFFFF"/>
        <w:snapToGrid w:val="0"/>
        <w:spacing w:line="360" w:lineRule="auto"/>
        <w:ind w:firstLine="480" w:firstLineChars="200"/>
        <w:rPr>
          <w:rFonts w:asciiTheme="minorEastAsia" w:hAnsiTheme="minorEastAsia" w:eastAsiaTheme="minorEastAsia" w:cstheme="minorEastAsia"/>
          <w:kern w:val="0"/>
          <w:sz w:val="24"/>
        </w:rPr>
      </w:pPr>
      <w:r>
        <w:rPr>
          <w:rFonts w:hint="eastAsia" w:ascii="宋体" w:hAnsi="宋体" w:cs="宋体"/>
          <w:kern w:val="0"/>
          <w:sz w:val="24"/>
        </w:rPr>
        <w:t>⑹</w:t>
      </w:r>
      <w:r>
        <w:rPr>
          <w:rFonts w:ascii="宋体" w:hAnsi="宋体" w:cs="宋体"/>
          <w:sz w:val="24"/>
        </w:rPr>
        <w:t>投标人提供虚假资料的；</w:t>
      </w:r>
    </w:p>
    <w:p>
      <w:pPr>
        <w:widowControl/>
        <w:shd w:val="clear" w:color="auto" w:fill="FFFFFF"/>
        <w:snapToGrid w:val="0"/>
        <w:spacing w:line="360" w:lineRule="auto"/>
        <w:ind w:firstLine="480" w:firstLineChars="200"/>
        <w:rPr>
          <w:rFonts w:asciiTheme="minorEastAsia" w:hAnsiTheme="minorEastAsia" w:eastAsiaTheme="minorEastAsia" w:cstheme="minorEastAsia"/>
          <w:kern w:val="0"/>
          <w:sz w:val="24"/>
        </w:rPr>
      </w:pPr>
      <w:r>
        <w:rPr>
          <w:rFonts w:hint="eastAsia" w:ascii="宋体" w:hAnsi="宋体" w:cs="宋体"/>
          <w:kern w:val="0"/>
          <w:sz w:val="24"/>
        </w:rPr>
        <w:t>⑺</w:t>
      </w:r>
      <w:r>
        <w:rPr>
          <w:rFonts w:ascii="宋体" w:hAnsi="宋体" w:cs="宋体"/>
          <w:sz w:val="24"/>
        </w:rPr>
        <w:t>投标有效期内，投标人在政府采购活动中有违法、违规、违纪行为的；</w:t>
      </w:r>
    </w:p>
    <w:p>
      <w:pPr>
        <w:spacing w:line="360" w:lineRule="auto"/>
        <w:ind w:firstLine="480" w:firstLineChars="200"/>
        <w:jc w:val="left"/>
      </w:pPr>
      <w:r>
        <w:rPr>
          <w:rFonts w:hint="eastAsia" w:ascii="宋体" w:hAnsi="宋体" w:cs="宋体"/>
          <w:kern w:val="0"/>
          <w:sz w:val="24"/>
        </w:rPr>
        <w:t>⑻</w:t>
      </w:r>
      <w:r>
        <w:rPr>
          <w:rFonts w:ascii="宋体" w:hAnsi="宋体" w:cs="宋体"/>
          <w:sz w:val="24"/>
        </w:rPr>
        <w:t>投标有效期内，投标人未按照规定程序进行质疑、投诉，或者采取其他方式恶意诋毁采购人、采购代理机构以及其他投标人，影响和干扰正常政府采购秩序的</w:t>
      </w:r>
      <w:r>
        <w:rPr>
          <w:rFonts w:hint="eastAsia" w:ascii="宋体" w:cs="宋体"/>
          <w:kern w:val="0"/>
          <w:sz w:val="24"/>
        </w:rPr>
        <w:t>。</w:t>
      </w:r>
    </w:p>
    <w:p>
      <w:pPr>
        <w:spacing w:line="360" w:lineRule="auto"/>
        <w:jc w:val="left"/>
        <w:rPr>
          <w:rFonts w:ascii="宋体" w:cs="宋体"/>
          <w:b/>
          <w:bCs/>
          <w:color w:val="000000"/>
          <w:sz w:val="24"/>
        </w:rPr>
      </w:pPr>
      <w:r>
        <w:rPr>
          <w:rFonts w:hint="eastAsia" w:ascii="宋体"/>
          <w:b/>
          <w:bCs/>
          <w:kern w:val="0"/>
          <w:sz w:val="24"/>
        </w:rPr>
        <w:t>五、投标文件的</w:t>
      </w:r>
      <w:r>
        <w:rPr>
          <w:rFonts w:hint="eastAsia" w:ascii="宋体" w:cs="宋体"/>
          <w:b/>
          <w:bCs/>
          <w:color w:val="000000"/>
          <w:sz w:val="24"/>
        </w:rPr>
        <w:t>密封</w:t>
      </w:r>
    </w:p>
    <w:p>
      <w:pPr>
        <w:widowControl/>
        <w:shd w:val="clear" w:color="auto" w:fill="FFFFFF"/>
        <w:snapToGrid w:val="0"/>
        <w:spacing w:line="360" w:lineRule="auto"/>
        <w:ind w:firstLine="480" w:firstLineChars="200"/>
        <w:rPr>
          <w:rFonts w:ascii="宋体"/>
          <w:kern w:val="0"/>
          <w:sz w:val="24"/>
        </w:rPr>
      </w:pPr>
      <w:r>
        <w:rPr>
          <w:rFonts w:hint="eastAsia" w:ascii="宋体"/>
          <w:kern w:val="0"/>
          <w:sz w:val="24"/>
        </w:rPr>
        <w:t>5.1 投标文件应按“投标文件格式”进行编写，如有必要，可以增加附页，作为投标文件的组成部分。其中，</w:t>
      </w:r>
      <w:r>
        <w:rPr>
          <w:rFonts w:hint="eastAsia" w:ascii="宋体"/>
          <w:b/>
          <w:bCs/>
          <w:kern w:val="0"/>
          <w:sz w:val="24"/>
        </w:rPr>
        <w:t>投标函附录在满足招标文件实质性要求的基础上，可以提出比招标文件要求更有利于招标人的承诺</w:t>
      </w:r>
      <w:r>
        <w:rPr>
          <w:rFonts w:hint="eastAsia" w:ascii="宋体"/>
          <w:kern w:val="0"/>
          <w:sz w:val="24"/>
        </w:rPr>
        <w:t>。</w:t>
      </w:r>
    </w:p>
    <w:p>
      <w:pPr>
        <w:widowControl/>
        <w:shd w:val="clear" w:color="auto" w:fill="FFFFFF"/>
        <w:snapToGrid w:val="0"/>
        <w:spacing w:line="360" w:lineRule="auto"/>
        <w:ind w:firstLine="480" w:firstLineChars="200"/>
        <w:rPr>
          <w:rFonts w:ascii="宋体"/>
          <w:kern w:val="0"/>
          <w:sz w:val="24"/>
        </w:rPr>
      </w:pPr>
      <w:r>
        <w:rPr>
          <w:rFonts w:hint="eastAsia" w:ascii="宋体"/>
          <w:kern w:val="0"/>
          <w:sz w:val="24"/>
        </w:rPr>
        <w:t>5.2投标文件应当对招标文件有关供货期、投标有效期、质量要求、技术标准和要求、招标范围等实质性内容作出响应。</w:t>
      </w:r>
    </w:p>
    <w:p>
      <w:pPr>
        <w:widowControl/>
        <w:shd w:val="clear" w:color="auto" w:fill="FFFFFF"/>
        <w:snapToGrid w:val="0"/>
        <w:spacing w:line="360" w:lineRule="auto"/>
        <w:ind w:firstLine="480" w:firstLineChars="200"/>
        <w:rPr>
          <w:rFonts w:ascii="宋体"/>
          <w:kern w:val="0"/>
          <w:sz w:val="24"/>
        </w:rPr>
      </w:pPr>
      <w:r>
        <w:rPr>
          <w:rFonts w:hint="eastAsia" w:ascii="宋体"/>
          <w:kern w:val="0"/>
          <w:sz w:val="24"/>
        </w:rPr>
        <w:t>5.3</w:t>
      </w:r>
      <w:r>
        <w:rPr>
          <w:rFonts w:hint="eastAsia" w:ascii="宋体"/>
          <w:sz w:val="24"/>
        </w:rPr>
        <w:t>加密的电子投标文件应在递交截止时间前通过政采云平台上传完成。</w:t>
      </w:r>
    </w:p>
    <w:p>
      <w:pPr>
        <w:widowControl/>
        <w:shd w:val="clear" w:color="auto" w:fill="FFFFFF"/>
        <w:snapToGrid w:val="0"/>
        <w:spacing w:line="360" w:lineRule="auto"/>
        <w:ind w:firstLine="480" w:firstLineChars="200"/>
        <w:rPr>
          <w:rFonts w:ascii="宋体"/>
          <w:kern w:val="0"/>
          <w:sz w:val="24"/>
        </w:rPr>
      </w:pPr>
      <w:r>
        <w:rPr>
          <w:rFonts w:hint="eastAsia" w:ascii="宋体"/>
          <w:kern w:val="0"/>
          <w:sz w:val="24"/>
        </w:rPr>
        <w:t xml:space="preserve">5.4 </w:t>
      </w:r>
      <w:r>
        <w:rPr>
          <w:rFonts w:hint="eastAsia" w:ascii="宋体"/>
          <w:sz w:val="24"/>
        </w:rPr>
        <w:t>投标文件开启当日，供应商无需到达开标现场，仅需通过政采云平台“不见面”开标大厅完成远程解密。大厅操作提示：①开标前一小时在系统进行在线签到②30分钟内完成在线解密③开标结束后30分钟内完成“开标一览表”在线签章。注意：如未在规定时间进行以上操作，将导致投标（响应）无效。</w:t>
      </w:r>
    </w:p>
    <w:p>
      <w:pPr>
        <w:widowControl/>
        <w:shd w:val="clear" w:color="auto" w:fill="FFFFFF"/>
        <w:snapToGrid w:val="0"/>
        <w:spacing w:line="360" w:lineRule="auto"/>
        <w:ind w:firstLine="482" w:firstLineChars="200"/>
        <w:rPr>
          <w:rFonts w:ascii="宋体" w:cs="宋体"/>
          <w:b/>
          <w:bCs/>
          <w:kern w:val="0"/>
          <w:sz w:val="24"/>
        </w:rPr>
      </w:pPr>
      <w:r>
        <w:rPr>
          <w:rFonts w:hint="eastAsia" w:ascii="宋体" w:cs="宋体"/>
          <w:b/>
          <w:bCs/>
          <w:kern w:val="0"/>
          <w:sz w:val="24"/>
        </w:rPr>
        <w:t>5.5当出现下列情形之一，投标文件将予以退回：</w:t>
      </w:r>
    </w:p>
    <w:p>
      <w:pPr>
        <w:spacing w:line="440" w:lineRule="exact"/>
        <w:ind w:firstLine="480" w:firstLineChars="200"/>
        <w:rPr>
          <w:rFonts w:ascii="宋体"/>
          <w:sz w:val="24"/>
        </w:rPr>
      </w:pPr>
      <w:r>
        <w:rPr>
          <w:rFonts w:hint="eastAsia" w:ascii="宋体"/>
          <w:sz w:val="24"/>
        </w:rPr>
        <w:t>（1）供应商在投标文件递交截止时间前未成功上传加密电子投标文件；</w:t>
      </w:r>
    </w:p>
    <w:p>
      <w:pPr>
        <w:spacing w:line="440" w:lineRule="exact"/>
        <w:ind w:firstLine="480" w:firstLineChars="200"/>
        <w:rPr>
          <w:rFonts w:ascii="宋体"/>
          <w:sz w:val="24"/>
        </w:rPr>
      </w:pPr>
      <w:r>
        <w:rPr>
          <w:rFonts w:hint="eastAsia" w:ascii="宋体"/>
          <w:sz w:val="24"/>
        </w:rPr>
        <w:t>（2）供应商使用解密的CA数字证书与上传加密投标文件使用的CA数字证书不一致；</w:t>
      </w:r>
    </w:p>
    <w:p>
      <w:pPr>
        <w:spacing w:line="440" w:lineRule="exact"/>
        <w:ind w:firstLine="480" w:firstLineChars="200"/>
        <w:rPr>
          <w:rFonts w:ascii="宋体"/>
          <w:sz w:val="24"/>
        </w:rPr>
      </w:pPr>
      <w:r>
        <w:rPr>
          <w:rFonts w:hint="eastAsia" w:ascii="宋体"/>
          <w:sz w:val="24"/>
        </w:rPr>
        <w:t>（3）供应商解密时CA数字证书已过期，导致无法正常解密；</w:t>
      </w:r>
    </w:p>
    <w:p>
      <w:pPr>
        <w:spacing w:line="440" w:lineRule="exact"/>
        <w:ind w:firstLine="480" w:firstLineChars="200"/>
        <w:rPr>
          <w:rFonts w:ascii="宋体"/>
          <w:sz w:val="24"/>
        </w:rPr>
      </w:pPr>
      <w:r>
        <w:rPr>
          <w:rFonts w:hint="eastAsia" w:ascii="宋体"/>
          <w:sz w:val="24"/>
        </w:rPr>
        <w:t>（4）加密投标文件时，CA数字证书未过期，解密时，显示CA数字证书已过期，导致无法正常解密；</w:t>
      </w:r>
    </w:p>
    <w:p>
      <w:pPr>
        <w:spacing w:line="440" w:lineRule="exact"/>
        <w:ind w:firstLine="480" w:firstLineChars="200"/>
        <w:rPr>
          <w:rFonts w:ascii="宋体"/>
          <w:sz w:val="24"/>
        </w:rPr>
      </w:pPr>
      <w:r>
        <w:rPr>
          <w:rFonts w:hint="eastAsia" w:ascii="宋体"/>
          <w:sz w:val="24"/>
        </w:rPr>
        <w:t>（5）未在规定的投标文件解密时间内进行解密的；</w:t>
      </w:r>
    </w:p>
    <w:p>
      <w:pPr>
        <w:spacing w:line="440" w:lineRule="exact"/>
        <w:ind w:firstLine="480" w:firstLineChars="200"/>
        <w:rPr>
          <w:rFonts w:ascii="宋体"/>
          <w:sz w:val="24"/>
        </w:rPr>
      </w:pPr>
      <w:r>
        <w:rPr>
          <w:rFonts w:hint="eastAsia" w:ascii="宋体"/>
          <w:sz w:val="24"/>
        </w:rPr>
        <w:t>（6）供应商个人原因导致无法解密的其他情形。</w:t>
      </w:r>
    </w:p>
    <w:p>
      <w:pPr>
        <w:widowControl/>
        <w:shd w:val="clear" w:color="auto" w:fill="FFFFFF"/>
        <w:snapToGrid w:val="0"/>
        <w:spacing w:line="360" w:lineRule="auto"/>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5.6供应商需在投标截止时间前自行测试开标时使用的计算机，如因供应商自身原因导致投标文件解密失败的，由供应商自行承担相应后果。</w:t>
      </w:r>
    </w:p>
    <w:p>
      <w:pPr>
        <w:widowControl/>
        <w:shd w:val="clear" w:color="auto" w:fill="FFFFFF"/>
        <w:snapToGrid w:val="0"/>
        <w:spacing w:line="360" w:lineRule="auto"/>
        <w:ind w:firstLine="482" w:firstLineChars="200"/>
        <w:rPr>
          <w:rFonts w:ascii="宋体"/>
          <w:b/>
          <w:bCs/>
          <w:kern w:val="0"/>
          <w:sz w:val="24"/>
        </w:rPr>
      </w:pPr>
      <w:r>
        <w:rPr>
          <w:rFonts w:hint="eastAsia" w:ascii="宋体"/>
          <w:b/>
          <w:bCs/>
          <w:kern w:val="0"/>
          <w:sz w:val="24"/>
        </w:rPr>
        <w:t>5</w:t>
      </w:r>
      <w:r>
        <w:rPr>
          <w:rFonts w:ascii="宋体"/>
          <w:b/>
          <w:bCs/>
          <w:kern w:val="0"/>
          <w:sz w:val="24"/>
        </w:rPr>
        <w:t>.</w:t>
      </w:r>
      <w:r>
        <w:rPr>
          <w:rFonts w:hint="eastAsia" w:ascii="宋体"/>
          <w:b/>
          <w:bCs/>
          <w:kern w:val="0"/>
          <w:sz w:val="24"/>
        </w:rPr>
        <w:t>7投标人存在下列情况之一的，投标无效：</w:t>
      </w:r>
    </w:p>
    <w:p>
      <w:pPr>
        <w:widowControl/>
        <w:shd w:val="clear" w:color="auto" w:fill="FFFFFF"/>
        <w:snapToGrid w:val="0"/>
        <w:spacing w:line="360" w:lineRule="auto"/>
        <w:ind w:firstLine="480" w:firstLineChars="200"/>
        <w:rPr>
          <w:rFonts w:ascii="宋体"/>
          <w:kern w:val="0"/>
          <w:sz w:val="24"/>
        </w:rPr>
      </w:pPr>
      <w:r>
        <w:rPr>
          <w:rFonts w:hint="eastAsia" w:ascii="宋体" w:cs="宋体"/>
          <w:sz w:val="24"/>
        </w:rPr>
        <w:t xml:space="preserve">⑴ </w:t>
      </w:r>
      <w:r>
        <w:rPr>
          <w:rFonts w:hint="eastAsia" w:ascii="宋体"/>
          <w:kern w:val="0"/>
          <w:sz w:val="24"/>
        </w:rPr>
        <w:t>投标文件未按招标文件要求签署、盖章的；</w:t>
      </w:r>
    </w:p>
    <w:p>
      <w:pPr>
        <w:widowControl/>
        <w:shd w:val="clear" w:color="auto" w:fill="FFFFFF"/>
        <w:snapToGrid w:val="0"/>
        <w:spacing w:line="360" w:lineRule="auto"/>
        <w:ind w:firstLine="480" w:firstLineChars="200"/>
        <w:rPr>
          <w:rFonts w:ascii="宋体"/>
          <w:kern w:val="0"/>
          <w:sz w:val="24"/>
        </w:rPr>
      </w:pPr>
      <w:r>
        <w:rPr>
          <w:rFonts w:hint="eastAsia" w:ascii="宋体" w:cs="宋体"/>
          <w:sz w:val="24"/>
        </w:rPr>
        <w:t xml:space="preserve">⑵ </w:t>
      </w:r>
      <w:r>
        <w:rPr>
          <w:rFonts w:hint="eastAsia" w:ascii="宋体"/>
          <w:kern w:val="0"/>
          <w:sz w:val="24"/>
        </w:rPr>
        <w:t>不具备招标文件中规定的资格要求的；</w:t>
      </w:r>
    </w:p>
    <w:p>
      <w:pPr>
        <w:widowControl/>
        <w:shd w:val="clear" w:color="auto" w:fill="FFFFFF"/>
        <w:snapToGrid w:val="0"/>
        <w:spacing w:line="360" w:lineRule="auto"/>
        <w:ind w:firstLine="480" w:firstLineChars="200"/>
        <w:rPr>
          <w:rFonts w:ascii="宋体"/>
          <w:kern w:val="0"/>
          <w:sz w:val="24"/>
        </w:rPr>
      </w:pPr>
      <w:r>
        <w:rPr>
          <w:rFonts w:hint="eastAsia" w:ascii="宋体" w:cs="宋体"/>
          <w:sz w:val="24"/>
        </w:rPr>
        <w:t xml:space="preserve">⑶ </w:t>
      </w:r>
      <w:r>
        <w:rPr>
          <w:rFonts w:hint="eastAsia" w:ascii="宋体"/>
          <w:kern w:val="0"/>
          <w:sz w:val="24"/>
        </w:rPr>
        <w:t>报价超过招标文件中规定的预算金额或者最高限价的；</w:t>
      </w:r>
    </w:p>
    <w:p>
      <w:pPr>
        <w:widowControl/>
        <w:shd w:val="clear" w:color="auto" w:fill="FFFFFF"/>
        <w:tabs>
          <w:tab w:val="left" w:pos="754"/>
        </w:tabs>
        <w:snapToGrid w:val="0"/>
        <w:spacing w:line="360" w:lineRule="auto"/>
        <w:ind w:firstLine="480" w:firstLineChars="200"/>
        <w:rPr>
          <w:rFonts w:ascii="宋体"/>
          <w:kern w:val="0"/>
          <w:sz w:val="24"/>
        </w:rPr>
      </w:pPr>
      <w:r>
        <w:rPr>
          <w:rFonts w:hint="eastAsia" w:ascii="宋体" w:cs="宋体"/>
          <w:sz w:val="24"/>
        </w:rPr>
        <w:t xml:space="preserve">⑷ </w:t>
      </w:r>
      <w:r>
        <w:rPr>
          <w:rFonts w:hint="eastAsia" w:ascii="宋体"/>
          <w:kern w:val="0"/>
          <w:sz w:val="24"/>
        </w:rPr>
        <w:t>投标文件含有采购人不能接受的附加条件的；</w:t>
      </w:r>
    </w:p>
    <w:p>
      <w:pPr>
        <w:widowControl/>
        <w:shd w:val="clear" w:color="auto" w:fill="FFFFFF"/>
        <w:snapToGrid w:val="0"/>
        <w:spacing w:line="360" w:lineRule="auto"/>
        <w:ind w:firstLine="480" w:firstLineChars="200"/>
        <w:rPr>
          <w:rFonts w:ascii="宋体"/>
          <w:kern w:val="0"/>
          <w:sz w:val="24"/>
        </w:rPr>
      </w:pPr>
      <w:r>
        <w:rPr>
          <w:rFonts w:hint="eastAsia" w:ascii="宋体" w:cs="宋体"/>
          <w:kern w:val="0"/>
          <w:sz w:val="24"/>
        </w:rPr>
        <w:t xml:space="preserve">⑸ </w:t>
      </w:r>
      <w:r>
        <w:rPr>
          <w:rFonts w:hint="eastAsia" w:ascii="宋体"/>
          <w:kern w:val="0"/>
          <w:sz w:val="24"/>
        </w:rPr>
        <w:t>与采购人存在利害关系可能影响招标公正性的法人、其他组织或者个人的；</w:t>
      </w:r>
    </w:p>
    <w:p>
      <w:pPr>
        <w:widowControl/>
        <w:shd w:val="clear" w:color="auto" w:fill="FFFFFF"/>
        <w:snapToGrid w:val="0"/>
        <w:spacing w:line="360" w:lineRule="auto"/>
        <w:ind w:firstLine="480" w:firstLineChars="200"/>
        <w:rPr>
          <w:rFonts w:ascii="宋体"/>
          <w:kern w:val="0"/>
          <w:sz w:val="24"/>
        </w:rPr>
      </w:pPr>
      <w:r>
        <w:rPr>
          <w:rFonts w:hint="eastAsia" w:ascii="宋体" w:cs="宋体"/>
          <w:kern w:val="0"/>
          <w:sz w:val="24"/>
        </w:rPr>
        <w:t xml:space="preserve">⑹ </w:t>
      </w:r>
      <w:r>
        <w:rPr>
          <w:rFonts w:hint="eastAsia" w:ascii="宋体"/>
          <w:kern w:val="0"/>
          <w:sz w:val="24"/>
        </w:rPr>
        <w:t>单位负责人为同一人或者存在控股、管理关系的不同单位，参加同一标段投标或者未划分标段的同一招标项目投标的；</w:t>
      </w:r>
    </w:p>
    <w:p>
      <w:pPr>
        <w:widowControl/>
        <w:shd w:val="clear" w:color="auto" w:fill="FFFFFF"/>
        <w:snapToGrid w:val="0"/>
        <w:spacing w:line="360" w:lineRule="auto"/>
        <w:ind w:firstLine="480" w:firstLineChars="200"/>
        <w:rPr>
          <w:rFonts w:ascii="宋体"/>
          <w:kern w:val="0"/>
          <w:sz w:val="24"/>
        </w:rPr>
      </w:pPr>
      <w:r>
        <w:rPr>
          <w:rFonts w:hint="eastAsia" w:ascii="宋体" w:cs="宋体"/>
          <w:kern w:val="0"/>
          <w:sz w:val="24"/>
        </w:rPr>
        <w:t xml:space="preserve">⑺ </w:t>
      </w:r>
      <w:r>
        <w:rPr>
          <w:rFonts w:hint="eastAsia" w:ascii="宋体"/>
          <w:kern w:val="0"/>
          <w:sz w:val="24"/>
        </w:rPr>
        <w:t>法定代表人为同一个人的两个及两个以上法人，母公司、全资子公司及其控股公司，参加同一标段投标或者未划分标段的同一招标项目投标的；</w:t>
      </w:r>
    </w:p>
    <w:p>
      <w:pPr>
        <w:spacing w:line="360" w:lineRule="auto"/>
        <w:ind w:firstLine="480" w:firstLineChars="200"/>
        <w:rPr>
          <w:rFonts w:ascii="宋体" w:cs="宋体"/>
          <w:sz w:val="24"/>
        </w:rPr>
      </w:pPr>
      <w:r>
        <w:rPr>
          <w:rFonts w:hint="eastAsia" w:ascii="宋体" w:cs="宋体"/>
          <w:kern w:val="0"/>
          <w:sz w:val="24"/>
        </w:rPr>
        <w:t xml:space="preserve">⑻ </w:t>
      </w:r>
      <w:r>
        <w:rPr>
          <w:rFonts w:hint="eastAsia" w:ascii="宋体"/>
          <w:kern w:val="0"/>
          <w:sz w:val="24"/>
        </w:rPr>
        <w:t>投标文件中有弄虚作假的内容，其投标文件作废（假证书、假业绩、隐瞒不良行为</w:t>
      </w:r>
      <w:r>
        <w:rPr>
          <w:rFonts w:hint="eastAsia" w:ascii="宋体" w:cs="宋体"/>
          <w:sz w:val="24"/>
        </w:rPr>
        <w:t>记录、夸大荣誉）；</w:t>
      </w:r>
    </w:p>
    <w:p>
      <w:pPr>
        <w:spacing w:line="360" w:lineRule="auto"/>
        <w:ind w:firstLine="480" w:firstLineChars="200"/>
        <w:rPr>
          <w:rFonts w:ascii="宋体" w:cs="宋体"/>
          <w:sz w:val="24"/>
        </w:rPr>
      </w:pPr>
      <w:r>
        <w:rPr>
          <w:rFonts w:hint="eastAsia" w:ascii="宋体" w:cs="宋体"/>
          <w:sz w:val="24"/>
        </w:rPr>
        <w:t>⑼ 法律、规定和招标文件规定的其他无效情形。</w:t>
      </w:r>
    </w:p>
    <w:p>
      <w:pPr>
        <w:spacing w:line="360" w:lineRule="auto"/>
        <w:rPr>
          <w:rFonts w:ascii="宋体" w:cs="宋体"/>
          <w:b/>
          <w:bCs/>
          <w:sz w:val="24"/>
        </w:rPr>
      </w:pPr>
      <w:r>
        <w:rPr>
          <w:rFonts w:hint="eastAsia" w:ascii="宋体" w:cs="宋体"/>
          <w:b/>
          <w:bCs/>
          <w:sz w:val="24"/>
        </w:rPr>
        <w:t>六、备选投标方案</w:t>
      </w:r>
    </w:p>
    <w:p>
      <w:pPr>
        <w:spacing w:line="360" w:lineRule="auto"/>
        <w:ind w:firstLine="480" w:firstLineChars="200"/>
        <w:rPr>
          <w:rFonts w:ascii="宋体" w:cs="宋体"/>
          <w:sz w:val="24"/>
        </w:rPr>
      </w:pPr>
      <w:r>
        <w:rPr>
          <w:rFonts w:hint="eastAsia" w:ascii="宋体" w:cs="宋体"/>
          <w:sz w:val="24"/>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spacing w:line="360" w:lineRule="auto"/>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七、节能、环保产品政府采购清单</w:t>
      </w:r>
    </w:p>
    <w:p>
      <w:pPr>
        <w:spacing w:line="360" w:lineRule="auto"/>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按国家强制节能、环保标准执行。</w:t>
      </w:r>
    </w:p>
    <w:p>
      <w:pPr>
        <w:spacing w:line="360" w:lineRule="auto"/>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八、进口产品采购</w:t>
      </w:r>
    </w:p>
    <w:p>
      <w:pPr>
        <w:spacing w:line="360" w:lineRule="auto"/>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按进口货物采购管理办法执行。</w:t>
      </w:r>
    </w:p>
    <w:p>
      <w:pPr>
        <w:spacing w:line="360" w:lineRule="auto"/>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九、知识产权</w:t>
      </w:r>
    </w:p>
    <w:p>
      <w:pPr>
        <w:spacing w:line="360" w:lineRule="auto"/>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9.1投标人应保证在本项目使用的任何产品和服务（包括部分使用）时，不会产生因第三方提出侵犯其专利权、商标权或其它知识产权而引起的法律和经济纠纷，如因专利权、商标权或其它知识产权而引起法律和经济纠纷，由投标人自行承担所有相关责任。</w:t>
      </w:r>
    </w:p>
    <w:p>
      <w:pPr>
        <w:spacing w:line="360" w:lineRule="auto"/>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9.2 采购人享有本项目实施过程中产生的知识成果及知识产权。</w:t>
      </w:r>
    </w:p>
    <w:p>
      <w:pPr>
        <w:spacing w:line="360" w:lineRule="auto"/>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9.3 投标人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kern w:val="0"/>
          <w:sz w:val="24"/>
        </w:rPr>
        <w:t>9.4 如采用投标人所不拥有的知识产权，则在投标报价中必须包括合法获取该知识产权的相关费用。</w:t>
      </w:r>
    </w:p>
    <w:p>
      <w:pPr>
        <w:pStyle w:val="4"/>
        <w:jc w:val="center"/>
        <w:rPr>
          <w:rFonts w:cs="宋体"/>
          <w:sz w:val="24"/>
          <w:szCs w:val="24"/>
        </w:rPr>
      </w:pPr>
      <w:bookmarkStart w:id="5" w:name="_Toc22507"/>
      <w:bookmarkStart w:id="6" w:name="_Toc16357"/>
      <w:r>
        <w:rPr>
          <w:rFonts w:ascii="Times New Roman" w:hAnsi="Times New Roman"/>
          <w:sz w:val="24"/>
          <w:szCs w:val="24"/>
        </w:rPr>
        <w:t>第</w:t>
      </w:r>
      <w:r>
        <w:rPr>
          <w:rFonts w:hint="eastAsia" w:ascii="Times New Roman" w:hAnsi="Times New Roman"/>
          <w:sz w:val="24"/>
          <w:szCs w:val="24"/>
        </w:rPr>
        <w:t>四</w:t>
      </w:r>
      <w:r>
        <w:rPr>
          <w:rFonts w:ascii="Times New Roman" w:hAnsi="Times New Roman"/>
          <w:sz w:val="24"/>
          <w:szCs w:val="24"/>
        </w:rPr>
        <w:t>节</w:t>
      </w:r>
      <w:r>
        <w:rPr>
          <w:rFonts w:hint="eastAsia" w:ascii="Times New Roman" w:hAnsi="Times New Roman"/>
          <w:sz w:val="24"/>
          <w:szCs w:val="24"/>
        </w:rPr>
        <w:t xml:space="preserve"> 投标</w:t>
      </w:r>
      <w:bookmarkEnd w:id="5"/>
      <w:bookmarkEnd w:id="6"/>
    </w:p>
    <w:p>
      <w:pPr>
        <w:spacing w:line="360" w:lineRule="auto"/>
        <w:ind w:firstLine="482" w:firstLineChars="200"/>
        <w:rPr>
          <w:rFonts w:ascii="宋体" w:cs="宋体"/>
          <w:b/>
          <w:bCs/>
          <w:sz w:val="24"/>
        </w:rPr>
      </w:pPr>
      <w:r>
        <w:rPr>
          <w:rFonts w:hint="eastAsia" w:ascii="宋体" w:cs="宋体"/>
          <w:b/>
          <w:bCs/>
          <w:sz w:val="24"/>
        </w:rPr>
        <w:t>投标文件的修改与撤回</w:t>
      </w:r>
    </w:p>
    <w:p>
      <w:pPr>
        <w:spacing w:line="360" w:lineRule="auto"/>
        <w:ind w:firstLine="480" w:firstLineChars="200"/>
        <w:rPr>
          <w:rFonts w:ascii="宋体" w:cs="宋体"/>
          <w:color w:val="000000" w:themeColor="text1"/>
          <w:sz w:val="24"/>
        </w:rPr>
      </w:pPr>
      <w:r>
        <w:rPr>
          <w:rFonts w:hint="eastAsia" w:ascii="宋体" w:cs="宋体"/>
          <w:color w:val="000000" w:themeColor="text1"/>
          <w:sz w:val="24"/>
        </w:rPr>
        <w:t xml:space="preserve">⑴ </w:t>
      </w:r>
      <w:r>
        <w:rPr>
          <w:rFonts w:hint="eastAsia" w:ascii="宋体"/>
          <w:color w:val="000000" w:themeColor="text1"/>
          <w:sz w:val="24"/>
          <w:szCs w:val="22"/>
        </w:rPr>
        <w:t>投标文件上传成功后，在投标截止时间前，供应商可撤回投标文件，修改内容。</w:t>
      </w:r>
    </w:p>
    <w:p>
      <w:pPr>
        <w:spacing w:line="440" w:lineRule="exact"/>
        <w:ind w:firstLine="480" w:firstLineChars="200"/>
        <w:rPr>
          <w:rFonts w:ascii="宋体"/>
          <w:color w:val="000000" w:themeColor="text1"/>
          <w:sz w:val="24"/>
          <w:szCs w:val="22"/>
        </w:rPr>
      </w:pPr>
      <w:r>
        <w:rPr>
          <w:rFonts w:hint="eastAsia" w:ascii="宋体"/>
          <w:color w:val="000000" w:themeColor="text1"/>
          <w:sz w:val="24"/>
          <w:szCs w:val="22"/>
        </w:rPr>
        <w:t>操作路径：登录政采云平台-【项目采购】-【投标文件上传】</w:t>
      </w:r>
    </w:p>
    <w:p>
      <w:pPr>
        <w:spacing w:line="440" w:lineRule="exact"/>
        <w:ind w:firstLine="480" w:firstLineChars="200"/>
        <w:rPr>
          <w:rFonts w:ascii="宋体"/>
          <w:color w:val="000000" w:themeColor="text1"/>
          <w:sz w:val="24"/>
          <w:szCs w:val="22"/>
        </w:rPr>
      </w:pPr>
      <w:r>
        <w:rPr>
          <w:rFonts w:hint="eastAsia" w:ascii="宋体"/>
          <w:color w:val="000000" w:themeColor="text1"/>
          <w:sz w:val="24"/>
          <w:szCs w:val="22"/>
        </w:rPr>
        <w:t>具体操作：在进行中标签页下，选择状态为已上传，在操作栏点击[撤回]按钮进行撤回；也可点击[查看]按钮，点击页面右上角的[撤回]按钮进行撤回。</w:t>
      </w:r>
    </w:p>
    <w:p>
      <w:pPr>
        <w:spacing w:line="360" w:lineRule="auto"/>
        <w:ind w:firstLine="480" w:firstLineChars="200"/>
        <w:rPr>
          <w:rFonts w:ascii="宋体" w:cs="宋体"/>
          <w:color w:val="000000" w:themeColor="text1"/>
          <w:sz w:val="24"/>
        </w:rPr>
      </w:pPr>
      <w:r>
        <w:rPr>
          <w:rFonts w:hint="eastAsia" w:ascii="宋体" w:cs="宋体"/>
          <w:color w:val="000000" w:themeColor="text1"/>
          <w:sz w:val="24"/>
        </w:rPr>
        <w:t>⑵</w:t>
      </w:r>
      <w:r>
        <w:rPr>
          <w:rFonts w:hint="eastAsia" w:ascii="宋体"/>
          <w:color w:val="000000" w:themeColor="text1"/>
          <w:sz w:val="24"/>
        </w:rPr>
        <w:t>投标供应商不得在开标后至投标有效期期满前撤销投标文件。否则招标人将没收其投标保证金。</w:t>
      </w:r>
    </w:p>
    <w:p>
      <w:pPr>
        <w:pStyle w:val="4"/>
        <w:jc w:val="center"/>
        <w:rPr>
          <w:rFonts w:cs="宋体"/>
          <w:sz w:val="24"/>
          <w:szCs w:val="24"/>
        </w:rPr>
      </w:pPr>
      <w:bookmarkStart w:id="7" w:name="_Toc10479"/>
      <w:bookmarkStart w:id="8" w:name="_Toc746"/>
      <w:r>
        <w:rPr>
          <w:rFonts w:ascii="Times New Roman" w:hAnsi="Times New Roman"/>
          <w:sz w:val="24"/>
          <w:szCs w:val="24"/>
        </w:rPr>
        <w:t>第</w:t>
      </w:r>
      <w:r>
        <w:rPr>
          <w:rFonts w:hint="eastAsia" w:ascii="Times New Roman" w:hAnsi="Times New Roman"/>
          <w:sz w:val="24"/>
          <w:szCs w:val="24"/>
        </w:rPr>
        <w:t>五</w:t>
      </w:r>
      <w:r>
        <w:rPr>
          <w:rFonts w:ascii="Times New Roman" w:hAnsi="Times New Roman"/>
          <w:sz w:val="24"/>
          <w:szCs w:val="24"/>
        </w:rPr>
        <w:t>节</w:t>
      </w:r>
      <w:r>
        <w:rPr>
          <w:rFonts w:hint="eastAsia" w:ascii="Times New Roman" w:hAnsi="Times New Roman"/>
          <w:sz w:val="24"/>
          <w:szCs w:val="24"/>
        </w:rPr>
        <w:t xml:space="preserve"> 开标</w:t>
      </w:r>
      <w:bookmarkEnd w:id="7"/>
      <w:bookmarkEnd w:id="8"/>
    </w:p>
    <w:p>
      <w:pPr>
        <w:widowControl/>
        <w:shd w:val="clear" w:color="auto" w:fill="FFFFFF"/>
        <w:snapToGrid w:val="0"/>
        <w:spacing w:line="360" w:lineRule="auto"/>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sz w:val="24"/>
        </w:rPr>
        <w:t>一、</w:t>
      </w:r>
      <w:r>
        <w:rPr>
          <w:rFonts w:hint="eastAsia" w:asciiTheme="minorEastAsia" w:hAnsiTheme="minorEastAsia" w:eastAsiaTheme="minorEastAsia" w:cstheme="minorEastAsia"/>
          <w:b/>
          <w:bCs/>
          <w:kern w:val="0"/>
          <w:sz w:val="24"/>
        </w:rPr>
        <w:t>开标</w:t>
      </w:r>
    </w:p>
    <w:p>
      <w:pPr>
        <w:spacing w:line="360" w:lineRule="auto"/>
        <w:ind w:firstLine="480" w:firstLineChars="200"/>
        <w:rPr>
          <w:rFonts w:ascii="宋体" w:hAnsi="宋体" w:cs="宋体"/>
          <w:sz w:val="24"/>
        </w:rPr>
      </w:pPr>
      <w:r>
        <w:rPr>
          <w:rFonts w:hint="eastAsia" w:ascii="宋体" w:hAnsi="宋体" w:cs="宋体"/>
          <w:sz w:val="24"/>
        </w:rPr>
        <w:t xml:space="preserve">1.1 </w:t>
      </w:r>
      <w:r>
        <w:rPr>
          <w:rFonts w:ascii="宋体" w:hAnsi="宋体" w:cs="宋体"/>
          <w:sz w:val="24"/>
        </w:rPr>
        <w:t>开标在</w:t>
      </w:r>
      <w:r>
        <w:rPr>
          <w:rFonts w:hint="eastAsia" w:ascii="宋体" w:hAnsi="宋体" w:cs="宋体"/>
          <w:sz w:val="24"/>
        </w:rPr>
        <w:t>招标文件</w:t>
      </w:r>
      <w:r>
        <w:rPr>
          <w:rFonts w:ascii="宋体" w:hAnsi="宋体" w:cs="宋体"/>
          <w:sz w:val="24"/>
        </w:rPr>
        <w:t>预先确定的时间和地点公开进行，采购人、投标人派代表参加并签到以证明其出席。开标由采购代理机构主持，采购人、投标人代表参加，投标人未参加开标的，视同认可开标结果。评标专家不参加开标活动。投标人不足三家的不得开标</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 xml:space="preserve">1.2 </w:t>
      </w:r>
      <w:r>
        <w:rPr>
          <w:rFonts w:ascii="宋体" w:hAnsi="宋体" w:cs="宋体"/>
          <w:sz w:val="24"/>
        </w:rPr>
        <w:t>开标时，可以根据具体情况邀请有关监督管理部门对开标活动进行现场监督。</w:t>
      </w:r>
    </w:p>
    <w:p>
      <w:pPr>
        <w:spacing w:line="360" w:lineRule="auto"/>
        <w:ind w:firstLine="480" w:firstLineChars="200"/>
        <w:rPr>
          <w:rFonts w:ascii="宋体" w:hAnsi="宋体" w:cs="宋体"/>
          <w:sz w:val="24"/>
        </w:rPr>
      </w:pPr>
      <w:r>
        <w:rPr>
          <w:rFonts w:hint="eastAsia" w:ascii="宋体" w:hAnsi="宋体" w:cs="宋体"/>
          <w:sz w:val="24"/>
        </w:rPr>
        <w:t xml:space="preserve">1.3 </w:t>
      </w:r>
      <w:r>
        <w:rPr>
          <w:rFonts w:ascii="宋体" w:hAnsi="宋体" w:cs="宋体"/>
          <w:sz w:val="24"/>
        </w:rPr>
        <w:t>开标时，投标人或者其推选的代表对开标过程和开标记录有疑议的或认为开标相关工作人员需要回避的，可以当场向开标主持人反映，开标现场主持人应及时予以处理。</w:t>
      </w:r>
    </w:p>
    <w:p>
      <w:pPr>
        <w:spacing w:line="360" w:lineRule="auto"/>
        <w:ind w:firstLine="480" w:firstLineChars="200"/>
        <w:rPr>
          <w:rFonts w:asciiTheme="minorEastAsia" w:hAnsiTheme="minorEastAsia" w:eastAsiaTheme="minorEastAsia" w:cstheme="minorEastAsia"/>
          <w:kern w:val="0"/>
          <w:sz w:val="24"/>
        </w:rPr>
      </w:pPr>
      <w:r>
        <w:rPr>
          <w:rFonts w:hint="eastAsia" w:ascii="宋体" w:hAnsi="宋体" w:cs="宋体"/>
          <w:sz w:val="24"/>
        </w:rPr>
        <w:t xml:space="preserve">1.4 </w:t>
      </w:r>
      <w:r>
        <w:rPr>
          <w:rFonts w:ascii="宋体" w:hAnsi="宋体" w:cs="宋体"/>
          <w:sz w:val="24"/>
        </w:rPr>
        <w:t>开标时，</w:t>
      </w:r>
      <w:r>
        <w:rPr>
          <w:rFonts w:hint="eastAsia" w:asciiTheme="minorEastAsia" w:hAnsiTheme="minorEastAsia" w:eastAsiaTheme="minorEastAsia" w:cstheme="minorEastAsia"/>
          <w:kern w:val="0"/>
          <w:sz w:val="24"/>
        </w:rPr>
        <w:t>投标文件报价出现前后不一致的，除招标文件另有规定外，按照下列规定修正：</w:t>
      </w:r>
    </w:p>
    <w:p>
      <w:pPr>
        <w:spacing w:line="360" w:lineRule="auto"/>
        <w:ind w:firstLine="480" w:firstLineChars="200"/>
        <w:rPr>
          <w:rFonts w:ascii="宋体" w:hAnsi="宋体" w:cs="宋体"/>
          <w:sz w:val="24"/>
        </w:rPr>
      </w:pPr>
      <w:r>
        <w:rPr>
          <w:rFonts w:hint="eastAsia" w:ascii="宋体" w:hAnsi="宋体" w:cs="宋体"/>
          <w:sz w:val="24"/>
        </w:rPr>
        <w:t xml:space="preserve">⑴ </w:t>
      </w:r>
      <w:r>
        <w:rPr>
          <w:rFonts w:ascii="宋体" w:hAnsi="宋体" w:cs="宋体"/>
          <w:sz w:val="24"/>
        </w:rPr>
        <w:t>“开标一览表”中的大写金额与小写金额不一致的，以大写金额为准；</w:t>
      </w:r>
    </w:p>
    <w:p>
      <w:pPr>
        <w:spacing w:line="360" w:lineRule="auto"/>
        <w:ind w:left="479" w:leftChars="228"/>
        <w:rPr>
          <w:rFonts w:ascii="宋体" w:hAnsi="宋体" w:cs="宋体"/>
          <w:sz w:val="24"/>
        </w:rPr>
      </w:pPr>
      <w:r>
        <w:rPr>
          <w:rFonts w:hint="eastAsia" w:ascii="宋体" w:hAnsi="宋体" w:cs="宋体"/>
          <w:sz w:val="24"/>
        </w:rPr>
        <w:t xml:space="preserve">⑵ </w:t>
      </w:r>
      <w:r>
        <w:rPr>
          <w:rFonts w:ascii="宋体" w:hAnsi="宋体" w:cs="宋体"/>
          <w:sz w:val="24"/>
        </w:rPr>
        <w:t>总价金额与按单价计算的汇总金额不一致的，以单价计算的汇总金额为准；</w:t>
      </w:r>
      <w:r>
        <w:rPr>
          <w:rFonts w:hint="eastAsia" w:asciiTheme="minorEastAsia" w:hAnsiTheme="minorEastAsia" w:eastAsiaTheme="minorEastAsia" w:cstheme="minorEastAsia"/>
          <w:sz w:val="24"/>
        </w:rPr>
        <w:t xml:space="preserve">⑶ </w:t>
      </w:r>
      <w:r>
        <w:rPr>
          <w:rFonts w:ascii="宋体" w:hAnsi="宋体" w:cs="宋体"/>
          <w:sz w:val="24"/>
        </w:rPr>
        <w:t>单价金额有明显小数点错误的，以总价为准，并修改单价；</w:t>
      </w:r>
    </w:p>
    <w:p>
      <w:pPr>
        <w:spacing w:line="360" w:lineRule="auto"/>
        <w:ind w:firstLine="480" w:firstLineChars="200"/>
        <w:rPr>
          <w:rFonts w:ascii="宋体" w:hAnsi="宋体" w:cs="宋体"/>
          <w:sz w:val="24"/>
        </w:rPr>
      </w:pPr>
      <w:r>
        <w:rPr>
          <w:rFonts w:hint="eastAsia" w:ascii="宋体" w:hAnsi="宋体" w:cs="宋体"/>
          <w:sz w:val="24"/>
        </w:rPr>
        <w:t xml:space="preserve">⑷ </w:t>
      </w:r>
      <w:r>
        <w:rPr>
          <w:rFonts w:hint="eastAsia" w:asciiTheme="minorEastAsia" w:hAnsiTheme="minorEastAsia" w:eastAsiaTheme="minorEastAsia" w:cstheme="minorEastAsia"/>
          <w:kern w:val="0"/>
          <w:sz w:val="24"/>
        </w:rPr>
        <w:t>对不同文字文本投标文件的解释发生异议的，以中文文本为准</w:t>
      </w:r>
      <w:r>
        <w:rPr>
          <w:rFonts w:ascii="宋体" w:hAnsi="宋体" w:cs="宋体"/>
          <w:sz w:val="24"/>
        </w:rPr>
        <w:t>；</w:t>
      </w:r>
    </w:p>
    <w:p>
      <w:pPr>
        <w:spacing w:line="360" w:lineRule="auto"/>
        <w:ind w:firstLine="480" w:firstLineChars="200"/>
        <w:rPr>
          <w:rFonts w:ascii="宋体" w:hAnsi="宋体" w:cs="宋体" w:eastAsiaTheme="minorEastAsia"/>
          <w:sz w:val="24"/>
        </w:rPr>
      </w:pPr>
      <w:r>
        <w:rPr>
          <w:rFonts w:hint="eastAsia" w:ascii="宋体" w:hAnsi="宋体" w:cs="宋体"/>
          <w:sz w:val="24"/>
        </w:rPr>
        <w:t xml:space="preserve">⑸ </w:t>
      </w:r>
      <w:r>
        <w:rPr>
          <w:rFonts w:hint="eastAsia" w:asciiTheme="minorEastAsia" w:hAnsiTheme="minorEastAsia" w:eastAsiaTheme="minorEastAsia" w:cstheme="minorEastAsia"/>
          <w:kern w:val="0"/>
          <w:sz w:val="24"/>
        </w:rPr>
        <w:t>同时出现两种以上不一致的，按照前款规定的顺序修正。修正后的报价须经授权委托代理人签字并加盖公章后产生约束力，投标人不确认的，其投标无效。</w:t>
      </w:r>
    </w:p>
    <w:p>
      <w:pPr>
        <w:spacing w:line="360" w:lineRule="auto"/>
        <w:ind w:firstLine="480" w:firstLineChars="200"/>
        <w:rPr>
          <w:rFonts w:ascii="宋体" w:hAnsi="宋体" w:cs="宋体"/>
          <w:color w:val="000000" w:themeColor="text1"/>
          <w:sz w:val="24"/>
        </w:rPr>
      </w:pPr>
      <w:r>
        <w:rPr>
          <w:rFonts w:hint="eastAsia" w:ascii="宋体" w:hAnsi="宋体" w:cs="宋体"/>
          <w:sz w:val="24"/>
        </w:rPr>
        <w:t>1.5 投标文件</w:t>
      </w:r>
      <w:r>
        <w:rPr>
          <w:rFonts w:ascii="宋体" w:hAnsi="宋体" w:cs="宋体"/>
          <w:sz w:val="24"/>
        </w:rPr>
        <w:t>中有关明细表内容与“开标一览表”不一致的，以“开标一览表”</w:t>
      </w:r>
      <w:r>
        <w:rPr>
          <w:rFonts w:ascii="宋体" w:hAnsi="宋体" w:cs="宋体"/>
          <w:color w:val="000000" w:themeColor="text1"/>
          <w:sz w:val="24"/>
        </w:rPr>
        <w:t xml:space="preserve">为准。 </w:t>
      </w:r>
    </w:p>
    <w:p>
      <w:pPr>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1</w:t>
      </w:r>
      <w:r>
        <w:rPr>
          <w:rFonts w:ascii="宋体" w:hAnsi="宋体" w:cs="宋体"/>
          <w:color w:val="000000" w:themeColor="text1"/>
          <w:sz w:val="24"/>
        </w:rPr>
        <w:t xml:space="preserve">.6 开标时属于下列情况之一的，视为无效投标: </w:t>
      </w:r>
    </w:p>
    <w:p>
      <w:pPr>
        <w:spacing w:line="440" w:lineRule="exact"/>
        <w:ind w:firstLine="480" w:firstLineChars="200"/>
        <w:jc w:val="left"/>
        <w:rPr>
          <w:rFonts w:ascii="宋体"/>
          <w:color w:val="000000" w:themeColor="text1"/>
          <w:sz w:val="24"/>
        </w:rPr>
      </w:pPr>
      <w:r>
        <w:rPr>
          <w:rFonts w:hint="eastAsia" w:ascii="宋体"/>
          <w:color w:val="000000" w:themeColor="text1"/>
          <w:sz w:val="24"/>
        </w:rPr>
        <w:t>(1)未在政采云系统进行在线签到的；</w:t>
      </w:r>
    </w:p>
    <w:p>
      <w:pPr>
        <w:spacing w:line="440" w:lineRule="exact"/>
        <w:ind w:firstLine="480" w:firstLineChars="200"/>
        <w:jc w:val="left"/>
        <w:rPr>
          <w:rFonts w:ascii="宋体"/>
          <w:color w:val="000000" w:themeColor="text1"/>
          <w:sz w:val="24"/>
        </w:rPr>
      </w:pPr>
      <w:r>
        <w:rPr>
          <w:rFonts w:hint="eastAsia" w:ascii="宋体"/>
          <w:color w:val="000000" w:themeColor="text1"/>
          <w:sz w:val="24"/>
        </w:rPr>
        <w:t>(2)未在</w:t>
      </w:r>
      <w:r>
        <w:rPr>
          <w:rFonts w:ascii="宋体" w:hAnsi="宋体" w:cs="宋体"/>
          <w:color w:val="000000" w:themeColor="text1"/>
          <w:sz w:val="24"/>
        </w:rPr>
        <w:t>30分钟内完成在线解密</w:t>
      </w:r>
      <w:r>
        <w:rPr>
          <w:rFonts w:hint="eastAsia" w:ascii="宋体" w:hAnsi="宋体" w:cs="宋体"/>
          <w:color w:val="000000" w:themeColor="text1"/>
          <w:sz w:val="24"/>
        </w:rPr>
        <w:t>的</w:t>
      </w:r>
      <w:r>
        <w:rPr>
          <w:rFonts w:hint="eastAsia" w:ascii="宋体"/>
          <w:color w:val="000000" w:themeColor="text1"/>
          <w:sz w:val="24"/>
        </w:rPr>
        <w:t>；</w:t>
      </w:r>
    </w:p>
    <w:p>
      <w:pPr>
        <w:spacing w:line="440" w:lineRule="exact"/>
        <w:ind w:firstLine="480" w:firstLineChars="200"/>
        <w:jc w:val="left"/>
        <w:rPr>
          <w:rFonts w:ascii="宋体"/>
          <w:color w:val="000000" w:themeColor="text1"/>
          <w:sz w:val="24"/>
        </w:rPr>
      </w:pPr>
      <w:r>
        <w:rPr>
          <w:rFonts w:hint="eastAsia" w:ascii="宋体"/>
          <w:color w:val="000000" w:themeColor="text1"/>
          <w:sz w:val="24"/>
        </w:rPr>
        <w:t>(3)唱标结束后30分钟内未完成“开标一览表”在线签章的；</w:t>
      </w:r>
    </w:p>
    <w:p>
      <w:pPr>
        <w:spacing w:line="440" w:lineRule="exact"/>
        <w:ind w:firstLine="480" w:firstLineChars="200"/>
        <w:jc w:val="left"/>
        <w:rPr>
          <w:rFonts w:ascii="宋体"/>
          <w:color w:val="000000" w:themeColor="text1"/>
          <w:sz w:val="24"/>
        </w:rPr>
      </w:pPr>
      <w:r>
        <w:rPr>
          <w:rFonts w:hint="eastAsia" w:ascii="宋体"/>
          <w:color w:val="000000" w:themeColor="text1"/>
          <w:sz w:val="24"/>
        </w:rPr>
        <w:t>(4)投标供应商未按照公开招标文件要求提供投标保证金的；</w:t>
      </w:r>
    </w:p>
    <w:p>
      <w:pPr>
        <w:spacing w:line="440" w:lineRule="exact"/>
        <w:ind w:firstLine="480" w:firstLineChars="200"/>
        <w:jc w:val="left"/>
        <w:rPr>
          <w:rFonts w:ascii="宋体"/>
          <w:color w:val="000000" w:themeColor="text1"/>
          <w:sz w:val="24"/>
        </w:rPr>
      </w:pPr>
      <w:r>
        <w:rPr>
          <w:rFonts w:hint="eastAsia" w:ascii="宋体"/>
          <w:color w:val="000000" w:themeColor="text1"/>
          <w:sz w:val="24"/>
        </w:rPr>
        <w:t>(5)按照本文件规定有效证件不齐全的投标供应商的投标文件。</w:t>
      </w:r>
    </w:p>
    <w:p>
      <w:pPr>
        <w:spacing w:line="360" w:lineRule="auto"/>
        <w:rPr>
          <w:rFonts w:ascii="宋体" w:hAnsi="宋体" w:cs="宋体"/>
          <w:b/>
          <w:bCs/>
          <w:color w:val="000000" w:themeColor="text1"/>
          <w:sz w:val="24"/>
        </w:rPr>
      </w:pPr>
      <w:r>
        <w:rPr>
          <w:rFonts w:hint="eastAsia" w:ascii="宋体" w:hAnsi="宋体" w:cs="宋体"/>
          <w:b/>
          <w:bCs/>
          <w:color w:val="000000" w:themeColor="text1"/>
          <w:sz w:val="24"/>
        </w:rPr>
        <w:t>二、开标程序</w:t>
      </w:r>
    </w:p>
    <w:p>
      <w:pPr>
        <w:spacing w:line="360" w:lineRule="auto"/>
        <w:ind w:firstLine="480" w:firstLineChars="200"/>
        <w:rPr>
          <w:rFonts w:asciiTheme="minorEastAsia" w:hAnsiTheme="minorEastAsia" w:eastAsiaTheme="minorEastAsia" w:cstheme="minorEastAsia"/>
          <w:color w:val="000000" w:themeColor="text1"/>
          <w:sz w:val="24"/>
        </w:rPr>
      </w:pPr>
      <w:r>
        <w:rPr>
          <w:rFonts w:hint="eastAsia" w:ascii="宋体" w:hAnsi="宋体" w:cs="宋体"/>
          <w:color w:val="000000" w:themeColor="text1"/>
          <w:sz w:val="24"/>
        </w:rPr>
        <w:t>2.1</w:t>
      </w:r>
      <w:r>
        <w:rPr>
          <w:rFonts w:ascii="宋体" w:hAnsi="宋体" w:cs="宋体"/>
          <w:color w:val="000000" w:themeColor="text1"/>
          <w:sz w:val="24"/>
        </w:rPr>
        <w:t>开标会主持人按照</w:t>
      </w:r>
      <w:r>
        <w:rPr>
          <w:rFonts w:hint="eastAsia" w:ascii="宋体" w:hAnsi="宋体" w:cs="宋体"/>
          <w:color w:val="000000" w:themeColor="text1"/>
          <w:sz w:val="24"/>
        </w:rPr>
        <w:t>招标文件</w:t>
      </w:r>
      <w:r>
        <w:rPr>
          <w:rFonts w:ascii="宋体" w:hAnsi="宋体" w:cs="宋体"/>
          <w:color w:val="000000" w:themeColor="text1"/>
          <w:sz w:val="24"/>
        </w:rPr>
        <w:t>规定的开标时间宣布开标，按照规定要求主持开标会。开标将按以下程序进行</w:t>
      </w:r>
      <w:r>
        <w:rPr>
          <w:rFonts w:hint="eastAsia" w:asciiTheme="minorEastAsia" w:hAnsiTheme="minorEastAsia" w:eastAsiaTheme="minorEastAsia" w:cstheme="minorEastAsia"/>
          <w:color w:val="000000" w:themeColor="text1"/>
          <w:sz w:val="24"/>
        </w:rPr>
        <w:t>：</w:t>
      </w:r>
    </w:p>
    <w:p>
      <w:pPr>
        <w:spacing w:line="360" w:lineRule="auto"/>
        <w:ind w:firstLine="480" w:firstLineChars="200"/>
        <w:rPr>
          <w:rFonts w:ascii="宋体"/>
          <w:color w:val="000000" w:themeColor="text1"/>
          <w:sz w:val="24"/>
        </w:rPr>
      </w:pPr>
      <w:r>
        <w:rPr>
          <w:rFonts w:hint="eastAsia" w:asciiTheme="minorEastAsia" w:hAnsiTheme="minorEastAsia" w:eastAsiaTheme="minorEastAsia" w:cstheme="minorEastAsia"/>
          <w:color w:val="000000" w:themeColor="text1"/>
          <w:sz w:val="24"/>
        </w:rPr>
        <w:t xml:space="preserve">⑴ </w:t>
      </w:r>
      <w:r>
        <w:rPr>
          <w:rFonts w:hint="eastAsia" w:ascii="宋体"/>
          <w:color w:val="000000" w:themeColor="text1"/>
          <w:sz w:val="24"/>
        </w:rPr>
        <w:t>开标时将通过政采云平台“不见面”开标大厅对投标文件完成远程解密，并在解密后进行唱标。唱标以投标供应商提交的投标文件中“</w:t>
      </w:r>
      <w:r>
        <w:rPr>
          <w:rFonts w:ascii="宋体" w:hAnsi="宋体" w:cs="宋体"/>
          <w:color w:val="000000" w:themeColor="text1"/>
          <w:sz w:val="24"/>
        </w:rPr>
        <w:t>开标一览表</w:t>
      </w:r>
      <w:r>
        <w:rPr>
          <w:rFonts w:hint="eastAsia" w:ascii="宋体"/>
          <w:color w:val="000000" w:themeColor="text1"/>
          <w:sz w:val="24"/>
        </w:rPr>
        <w:t>”的内容为准，并对唱标内容作以记录。</w:t>
      </w:r>
    </w:p>
    <w:p>
      <w:pPr>
        <w:spacing w:line="440" w:lineRule="exact"/>
        <w:ind w:firstLine="480" w:firstLineChars="200"/>
        <w:rPr>
          <w:color w:val="000000" w:themeColor="text1"/>
        </w:rPr>
      </w:pPr>
      <w:r>
        <w:rPr>
          <w:rFonts w:hint="eastAsia" w:ascii="宋体"/>
          <w:color w:val="000000" w:themeColor="text1"/>
          <w:sz w:val="24"/>
        </w:rPr>
        <w:t>若采购人宣读的内容与投标文件不符时，投标供应商有权在开标现场提出异议，经监督人员当场核查确认之后，可重新宣读其投标文件。若投标供应商现场未提出异议，则认为投标供应商已确认采购人宣读的结果。</w:t>
      </w:r>
    </w:p>
    <w:p>
      <w:pPr>
        <w:spacing w:line="360" w:lineRule="auto"/>
        <w:ind w:firstLine="480" w:firstLineChars="200"/>
        <w:rPr>
          <w:rFonts w:asciiTheme="minorEastAsia" w:hAnsiTheme="minorEastAsia" w:eastAsiaTheme="minorEastAsia" w:cstheme="minorEastAsia"/>
          <w:color w:val="000000" w:themeColor="text1"/>
          <w:sz w:val="24"/>
        </w:rPr>
      </w:pPr>
      <w:r>
        <w:rPr>
          <w:rFonts w:hint="eastAsia" w:asciiTheme="minorEastAsia" w:hAnsiTheme="minorEastAsia" w:eastAsiaTheme="minorEastAsia" w:cstheme="minorEastAsia"/>
          <w:color w:val="000000" w:themeColor="text1"/>
          <w:sz w:val="24"/>
        </w:rPr>
        <w:t xml:space="preserve">⑵ </w:t>
      </w:r>
      <w:r>
        <w:rPr>
          <w:rFonts w:hint="eastAsia" w:ascii="宋体"/>
          <w:color w:val="000000" w:themeColor="text1"/>
          <w:sz w:val="24"/>
        </w:rPr>
        <w:t>开标和唱标的顺序，按照政采云平台上的先后顺序依次进行。</w:t>
      </w:r>
    </w:p>
    <w:p>
      <w:pPr>
        <w:spacing w:line="360" w:lineRule="auto"/>
        <w:ind w:firstLine="480" w:firstLineChars="200"/>
        <w:rPr>
          <w:rFonts w:ascii="宋体" w:hAnsi="宋体" w:cs="宋体"/>
          <w:sz w:val="24"/>
        </w:rPr>
      </w:pPr>
      <w:r>
        <w:rPr>
          <w:rFonts w:hint="eastAsia" w:ascii="宋体" w:hAnsi="宋体" w:cs="宋体"/>
          <w:sz w:val="24"/>
        </w:rPr>
        <w:t>2.2</w:t>
      </w:r>
      <w:r>
        <w:rPr>
          <w:rFonts w:ascii="宋体" w:hAnsi="宋体" w:cs="宋体"/>
          <w:sz w:val="24"/>
        </w:rPr>
        <w:t>主持人宣布开标会结束。所有投标人应保持通讯设备的畅通，以方便在评标过程中</w:t>
      </w:r>
      <w:r>
        <w:rPr>
          <w:rFonts w:hint="eastAsia" w:ascii="宋体" w:hAnsi="宋体" w:cs="宋体"/>
          <w:sz w:val="24"/>
        </w:rPr>
        <w:t>评标委员会</w:t>
      </w:r>
      <w:r>
        <w:rPr>
          <w:rFonts w:ascii="宋体" w:hAnsi="宋体" w:cs="宋体"/>
          <w:sz w:val="24"/>
        </w:rPr>
        <w:t>要求投标人对</w:t>
      </w:r>
      <w:r>
        <w:rPr>
          <w:rFonts w:hint="eastAsia" w:ascii="宋体" w:hAnsi="宋体" w:cs="宋体"/>
          <w:sz w:val="24"/>
        </w:rPr>
        <w:t>投标文件</w:t>
      </w:r>
      <w:r>
        <w:rPr>
          <w:rFonts w:ascii="宋体" w:hAnsi="宋体" w:cs="宋体"/>
          <w:sz w:val="24"/>
        </w:rPr>
        <w:t>的必要澄清、说明和纠正</w:t>
      </w:r>
      <w:r>
        <w:rPr>
          <w:rFonts w:hint="eastAsia" w:asciiTheme="minorEastAsia" w:hAnsiTheme="minorEastAsia" w:eastAsiaTheme="minorEastAsia" w:cstheme="minorEastAsia"/>
          <w:kern w:val="0"/>
          <w:sz w:val="24"/>
        </w:rPr>
        <w:t>；</w:t>
      </w:r>
    </w:p>
    <w:p>
      <w:pPr>
        <w:spacing w:line="360" w:lineRule="auto"/>
        <w:rPr>
          <w:rFonts w:ascii="宋体" w:hAnsi="宋体" w:cs="宋体"/>
          <w:b/>
          <w:bCs/>
          <w:sz w:val="24"/>
        </w:rPr>
      </w:pPr>
      <w:r>
        <w:rPr>
          <w:rFonts w:hint="eastAsia" w:ascii="宋体" w:hAnsi="宋体" w:cs="宋体"/>
          <w:b/>
          <w:bCs/>
          <w:sz w:val="24"/>
        </w:rPr>
        <w:t>三、开标、评标过程存档</w:t>
      </w:r>
    </w:p>
    <w:p>
      <w:pPr>
        <w:spacing w:line="360" w:lineRule="auto"/>
        <w:ind w:firstLine="480" w:firstLineChars="200"/>
        <w:rPr>
          <w:rFonts w:ascii="宋体" w:cs="宋体"/>
          <w:sz w:val="24"/>
        </w:rPr>
      </w:pPr>
      <w:r>
        <w:rPr>
          <w:rFonts w:ascii="宋体" w:hAnsi="宋体" w:cs="宋体"/>
          <w:sz w:val="24"/>
        </w:rPr>
        <w:t>开标和评标过程进行全过程电子监控，并将电子监控资料存储介质留存归档。</w:t>
      </w:r>
    </w:p>
    <w:p>
      <w:pPr>
        <w:pStyle w:val="4"/>
        <w:jc w:val="center"/>
        <w:rPr>
          <w:rFonts w:cs="宋体"/>
          <w:sz w:val="24"/>
          <w:szCs w:val="24"/>
        </w:rPr>
      </w:pPr>
      <w:bookmarkStart w:id="9" w:name="_Toc19704"/>
      <w:r>
        <w:rPr>
          <w:rFonts w:ascii="Times New Roman" w:hAnsi="Times New Roman"/>
          <w:sz w:val="24"/>
          <w:szCs w:val="24"/>
        </w:rPr>
        <w:t>第</w:t>
      </w:r>
      <w:r>
        <w:rPr>
          <w:rFonts w:hint="eastAsia" w:ascii="Times New Roman" w:hAnsi="Times New Roman"/>
          <w:sz w:val="24"/>
          <w:szCs w:val="24"/>
        </w:rPr>
        <w:t>六</w:t>
      </w:r>
      <w:r>
        <w:rPr>
          <w:rFonts w:ascii="Times New Roman" w:hAnsi="Times New Roman"/>
          <w:sz w:val="24"/>
          <w:szCs w:val="24"/>
        </w:rPr>
        <w:t>节</w:t>
      </w:r>
      <w:r>
        <w:rPr>
          <w:rFonts w:hint="eastAsia" w:ascii="Times New Roman" w:hAnsi="Times New Roman"/>
          <w:sz w:val="24"/>
          <w:szCs w:val="24"/>
        </w:rPr>
        <w:t xml:space="preserve"> 评标</w:t>
      </w:r>
      <w:bookmarkEnd w:id="9"/>
    </w:p>
    <w:p>
      <w:pPr>
        <w:spacing w:line="360" w:lineRule="auto"/>
        <w:rPr>
          <w:rFonts w:ascii="宋体" w:cs="宋体"/>
          <w:b/>
          <w:bCs/>
          <w:sz w:val="24"/>
        </w:rPr>
      </w:pPr>
      <w:r>
        <w:rPr>
          <w:rFonts w:hint="eastAsia" w:ascii="宋体" w:cs="宋体"/>
          <w:b/>
          <w:bCs/>
          <w:sz w:val="24"/>
        </w:rPr>
        <w:t>一、评标委员会</w:t>
      </w:r>
    </w:p>
    <w:p>
      <w:pPr>
        <w:spacing w:line="360" w:lineRule="auto"/>
        <w:ind w:firstLine="480" w:firstLineChars="200"/>
        <w:rPr>
          <w:rFonts w:ascii="宋体" w:cs="宋体"/>
          <w:sz w:val="24"/>
        </w:rPr>
      </w:pPr>
      <w:r>
        <w:rPr>
          <w:rFonts w:hint="eastAsia" w:ascii="宋体" w:cs="宋体"/>
          <w:sz w:val="24"/>
        </w:rPr>
        <w:t xml:space="preserve">1.1 </w:t>
      </w:r>
      <w:r>
        <w:rPr>
          <w:rFonts w:hint="eastAsia" w:ascii="宋体"/>
          <w:kern w:val="0"/>
          <w:sz w:val="24"/>
        </w:rPr>
        <w:t>评标由采购人按照《政府采购评审专家管理办法》财库〔2016〕198号，依法组建的评标委员会负责</w:t>
      </w:r>
      <w:r>
        <w:rPr>
          <w:rFonts w:hint="eastAsia" w:ascii="宋体" w:cs="宋体"/>
          <w:sz w:val="24"/>
        </w:rPr>
        <w:t>。评标委员会由招标人或其委托的招标代理机构熟悉相关业务的代表，以及有关技术、经济等方面的专家组成。评标委员会成员人数以及技术、经济等方面专家的确定方式见投标人须知前附表。</w:t>
      </w:r>
      <w:r>
        <w:rPr>
          <w:rFonts w:hint="eastAsia" w:ascii="宋体"/>
          <w:color w:val="000000"/>
          <w:kern w:val="0"/>
          <w:sz w:val="24"/>
        </w:rPr>
        <w:t>评标委员会在监督人员的监督下独立完成评标工作，负责对投标文件进行审查、质询、评审、推选中标候选人。</w:t>
      </w:r>
    </w:p>
    <w:p>
      <w:pPr>
        <w:spacing w:line="360" w:lineRule="auto"/>
        <w:ind w:firstLine="480" w:firstLineChars="200"/>
        <w:rPr>
          <w:rFonts w:ascii="宋体" w:cs="宋体"/>
          <w:sz w:val="24"/>
        </w:rPr>
      </w:pPr>
      <w:r>
        <w:rPr>
          <w:rFonts w:hint="eastAsia" w:ascii="宋体" w:cs="宋体"/>
          <w:sz w:val="24"/>
        </w:rPr>
        <w:t>1.2 评标委员会成员有下列情形之一的，应当回避：</w:t>
      </w:r>
    </w:p>
    <w:p>
      <w:pPr>
        <w:spacing w:line="360" w:lineRule="auto"/>
        <w:ind w:firstLine="480" w:firstLineChars="200"/>
        <w:rPr>
          <w:rFonts w:ascii="宋体" w:cs="宋体"/>
          <w:sz w:val="24"/>
        </w:rPr>
      </w:pPr>
      <w:r>
        <w:rPr>
          <w:rFonts w:hint="eastAsia" w:ascii="宋体" w:cs="宋体"/>
          <w:sz w:val="24"/>
        </w:rPr>
        <w:t xml:space="preserve">⑴ </w:t>
      </w:r>
      <w:r>
        <w:rPr>
          <w:rFonts w:hint="eastAsia" w:ascii="宋体"/>
          <w:kern w:val="0"/>
          <w:sz w:val="24"/>
        </w:rPr>
        <w:t>与投标人的法定代表人或者负责人有夫妻、直系血亲、三代以内旁系血亲或者近姻</w:t>
      </w:r>
      <w:r>
        <w:rPr>
          <w:rFonts w:hint="eastAsia" w:ascii="宋体"/>
          <w:color w:val="000000"/>
          <w:kern w:val="0"/>
          <w:sz w:val="24"/>
        </w:rPr>
        <w:t>亲关系</w:t>
      </w:r>
      <w:r>
        <w:rPr>
          <w:rFonts w:hint="eastAsia" w:ascii="宋体" w:cs="宋体"/>
          <w:sz w:val="24"/>
        </w:rPr>
        <w:t>；</w:t>
      </w:r>
    </w:p>
    <w:p>
      <w:pPr>
        <w:spacing w:line="360" w:lineRule="auto"/>
        <w:ind w:firstLine="480" w:firstLineChars="200"/>
        <w:rPr>
          <w:rFonts w:ascii="宋体" w:cs="宋体"/>
          <w:sz w:val="24"/>
        </w:rPr>
      </w:pPr>
      <w:r>
        <w:rPr>
          <w:rFonts w:hint="eastAsia" w:ascii="宋体" w:cs="宋体"/>
          <w:sz w:val="24"/>
        </w:rPr>
        <w:t>⑵ 项目主管部门或者行政监督部门的人员；</w:t>
      </w:r>
    </w:p>
    <w:p>
      <w:pPr>
        <w:spacing w:line="360" w:lineRule="auto"/>
        <w:ind w:firstLine="480" w:firstLineChars="200"/>
        <w:rPr>
          <w:rFonts w:ascii="宋体" w:cs="宋体"/>
          <w:sz w:val="24"/>
        </w:rPr>
      </w:pPr>
      <w:r>
        <w:rPr>
          <w:rFonts w:hint="eastAsia" w:ascii="宋体" w:cs="宋体"/>
          <w:sz w:val="24"/>
        </w:rPr>
        <w:t>⑶ 与投标人有经济利益关系，可能影响对投标公正评审的；</w:t>
      </w:r>
    </w:p>
    <w:p>
      <w:pPr>
        <w:widowControl/>
        <w:shd w:val="clear" w:color="auto" w:fill="FFFFFF"/>
        <w:snapToGrid w:val="0"/>
        <w:spacing w:line="360" w:lineRule="auto"/>
        <w:ind w:firstLine="480" w:firstLineChars="200"/>
        <w:rPr>
          <w:rFonts w:ascii="宋体"/>
          <w:kern w:val="0"/>
          <w:sz w:val="24"/>
        </w:rPr>
      </w:pPr>
      <w:r>
        <w:rPr>
          <w:rFonts w:hint="eastAsia" w:ascii="宋体" w:cs="宋体"/>
          <w:sz w:val="24"/>
        </w:rPr>
        <w:t>⑷ 曾因在招标、评标以及其他与招标投标有关活动中从事违法行为而受过行政处罚或刑事处罚的。</w:t>
      </w:r>
    </w:p>
    <w:p>
      <w:pPr>
        <w:widowControl/>
        <w:shd w:val="clear" w:color="auto" w:fill="FFFFFF"/>
        <w:snapToGrid w:val="0"/>
        <w:spacing w:line="360" w:lineRule="auto"/>
        <w:ind w:firstLine="480" w:firstLineChars="200"/>
        <w:rPr>
          <w:rFonts w:ascii="宋体"/>
          <w:kern w:val="0"/>
          <w:sz w:val="24"/>
        </w:rPr>
      </w:pPr>
      <w:r>
        <w:rPr>
          <w:rFonts w:ascii="宋体"/>
          <w:kern w:val="0"/>
          <w:sz w:val="24"/>
        </w:rPr>
        <w:t>1.</w:t>
      </w:r>
      <w:r>
        <w:rPr>
          <w:rFonts w:hint="eastAsia" w:ascii="宋体"/>
          <w:kern w:val="0"/>
          <w:sz w:val="24"/>
        </w:rPr>
        <w:t>3评标委员会按照规定履行下列职责：</w:t>
      </w:r>
    </w:p>
    <w:p>
      <w:pPr>
        <w:widowControl/>
        <w:shd w:val="clear" w:color="auto" w:fill="FFFFFF"/>
        <w:snapToGrid w:val="0"/>
        <w:spacing w:line="360" w:lineRule="auto"/>
        <w:ind w:firstLine="480" w:firstLineChars="200"/>
        <w:rPr>
          <w:rFonts w:ascii="宋体"/>
          <w:kern w:val="0"/>
          <w:sz w:val="24"/>
        </w:rPr>
      </w:pPr>
      <w:r>
        <w:rPr>
          <w:rFonts w:hint="eastAsia" w:ascii="宋体" w:cs="宋体"/>
          <w:sz w:val="24"/>
        </w:rPr>
        <w:t xml:space="preserve">⑴ </w:t>
      </w:r>
      <w:r>
        <w:rPr>
          <w:rFonts w:hint="eastAsia" w:ascii="宋体"/>
          <w:kern w:val="0"/>
          <w:sz w:val="24"/>
        </w:rPr>
        <w:t>承担投标文件的审核工作，并作出评价；</w:t>
      </w:r>
    </w:p>
    <w:p>
      <w:pPr>
        <w:widowControl/>
        <w:shd w:val="clear" w:color="auto" w:fill="FFFFFF"/>
        <w:snapToGrid w:val="0"/>
        <w:spacing w:line="360" w:lineRule="auto"/>
        <w:ind w:firstLine="480" w:firstLineChars="200"/>
        <w:rPr>
          <w:rFonts w:ascii="宋体"/>
          <w:kern w:val="0"/>
          <w:sz w:val="24"/>
        </w:rPr>
      </w:pPr>
      <w:r>
        <w:rPr>
          <w:rFonts w:hint="eastAsia" w:ascii="宋体" w:cs="宋体"/>
          <w:sz w:val="24"/>
        </w:rPr>
        <w:t xml:space="preserve">⑵ </w:t>
      </w:r>
      <w:r>
        <w:rPr>
          <w:rFonts w:hint="eastAsia" w:ascii="宋体"/>
          <w:kern w:val="0"/>
          <w:sz w:val="24"/>
        </w:rPr>
        <w:t>要求投标人对投标文件有关事宜作出澄清或答复；</w:t>
      </w:r>
    </w:p>
    <w:p>
      <w:pPr>
        <w:widowControl/>
        <w:shd w:val="clear" w:color="auto" w:fill="FFFFFF"/>
        <w:snapToGrid w:val="0"/>
        <w:spacing w:line="360" w:lineRule="auto"/>
        <w:ind w:firstLine="480" w:firstLineChars="200"/>
        <w:rPr>
          <w:rFonts w:ascii="宋体"/>
          <w:kern w:val="0"/>
          <w:sz w:val="24"/>
        </w:rPr>
      </w:pPr>
      <w:r>
        <w:rPr>
          <w:rFonts w:hint="eastAsia" w:ascii="宋体" w:cs="宋体"/>
          <w:sz w:val="24"/>
        </w:rPr>
        <w:t xml:space="preserve">⑶ </w:t>
      </w:r>
      <w:r>
        <w:rPr>
          <w:rFonts w:hint="eastAsia" w:ascii="宋体"/>
          <w:kern w:val="0"/>
          <w:sz w:val="24"/>
        </w:rPr>
        <w:t>对质疑问题的审议工作；</w:t>
      </w:r>
    </w:p>
    <w:p>
      <w:pPr>
        <w:widowControl/>
        <w:shd w:val="clear" w:color="auto" w:fill="FFFFFF"/>
        <w:snapToGrid w:val="0"/>
        <w:spacing w:line="360" w:lineRule="auto"/>
        <w:ind w:firstLine="480" w:firstLineChars="200"/>
        <w:rPr>
          <w:rFonts w:ascii="宋体"/>
          <w:kern w:val="0"/>
          <w:sz w:val="24"/>
        </w:rPr>
      </w:pPr>
      <w:r>
        <w:rPr>
          <w:rFonts w:hint="eastAsia" w:ascii="宋体" w:cs="宋体"/>
          <w:sz w:val="24"/>
        </w:rPr>
        <w:t xml:space="preserve">⑷ </w:t>
      </w:r>
      <w:r>
        <w:rPr>
          <w:rFonts w:hint="eastAsia" w:ascii="宋体"/>
          <w:kern w:val="0"/>
          <w:sz w:val="24"/>
        </w:rPr>
        <w:t>推荐候选供应商名单或者直接确定供应商；</w:t>
      </w:r>
    </w:p>
    <w:p>
      <w:pPr>
        <w:spacing w:line="360" w:lineRule="auto"/>
        <w:ind w:firstLine="480" w:firstLineChars="200"/>
        <w:jc w:val="left"/>
        <w:rPr>
          <w:rFonts w:ascii="宋体"/>
          <w:color w:val="000000"/>
          <w:kern w:val="0"/>
          <w:sz w:val="24"/>
        </w:rPr>
      </w:pPr>
      <w:r>
        <w:rPr>
          <w:rFonts w:hint="eastAsia" w:ascii="宋体" w:cs="宋体"/>
          <w:kern w:val="0"/>
          <w:sz w:val="24"/>
        </w:rPr>
        <w:t xml:space="preserve">⑸ </w:t>
      </w:r>
      <w:r>
        <w:rPr>
          <w:rFonts w:hint="eastAsia" w:ascii="宋体"/>
          <w:kern w:val="0"/>
          <w:sz w:val="24"/>
        </w:rPr>
        <w:t>向有关部门反映招标项目评审过程中的问题，提出意见和建议。专家对评审的招标内容负责，并承担相应的责任。</w:t>
      </w:r>
    </w:p>
    <w:p>
      <w:pPr>
        <w:widowControl/>
        <w:shd w:val="clear" w:color="auto" w:fill="FFFFFF"/>
        <w:snapToGrid w:val="0"/>
        <w:spacing w:line="360" w:lineRule="auto"/>
        <w:ind w:firstLine="480" w:firstLineChars="200"/>
        <w:rPr>
          <w:rFonts w:ascii="宋体"/>
          <w:kern w:val="0"/>
          <w:sz w:val="24"/>
        </w:rPr>
      </w:pPr>
      <w:r>
        <w:rPr>
          <w:rFonts w:ascii="宋体"/>
          <w:kern w:val="0"/>
          <w:sz w:val="24"/>
        </w:rPr>
        <w:t>1.</w:t>
      </w:r>
      <w:r>
        <w:rPr>
          <w:rFonts w:hint="eastAsia" w:ascii="宋体"/>
          <w:kern w:val="0"/>
          <w:sz w:val="24"/>
        </w:rPr>
        <w:t>4评标委员会享有以下权利：</w:t>
      </w:r>
    </w:p>
    <w:p>
      <w:pPr>
        <w:widowControl/>
        <w:shd w:val="clear" w:color="auto" w:fill="FFFFFF"/>
        <w:snapToGrid w:val="0"/>
        <w:spacing w:line="360" w:lineRule="auto"/>
        <w:ind w:firstLine="480" w:firstLineChars="200"/>
        <w:rPr>
          <w:rFonts w:ascii="宋体"/>
          <w:kern w:val="0"/>
          <w:sz w:val="24"/>
        </w:rPr>
      </w:pPr>
      <w:r>
        <w:rPr>
          <w:rFonts w:hint="eastAsia" w:ascii="宋体" w:cs="宋体"/>
          <w:sz w:val="24"/>
        </w:rPr>
        <w:t xml:space="preserve">⑴ </w:t>
      </w:r>
      <w:r>
        <w:rPr>
          <w:rFonts w:hint="eastAsia" w:ascii="宋体"/>
          <w:kern w:val="0"/>
          <w:sz w:val="24"/>
        </w:rPr>
        <w:t>对供应商所供货物、服务质量的评审权；</w:t>
      </w:r>
    </w:p>
    <w:p>
      <w:pPr>
        <w:widowControl/>
        <w:shd w:val="clear" w:color="auto" w:fill="FFFFFF"/>
        <w:snapToGrid w:val="0"/>
        <w:spacing w:line="360" w:lineRule="auto"/>
        <w:ind w:firstLine="480" w:firstLineChars="200"/>
        <w:rPr>
          <w:rFonts w:ascii="宋体"/>
          <w:kern w:val="0"/>
          <w:sz w:val="24"/>
        </w:rPr>
      </w:pPr>
      <w:r>
        <w:rPr>
          <w:rFonts w:hint="eastAsia" w:ascii="宋体" w:cs="宋体"/>
          <w:sz w:val="24"/>
        </w:rPr>
        <w:t xml:space="preserve">⑵ </w:t>
      </w:r>
      <w:r>
        <w:rPr>
          <w:rFonts w:hint="eastAsia" w:ascii="宋体"/>
          <w:kern w:val="0"/>
          <w:sz w:val="24"/>
        </w:rPr>
        <w:t>按照招标文件对评审意见承担相应责任；</w:t>
      </w:r>
    </w:p>
    <w:p>
      <w:pPr>
        <w:widowControl/>
        <w:shd w:val="clear" w:color="auto" w:fill="FFFFFF"/>
        <w:snapToGrid w:val="0"/>
        <w:spacing w:line="360" w:lineRule="auto"/>
        <w:ind w:firstLine="480" w:firstLineChars="200"/>
        <w:rPr>
          <w:rFonts w:ascii="宋体"/>
          <w:kern w:val="0"/>
          <w:sz w:val="24"/>
        </w:rPr>
      </w:pPr>
      <w:r>
        <w:rPr>
          <w:rFonts w:hint="eastAsia" w:ascii="宋体" w:cs="宋体"/>
          <w:sz w:val="24"/>
        </w:rPr>
        <w:t xml:space="preserve">⑶ </w:t>
      </w:r>
      <w:r>
        <w:rPr>
          <w:rFonts w:hint="eastAsia" w:ascii="宋体"/>
          <w:kern w:val="0"/>
          <w:sz w:val="24"/>
        </w:rPr>
        <w:t>推荐中标候选人供应商的表决权；</w:t>
      </w:r>
    </w:p>
    <w:p>
      <w:pPr>
        <w:widowControl/>
        <w:shd w:val="clear" w:color="auto" w:fill="FFFFFF"/>
        <w:snapToGrid w:val="0"/>
        <w:spacing w:line="360" w:lineRule="auto"/>
        <w:ind w:firstLine="480" w:firstLineChars="200"/>
        <w:rPr>
          <w:rFonts w:ascii="宋体"/>
          <w:kern w:val="0"/>
          <w:sz w:val="24"/>
        </w:rPr>
      </w:pPr>
      <w:r>
        <w:rPr>
          <w:rFonts w:hint="eastAsia" w:ascii="宋体" w:cs="宋体"/>
          <w:sz w:val="24"/>
        </w:rPr>
        <w:t xml:space="preserve">⑷ </w:t>
      </w:r>
      <w:r>
        <w:rPr>
          <w:rFonts w:hint="eastAsia" w:ascii="宋体"/>
          <w:kern w:val="0"/>
          <w:sz w:val="24"/>
        </w:rPr>
        <w:t>参与评标报告的书写；</w:t>
      </w:r>
    </w:p>
    <w:p>
      <w:pPr>
        <w:widowControl/>
        <w:shd w:val="clear" w:color="auto" w:fill="FFFFFF"/>
        <w:snapToGrid w:val="0"/>
        <w:spacing w:line="360" w:lineRule="auto"/>
        <w:ind w:firstLine="480" w:firstLineChars="200"/>
        <w:rPr>
          <w:rFonts w:ascii="宋体"/>
          <w:kern w:val="0"/>
          <w:sz w:val="24"/>
        </w:rPr>
      </w:pPr>
      <w:r>
        <w:rPr>
          <w:rFonts w:hint="eastAsia" w:ascii="宋体" w:cs="宋体"/>
          <w:kern w:val="0"/>
          <w:sz w:val="24"/>
        </w:rPr>
        <w:t xml:space="preserve">⑸ </w:t>
      </w:r>
      <w:r>
        <w:rPr>
          <w:rFonts w:hint="eastAsia" w:ascii="宋体"/>
          <w:kern w:val="0"/>
          <w:sz w:val="24"/>
        </w:rPr>
        <w:t>配合相关部门的投诉处理工作；</w:t>
      </w:r>
    </w:p>
    <w:p>
      <w:pPr>
        <w:widowControl/>
        <w:shd w:val="clear" w:color="auto" w:fill="FFFFFF"/>
        <w:snapToGrid w:val="0"/>
        <w:spacing w:line="360" w:lineRule="auto"/>
        <w:ind w:firstLine="480" w:firstLineChars="200"/>
        <w:rPr>
          <w:rFonts w:ascii="宋体" w:cs="宋体"/>
          <w:sz w:val="24"/>
        </w:rPr>
      </w:pPr>
      <w:r>
        <w:rPr>
          <w:rFonts w:hint="eastAsia" w:ascii="宋体" w:cs="宋体"/>
          <w:kern w:val="0"/>
          <w:sz w:val="24"/>
        </w:rPr>
        <w:t xml:space="preserve">⑹ </w:t>
      </w:r>
      <w:r>
        <w:rPr>
          <w:rFonts w:hint="eastAsia" w:ascii="宋体"/>
          <w:kern w:val="0"/>
          <w:sz w:val="24"/>
        </w:rPr>
        <w:t>配合答复投标人提出的质疑。</w:t>
      </w:r>
    </w:p>
    <w:p>
      <w:pPr>
        <w:spacing w:line="360" w:lineRule="auto"/>
        <w:rPr>
          <w:rFonts w:ascii="宋体" w:cs="宋体"/>
          <w:b/>
          <w:bCs/>
          <w:sz w:val="24"/>
        </w:rPr>
      </w:pPr>
      <w:r>
        <w:rPr>
          <w:rFonts w:hint="eastAsia" w:ascii="宋体" w:cs="宋体"/>
          <w:b/>
          <w:bCs/>
          <w:sz w:val="24"/>
        </w:rPr>
        <w:t>二、评标原则</w:t>
      </w:r>
    </w:p>
    <w:p>
      <w:pPr>
        <w:spacing w:line="360" w:lineRule="auto"/>
        <w:ind w:firstLine="480" w:firstLineChars="200"/>
        <w:jc w:val="left"/>
        <w:rPr>
          <w:rFonts w:ascii="宋体" w:cs="宋体"/>
          <w:color w:val="000000"/>
          <w:sz w:val="24"/>
        </w:rPr>
      </w:pPr>
      <w:r>
        <w:rPr>
          <w:rFonts w:hint="eastAsia" w:ascii="宋体" w:cs="宋体"/>
          <w:color w:val="000000"/>
          <w:sz w:val="24"/>
        </w:rPr>
        <w:t>2.1 评标过程中应遵循公开、公平、公正、择优的原则；</w:t>
      </w:r>
    </w:p>
    <w:p>
      <w:pPr>
        <w:tabs>
          <w:tab w:val="left" w:pos="210"/>
        </w:tabs>
        <w:spacing w:line="360" w:lineRule="auto"/>
        <w:ind w:firstLine="480" w:firstLineChars="200"/>
        <w:jc w:val="left"/>
        <w:rPr>
          <w:rFonts w:ascii="宋体" w:cs="宋体"/>
          <w:color w:val="000000"/>
          <w:sz w:val="24"/>
        </w:rPr>
      </w:pPr>
      <w:r>
        <w:rPr>
          <w:rFonts w:hint="eastAsia" w:ascii="宋体" w:cs="宋体"/>
          <w:color w:val="000000"/>
          <w:sz w:val="24"/>
        </w:rPr>
        <w:t>2.2 评标应同时维护用户单位和投标单位的利益；</w:t>
      </w:r>
    </w:p>
    <w:p>
      <w:pPr>
        <w:spacing w:line="360" w:lineRule="auto"/>
        <w:ind w:firstLine="480" w:firstLineChars="200"/>
        <w:jc w:val="left"/>
        <w:rPr>
          <w:rFonts w:ascii="宋体" w:cs="宋体"/>
          <w:color w:val="000000"/>
          <w:sz w:val="24"/>
        </w:rPr>
      </w:pPr>
      <w:r>
        <w:rPr>
          <w:rFonts w:hint="eastAsia" w:ascii="宋体" w:cs="宋体"/>
          <w:color w:val="000000"/>
          <w:sz w:val="24"/>
        </w:rPr>
        <w:t>2.3资格审查合格的投标企业，中标机会均等；</w:t>
      </w:r>
    </w:p>
    <w:p>
      <w:pPr>
        <w:spacing w:line="360" w:lineRule="auto"/>
        <w:ind w:firstLine="480" w:firstLineChars="200"/>
        <w:jc w:val="left"/>
        <w:rPr>
          <w:rFonts w:ascii="宋体" w:cs="宋体"/>
          <w:color w:val="000000"/>
          <w:sz w:val="24"/>
        </w:rPr>
      </w:pPr>
      <w:r>
        <w:rPr>
          <w:rFonts w:hint="eastAsia" w:ascii="宋体" w:cs="宋体"/>
          <w:color w:val="000000"/>
          <w:sz w:val="24"/>
        </w:rPr>
        <w:t>2.4评标人员应独立进行评审，对个人的评审意见承担法律责任；</w:t>
      </w:r>
    </w:p>
    <w:p>
      <w:pPr>
        <w:spacing w:line="360" w:lineRule="auto"/>
        <w:ind w:firstLine="480" w:firstLineChars="200"/>
        <w:jc w:val="left"/>
        <w:rPr>
          <w:rFonts w:ascii="宋体" w:cs="宋体"/>
          <w:color w:val="000000"/>
          <w:sz w:val="24"/>
        </w:rPr>
      </w:pPr>
      <w:r>
        <w:rPr>
          <w:rFonts w:hint="eastAsia" w:ascii="宋体" w:cs="宋体"/>
          <w:color w:val="000000"/>
          <w:sz w:val="24"/>
        </w:rPr>
        <w:t>2.5评标人员不得私自泄露评标内容；</w:t>
      </w:r>
    </w:p>
    <w:p>
      <w:pPr>
        <w:spacing w:line="360" w:lineRule="auto"/>
        <w:ind w:firstLine="480" w:firstLineChars="200"/>
        <w:jc w:val="left"/>
        <w:rPr>
          <w:rFonts w:ascii="宋体" w:cs="宋体"/>
          <w:sz w:val="24"/>
        </w:rPr>
      </w:pPr>
      <w:r>
        <w:rPr>
          <w:rFonts w:hint="eastAsia" w:ascii="宋体" w:cs="宋体"/>
          <w:color w:val="000000"/>
          <w:sz w:val="24"/>
        </w:rPr>
        <w:t>2.6 评标采取质量、性能、价格、服务综合比、物有所值；</w:t>
      </w:r>
    </w:p>
    <w:p>
      <w:pPr>
        <w:spacing w:line="360" w:lineRule="auto"/>
        <w:rPr>
          <w:rFonts w:ascii="宋体" w:cs="宋体"/>
          <w:b/>
          <w:bCs/>
          <w:sz w:val="24"/>
        </w:rPr>
      </w:pPr>
      <w:r>
        <w:rPr>
          <w:rFonts w:hint="eastAsia" w:ascii="宋体" w:cs="宋体"/>
          <w:b/>
          <w:bCs/>
          <w:sz w:val="24"/>
        </w:rPr>
        <w:t>三、评标</w:t>
      </w:r>
    </w:p>
    <w:p>
      <w:pPr>
        <w:spacing w:line="360" w:lineRule="auto"/>
        <w:ind w:firstLine="480" w:firstLineChars="200"/>
        <w:rPr>
          <w:rFonts w:ascii="宋体" w:cs="宋体"/>
          <w:sz w:val="24"/>
        </w:rPr>
      </w:pPr>
      <w:r>
        <w:rPr>
          <w:rFonts w:hint="eastAsia" w:ascii="宋体" w:cs="宋体"/>
          <w:sz w:val="24"/>
        </w:rPr>
        <w:t>评标委员会按照“评标办法”规定的方法、评审因素、标准和程序对投标文件进行评审。“评标办法”没有规定的方法、评审因素和标准，不作为评标依据。</w:t>
      </w:r>
    </w:p>
    <w:p>
      <w:pPr>
        <w:pStyle w:val="4"/>
        <w:jc w:val="center"/>
        <w:rPr>
          <w:rFonts w:cs="宋体"/>
          <w:sz w:val="24"/>
          <w:szCs w:val="24"/>
        </w:rPr>
      </w:pPr>
      <w:bookmarkStart w:id="10" w:name="_Toc23832"/>
      <w:r>
        <w:rPr>
          <w:rFonts w:ascii="Times New Roman" w:hAnsi="Times New Roman"/>
          <w:sz w:val="24"/>
          <w:szCs w:val="24"/>
        </w:rPr>
        <w:t>第</w:t>
      </w:r>
      <w:r>
        <w:rPr>
          <w:rFonts w:hint="eastAsia" w:ascii="Times New Roman" w:hAnsi="Times New Roman"/>
          <w:sz w:val="24"/>
          <w:szCs w:val="24"/>
        </w:rPr>
        <w:t>七</w:t>
      </w:r>
      <w:r>
        <w:rPr>
          <w:rFonts w:ascii="Times New Roman" w:hAnsi="Times New Roman"/>
          <w:sz w:val="24"/>
          <w:szCs w:val="24"/>
        </w:rPr>
        <w:t>节</w:t>
      </w:r>
      <w:r>
        <w:rPr>
          <w:rFonts w:hint="eastAsia" w:ascii="Times New Roman" w:hAnsi="Times New Roman"/>
          <w:sz w:val="24"/>
          <w:szCs w:val="24"/>
        </w:rPr>
        <w:t xml:space="preserve"> 合同授予</w:t>
      </w:r>
      <w:bookmarkEnd w:id="10"/>
    </w:p>
    <w:p>
      <w:pPr>
        <w:spacing w:line="360" w:lineRule="auto"/>
        <w:rPr>
          <w:rFonts w:ascii="宋体" w:cs="宋体"/>
          <w:b/>
          <w:bCs/>
          <w:sz w:val="24"/>
        </w:rPr>
      </w:pPr>
      <w:r>
        <w:rPr>
          <w:rFonts w:hint="eastAsia" w:ascii="宋体" w:cs="宋体"/>
          <w:b/>
          <w:bCs/>
          <w:sz w:val="24"/>
        </w:rPr>
        <w:t>一、定标方式</w:t>
      </w:r>
    </w:p>
    <w:p>
      <w:pPr>
        <w:spacing w:line="360" w:lineRule="auto"/>
        <w:ind w:firstLine="480" w:firstLineChars="200"/>
        <w:rPr>
          <w:rFonts w:ascii="宋体" w:cs="宋体"/>
          <w:sz w:val="24"/>
        </w:rPr>
      </w:pPr>
      <w:r>
        <w:rPr>
          <w:rFonts w:hint="eastAsia" w:ascii="宋体" w:cs="宋体"/>
          <w:sz w:val="24"/>
        </w:rPr>
        <w:t>除投标人须知前附表规定评标委员会直接确定中标人外，招标人依据评标委员会推荐的中标候选人确定中标人，评标委员会推荐中标候选人的人数见投标人须知前附表。</w:t>
      </w:r>
    </w:p>
    <w:p>
      <w:pPr>
        <w:widowControl/>
        <w:shd w:val="clear" w:color="auto" w:fill="FFFFFF"/>
        <w:snapToGrid w:val="0"/>
        <w:spacing w:line="360" w:lineRule="auto"/>
        <w:ind w:firstLine="480" w:firstLineChars="200"/>
        <w:rPr>
          <w:rFonts w:ascii="宋体"/>
          <w:kern w:val="0"/>
          <w:sz w:val="24"/>
        </w:rPr>
      </w:pPr>
      <w:r>
        <w:rPr>
          <w:rFonts w:ascii="宋体"/>
          <w:kern w:val="0"/>
          <w:sz w:val="24"/>
        </w:rPr>
        <w:t xml:space="preserve">1.1 </w:t>
      </w:r>
      <w:r>
        <w:rPr>
          <w:rFonts w:hint="eastAsia" w:ascii="宋体"/>
          <w:kern w:val="0"/>
          <w:sz w:val="24"/>
        </w:rPr>
        <w:t>评标委员会按投标人须知前附表的规定，综合评估得分最高的为中标候选人顺序排名。</w:t>
      </w:r>
    </w:p>
    <w:p>
      <w:pPr>
        <w:widowControl/>
        <w:shd w:val="clear" w:color="auto" w:fill="FFFFFF"/>
        <w:snapToGrid w:val="0"/>
        <w:spacing w:line="360" w:lineRule="auto"/>
        <w:ind w:firstLine="480" w:firstLineChars="200"/>
        <w:rPr>
          <w:rFonts w:ascii="宋体"/>
          <w:kern w:val="0"/>
          <w:sz w:val="24"/>
        </w:rPr>
      </w:pPr>
      <w:r>
        <w:rPr>
          <w:rFonts w:hint="eastAsia" w:ascii="宋体" w:cs="宋体"/>
          <w:kern w:val="0"/>
          <w:sz w:val="24"/>
        </w:rPr>
        <w:t xml:space="preserve">⑴ </w:t>
      </w:r>
      <w:r>
        <w:rPr>
          <w:rFonts w:hint="eastAsia" w:ascii="宋体"/>
          <w:kern w:val="0"/>
          <w:sz w:val="24"/>
        </w:rPr>
        <w:t>未通过审查的投标文件为无效标。</w:t>
      </w:r>
    </w:p>
    <w:p>
      <w:pPr>
        <w:widowControl/>
        <w:shd w:val="clear" w:color="auto" w:fill="FFFFFF"/>
        <w:snapToGrid w:val="0"/>
        <w:spacing w:line="360" w:lineRule="auto"/>
        <w:ind w:firstLine="480" w:firstLineChars="200"/>
        <w:rPr>
          <w:rFonts w:ascii="宋体"/>
          <w:kern w:val="0"/>
          <w:sz w:val="24"/>
        </w:rPr>
      </w:pPr>
      <w:r>
        <w:rPr>
          <w:rFonts w:hint="eastAsia" w:ascii="宋体" w:cs="宋体"/>
          <w:kern w:val="0"/>
          <w:sz w:val="24"/>
        </w:rPr>
        <w:t xml:space="preserve">⑵ </w:t>
      </w:r>
      <w:r>
        <w:rPr>
          <w:rFonts w:hint="eastAsia" w:ascii="宋体"/>
          <w:kern w:val="0"/>
          <w:sz w:val="24"/>
        </w:rPr>
        <w:t>经评标委员会三分之二以上组员同意对存在重大偏离的投标文件可判定为无效标。</w:t>
      </w:r>
    </w:p>
    <w:p>
      <w:pPr>
        <w:widowControl/>
        <w:shd w:val="clear" w:color="auto" w:fill="FFFFFF"/>
        <w:snapToGrid w:val="0"/>
        <w:spacing w:line="360" w:lineRule="auto"/>
        <w:ind w:firstLine="480" w:firstLineChars="200"/>
        <w:rPr>
          <w:rFonts w:ascii="宋体"/>
          <w:kern w:val="0"/>
          <w:sz w:val="24"/>
        </w:rPr>
      </w:pPr>
      <w:r>
        <w:rPr>
          <w:rFonts w:hint="eastAsia" w:ascii="宋体" w:cs="宋体"/>
          <w:kern w:val="0"/>
          <w:sz w:val="24"/>
        </w:rPr>
        <w:t xml:space="preserve">⑶ </w:t>
      </w:r>
      <w:r>
        <w:rPr>
          <w:rFonts w:hint="eastAsia" w:ascii="宋体"/>
          <w:kern w:val="0"/>
          <w:sz w:val="24"/>
        </w:rPr>
        <w:t>对投标文件中含义不明确、同类问题表述不一致或者有明显错误的内容，评标委员会可以书面要求投标人作出必要的澄清说明或者纠正（应由评标委员会签字）。投标人的澄清说明或补正也须书面形式（由其授权代表签字），并不得超出投标文件的范围或者改变投标文件的实质性内容。</w:t>
      </w:r>
    </w:p>
    <w:p>
      <w:pPr>
        <w:widowControl/>
        <w:shd w:val="clear" w:color="auto" w:fill="FFFFFF"/>
        <w:snapToGrid w:val="0"/>
        <w:spacing w:line="360" w:lineRule="auto"/>
        <w:ind w:firstLine="480" w:firstLineChars="200"/>
        <w:rPr>
          <w:rFonts w:ascii="宋体"/>
          <w:kern w:val="0"/>
          <w:sz w:val="24"/>
        </w:rPr>
      </w:pPr>
      <w:r>
        <w:rPr>
          <w:rFonts w:hint="eastAsia" w:ascii="宋体" w:cs="宋体"/>
          <w:kern w:val="0"/>
          <w:sz w:val="24"/>
        </w:rPr>
        <w:t xml:space="preserve">⑷ </w:t>
      </w:r>
      <w:r>
        <w:rPr>
          <w:rFonts w:hint="eastAsia" w:ascii="宋体"/>
          <w:kern w:val="0"/>
          <w:sz w:val="24"/>
        </w:rPr>
        <w:t>评标过程出现异议的，由评标委员会共同商讨决定，需要投标人澄清的，评标委员会将以书面形式通知投标人。</w:t>
      </w:r>
    </w:p>
    <w:p>
      <w:pPr>
        <w:widowControl/>
        <w:shd w:val="clear" w:color="auto" w:fill="FFFFFF"/>
        <w:snapToGrid w:val="0"/>
        <w:spacing w:line="360" w:lineRule="auto"/>
        <w:ind w:firstLine="480" w:firstLineChars="200"/>
        <w:rPr>
          <w:rFonts w:ascii="宋体"/>
          <w:color w:val="000000"/>
          <w:kern w:val="0"/>
          <w:sz w:val="24"/>
        </w:rPr>
      </w:pPr>
      <w:r>
        <w:rPr>
          <w:rFonts w:ascii="宋体"/>
          <w:kern w:val="0"/>
          <w:sz w:val="24"/>
        </w:rPr>
        <w:t>1.</w:t>
      </w:r>
      <w:r>
        <w:rPr>
          <w:rFonts w:hint="eastAsia" w:ascii="宋体"/>
          <w:kern w:val="0"/>
          <w:sz w:val="24"/>
        </w:rPr>
        <w:t>2</w:t>
      </w:r>
      <w:r>
        <w:rPr>
          <w:rFonts w:hint="eastAsia" w:ascii="宋体" w:cs="宋体"/>
          <w:sz w:val="24"/>
        </w:rPr>
        <w:t>评标委员会按综合得分高低推荐候选人或者</w:t>
      </w:r>
      <w:r>
        <w:rPr>
          <w:rFonts w:hint="eastAsia" w:ascii="宋体" w:cs="宋体"/>
          <w:color w:val="000000"/>
          <w:sz w:val="24"/>
        </w:rPr>
        <w:t>确定中标供应商，得分相同的，以报价低的为优先中标候选人。</w:t>
      </w:r>
    </w:p>
    <w:p>
      <w:pPr>
        <w:widowControl/>
        <w:shd w:val="clear" w:color="auto" w:fill="FFFFFF"/>
        <w:snapToGrid w:val="0"/>
        <w:spacing w:line="360" w:lineRule="auto"/>
        <w:ind w:firstLine="480" w:firstLineChars="200"/>
        <w:rPr>
          <w:rFonts w:ascii="宋体"/>
          <w:kern w:val="0"/>
          <w:sz w:val="24"/>
        </w:rPr>
      </w:pPr>
      <w:r>
        <w:rPr>
          <w:rFonts w:ascii="宋体"/>
          <w:color w:val="000000"/>
          <w:kern w:val="0"/>
          <w:sz w:val="24"/>
        </w:rPr>
        <w:t>1.</w:t>
      </w:r>
      <w:r>
        <w:rPr>
          <w:rFonts w:hint="eastAsia" w:ascii="宋体"/>
          <w:color w:val="000000"/>
          <w:kern w:val="0"/>
          <w:sz w:val="24"/>
        </w:rPr>
        <w:t>3评标委员会认为</w:t>
      </w:r>
      <w:r>
        <w:rPr>
          <w:rFonts w:hint="eastAsia" w:ascii="宋体" w:cs="宋体"/>
          <w:color w:val="000000"/>
          <w:sz w:val="24"/>
        </w:rPr>
        <w:t>中标</w:t>
      </w:r>
      <w:r>
        <w:rPr>
          <w:rFonts w:hint="eastAsia" w:ascii="宋体"/>
          <w:color w:val="000000"/>
          <w:kern w:val="0"/>
          <w:sz w:val="24"/>
        </w:rPr>
        <w:t>候选人投标价或某些分项报价</w:t>
      </w:r>
      <w:r>
        <w:rPr>
          <w:rFonts w:hint="eastAsia" w:ascii="宋体"/>
          <w:kern w:val="0"/>
          <w:sz w:val="24"/>
        </w:rPr>
        <w:t>明显不合理或低于成本，有可能影响商品质量和不能诚信履约的，可要求其在规定期限内提供书面文件及相关证明材料解释说明，否则，可取消其候选资格，按排名顺序递补候选人，以此类推。若排名第一的候选人，放弃中标、因不可抗力提出不能履行合同等情况，根据《评标委员会和评标方法暂行规定》执行。</w:t>
      </w:r>
    </w:p>
    <w:p>
      <w:pPr>
        <w:widowControl/>
        <w:shd w:val="clear" w:color="auto" w:fill="FFFFFF"/>
        <w:snapToGrid w:val="0"/>
        <w:spacing w:line="360" w:lineRule="auto"/>
        <w:ind w:firstLine="480" w:firstLineChars="200"/>
        <w:rPr>
          <w:rFonts w:ascii="宋体"/>
          <w:kern w:val="0"/>
          <w:sz w:val="24"/>
        </w:rPr>
      </w:pPr>
      <w:r>
        <w:rPr>
          <w:rFonts w:ascii="宋体"/>
          <w:kern w:val="0"/>
          <w:sz w:val="24"/>
        </w:rPr>
        <w:t>1.</w:t>
      </w:r>
      <w:r>
        <w:rPr>
          <w:rFonts w:hint="eastAsia" w:ascii="宋体"/>
          <w:kern w:val="0"/>
          <w:sz w:val="24"/>
        </w:rPr>
        <w:t>4如中标候选投标人被确认为不具备执行合同的能力，采购人将考虑按同样的程序审查下一个中标候选人。</w:t>
      </w:r>
    </w:p>
    <w:p>
      <w:pPr>
        <w:widowControl/>
        <w:shd w:val="clear" w:color="auto" w:fill="FFFFFF"/>
        <w:snapToGrid w:val="0"/>
        <w:spacing w:line="360" w:lineRule="auto"/>
        <w:ind w:firstLine="480" w:firstLineChars="200"/>
      </w:pPr>
      <w:r>
        <w:rPr>
          <w:rFonts w:ascii="宋体"/>
          <w:kern w:val="0"/>
          <w:sz w:val="24"/>
        </w:rPr>
        <w:t>1.</w:t>
      </w:r>
      <w:r>
        <w:rPr>
          <w:rFonts w:hint="eastAsia" w:ascii="宋体"/>
          <w:kern w:val="0"/>
          <w:sz w:val="24"/>
        </w:rPr>
        <w:t>5</w:t>
      </w:r>
      <w:r>
        <w:rPr>
          <w:rFonts w:hint="eastAsia" w:ascii="宋体"/>
          <w:b/>
          <w:bCs/>
          <w:kern w:val="0"/>
          <w:sz w:val="24"/>
        </w:rPr>
        <w:t>对未成交的供应企业不作未成交原因的解释</w:t>
      </w:r>
      <w:r>
        <w:rPr>
          <w:rFonts w:hint="eastAsia" w:ascii="宋体"/>
          <w:kern w:val="0"/>
          <w:sz w:val="24"/>
        </w:rPr>
        <w:t>。</w:t>
      </w:r>
    </w:p>
    <w:p>
      <w:pPr>
        <w:widowControl/>
        <w:shd w:val="clear" w:color="auto" w:fill="FFFFFF"/>
        <w:snapToGrid w:val="0"/>
        <w:spacing w:line="360" w:lineRule="auto"/>
        <w:rPr>
          <w:rFonts w:ascii="宋体"/>
          <w:b/>
          <w:bCs/>
          <w:kern w:val="0"/>
          <w:sz w:val="24"/>
        </w:rPr>
      </w:pPr>
      <w:r>
        <w:rPr>
          <w:rFonts w:hint="eastAsia" w:ascii="宋体"/>
          <w:b/>
          <w:bCs/>
          <w:kern w:val="0"/>
          <w:sz w:val="24"/>
        </w:rPr>
        <w:t>二、中标候选人公示</w:t>
      </w:r>
    </w:p>
    <w:p>
      <w:pPr>
        <w:widowControl/>
        <w:shd w:val="clear" w:color="auto" w:fill="FFFFFF"/>
        <w:snapToGrid w:val="0"/>
        <w:spacing w:line="360" w:lineRule="auto"/>
        <w:ind w:firstLine="480" w:firstLineChars="200"/>
        <w:rPr>
          <w:rFonts w:ascii="宋体" w:cs="宋体"/>
          <w:sz w:val="24"/>
        </w:rPr>
      </w:pPr>
      <w:r>
        <w:rPr>
          <w:rFonts w:hint="eastAsia" w:ascii="宋体"/>
          <w:kern w:val="0"/>
          <w:sz w:val="24"/>
        </w:rPr>
        <w:t>在中标通知书发出前，中标候选人的情况将在招标公告发布的媒体上公示，公示期详见</w:t>
      </w:r>
      <w:r>
        <w:rPr>
          <w:rFonts w:hint="eastAsia" w:ascii="宋体" w:cs="宋体"/>
          <w:sz w:val="24"/>
        </w:rPr>
        <w:t>投标人须知前附表</w:t>
      </w:r>
      <w:r>
        <w:rPr>
          <w:rFonts w:hint="eastAsia" w:ascii="宋体"/>
          <w:kern w:val="0"/>
          <w:sz w:val="24"/>
        </w:rPr>
        <w:t>。</w:t>
      </w:r>
    </w:p>
    <w:p>
      <w:pPr>
        <w:spacing w:line="360" w:lineRule="auto"/>
        <w:rPr>
          <w:rFonts w:ascii="宋体" w:cs="宋体"/>
          <w:b/>
          <w:bCs/>
          <w:sz w:val="24"/>
        </w:rPr>
      </w:pPr>
      <w:r>
        <w:rPr>
          <w:rFonts w:hint="eastAsia" w:ascii="宋体" w:cs="宋体"/>
          <w:b/>
          <w:bCs/>
          <w:sz w:val="24"/>
        </w:rPr>
        <w:t>三、中标通知</w:t>
      </w:r>
    </w:p>
    <w:p>
      <w:pPr>
        <w:spacing w:line="360" w:lineRule="auto"/>
        <w:ind w:firstLine="480" w:firstLineChars="200"/>
        <w:rPr>
          <w:rFonts w:ascii="宋体" w:cs="宋体"/>
          <w:sz w:val="24"/>
        </w:rPr>
      </w:pPr>
      <w:r>
        <w:rPr>
          <w:rFonts w:hint="eastAsia" w:ascii="宋体"/>
          <w:kern w:val="0"/>
          <w:sz w:val="24"/>
        </w:rPr>
        <w:t>公示期满后，</w:t>
      </w:r>
      <w:r>
        <w:rPr>
          <w:rFonts w:hint="eastAsia" w:ascii="宋体" w:cs="宋体"/>
          <w:sz w:val="24"/>
        </w:rPr>
        <w:t>招标人以书面形式向中标人发出中标通知书，同时将中标结果通知未中标的投标人。</w:t>
      </w:r>
      <w:r>
        <w:rPr>
          <w:rFonts w:hint="eastAsia" w:ascii="宋体"/>
          <w:kern w:val="0"/>
          <w:sz w:val="24"/>
        </w:rPr>
        <w:t>中标供应企业及时领取中标通知书。</w:t>
      </w:r>
    </w:p>
    <w:p>
      <w:pPr>
        <w:spacing w:line="360" w:lineRule="auto"/>
        <w:rPr>
          <w:rFonts w:ascii="宋体" w:cs="宋体"/>
          <w:b/>
          <w:bCs/>
          <w:sz w:val="24"/>
        </w:rPr>
      </w:pPr>
      <w:r>
        <w:rPr>
          <w:rFonts w:hint="eastAsia" w:ascii="宋体" w:cs="宋体"/>
          <w:b/>
          <w:bCs/>
          <w:sz w:val="24"/>
        </w:rPr>
        <w:t>四、履约担保</w:t>
      </w:r>
    </w:p>
    <w:p>
      <w:pPr>
        <w:spacing w:line="360" w:lineRule="auto"/>
        <w:ind w:firstLine="480" w:firstLineChars="200"/>
        <w:rPr>
          <w:rFonts w:ascii="宋体" w:cs="宋体"/>
          <w:sz w:val="24"/>
        </w:rPr>
      </w:pPr>
      <w:r>
        <w:rPr>
          <w:rFonts w:hint="eastAsia" w:ascii="宋体" w:hAnsi="宋体" w:cs="宋体"/>
          <w:sz w:val="24"/>
        </w:rPr>
        <w:t>4.1</w:t>
      </w:r>
      <w:r>
        <w:rPr>
          <w:rFonts w:hint="eastAsia" w:ascii="宋体" w:cs="宋体"/>
          <w:sz w:val="24"/>
        </w:rPr>
        <w:t xml:space="preserve"> 在签订合同前，中标人应按投标人须知前附表规定的金额、担保形式向招标人提交履约担保。联合体中标的，其履约担保由牵头人递交，并应符合投标人须知前附表规定。</w:t>
      </w:r>
    </w:p>
    <w:p>
      <w:pPr>
        <w:spacing w:line="360" w:lineRule="auto"/>
        <w:ind w:firstLine="480" w:firstLineChars="200"/>
        <w:rPr>
          <w:rFonts w:ascii="宋体" w:cs="宋体"/>
          <w:sz w:val="24"/>
        </w:rPr>
      </w:pPr>
      <w:r>
        <w:rPr>
          <w:rFonts w:hint="eastAsia" w:ascii="宋体" w:hAnsi="宋体" w:cs="宋体"/>
          <w:sz w:val="24"/>
        </w:rPr>
        <w:t>4.2</w:t>
      </w:r>
      <w:r>
        <w:rPr>
          <w:rFonts w:hint="eastAsia" w:ascii="宋体" w:cs="宋体"/>
          <w:b/>
          <w:bCs/>
          <w:sz w:val="24"/>
        </w:rPr>
        <w:t>中标人不能按要求提交履约担保的，视为放弃中标</w:t>
      </w:r>
      <w:r>
        <w:rPr>
          <w:rFonts w:hint="eastAsia" w:ascii="宋体" w:cs="宋体"/>
          <w:sz w:val="24"/>
        </w:rPr>
        <w:t>，其投标保证金不予退还，给招标人造成的损失超过投标保证金数额的，中标人还应当对超过部分予以赔偿。</w:t>
      </w:r>
    </w:p>
    <w:p>
      <w:pPr>
        <w:spacing w:line="360" w:lineRule="auto"/>
        <w:rPr>
          <w:rFonts w:ascii="宋体" w:cs="宋体"/>
          <w:b/>
          <w:bCs/>
          <w:sz w:val="24"/>
        </w:rPr>
      </w:pPr>
      <w:r>
        <w:rPr>
          <w:rFonts w:hint="eastAsia" w:ascii="宋体" w:cs="宋体"/>
          <w:b/>
          <w:bCs/>
          <w:sz w:val="24"/>
        </w:rPr>
        <w:t>五、签订合同</w:t>
      </w:r>
    </w:p>
    <w:p>
      <w:pPr>
        <w:spacing w:line="360" w:lineRule="auto"/>
        <w:ind w:firstLine="480" w:firstLineChars="200"/>
        <w:rPr>
          <w:rFonts w:ascii="宋体" w:cs="宋体"/>
          <w:sz w:val="24"/>
        </w:rPr>
      </w:pPr>
      <w:r>
        <w:rPr>
          <w:rFonts w:hint="eastAsia" w:ascii="宋体" w:hAnsi="宋体" w:cs="宋体"/>
          <w:sz w:val="24"/>
        </w:rPr>
        <w:t>5.1</w:t>
      </w:r>
      <w:r>
        <w:rPr>
          <w:rFonts w:hint="eastAsia" w:ascii="宋体" w:cs="宋体"/>
          <w:sz w:val="24"/>
        </w:rPr>
        <w:t>招标人和中标人应当自中标通知书发出之日起30 天内，根据招标文件和中标人的投标文件订立书面合同。</w:t>
      </w:r>
      <w:r>
        <w:rPr>
          <w:rFonts w:hint="eastAsia" w:ascii="宋体" w:cs="宋体"/>
          <w:b/>
          <w:bCs/>
          <w:sz w:val="24"/>
        </w:rPr>
        <w:t>中标人无正当理由拒签合同的，招标人取消其中标资格，其投标保证金不予退还</w:t>
      </w:r>
      <w:r>
        <w:rPr>
          <w:rFonts w:hint="eastAsia" w:ascii="宋体" w:cs="宋体"/>
          <w:sz w:val="24"/>
        </w:rPr>
        <w:t>；给招标人造成的损失超过投标保证金数额的，中标人还应当对超过部分予以赔偿。</w:t>
      </w:r>
    </w:p>
    <w:p>
      <w:pPr>
        <w:widowControl/>
        <w:shd w:val="clear" w:color="auto" w:fill="FFFFFF"/>
        <w:snapToGrid w:val="0"/>
        <w:spacing w:line="360" w:lineRule="auto"/>
        <w:ind w:firstLine="480" w:firstLineChars="200"/>
        <w:rPr>
          <w:rFonts w:ascii="宋体"/>
          <w:kern w:val="0"/>
          <w:sz w:val="24"/>
        </w:rPr>
      </w:pPr>
      <w:r>
        <w:rPr>
          <w:rFonts w:hint="eastAsia" w:ascii="宋体" w:hAnsi="宋体" w:cs="宋体"/>
          <w:sz w:val="24"/>
        </w:rPr>
        <w:t>5.2</w:t>
      </w:r>
      <w:r>
        <w:rPr>
          <w:rFonts w:hint="eastAsia" w:ascii="宋体" w:cs="宋体"/>
          <w:sz w:val="24"/>
        </w:rPr>
        <w:t xml:space="preserve"> 中标人</w:t>
      </w:r>
      <w:r>
        <w:rPr>
          <w:rFonts w:hint="eastAsia" w:ascii="宋体"/>
          <w:kern w:val="0"/>
          <w:sz w:val="24"/>
        </w:rPr>
        <w:t>因不可抗力或自身原因不能签订协议合同或者不能履行合同的，采购人可以按成交候选顺序确定新的</w:t>
      </w:r>
      <w:r>
        <w:rPr>
          <w:rFonts w:hint="eastAsia" w:ascii="宋体" w:cs="宋体"/>
          <w:sz w:val="24"/>
        </w:rPr>
        <w:t>中标人</w:t>
      </w:r>
      <w:r>
        <w:rPr>
          <w:rFonts w:hint="eastAsia" w:ascii="宋体"/>
          <w:kern w:val="0"/>
          <w:sz w:val="24"/>
        </w:rPr>
        <w:t>并签订合同，依次类推，或重新进行采购。</w:t>
      </w:r>
    </w:p>
    <w:p>
      <w:pPr>
        <w:pStyle w:val="4"/>
        <w:ind w:firstLine="482" w:firstLineChars="200"/>
        <w:jc w:val="center"/>
        <w:rPr>
          <w:rFonts w:cs="宋体"/>
          <w:sz w:val="24"/>
          <w:szCs w:val="24"/>
        </w:rPr>
      </w:pPr>
      <w:bookmarkStart w:id="11" w:name="_Toc13199"/>
      <w:bookmarkStart w:id="12" w:name="_Toc14493"/>
      <w:r>
        <w:rPr>
          <w:rFonts w:ascii="Times New Roman" w:hAnsi="Times New Roman"/>
          <w:sz w:val="24"/>
          <w:szCs w:val="24"/>
        </w:rPr>
        <w:t>第</w:t>
      </w:r>
      <w:r>
        <w:rPr>
          <w:rFonts w:hint="eastAsia" w:ascii="Times New Roman" w:hAnsi="Times New Roman"/>
          <w:sz w:val="24"/>
          <w:szCs w:val="24"/>
        </w:rPr>
        <w:t>八</w:t>
      </w:r>
      <w:r>
        <w:rPr>
          <w:rFonts w:ascii="Times New Roman" w:hAnsi="Times New Roman"/>
          <w:sz w:val="24"/>
          <w:szCs w:val="24"/>
        </w:rPr>
        <w:t>节</w:t>
      </w:r>
      <w:r>
        <w:rPr>
          <w:rFonts w:hint="eastAsia" w:ascii="Times New Roman" w:hAnsi="Times New Roman"/>
          <w:sz w:val="24"/>
          <w:szCs w:val="24"/>
        </w:rPr>
        <w:t xml:space="preserve"> 重新招标和不再招标</w:t>
      </w:r>
      <w:bookmarkEnd w:id="11"/>
      <w:bookmarkEnd w:id="12"/>
    </w:p>
    <w:p>
      <w:pPr>
        <w:spacing w:line="360" w:lineRule="auto"/>
        <w:ind w:firstLine="482" w:firstLineChars="200"/>
        <w:rPr>
          <w:rFonts w:ascii="宋体" w:cs="宋体"/>
          <w:b/>
          <w:bCs/>
          <w:sz w:val="24"/>
        </w:rPr>
      </w:pPr>
      <w:r>
        <w:rPr>
          <w:rFonts w:hint="eastAsia" w:ascii="宋体" w:cs="宋体"/>
          <w:b/>
          <w:bCs/>
          <w:sz w:val="24"/>
        </w:rPr>
        <w:t>一、重新招标</w:t>
      </w:r>
    </w:p>
    <w:p>
      <w:pPr>
        <w:spacing w:line="360" w:lineRule="auto"/>
        <w:ind w:firstLine="480" w:firstLineChars="200"/>
        <w:rPr>
          <w:rFonts w:ascii="宋体" w:cs="宋体"/>
          <w:sz w:val="24"/>
        </w:rPr>
      </w:pPr>
      <w:r>
        <w:rPr>
          <w:rFonts w:hint="eastAsia" w:ascii="宋体" w:cs="宋体"/>
          <w:sz w:val="24"/>
        </w:rPr>
        <w:t>有下列情形之一的，招标人将重新招标：</w:t>
      </w:r>
    </w:p>
    <w:p>
      <w:pPr>
        <w:spacing w:line="360" w:lineRule="auto"/>
        <w:ind w:firstLine="480" w:firstLineChars="200"/>
        <w:rPr>
          <w:rFonts w:ascii="宋体" w:cs="宋体"/>
          <w:sz w:val="24"/>
        </w:rPr>
      </w:pPr>
      <w:r>
        <w:rPr>
          <w:rFonts w:hint="eastAsia" w:ascii="宋体" w:cs="宋体"/>
          <w:sz w:val="24"/>
        </w:rPr>
        <w:t>⑴ 投标截止时间止，投标人少于3 个的；</w:t>
      </w:r>
    </w:p>
    <w:p>
      <w:pPr>
        <w:spacing w:line="360" w:lineRule="auto"/>
        <w:ind w:firstLine="480" w:firstLineChars="200"/>
        <w:rPr>
          <w:rFonts w:ascii="宋体" w:cs="宋体"/>
          <w:sz w:val="24"/>
        </w:rPr>
      </w:pPr>
      <w:r>
        <w:rPr>
          <w:rFonts w:hint="eastAsia" w:ascii="宋体" w:cs="宋体"/>
          <w:sz w:val="24"/>
        </w:rPr>
        <w:t>⑵ 经评标委员会评审后否决所有投标的或满足资格有效投标人不足3家。</w:t>
      </w:r>
    </w:p>
    <w:p>
      <w:pPr>
        <w:spacing w:line="360" w:lineRule="auto"/>
        <w:ind w:firstLine="482" w:firstLineChars="200"/>
        <w:rPr>
          <w:rFonts w:ascii="宋体" w:cs="宋体"/>
          <w:b/>
          <w:bCs/>
          <w:sz w:val="24"/>
        </w:rPr>
      </w:pPr>
      <w:r>
        <w:rPr>
          <w:rFonts w:hint="eastAsia" w:ascii="宋体" w:cs="宋体"/>
          <w:b/>
          <w:bCs/>
          <w:sz w:val="24"/>
        </w:rPr>
        <w:t>二、不再招标</w:t>
      </w:r>
    </w:p>
    <w:p>
      <w:pPr>
        <w:spacing w:line="360" w:lineRule="auto"/>
        <w:ind w:firstLine="480" w:firstLineChars="200"/>
        <w:rPr>
          <w:rFonts w:ascii="宋体" w:cs="宋体"/>
          <w:sz w:val="24"/>
        </w:rPr>
      </w:pPr>
      <w:r>
        <w:rPr>
          <w:rFonts w:hint="eastAsia" w:ascii="宋体" w:cs="宋体"/>
          <w:sz w:val="24"/>
        </w:rPr>
        <w:t>重新招标后投标人仍少于3 个或者所有投标被否决的，属于必须审批或核准的工程建设项目，经原审批或核准部门批准后不再进行招标。</w:t>
      </w:r>
    </w:p>
    <w:p>
      <w:pPr>
        <w:pStyle w:val="4"/>
        <w:jc w:val="center"/>
        <w:rPr>
          <w:rFonts w:cs="宋体"/>
          <w:sz w:val="24"/>
          <w:szCs w:val="24"/>
        </w:rPr>
      </w:pPr>
      <w:bookmarkStart w:id="13" w:name="_Toc26262"/>
      <w:bookmarkStart w:id="14" w:name="_Toc6973"/>
      <w:r>
        <w:rPr>
          <w:rFonts w:ascii="Times New Roman" w:hAnsi="Times New Roman"/>
          <w:sz w:val="24"/>
          <w:szCs w:val="24"/>
        </w:rPr>
        <w:t>第</w:t>
      </w:r>
      <w:r>
        <w:rPr>
          <w:rFonts w:hint="eastAsia" w:ascii="Times New Roman" w:hAnsi="Times New Roman"/>
          <w:sz w:val="24"/>
          <w:szCs w:val="24"/>
        </w:rPr>
        <w:t>九</w:t>
      </w:r>
      <w:r>
        <w:rPr>
          <w:rFonts w:ascii="Times New Roman" w:hAnsi="Times New Roman"/>
          <w:sz w:val="24"/>
          <w:szCs w:val="24"/>
        </w:rPr>
        <w:t>节</w:t>
      </w:r>
      <w:r>
        <w:rPr>
          <w:rFonts w:hint="eastAsia" w:ascii="Times New Roman" w:hAnsi="Times New Roman"/>
          <w:sz w:val="24"/>
          <w:szCs w:val="24"/>
        </w:rPr>
        <w:t xml:space="preserve"> 纪律和监督</w:t>
      </w:r>
      <w:bookmarkEnd w:id="13"/>
      <w:bookmarkEnd w:id="14"/>
    </w:p>
    <w:p>
      <w:pPr>
        <w:spacing w:line="360" w:lineRule="auto"/>
        <w:ind w:firstLine="482" w:firstLineChars="200"/>
        <w:rPr>
          <w:rFonts w:ascii="宋体" w:cs="宋体"/>
          <w:b/>
          <w:bCs/>
          <w:sz w:val="24"/>
        </w:rPr>
      </w:pPr>
      <w:r>
        <w:rPr>
          <w:rFonts w:hint="eastAsia" w:ascii="宋体" w:cs="宋体"/>
          <w:b/>
          <w:bCs/>
          <w:sz w:val="24"/>
        </w:rPr>
        <w:t>一、对招标人的纪律要求</w:t>
      </w:r>
    </w:p>
    <w:p>
      <w:pPr>
        <w:spacing w:line="360" w:lineRule="auto"/>
        <w:ind w:firstLine="480" w:firstLineChars="200"/>
        <w:rPr>
          <w:rFonts w:ascii="宋体" w:cs="宋体"/>
          <w:sz w:val="24"/>
        </w:rPr>
      </w:pPr>
      <w:r>
        <w:rPr>
          <w:rFonts w:hint="eastAsia" w:ascii="宋体" w:cs="宋体"/>
          <w:sz w:val="24"/>
        </w:rPr>
        <w:t>招标人不得泄漏招标投标活动中应当保密的情况和资料，不得与投标人串通损害国家利益、社会公共利益或者他人合法权益。</w:t>
      </w:r>
    </w:p>
    <w:p>
      <w:pPr>
        <w:spacing w:line="360" w:lineRule="auto"/>
        <w:ind w:firstLine="482" w:firstLineChars="200"/>
        <w:rPr>
          <w:rFonts w:ascii="宋体" w:cs="宋体"/>
          <w:b/>
          <w:bCs/>
          <w:sz w:val="24"/>
        </w:rPr>
      </w:pPr>
      <w:r>
        <w:rPr>
          <w:rFonts w:hint="eastAsia" w:ascii="宋体" w:cs="宋体"/>
          <w:b/>
          <w:bCs/>
          <w:sz w:val="24"/>
        </w:rPr>
        <w:t>二、对投标人的纪律要求</w:t>
      </w:r>
    </w:p>
    <w:p>
      <w:pPr>
        <w:spacing w:line="360" w:lineRule="auto"/>
        <w:ind w:firstLine="480" w:firstLineChars="200"/>
        <w:rPr>
          <w:rFonts w:ascii="宋体" w:cs="宋体"/>
          <w:sz w:val="24"/>
        </w:rPr>
      </w:pPr>
      <w:r>
        <w:rPr>
          <w:rFonts w:hint="eastAsia" w:ascii="宋体" w:cs="宋体"/>
          <w:sz w:val="24"/>
        </w:rPr>
        <w:t>投标人不得相互串通投标或者与招标人串通投标，不得向招标人或者评标委员会成员行贿谋取中标，不得以他人名义投标或者以其他方式弄虚作假骗取中标；投标人不得以任何方式干扰、影响评标工作。</w:t>
      </w:r>
    </w:p>
    <w:p>
      <w:pPr>
        <w:widowControl/>
        <w:shd w:val="clear" w:color="auto" w:fill="FFFFFF"/>
        <w:snapToGrid w:val="0"/>
        <w:spacing w:line="360" w:lineRule="auto"/>
        <w:ind w:firstLine="480" w:firstLineChars="200"/>
        <w:rPr>
          <w:rFonts w:ascii="宋体"/>
          <w:kern w:val="0"/>
          <w:sz w:val="24"/>
        </w:rPr>
      </w:pPr>
      <w:r>
        <w:rPr>
          <w:rFonts w:hint="eastAsia" w:ascii="宋体"/>
          <w:kern w:val="0"/>
          <w:sz w:val="24"/>
        </w:rPr>
        <w:t>投标人有下列情形之一的，视为投标人串通投标，其投标无效：</w:t>
      </w:r>
    </w:p>
    <w:p>
      <w:pPr>
        <w:widowControl/>
        <w:shd w:val="clear" w:color="auto" w:fill="FFFFFF"/>
        <w:snapToGrid w:val="0"/>
        <w:spacing w:line="360" w:lineRule="auto"/>
        <w:ind w:firstLine="480" w:firstLineChars="200"/>
        <w:rPr>
          <w:rFonts w:ascii="宋体"/>
          <w:kern w:val="0"/>
          <w:sz w:val="24"/>
        </w:rPr>
      </w:pPr>
      <w:r>
        <w:rPr>
          <w:rFonts w:hint="eastAsia" w:ascii="宋体" w:cs="宋体"/>
          <w:kern w:val="0"/>
          <w:sz w:val="24"/>
        </w:rPr>
        <w:t>⑴</w:t>
      </w:r>
      <w:r>
        <w:rPr>
          <w:rFonts w:hint="eastAsia" w:ascii="宋体"/>
          <w:kern w:val="0"/>
          <w:sz w:val="24"/>
        </w:rPr>
        <w:t xml:space="preserve"> 不同投标人的投标文件由同一单位或者个人编制；</w:t>
      </w:r>
    </w:p>
    <w:p>
      <w:pPr>
        <w:widowControl/>
        <w:shd w:val="clear" w:color="auto" w:fill="FFFFFF"/>
        <w:snapToGrid w:val="0"/>
        <w:spacing w:line="360" w:lineRule="auto"/>
        <w:ind w:firstLine="480" w:firstLineChars="200"/>
        <w:rPr>
          <w:rFonts w:ascii="宋体"/>
          <w:kern w:val="0"/>
          <w:sz w:val="24"/>
        </w:rPr>
      </w:pPr>
      <w:r>
        <w:rPr>
          <w:rFonts w:hint="eastAsia" w:ascii="宋体" w:cs="宋体"/>
          <w:kern w:val="0"/>
          <w:sz w:val="24"/>
        </w:rPr>
        <w:t>⑵</w:t>
      </w:r>
      <w:r>
        <w:rPr>
          <w:rFonts w:hint="eastAsia" w:ascii="宋体"/>
          <w:kern w:val="0"/>
          <w:sz w:val="24"/>
        </w:rPr>
        <w:t xml:space="preserve"> 不同投标人委托同一单位或者个人办理投标事宜；</w:t>
      </w:r>
    </w:p>
    <w:p>
      <w:pPr>
        <w:widowControl/>
        <w:shd w:val="clear" w:color="auto" w:fill="FFFFFF"/>
        <w:snapToGrid w:val="0"/>
        <w:spacing w:line="360" w:lineRule="auto"/>
        <w:ind w:firstLine="480" w:firstLineChars="200"/>
        <w:rPr>
          <w:rFonts w:ascii="宋体"/>
          <w:kern w:val="0"/>
          <w:sz w:val="24"/>
        </w:rPr>
      </w:pPr>
      <w:r>
        <w:rPr>
          <w:rFonts w:hint="eastAsia" w:ascii="宋体" w:cs="宋体"/>
          <w:kern w:val="0"/>
          <w:sz w:val="24"/>
        </w:rPr>
        <w:t>⑶</w:t>
      </w:r>
      <w:r>
        <w:rPr>
          <w:rFonts w:hint="eastAsia" w:ascii="宋体"/>
          <w:kern w:val="0"/>
          <w:sz w:val="24"/>
        </w:rPr>
        <w:t xml:space="preserve"> 不同投标人的投标文件载明的项目管理成员或者联系人员为同一人；</w:t>
      </w:r>
    </w:p>
    <w:p>
      <w:pPr>
        <w:widowControl/>
        <w:shd w:val="clear" w:color="auto" w:fill="FFFFFF"/>
        <w:snapToGrid w:val="0"/>
        <w:spacing w:line="360" w:lineRule="auto"/>
        <w:ind w:firstLine="480" w:firstLineChars="200"/>
        <w:rPr>
          <w:rFonts w:ascii="宋体"/>
          <w:kern w:val="0"/>
          <w:sz w:val="24"/>
        </w:rPr>
      </w:pPr>
      <w:r>
        <w:rPr>
          <w:rFonts w:hint="eastAsia" w:ascii="宋体" w:cs="宋体"/>
          <w:kern w:val="0"/>
          <w:sz w:val="24"/>
        </w:rPr>
        <w:t>⑷不同投标人的投标文件异常一致或者投标报价呈现规律性差异；</w:t>
      </w:r>
    </w:p>
    <w:p>
      <w:pPr>
        <w:widowControl/>
        <w:shd w:val="clear" w:color="auto" w:fill="FFFFFF"/>
        <w:snapToGrid w:val="0"/>
        <w:spacing w:line="360" w:lineRule="auto"/>
        <w:ind w:firstLine="480" w:firstLineChars="200"/>
        <w:rPr>
          <w:rFonts w:ascii="宋体"/>
          <w:kern w:val="0"/>
          <w:sz w:val="24"/>
        </w:rPr>
      </w:pPr>
      <w:r>
        <w:rPr>
          <w:rFonts w:hint="eastAsia" w:ascii="宋体" w:cs="宋体"/>
          <w:kern w:val="0"/>
          <w:sz w:val="24"/>
        </w:rPr>
        <w:t>⑸</w:t>
      </w:r>
      <w:r>
        <w:rPr>
          <w:rFonts w:hint="eastAsia" w:ascii="宋体"/>
          <w:kern w:val="0"/>
          <w:sz w:val="24"/>
        </w:rPr>
        <w:t xml:space="preserve"> 不同投标人的投标文件相互混装；</w:t>
      </w:r>
    </w:p>
    <w:p>
      <w:pPr>
        <w:widowControl/>
        <w:shd w:val="clear" w:color="auto" w:fill="FFFFFF"/>
        <w:snapToGrid w:val="0"/>
        <w:spacing w:line="360" w:lineRule="auto"/>
        <w:ind w:firstLine="480" w:firstLineChars="200"/>
        <w:rPr>
          <w:rFonts w:ascii="宋体" w:cs="宋体"/>
          <w:sz w:val="24"/>
        </w:rPr>
      </w:pPr>
      <w:r>
        <w:rPr>
          <w:rFonts w:hint="eastAsia" w:ascii="宋体" w:cs="宋体"/>
          <w:kern w:val="0"/>
          <w:sz w:val="24"/>
        </w:rPr>
        <w:t>⑹ 不同投标人的投标保证金从同一单位或者个人的账户转出。</w:t>
      </w:r>
    </w:p>
    <w:p>
      <w:pPr>
        <w:spacing w:line="360" w:lineRule="auto"/>
        <w:ind w:firstLine="482" w:firstLineChars="200"/>
        <w:rPr>
          <w:rFonts w:ascii="宋体" w:cs="宋体"/>
          <w:b/>
          <w:bCs/>
          <w:sz w:val="24"/>
        </w:rPr>
      </w:pPr>
      <w:r>
        <w:rPr>
          <w:rFonts w:hint="eastAsia" w:ascii="宋体" w:cs="宋体"/>
          <w:b/>
          <w:bCs/>
          <w:sz w:val="24"/>
        </w:rPr>
        <w:t>三、对评标委员会成员的纪律要求</w:t>
      </w:r>
    </w:p>
    <w:p>
      <w:pPr>
        <w:spacing w:line="360" w:lineRule="auto"/>
        <w:ind w:firstLine="480" w:firstLineChars="200"/>
        <w:rPr>
          <w:rFonts w:ascii="宋体" w:cs="宋体"/>
          <w:sz w:val="24"/>
        </w:rPr>
      </w:pPr>
      <w:r>
        <w:rPr>
          <w:rFonts w:hint="eastAsia" w:ascii="宋体" w:cs="宋体"/>
          <w:sz w:val="24"/>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评标办法”没有规定的评审因素和标准进行评标。</w:t>
      </w:r>
    </w:p>
    <w:p>
      <w:pPr>
        <w:spacing w:line="360" w:lineRule="auto"/>
        <w:ind w:firstLine="482" w:firstLineChars="200"/>
        <w:rPr>
          <w:rFonts w:ascii="宋体" w:cs="宋体"/>
          <w:b/>
          <w:bCs/>
          <w:sz w:val="24"/>
        </w:rPr>
      </w:pPr>
      <w:r>
        <w:rPr>
          <w:rFonts w:hint="eastAsia" w:ascii="宋体" w:cs="宋体"/>
          <w:b/>
          <w:bCs/>
          <w:sz w:val="24"/>
        </w:rPr>
        <w:t>四、对与评标活动有关的工作人员的纪律要求</w:t>
      </w:r>
    </w:p>
    <w:p>
      <w:pPr>
        <w:spacing w:line="360" w:lineRule="auto"/>
        <w:ind w:firstLine="480" w:firstLineChars="200"/>
        <w:rPr>
          <w:rFonts w:ascii="宋体" w:cs="宋体"/>
          <w:sz w:val="24"/>
        </w:rPr>
      </w:pPr>
      <w:r>
        <w:rPr>
          <w:rFonts w:hint="eastAsia" w:ascii="宋体" w:cs="宋体"/>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360" w:lineRule="auto"/>
        <w:ind w:firstLine="482" w:firstLineChars="200"/>
        <w:rPr>
          <w:rFonts w:ascii="宋体" w:cs="宋体"/>
          <w:b/>
          <w:bCs/>
          <w:sz w:val="24"/>
        </w:rPr>
      </w:pPr>
      <w:r>
        <w:rPr>
          <w:rFonts w:hint="eastAsia" w:ascii="宋体" w:cs="宋体"/>
          <w:b/>
          <w:bCs/>
          <w:sz w:val="24"/>
        </w:rPr>
        <w:t>五、询问、质疑和投诉</w:t>
      </w:r>
    </w:p>
    <w:p>
      <w:pPr>
        <w:spacing w:line="360" w:lineRule="auto"/>
        <w:ind w:firstLine="480" w:firstLineChars="200"/>
        <w:rPr>
          <w:rFonts w:ascii="宋体" w:cs="宋体"/>
          <w:b/>
          <w:bCs/>
          <w:sz w:val="24"/>
        </w:rPr>
      </w:pPr>
      <w:r>
        <w:rPr>
          <w:rFonts w:hint="eastAsia" w:ascii="宋体" w:cs="宋体"/>
          <w:sz w:val="24"/>
        </w:rPr>
        <w:t>5.1 询问</w:t>
      </w:r>
    </w:p>
    <w:p>
      <w:pPr>
        <w:spacing w:line="360" w:lineRule="auto"/>
        <w:ind w:firstLine="480" w:firstLineChars="200"/>
        <w:rPr>
          <w:rFonts w:ascii="宋体" w:cs="宋体"/>
          <w:sz w:val="24"/>
        </w:rPr>
      </w:pPr>
      <w:r>
        <w:rPr>
          <w:rFonts w:hint="eastAsia" w:ascii="宋体" w:cs="宋体"/>
          <w:sz w:val="24"/>
          <w:lang w:val="zh-CN"/>
        </w:rPr>
        <w:t>投标人对采购活动事项有疑问的，可以提出询问，我公司将在两个工作日内作出答复，但答复的内容不涉及商业秘密。</w:t>
      </w:r>
    </w:p>
    <w:p>
      <w:pPr>
        <w:spacing w:line="360" w:lineRule="auto"/>
        <w:ind w:firstLine="480" w:firstLineChars="200"/>
        <w:rPr>
          <w:rFonts w:ascii="宋体" w:cs="宋体"/>
          <w:b/>
          <w:bCs/>
          <w:sz w:val="24"/>
        </w:rPr>
      </w:pPr>
      <w:r>
        <w:rPr>
          <w:rFonts w:hint="eastAsia" w:ascii="宋体" w:cs="宋体"/>
          <w:sz w:val="24"/>
        </w:rPr>
        <w:t>5.2质疑</w:t>
      </w:r>
    </w:p>
    <w:p>
      <w:pPr>
        <w:spacing w:line="360" w:lineRule="auto"/>
        <w:ind w:firstLine="480" w:firstLineChars="200"/>
        <w:rPr>
          <w:rFonts w:ascii="宋体" w:cs="宋体"/>
          <w:sz w:val="24"/>
        </w:rPr>
      </w:pPr>
      <w:r>
        <w:rPr>
          <w:rFonts w:hint="eastAsia" w:ascii="宋体" w:cs="宋体"/>
          <w:sz w:val="24"/>
        </w:rPr>
        <w:t>⑴ 提出质疑的</w:t>
      </w:r>
      <w:r>
        <w:rPr>
          <w:rFonts w:hint="eastAsia" w:ascii="宋体" w:cs="宋体"/>
          <w:sz w:val="24"/>
          <w:lang w:val="zh-CN"/>
        </w:rPr>
        <w:t>投标人</w:t>
      </w:r>
      <w:r>
        <w:rPr>
          <w:rFonts w:hint="eastAsia" w:ascii="宋体" w:cs="宋体"/>
          <w:sz w:val="24"/>
        </w:rPr>
        <w:t>应当是参与所质疑项目采购活动的供应商。潜在供应商依法获取其可质疑的采购文件的，可以对采购文件提出质疑。</w:t>
      </w:r>
    </w:p>
    <w:p>
      <w:pPr>
        <w:snapToGrid w:val="0"/>
        <w:spacing w:line="360" w:lineRule="auto"/>
        <w:ind w:firstLine="480" w:firstLineChars="200"/>
        <w:rPr>
          <w:rFonts w:ascii="宋体" w:cs="宋体"/>
          <w:kern w:val="0"/>
          <w:sz w:val="24"/>
        </w:rPr>
      </w:pPr>
      <w:r>
        <w:rPr>
          <w:rFonts w:hint="eastAsia" w:ascii="宋体" w:cs="宋体"/>
          <w:sz w:val="24"/>
        </w:rPr>
        <w:t xml:space="preserve">⑵ </w:t>
      </w:r>
      <w:r>
        <w:rPr>
          <w:rFonts w:hint="eastAsia" w:ascii="宋体" w:cs="宋体"/>
          <w:sz w:val="24"/>
          <w:lang w:val="zh-CN"/>
        </w:rPr>
        <w:t>投标人</w:t>
      </w:r>
      <w:r>
        <w:rPr>
          <w:rFonts w:hint="eastAsia" w:ascii="宋体" w:cs="宋体"/>
          <w:sz w:val="24"/>
        </w:rPr>
        <w:t>认为采购文件、采购过程和采购结果使自己的权益受到损害的，可以在知道或应知其权益受到损害之日起七个工作日内，以书面形式提出质疑。</w:t>
      </w:r>
    </w:p>
    <w:p>
      <w:pPr>
        <w:snapToGrid w:val="0"/>
        <w:spacing w:line="360" w:lineRule="auto"/>
        <w:ind w:firstLine="480" w:firstLineChars="200"/>
        <w:rPr>
          <w:rFonts w:ascii="宋体" w:cs="宋体"/>
          <w:kern w:val="0"/>
          <w:sz w:val="24"/>
        </w:rPr>
      </w:pPr>
      <w:r>
        <w:rPr>
          <w:rFonts w:hint="eastAsia" w:ascii="宋体" w:cs="宋体"/>
          <w:sz w:val="24"/>
        </w:rPr>
        <w:t xml:space="preserve">⑶ </w:t>
      </w:r>
      <w:r>
        <w:rPr>
          <w:rFonts w:hint="eastAsia" w:ascii="宋体" w:cs="宋体"/>
          <w:sz w:val="24"/>
          <w:lang w:val="zh-CN"/>
        </w:rPr>
        <w:t>投标人</w:t>
      </w:r>
      <w:r>
        <w:rPr>
          <w:rFonts w:hint="eastAsia" w:ascii="宋体" w:cs="宋体"/>
          <w:kern w:val="0"/>
          <w:sz w:val="24"/>
        </w:rPr>
        <w:t>应当在法定质疑期内一次性提出针对同一采购程序环节的质疑。</w:t>
      </w:r>
      <w:r>
        <w:rPr>
          <w:rFonts w:hint="eastAsia" w:ascii="宋体" w:cs="宋体"/>
          <w:b/>
          <w:bCs/>
          <w:sz w:val="24"/>
          <w:lang w:val="zh-CN"/>
        </w:rPr>
        <w:t>投标人</w:t>
      </w:r>
      <w:r>
        <w:rPr>
          <w:rFonts w:hint="eastAsia" w:ascii="宋体" w:cs="宋体"/>
          <w:b/>
          <w:bCs/>
          <w:kern w:val="0"/>
          <w:sz w:val="24"/>
        </w:rPr>
        <w:t>如在法定期限内对同一采购程序环节提出多次质疑的，将只对供应商第一次质疑作出答复</w:t>
      </w:r>
      <w:r>
        <w:rPr>
          <w:rFonts w:hint="eastAsia" w:ascii="宋体" w:cs="宋体"/>
          <w:kern w:val="0"/>
          <w:sz w:val="24"/>
        </w:rPr>
        <w:t>。</w:t>
      </w:r>
    </w:p>
    <w:p>
      <w:pPr>
        <w:snapToGrid w:val="0"/>
        <w:spacing w:line="360" w:lineRule="auto"/>
        <w:ind w:firstLine="480" w:firstLineChars="200"/>
        <w:rPr>
          <w:rFonts w:ascii="宋体" w:cs="宋体"/>
          <w:sz w:val="24"/>
        </w:rPr>
      </w:pPr>
      <w:r>
        <w:rPr>
          <w:rFonts w:hint="eastAsia" w:ascii="宋体" w:cs="宋体"/>
          <w:sz w:val="24"/>
        </w:rPr>
        <w:t>⑷ 质疑函必须按要求的格式和内容进行填写。</w:t>
      </w:r>
      <w:r>
        <w:rPr>
          <w:rFonts w:hint="eastAsia" w:ascii="宋体" w:cs="宋体"/>
          <w:sz w:val="24"/>
          <w:lang w:val="zh-CN"/>
        </w:rPr>
        <w:t>投标人</w:t>
      </w:r>
      <w:r>
        <w:rPr>
          <w:rFonts w:hint="eastAsia" w:ascii="宋体" w:cs="宋体"/>
          <w:sz w:val="24"/>
        </w:rPr>
        <w:t>如组成联合体参加投标，则</w:t>
      </w:r>
      <w:r>
        <w:rPr>
          <w:rFonts w:hint="eastAsia" w:ascii="宋体" w:cs="宋体"/>
          <w:color w:val="000000"/>
          <w:sz w:val="24"/>
        </w:rPr>
        <w:t>质疑函</w:t>
      </w:r>
      <w:r>
        <w:rPr>
          <w:rFonts w:hint="eastAsia" w:ascii="宋体" w:cs="宋体"/>
          <w:sz w:val="24"/>
        </w:rPr>
        <w:t>中要求签字、盖章、加盖公章之处，联合体各方均须按要求签字、盖章、加盖公章。</w:t>
      </w:r>
    </w:p>
    <w:p>
      <w:pPr>
        <w:snapToGrid w:val="0"/>
        <w:spacing w:line="360" w:lineRule="auto"/>
        <w:ind w:firstLine="480" w:firstLineChars="200"/>
        <w:rPr>
          <w:rFonts w:ascii="宋体" w:cs="宋体"/>
          <w:sz w:val="24"/>
        </w:rPr>
      </w:pPr>
      <w:r>
        <w:rPr>
          <w:rFonts w:hint="eastAsia" w:ascii="宋体" w:cs="宋体"/>
          <w:sz w:val="24"/>
        </w:rPr>
        <w:t>⑸ 只接收以纸质原件形式送达的质疑。项目开标前的质疑（针对采购文件的质疑），由采购人负责回复答疑。项目开评标中评标结束后由</w:t>
      </w:r>
      <w:r>
        <w:rPr>
          <w:rFonts w:hint="eastAsia" w:ascii="宋体" w:cs="宋体"/>
          <w:color w:val="000000"/>
          <w:sz w:val="24"/>
        </w:rPr>
        <w:t>代理公司</w:t>
      </w:r>
      <w:r>
        <w:rPr>
          <w:rFonts w:hint="eastAsia" w:ascii="宋体" w:cs="宋体"/>
          <w:sz w:val="24"/>
        </w:rPr>
        <w:t>负责回复。</w:t>
      </w:r>
    </w:p>
    <w:p>
      <w:pPr>
        <w:snapToGrid w:val="0"/>
        <w:spacing w:line="360" w:lineRule="auto"/>
        <w:ind w:firstLine="480" w:firstLineChars="200"/>
        <w:rPr>
          <w:rFonts w:ascii="宋体" w:cs="宋体"/>
          <w:sz w:val="24"/>
        </w:rPr>
      </w:pPr>
      <w:r>
        <w:rPr>
          <w:rFonts w:hint="eastAsia" w:ascii="宋体" w:cs="宋体"/>
          <w:sz w:val="24"/>
        </w:rPr>
        <w:t>开标前、后质疑（针对采购文件的质疑）接收人：本项目采购单位联系人，联系地址：见第一章 。</w:t>
      </w:r>
    </w:p>
    <w:p>
      <w:pPr>
        <w:snapToGrid w:val="0"/>
        <w:spacing w:line="360" w:lineRule="auto"/>
        <w:ind w:firstLine="480" w:firstLineChars="200"/>
        <w:rPr>
          <w:rFonts w:ascii="宋体" w:cs="宋体"/>
          <w:sz w:val="24"/>
        </w:rPr>
      </w:pPr>
      <w:r>
        <w:rPr>
          <w:rFonts w:hint="eastAsia" w:ascii="宋体" w:cs="宋体"/>
          <w:sz w:val="24"/>
        </w:rPr>
        <w:t>⑹ 以下情形的质疑不予受理</w:t>
      </w:r>
    </w:p>
    <w:p>
      <w:pPr>
        <w:snapToGrid w:val="0"/>
        <w:spacing w:line="360" w:lineRule="auto"/>
        <w:ind w:firstLine="480" w:firstLineChars="200"/>
        <w:rPr>
          <w:rFonts w:ascii="宋体" w:cs="宋体"/>
          <w:sz w:val="24"/>
        </w:rPr>
      </w:pPr>
      <w:r>
        <w:rPr>
          <w:rFonts w:hint="eastAsia" w:ascii="宋体" w:cs="宋体"/>
          <w:sz w:val="24"/>
        </w:rPr>
        <w:t>①内容不符合《政府采购质疑和投诉办法》第十二条规定的质疑。</w:t>
      </w:r>
    </w:p>
    <w:p>
      <w:pPr>
        <w:snapToGrid w:val="0"/>
        <w:spacing w:line="360" w:lineRule="auto"/>
        <w:ind w:firstLine="480" w:firstLineChars="200"/>
        <w:rPr>
          <w:rFonts w:ascii="宋体" w:cs="宋体"/>
          <w:sz w:val="24"/>
        </w:rPr>
      </w:pPr>
      <w:r>
        <w:rPr>
          <w:rFonts w:hint="eastAsia" w:ascii="宋体" w:cs="宋体"/>
          <w:sz w:val="24"/>
        </w:rPr>
        <w:t>②超出政府采购法定期限的质疑。</w:t>
      </w:r>
    </w:p>
    <w:p>
      <w:pPr>
        <w:snapToGrid w:val="0"/>
        <w:spacing w:line="360" w:lineRule="auto"/>
        <w:ind w:firstLine="480" w:firstLineChars="200"/>
        <w:rPr>
          <w:rFonts w:ascii="宋体" w:cs="宋体"/>
          <w:sz w:val="24"/>
        </w:rPr>
      </w:pPr>
      <w:r>
        <w:rPr>
          <w:rFonts w:hint="eastAsia" w:ascii="宋体" w:cs="宋体"/>
          <w:sz w:val="24"/>
        </w:rPr>
        <w:t>③以传真、电子邮件等方式递交的非原件形式的质疑。</w:t>
      </w:r>
    </w:p>
    <w:p>
      <w:pPr>
        <w:snapToGrid w:val="0"/>
        <w:spacing w:line="360" w:lineRule="auto"/>
        <w:ind w:firstLine="480" w:firstLineChars="200"/>
        <w:rPr>
          <w:rFonts w:ascii="宋体" w:cs="宋体"/>
          <w:sz w:val="24"/>
        </w:rPr>
      </w:pPr>
      <w:r>
        <w:rPr>
          <w:rFonts w:hint="eastAsia" w:ascii="宋体" w:cs="宋体"/>
          <w:sz w:val="24"/>
        </w:rPr>
        <w:t>④未参加投标活动的投标人或在投标活动中自身权益未受到损害的投标人所提出的质疑。</w:t>
      </w:r>
    </w:p>
    <w:p>
      <w:pPr>
        <w:snapToGrid w:val="0"/>
        <w:spacing w:line="360" w:lineRule="auto"/>
        <w:ind w:firstLine="480" w:firstLineChars="200"/>
        <w:rPr>
          <w:rFonts w:ascii="宋体" w:cs="宋体"/>
          <w:sz w:val="24"/>
        </w:rPr>
      </w:pPr>
      <w:r>
        <w:rPr>
          <w:rFonts w:hint="eastAsia" w:ascii="宋体" w:cs="宋体"/>
          <w:sz w:val="24"/>
        </w:rPr>
        <w:t>⑤投标人组成联合体参加投标，联合体中任何一方或多方未按要求签字、盖章、加盖公章的质疑。</w:t>
      </w:r>
    </w:p>
    <w:p>
      <w:pPr>
        <w:spacing w:line="360" w:lineRule="auto"/>
        <w:ind w:firstLine="480" w:firstLineChars="200"/>
        <w:rPr>
          <w:rFonts w:ascii="宋体" w:cs="宋体"/>
          <w:sz w:val="24"/>
        </w:rPr>
      </w:pPr>
      <w:r>
        <w:rPr>
          <w:rFonts w:hint="eastAsia" w:ascii="宋体" w:cs="宋体"/>
          <w:sz w:val="24"/>
        </w:rPr>
        <w:t>⑺ 投标人提出书面质疑必须有理、有据，不得捏造事实、提供虚假材料进行恶意质疑。否则，一经查实，依据政府采购的有关规定，报请政府采购监管部门对该投标人进行相应的行政处罚和记录该供应商的失信信息。</w:t>
      </w:r>
    </w:p>
    <w:p>
      <w:pPr>
        <w:spacing w:line="360" w:lineRule="auto"/>
        <w:ind w:firstLine="480" w:firstLineChars="200"/>
        <w:rPr>
          <w:rFonts w:ascii="宋体" w:cs="宋体"/>
          <w:b/>
          <w:bCs/>
          <w:sz w:val="24"/>
        </w:rPr>
      </w:pPr>
      <w:r>
        <w:rPr>
          <w:rFonts w:hint="eastAsia" w:ascii="宋体" w:cs="宋体"/>
          <w:sz w:val="24"/>
        </w:rPr>
        <w:t>5.3投诉</w:t>
      </w:r>
    </w:p>
    <w:p>
      <w:pPr>
        <w:spacing w:line="360" w:lineRule="auto"/>
        <w:ind w:firstLine="480" w:firstLineChars="200"/>
        <w:rPr>
          <w:rFonts w:ascii="宋体" w:cs="宋体"/>
          <w:sz w:val="24"/>
        </w:rPr>
      </w:pPr>
      <w:r>
        <w:rPr>
          <w:rFonts w:hint="eastAsia" w:ascii="宋体" w:cs="宋体"/>
          <w:sz w:val="24"/>
          <w:lang w:val="zh-CN"/>
        </w:rPr>
        <w:t>质疑供应商对我单位的答复不满意，或未在规定的时间内作出答复的，可以在答复期满</w:t>
      </w:r>
      <w:r>
        <w:rPr>
          <w:rFonts w:hint="eastAsia" w:ascii="宋体" w:cs="宋体"/>
          <w:sz w:val="24"/>
        </w:rPr>
        <w:t>后十五个工作日内向财政厅政府采购处</w:t>
      </w:r>
      <w:r>
        <w:rPr>
          <w:rFonts w:hint="eastAsia" w:ascii="宋体" w:cs="宋体"/>
          <w:sz w:val="24"/>
          <w:lang w:val="zh-CN"/>
        </w:rPr>
        <w:t>投诉。</w:t>
      </w:r>
    </w:p>
    <w:p>
      <w:pPr>
        <w:pStyle w:val="4"/>
        <w:ind w:firstLine="482" w:firstLineChars="200"/>
        <w:jc w:val="center"/>
        <w:rPr>
          <w:rFonts w:cs="宋体"/>
          <w:sz w:val="24"/>
          <w:szCs w:val="24"/>
        </w:rPr>
      </w:pPr>
      <w:bookmarkStart w:id="15" w:name="_Toc2408"/>
      <w:r>
        <w:rPr>
          <w:rFonts w:ascii="Times New Roman" w:hAnsi="Times New Roman"/>
          <w:sz w:val="24"/>
          <w:szCs w:val="24"/>
        </w:rPr>
        <w:t>第</w:t>
      </w:r>
      <w:r>
        <w:rPr>
          <w:rFonts w:hint="eastAsia" w:ascii="Times New Roman" w:hAnsi="Times New Roman"/>
          <w:sz w:val="24"/>
          <w:szCs w:val="24"/>
        </w:rPr>
        <w:t>十</w:t>
      </w:r>
      <w:r>
        <w:rPr>
          <w:rFonts w:ascii="Times New Roman" w:hAnsi="Times New Roman"/>
          <w:sz w:val="24"/>
          <w:szCs w:val="24"/>
        </w:rPr>
        <w:t>节</w:t>
      </w:r>
      <w:r>
        <w:rPr>
          <w:rFonts w:hint="eastAsia" w:ascii="Times New Roman" w:hAnsi="Times New Roman"/>
          <w:sz w:val="24"/>
          <w:szCs w:val="24"/>
        </w:rPr>
        <w:t xml:space="preserve"> 需要补充的其他内容</w:t>
      </w:r>
      <w:bookmarkEnd w:id="15"/>
    </w:p>
    <w:p>
      <w:pPr>
        <w:spacing w:line="360" w:lineRule="auto"/>
        <w:ind w:firstLine="480" w:firstLineChars="200"/>
        <w:rPr>
          <w:rFonts w:cs="宋体"/>
          <w:color w:val="000000"/>
          <w:kern w:val="0"/>
          <w:sz w:val="24"/>
        </w:rPr>
      </w:pPr>
      <w:r>
        <w:rPr>
          <w:rFonts w:hint="eastAsia" w:ascii="宋体" w:cs="宋体"/>
          <w:sz w:val="24"/>
        </w:rPr>
        <w:t>需要补充的其他内容：见投标人须知前附表。</w:t>
      </w:r>
    </w:p>
    <w:p>
      <w:pPr>
        <w:ind w:firstLine="480" w:firstLineChars="200"/>
        <w:rPr>
          <w:rFonts w:ascii="黑体" w:eastAsia="黑体" w:cs="黑体"/>
          <w:sz w:val="24"/>
        </w:rPr>
      </w:pPr>
      <w:r>
        <w:rPr>
          <w:rFonts w:hint="eastAsia" w:ascii="黑体" w:eastAsia="黑体" w:cs="黑体"/>
          <w:sz w:val="24"/>
        </w:rPr>
        <w:br w:type="page"/>
      </w:r>
    </w:p>
    <w:p>
      <w:pPr>
        <w:pStyle w:val="3"/>
        <w:ind w:firstLine="482" w:firstLineChars="200"/>
        <w:jc w:val="center"/>
        <w:rPr>
          <w:rFonts w:ascii="黑体" w:eastAsia="黑体" w:cs="黑体"/>
          <w:sz w:val="24"/>
        </w:rPr>
      </w:pPr>
      <w:bookmarkStart w:id="16" w:name="_Toc4017"/>
      <w:r>
        <w:rPr>
          <w:rFonts w:hint="eastAsia" w:ascii="黑体" w:eastAsia="黑体" w:cs="黑体"/>
          <w:sz w:val="24"/>
        </w:rPr>
        <w:t>第三章  评标办法</w:t>
      </w:r>
      <w:bookmarkEnd w:id="16"/>
    </w:p>
    <w:p>
      <w:pPr>
        <w:pStyle w:val="4"/>
        <w:ind w:firstLine="482" w:firstLineChars="200"/>
        <w:jc w:val="center"/>
        <w:rPr>
          <w:rFonts w:cs="宋体"/>
          <w:sz w:val="24"/>
          <w:szCs w:val="24"/>
        </w:rPr>
      </w:pPr>
      <w:bookmarkStart w:id="17" w:name="_Toc2379"/>
      <w:r>
        <w:rPr>
          <w:rFonts w:ascii="Times New Roman" w:hAnsi="Times New Roman"/>
          <w:sz w:val="24"/>
          <w:szCs w:val="24"/>
        </w:rPr>
        <w:t>第一节</w:t>
      </w:r>
      <w:r>
        <w:rPr>
          <w:rFonts w:cs="宋体"/>
          <w:bCs/>
          <w:color w:val="000000"/>
          <w:sz w:val="24"/>
          <w:szCs w:val="24"/>
        </w:rPr>
        <w:t>评标方法</w:t>
      </w:r>
      <w:bookmarkEnd w:id="17"/>
    </w:p>
    <w:p>
      <w:pPr>
        <w:spacing w:line="360" w:lineRule="auto"/>
        <w:ind w:firstLine="480" w:firstLineChars="200"/>
        <w:jc w:val="left"/>
        <w:rPr>
          <w:rFonts w:ascii="宋体"/>
          <w:kern w:val="0"/>
          <w:sz w:val="24"/>
        </w:rPr>
      </w:pPr>
      <w:r>
        <w:rPr>
          <w:rFonts w:hint="eastAsia" w:ascii="宋体"/>
          <w:kern w:val="0"/>
          <w:sz w:val="24"/>
        </w:rPr>
        <w:t>评标委员会对满足招标文件实质性要求的投标文件，按照本节规定的评审标准进行评审。评标中各评委若发生意见分歧，以少数服从多数原则确定。</w:t>
      </w:r>
    </w:p>
    <w:p>
      <w:pPr>
        <w:pStyle w:val="4"/>
        <w:ind w:firstLine="482" w:firstLineChars="200"/>
        <w:jc w:val="center"/>
        <w:rPr>
          <w:rFonts w:cs="宋体"/>
          <w:sz w:val="24"/>
          <w:szCs w:val="24"/>
        </w:rPr>
      </w:pPr>
      <w:bookmarkStart w:id="18" w:name="_Toc11533"/>
      <w:r>
        <w:rPr>
          <w:rFonts w:ascii="Times New Roman" w:hAnsi="Times New Roman"/>
          <w:sz w:val="24"/>
          <w:szCs w:val="24"/>
        </w:rPr>
        <w:t>第二节</w:t>
      </w:r>
      <w:r>
        <w:rPr>
          <w:rFonts w:cs="宋体"/>
          <w:bCs/>
          <w:color w:val="000000"/>
          <w:sz w:val="24"/>
          <w:szCs w:val="24"/>
        </w:rPr>
        <w:t>评标标准</w:t>
      </w:r>
      <w:bookmarkEnd w:id="18"/>
    </w:p>
    <w:p>
      <w:pPr>
        <w:pStyle w:val="16"/>
        <w:ind w:firstLine="480" w:firstLineChars="200"/>
        <w:jc w:val="left"/>
        <w:rPr>
          <w:rFonts w:ascii="宋体" w:cs="宋体"/>
          <w:color w:val="000000"/>
          <w:sz w:val="24"/>
          <w:szCs w:val="24"/>
        </w:rPr>
      </w:pPr>
      <w:r>
        <w:rPr>
          <w:rFonts w:hint="eastAsia" w:ascii="宋体" w:cs="宋体"/>
          <w:color w:val="000000"/>
          <w:sz w:val="24"/>
          <w:szCs w:val="24"/>
        </w:rPr>
        <w:t>根据评分法最大限度的满足招标文件中规定的各项综合评价的投标，且综合得分高低确定</w:t>
      </w:r>
      <w:r>
        <w:rPr>
          <w:rFonts w:hint="eastAsia" w:ascii="宋体" w:cs="宋体"/>
          <w:b/>
          <w:bCs/>
          <w:color w:val="000000"/>
          <w:sz w:val="24"/>
          <w:szCs w:val="24"/>
        </w:rPr>
        <w:t>中标候选人顺序排名</w:t>
      </w:r>
      <w:r>
        <w:rPr>
          <w:rFonts w:hint="eastAsia" w:ascii="宋体" w:cs="宋体"/>
          <w:color w:val="000000"/>
          <w:sz w:val="24"/>
          <w:szCs w:val="24"/>
        </w:rPr>
        <w:t>。</w:t>
      </w:r>
    </w:p>
    <w:p>
      <w:pPr>
        <w:widowControl/>
        <w:shd w:val="clear" w:color="auto" w:fill="FFFFFF"/>
        <w:snapToGrid w:val="0"/>
        <w:spacing w:line="360" w:lineRule="auto"/>
        <w:ind w:firstLine="480" w:firstLineChars="200"/>
        <w:rPr>
          <w:rFonts w:ascii="宋体"/>
          <w:kern w:val="0"/>
          <w:sz w:val="24"/>
        </w:rPr>
      </w:pPr>
      <w:r>
        <w:rPr>
          <w:rFonts w:hint="eastAsia" w:ascii="宋体"/>
          <w:kern w:val="0"/>
          <w:sz w:val="24"/>
        </w:rPr>
        <w:t>2</w:t>
      </w:r>
      <w:r>
        <w:rPr>
          <w:rFonts w:ascii="宋体"/>
          <w:kern w:val="0"/>
          <w:sz w:val="24"/>
        </w:rPr>
        <w:t>.</w:t>
      </w:r>
      <w:r>
        <w:rPr>
          <w:rFonts w:hint="eastAsia" w:ascii="宋体"/>
          <w:kern w:val="0"/>
          <w:sz w:val="24"/>
        </w:rPr>
        <w:t>1资格审查：评审因素和评审标准见《资格审查标准》。</w:t>
      </w:r>
    </w:p>
    <w:p>
      <w:pPr>
        <w:widowControl/>
        <w:shd w:val="clear" w:color="auto" w:fill="FFFFFF"/>
        <w:snapToGrid w:val="0"/>
        <w:spacing w:line="360" w:lineRule="auto"/>
        <w:ind w:firstLine="480" w:firstLineChars="200"/>
        <w:rPr>
          <w:rFonts w:ascii="宋体"/>
          <w:kern w:val="0"/>
          <w:sz w:val="24"/>
        </w:rPr>
      </w:pPr>
      <w:r>
        <w:rPr>
          <w:rFonts w:hint="eastAsia" w:ascii="宋体"/>
          <w:kern w:val="0"/>
          <w:sz w:val="24"/>
        </w:rPr>
        <w:t>2</w:t>
      </w:r>
      <w:r>
        <w:rPr>
          <w:rFonts w:ascii="宋体"/>
          <w:kern w:val="0"/>
          <w:sz w:val="24"/>
        </w:rPr>
        <w:t>.</w:t>
      </w:r>
      <w:r>
        <w:rPr>
          <w:rFonts w:hint="eastAsia" w:ascii="宋体"/>
          <w:kern w:val="0"/>
          <w:sz w:val="24"/>
        </w:rPr>
        <w:t>2完备性及符合性审查：评审因素和评审标准见《完备性及符合性审查标准》。</w:t>
      </w:r>
    </w:p>
    <w:p>
      <w:pPr>
        <w:widowControl/>
        <w:shd w:val="clear" w:color="auto" w:fill="FFFFFF"/>
        <w:snapToGrid w:val="0"/>
        <w:spacing w:line="360" w:lineRule="auto"/>
        <w:ind w:firstLine="480" w:firstLineChars="200"/>
        <w:rPr>
          <w:rFonts w:ascii="宋体"/>
          <w:color w:val="000000"/>
          <w:kern w:val="0"/>
          <w:sz w:val="24"/>
        </w:rPr>
      </w:pPr>
      <w:r>
        <w:rPr>
          <w:rFonts w:hint="eastAsia" w:ascii="宋体"/>
          <w:kern w:val="0"/>
          <w:sz w:val="24"/>
        </w:rPr>
        <w:t>2</w:t>
      </w:r>
      <w:r>
        <w:rPr>
          <w:rFonts w:ascii="宋体"/>
          <w:kern w:val="0"/>
          <w:sz w:val="24"/>
        </w:rPr>
        <w:t>.</w:t>
      </w:r>
      <w:r>
        <w:rPr>
          <w:rFonts w:hint="eastAsia" w:ascii="宋体"/>
          <w:kern w:val="0"/>
          <w:sz w:val="24"/>
        </w:rPr>
        <w:t>3</w:t>
      </w:r>
      <w:r>
        <w:rPr>
          <w:rFonts w:hint="eastAsia" w:ascii="宋体"/>
          <w:color w:val="000000"/>
          <w:kern w:val="0"/>
          <w:sz w:val="24"/>
        </w:rPr>
        <w:t>详细评审：评审因素和评审标准见《详细评审标准》。</w:t>
      </w:r>
    </w:p>
    <w:p>
      <w:pPr>
        <w:widowControl/>
        <w:shd w:val="clear" w:color="auto" w:fill="FFFFFF"/>
        <w:snapToGrid w:val="0"/>
        <w:spacing w:line="360" w:lineRule="auto"/>
        <w:ind w:firstLine="480" w:firstLineChars="200"/>
        <w:rPr>
          <w:rFonts w:ascii="宋体"/>
          <w:kern w:val="0"/>
          <w:sz w:val="24"/>
        </w:rPr>
      </w:pPr>
      <w:r>
        <w:rPr>
          <w:rFonts w:hint="eastAsia" w:ascii="宋体"/>
          <w:kern w:val="0"/>
          <w:sz w:val="24"/>
        </w:rPr>
        <w:t>2</w:t>
      </w:r>
      <w:r>
        <w:rPr>
          <w:rFonts w:ascii="宋体"/>
          <w:kern w:val="0"/>
          <w:sz w:val="24"/>
        </w:rPr>
        <w:t>.</w:t>
      </w:r>
      <w:r>
        <w:rPr>
          <w:rFonts w:hint="eastAsia" w:ascii="宋体"/>
          <w:kern w:val="0"/>
          <w:sz w:val="24"/>
        </w:rPr>
        <w:t>4投标报价评分标准：</w:t>
      </w:r>
    </w:p>
    <w:p>
      <w:pPr>
        <w:widowControl/>
        <w:shd w:val="clear" w:color="auto" w:fill="FFFFFF"/>
        <w:snapToGrid w:val="0"/>
        <w:spacing w:line="360" w:lineRule="auto"/>
        <w:ind w:firstLine="480" w:firstLineChars="200"/>
        <w:rPr>
          <w:rFonts w:ascii="宋体"/>
          <w:kern w:val="0"/>
          <w:sz w:val="24"/>
        </w:rPr>
      </w:pPr>
      <w:r>
        <w:rPr>
          <w:rFonts w:hint="eastAsia" w:ascii="宋体" w:cs="宋体"/>
          <w:kern w:val="0"/>
          <w:sz w:val="24"/>
        </w:rPr>
        <w:t>⑴</w:t>
      </w:r>
      <w:r>
        <w:rPr>
          <w:rFonts w:hint="eastAsia" w:ascii="宋体"/>
          <w:kern w:val="0"/>
          <w:sz w:val="24"/>
        </w:rPr>
        <w:t>分值构成及权重：见评标办法前附表。</w:t>
      </w:r>
    </w:p>
    <w:p>
      <w:pPr>
        <w:widowControl/>
        <w:shd w:val="clear" w:color="auto" w:fill="FFFFFF"/>
        <w:snapToGrid w:val="0"/>
        <w:spacing w:line="360" w:lineRule="auto"/>
        <w:ind w:firstLine="480" w:firstLineChars="200"/>
        <w:rPr>
          <w:rFonts w:ascii="宋体"/>
          <w:kern w:val="0"/>
          <w:sz w:val="24"/>
        </w:rPr>
      </w:pPr>
      <w:r>
        <w:rPr>
          <w:rFonts w:hint="eastAsia" w:ascii="宋体" w:cs="宋体"/>
          <w:kern w:val="0"/>
          <w:sz w:val="24"/>
        </w:rPr>
        <w:t>⑵</w:t>
      </w:r>
      <w:r>
        <w:rPr>
          <w:rFonts w:hint="eastAsia" w:ascii="宋体"/>
          <w:kern w:val="0"/>
          <w:sz w:val="24"/>
        </w:rPr>
        <w:t>评标基准价计算：见评标办法前附表。</w:t>
      </w:r>
    </w:p>
    <w:p>
      <w:pPr>
        <w:tabs>
          <w:tab w:val="left" w:pos="210"/>
        </w:tabs>
        <w:spacing w:line="360" w:lineRule="auto"/>
        <w:ind w:firstLine="480" w:firstLineChars="200"/>
        <w:jc w:val="left"/>
        <w:rPr>
          <w:rFonts w:ascii="宋体"/>
          <w:kern w:val="0"/>
          <w:sz w:val="24"/>
        </w:rPr>
      </w:pPr>
      <w:r>
        <w:rPr>
          <w:rFonts w:hint="eastAsia" w:ascii="宋体" w:cs="宋体"/>
          <w:kern w:val="0"/>
          <w:sz w:val="24"/>
        </w:rPr>
        <w:t>⑶</w:t>
      </w:r>
      <w:r>
        <w:rPr>
          <w:rFonts w:hint="eastAsia" w:ascii="宋体"/>
          <w:kern w:val="0"/>
          <w:sz w:val="24"/>
        </w:rPr>
        <w:t>投标报价得分的计算：见评标办法前附表。</w:t>
      </w:r>
    </w:p>
    <w:p>
      <w:pPr>
        <w:pStyle w:val="4"/>
        <w:ind w:firstLine="482" w:firstLineChars="200"/>
        <w:jc w:val="center"/>
        <w:rPr>
          <w:rFonts w:cs="宋体"/>
          <w:sz w:val="24"/>
          <w:szCs w:val="24"/>
        </w:rPr>
      </w:pPr>
      <w:bookmarkStart w:id="19" w:name="_Toc11841"/>
      <w:r>
        <w:rPr>
          <w:rFonts w:ascii="Times New Roman" w:hAnsi="Times New Roman"/>
          <w:sz w:val="24"/>
          <w:szCs w:val="24"/>
        </w:rPr>
        <w:t>第三节</w:t>
      </w:r>
      <w:r>
        <w:rPr>
          <w:rFonts w:cs="宋体"/>
          <w:bCs/>
          <w:color w:val="000000"/>
          <w:sz w:val="24"/>
          <w:szCs w:val="24"/>
        </w:rPr>
        <w:t>评标程序</w:t>
      </w:r>
      <w:bookmarkEnd w:id="19"/>
    </w:p>
    <w:p>
      <w:pPr>
        <w:tabs>
          <w:tab w:val="left" w:pos="210"/>
        </w:tabs>
        <w:spacing w:line="360" w:lineRule="auto"/>
        <w:ind w:firstLine="480" w:firstLineChars="200"/>
        <w:jc w:val="left"/>
        <w:rPr>
          <w:rFonts w:ascii="宋体"/>
          <w:kern w:val="0"/>
          <w:sz w:val="24"/>
        </w:rPr>
      </w:pPr>
      <w:r>
        <w:rPr>
          <w:rFonts w:hint="eastAsia" w:ascii="宋体"/>
          <w:kern w:val="0"/>
          <w:sz w:val="24"/>
        </w:rPr>
        <w:t>评标活动将按以下步骤进行：评标准备，资格审查，完备性及符合性审查，详细评审，澄清、说明或补正，推荐中标候选人及提交评标报告。</w:t>
      </w:r>
    </w:p>
    <w:p>
      <w:pPr>
        <w:pStyle w:val="4"/>
        <w:ind w:firstLine="482" w:firstLineChars="200"/>
        <w:jc w:val="center"/>
        <w:rPr>
          <w:rFonts w:cs="宋体"/>
          <w:sz w:val="24"/>
          <w:szCs w:val="24"/>
        </w:rPr>
      </w:pPr>
      <w:bookmarkStart w:id="20" w:name="_Toc19110"/>
      <w:r>
        <w:rPr>
          <w:rFonts w:cs="宋体"/>
          <w:sz w:val="24"/>
          <w:szCs w:val="24"/>
        </w:rPr>
        <w:t xml:space="preserve">第四节 </w:t>
      </w:r>
      <w:r>
        <w:rPr>
          <w:rFonts w:cs="宋体"/>
          <w:bCs/>
          <w:color w:val="000000"/>
          <w:sz w:val="24"/>
          <w:szCs w:val="24"/>
        </w:rPr>
        <w:t>评标准备</w:t>
      </w:r>
      <w:bookmarkEnd w:id="20"/>
    </w:p>
    <w:p>
      <w:pPr>
        <w:widowControl/>
        <w:shd w:val="clear" w:color="auto" w:fill="FFFFFF"/>
        <w:snapToGrid w:val="0"/>
        <w:spacing w:line="360" w:lineRule="auto"/>
        <w:ind w:firstLine="482" w:firstLineChars="200"/>
        <w:rPr>
          <w:rFonts w:ascii="宋体" w:cs="宋体"/>
          <w:b/>
          <w:bCs/>
          <w:kern w:val="0"/>
          <w:sz w:val="24"/>
        </w:rPr>
      </w:pPr>
      <w:r>
        <w:rPr>
          <w:rFonts w:hint="eastAsia" w:ascii="宋体" w:cs="宋体"/>
          <w:b/>
          <w:bCs/>
          <w:kern w:val="0"/>
          <w:sz w:val="24"/>
        </w:rPr>
        <w:t>4.1 评标委员会成员签到</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评标委员会成员到达评标现场时应当在签到表上签到以证明其出席。</w:t>
      </w:r>
    </w:p>
    <w:p>
      <w:pPr>
        <w:widowControl/>
        <w:shd w:val="clear" w:color="auto" w:fill="FFFFFF"/>
        <w:snapToGrid w:val="0"/>
        <w:spacing w:line="360" w:lineRule="auto"/>
        <w:ind w:firstLine="482" w:firstLineChars="200"/>
        <w:rPr>
          <w:rFonts w:ascii="宋体" w:cs="宋体"/>
          <w:b/>
          <w:bCs/>
          <w:kern w:val="0"/>
          <w:sz w:val="24"/>
        </w:rPr>
      </w:pPr>
      <w:r>
        <w:rPr>
          <w:rFonts w:hint="eastAsia" w:ascii="宋体" w:cs="宋体"/>
          <w:b/>
          <w:bCs/>
          <w:kern w:val="0"/>
          <w:sz w:val="24"/>
        </w:rPr>
        <w:t>4.2评标委员会的分工</w:t>
      </w:r>
    </w:p>
    <w:p>
      <w:pPr>
        <w:widowControl/>
        <w:shd w:val="clear" w:color="auto" w:fill="FFFFFF"/>
        <w:snapToGrid w:val="0"/>
        <w:spacing w:line="360" w:lineRule="auto"/>
        <w:ind w:firstLine="482" w:firstLineChars="200"/>
        <w:rPr>
          <w:rFonts w:ascii="宋体" w:cs="宋体"/>
          <w:b/>
          <w:bCs/>
          <w:kern w:val="0"/>
          <w:sz w:val="24"/>
        </w:rPr>
      </w:pPr>
      <w:r>
        <w:rPr>
          <w:rFonts w:hint="eastAsia" w:ascii="宋体" w:cs="宋体"/>
          <w:b/>
          <w:bCs/>
          <w:kern w:val="0"/>
          <w:sz w:val="24"/>
        </w:rPr>
        <w:t>4.3评标委员会首先推选一名评标委员会主任</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⑴ 评标委员会主任负责评标活动的组织领导工作。评标委员会主任与评标委员会其他成员具有同等的评标权力。</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 xml:space="preserve">⑵ 评标委员会主任除履行自己作为评标委员会成员独立评标的职责外，主要负责以下工作： </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⑶ 组织评标委员会成员学习招标文件；</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⑷ 汇总各评标委员会成员认为需要投标人澄清、说明或者补正的问题；</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⑸ 组织评标委员会对投标人质询并对投标人的答复进行评审；</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⑹ 对出现较大争议的事项进行书面记录；</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⑺ 组织收回评标过程中使用的文件、表格和评标记录以及其他资料，并查验评标记录的完整性及有效性；</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⑻ 组织对评标结论进行复核确认；</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⑼ 组织编写评标报告。</w:t>
      </w:r>
    </w:p>
    <w:p>
      <w:pPr>
        <w:widowControl/>
        <w:shd w:val="clear" w:color="auto" w:fill="FFFFFF"/>
        <w:snapToGrid w:val="0"/>
        <w:spacing w:line="360" w:lineRule="auto"/>
        <w:ind w:firstLine="482" w:firstLineChars="200"/>
        <w:rPr>
          <w:rFonts w:ascii="宋体" w:cs="宋体"/>
          <w:b/>
          <w:bCs/>
          <w:kern w:val="0"/>
          <w:sz w:val="24"/>
        </w:rPr>
      </w:pPr>
      <w:r>
        <w:rPr>
          <w:rFonts w:hint="eastAsia" w:ascii="宋体" w:cs="宋体"/>
          <w:b/>
          <w:bCs/>
          <w:kern w:val="0"/>
          <w:sz w:val="24"/>
        </w:rPr>
        <w:t>4.4熟悉文件资料</w:t>
      </w:r>
    </w:p>
    <w:p>
      <w:pPr>
        <w:widowControl/>
        <w:shd w:val="clear" w:color="auto" w:fill="FFFFFF"/>
        <w:snapToGrid w:val="0"/>
        <w:spacing w:line="360" w:lineRule="auto"/>
        <w:ind w:firstLine="482" w:firstLineChars="200"/>
        <w:rPr>
          <w:rFonts w:ascii="宋体" w:cs="宋体"/>
          <w:b/>
          <w:bCs/>
          <w:kern w:val="0"/>
          <w:sz w:val="24"/>
        </w:rPr>
      </w:pPr>
      <w:r>
        <w:rPr>
          <w:rFonts w:hint="eastAsia" w:ascii="宋体" w:cs="宋体"/>
          <w:b/>
          <w:bCs/>
          <w:kern w:val="0"/>
          <w:sz w:val="24"/>
        </w:rPr>
        <w:t>4.5采购人或采购代理机构应当向评标委员会提供评标所需的信息和数据，包括：</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⑴ 招标文件及其澄清修改等招标文件补充；</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⑵ 未在开标会上当场拒绝的各投标文件；</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⑶ 开标会记录；</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⑷ 评标表格；</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⑸ 其他信息和数据；</w:t>
      </w:r>
    </w:p>
    <w:p>
      <w:pPr>
        <w:widowControl/>
        <w:shd w:val="clear" w:color="auto" w:fill="FFFFFF"/>
        <w:snapToGrid w:val="0"/>
        <w:spacing w:line="360" w:lineRule="auto"/>
        <w:ind w:firstLine="482" w:firstLineChars="200"/>
        <w:rPr>
          <w:rFonts w:ascii="宋体" w:cs="宋体"/>
          <w:b/>
          <w:bCs/>
          <w:kern w:val="0"/>
          <w:sz w:val="24"/>
        </w:rPr>
      </w:pPr>
      <w:r>
        <w:rPr>
          <w:rFonts w:hint="eastAsia" w:ascii="宋体" w:cs="宋体"/>
          <w:b/>
          <w:bCs/>
          <w:kern w:val="0"/>
          <w:sz w:val="24"/>
        </w:rPr>
        <w:t>4.6资格审查（适用于资格后审）</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采购人会依据本章规定的评审因素和审查标准，对投标人的资格审查资料进行资格审查。资格审查有一项未通过审查标准，采购人将认定整个投标文件不响应招标文件而否决其投标，并且不允许投标人通过修改或撤销其不符合要求的差异或保留，使之成为具有响应性的投标。</w:t>
      </w:r>
    </w:p>
    <w:p>
      <w:pPr>
        <w:widowControl/>
        <w:shd w:val="clear" w:color="auto" w:fill="FFFFFF"/>
        <w:snapToGrid w:val="0"/>
        <w:spacing w:line="360" w:lineRule="auto"/>
        <w:ind w:firstLine="482" w:firstLineChars="200"/>
        <w:rPr>
          <w:rFonts w:ascii="宋体" w:cs="宋体"/>
          <w:b/>
          <w:bCs/>
          <w:kern w:val="0"/>
          <w:sz w:val="24"/>
        </w:rPr>
      </w:pPr>
      <w:r>
        <w:rPr>
          <w:rFonts w:hint="eastAsia" w:ascii="宋体" w:cs="宋体"/>
          <w:b/>
          <w:bCs/>
          <w:kern w:val="0"/>
          <w:sz w:val="24"/>
        </w:rPr>
        <w:t>4.7完备性及符合性审查</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⑴ 评标委员会依据本章规定的评审因素和评审标准，对投标人的投标文件进行完备性及符合性审查。完备性及符合性审查有一项未通过评审标准，评标委员会将认定整个投标文件不响应招标文件而否决其投标，并且不允许投标人通过修改或撤销其不符合要求的差异或保留，使之成为具有响应性的投标。</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⑵ 完备性及符合性审查条款是指对本招标项目产生了重大影响的重大偏差，而且纠正此类偏差将会对响应本次招标的其他投标人的竞争地位产生不公正的影响。</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⑶ 细微偏差是指投标文件在实质上响应招标文件要求，但在个别地方存在疏漏或者提供了不完整的技术信息和数据等情况，并且补正这些遗漏和不完整不会对其他投标人造成不公平的结果。细微偏差不影响投标文件的有效性，评标委员会可要求存在细微偏差的投标人予以补正。</w:t>
      </w:r>
    </w:p>
    <w:p>
      <w:pPr>
        <w:widowControl/>
        <w:shd w:val="clear" w:color="auto" w:fill="FFFFFF"/>
        <w:snapToGrid w:val="0"/>
        <w:spacing w:line="360" w:lineRule="auto"/>
        <w:ind w:firstLine="482" w:firstLineChars="200"/>
        <w:rPr>
          <w:rFonts w:ascii="宋体" w:cs="宋体"/>
          <w:b/>
          <w:bCs/>
          <w:kern w:val="0"/>
          <w:sz w:val="24"/>
        </w:rPr>
      </w:pPr>
      <w:r>
        <w:rPr>
          <w:rFonts w:hint="eastAsia" w:ascii="宋体" w:cs="宋体"/>
          <w:b/>
          <w:bCs/>
          <w:kern w:val="0"/>
          <w:sz w:val="24"/>
        </w:rPr>
        <w:t>4.8详细评审</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只有通过了资格审查、完备性及符合性审查且投标人不少于3个，方可进入详细评审。</w:t>
      </w:r>
    </w:p>
    <w:p>
      <w:pPr>
        <w:widowControl/>
        <w:shd w:val="clear" w:color="auto" w:fill="FFFFFF"/>
        <w:snapToGrid w:val="0"/>
        <w:spacing w:line="360" w:lineRule="auto"/>
        <w:ind w:firstLine="482" w:firstLineChars="200"/>
        <w:rPr>
          <w:rFonts w:ascii="宋体" w:cs="宋体"/>
          <w:b/>
          <w:bCs/>
          <w:kern w:val="0"/>
          <w:sz w:val="24"/>
        </w:rPr>
      </w:pPr>
      <w:r>
        <w:rPr>
          <w:rFonts w:hint="eastAsia" w:ascii="宋体" w:cs="宋体"/>
          <w:b/>
          <w:bCs/>
          <w:kern w:val="0"/>
          <w:sz w:val="24"/>
        </w:rPr>
        <w:t>4.9澄清、说明和补正</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⑴ 在不改变投标人投标文件实质性内容的前提下，评标委员会应当对投标文件进行基础性数据分析和整理，从而发现并提取其中可能存在的对招标范围理解的偏差、技术响应偏离、投标价格的算术性错误、错漏项、投标价格构成不合理、不平衡报价等存在明显异常的问题。</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⑵ 澄清、说明和补正内容不得改变投标文件的实质性内容（算术性错误修正的除外）。投标人的书面澄清、说明和补正属于投标文件的组成部分。</w:t>
      </w:r>
    </w:p>
    <w:p>
      <w:pPr>
        <w:widowControl/>
        <w:shd w:val="clear" w:color="auto" w:fill="FFFFFF"/>
        <w:snapToGrid w:val="0"/>
        <w:spacing w:line="360" w:lineRule="auto"/>
        <w:ind w:firstLine="480" w:firstLineChars="200"/>
        <w:rPr>
          <w:rFonts w:ascii="宋体" w:cs="宋体"/>
          <w:color w:val="FF0000"/>
          <w:kern w:val="0"/>
          <w:sz w:val="24"/>
        </w:rPr>
      </w:pPr>
      <w:r>
        <w:rPr>
          <w:rFonts w:hint="eastAsia" w:ascii="宋体" w:cs="宋体"/>
          <w:kern w:val="0"/>
          <w:sz w:val="24"/>
        </w:rPr>
        <w:t xml:space="preserve">⑶ </w:t>
      </w:r>
      <w:r>
        <w:rPr>
          <w:rFonts w:hint="eastAsia" w:ascii="宋体" w:cs="宋体"/>
          <w:color w:val="000000"/>
          <w:kern w:val="0"/>
          <w:sz w:val="24"/>
        </w:rPr>
        <w:t>评标委员会</w:t>
      </w:r>
      <w:r>
        <w:rPr>
          <w:rFonts w:hint="eastAsia" w:ascii="宋体" w:cs="宋体"/>
          <w:kern w:val="0"/>
          <w:sz w:val="24"/>
        </w:rPr>
        <w:t>针对需要投标</w:t>
      </w:r>
      <w:r>
        <w:rPr>
          <w:rFonts w:hint="eastAsia" w:ascii="宋体" w:cs="宋体"/>
          <w:color w:val="000000"/>
          <w:kern w:val="0"/>
          <w:sz w:val="24"/>
        </w:rPr>
        <w:t>人对所提交投标文件中不明确的内容进行书面澄清、说明或补正。</w:t>
      </w:r>
      <w:r>
        <w:rPr>
          <w:rFonts w:hint="eastAsia" w:ascii="宋体" w:cs="宋体"/>
          <w:kern w:val="0"/>
          <w:sz w:val="24"/>
        </w:rPr>
        <w:t>澄清通知不得向投标人提出带有暗示性或诱导性问题，或向其明确投标文件中的遗漏和错误。</w:t>
      </w:r>
      <w:r>
        <w:rPr>
          <w:rFonts w:hint="eastAsia" w:ascii="宋体" w:cs="宋体"/>
          <w:color w:val="000000"/>
          <w:kern w:val="0"/>
          <w:sz w:val="24"/>
        </w:rPr>
        <w:t>投标人接到评标委员会发出的书面澄清通知后，应按评标委员会的要求提供书面澄清资料，并在规定的时间递交到指定地点。评标委员会不接受投标人主动提出的澄清、说明或补正。</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⑷ 评标委员会对投标人提交的澄清、说明或补正有疑问的，可以要求投标人进一步澄清、说明或补正，直至满足评标委员会的要求。</w:t>
      </w:r>
    </w:p>
    <w:p>
      <w:pPr>
        <w:widowControl/>
        <w:shd w:val="clear" w:color="auto" w:fill="FFFFFF"/>
        <w:snapToGrid w:val="0"/>
        <w:spacing w:line="360" w:lineRule="auto"/>
        <w:ind w:firstLine="480" w:firstLineChars="200"/>
        <w:rPr>
          <w:rFonts w:ascii="宋体" w:cs="宋体"/>
          <w:b/>
          <w:bCs/>
          <w:kern w:val="0"/>
          <w:sz w:val="24"/>
        </w:rPr>
      </w:pPr>
      <w:r>
        <w:rPr>
          <w:rFonts w:hint="eastAsia" w:ascii="宋体" w:cs="宋体"/>
          <w:kern w:val="0"/>
          <w:sz w:val="24"/>
        </w:rPr>
        <w:t xml:space="preserve">⑸ </w:t>
      </w:r>
      <w:r>
        <w:rPr>
          <w:rFonts w:hint="eastAsia" w:ascii="宋体" w:cs="宋体"/>
          <w:b/>
          <w:bCs/>
          <w:kern w:val="0"/>
          <w:sz w:val="24"/>
        </w:rPr>
        <w:t>评标委员会发现投标人的报价明显低于其他投标人投标价格，使得其投标价格可能低于其成本的，</w:t>
      </w:r>
      <w:r>
        <w:rPr>
          <w:rFonts w:hint="eastAsia" w:ascii="宋体" w:cs="宋体"/>
          <w:b/>
          <w:bCs/>
          <w:color w:val="000000"/>
          <w:kern w:val="0"/>
          <w:sz w:val="24"/>
        </w:rPr>
        <w:t>可</w:t>
      </w:r>
      <w:r>
        <w:rPr>
          <w:rFonts w:hint="eastAsia" w:ascii="宋体" w:cs="宋体"/>
          <w:b/>
          <w:bCs/>
          <w:kern w:val="0"/>
          <w:sz w:val="24"/>
        </w:rPr>
        <w:t>要求该投标人作出书面说明并提供相应的证明材料。投标人不能合理说明或者不能提供相应证明材料的，由评标委员会认定该投标人以低于成本报价竞标，否决其投标。</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⑹ 投标报价评分：对投标报价进行投标报价得分计算，计算方法详见评标办法前附表。</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⑺ 汇总评分结果，评分分值计算保留小数点后两位，小数点后第三位“四舍五入”。</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⑻ 详细评审工作全部结束后，投标人总得分排序按照以下原则进行。</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⑼ 按照总得分由高到低顺序对投标人进行排序；</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⑽ 总得分相同时报价低的投标人排序靠前；</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⑾ 总得分相同且报价相同的投标人，采取随机抽取方式确定排序顺序。</w:t>
      </w:r>
    </w:p>
    <w:p>
      <w:pPr>
        <w:widowControl/>
        <w:shd w:val="clear" w:color="auto" w:fill="FFFFFF"/>
        <w:snapToGrid w:val="0"/>
        <w:spacing w:line="360" w:lineRule="auto"/>
        <w:ind w:firstLine="482" w:firstLineChars="200"/>
        <w:rPr>
          <w:rFonts w:ascii="宋体" w:cs="宋体"/>
          <w:b/>
          <w:bCs/>
          <w:kern w:val="0"/>
          <w:sz w:val="24"/>
        </w:rPr>
      </w:pPr>
      <w:r>
        <w:rPr>
          <w:rFonts w:hint="eastAsia" w:ascii="宋体" w:cs="宋体"/>
          <w:b/>
          <w:bCs/>
          <w:kern w:val="0"/>
          <w:sz w:val="24"/>
        </w:rPr>
        <w:t>4.11推荐中标候选人及提交评标报告</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⑴ 评标委员会推荐中标候选人，得分由高到低顺序排列排序第一的投标人将被确定为第一中标候选人，以此类推确定出规定数量的的中标候选人。</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⑵ 当通过了资格审查、完备性及符合性审查后，投标人少于3个时，采购人应当依法重新招标。</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⑶ 评标委员会完成评标后，应当向采购人提交书面评标报告。</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⑷ 特殊情况的处置程序</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①关于评标活动暂停</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评标委员会应当执行连续评标的原则，按评标办法中规定的程序、内容、方法、标准完成全部评标工作。只有发生不可抗力导致评标工作无法继续时，评标活动方可暂停。发生评标暂停情况时，应当封存全部投标文件和评标记录，待不可抗力的影响结束且具备继续评标的条件时，由原评标委员会继续评标。</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②关于评标中途更换评委</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除非发生下列情况之一，评标委员会成员不得在评标中途更换：</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⒈因不可抗拒的客观原因，不能到场或需在评标中途退出评标活动。</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⒉根据法律法规规定，某个或某几个评标委员会成员需要回避。</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3.退出评标的评标委员会成员，其已完成的评标行为无效，由更换的评委进行评标。</w:t>
      </w:r>
    </w:p>
    <w:p>
      <w:pPr>
        <w:widowControl/>
        <w:shd w:val="clear" w:color="auto" w:fill="FFFFFF"/>
        <w:snapToGrid w:val="0"/>
        <w:spacing w:line="360" w:lineRule="auto"/>
        <w:ind w:firstLine="480" w:firstLineChars="200"/>
        <w:rPr>
          <w:rFonts w:ascii="宋体" w:cs="宋体"/>
          <w:kern w:val="0"/>
          <w:sz w:val="24"/>
        </w:rPr>
      </w:pPr>
      <w:r>
        <w:rPr>
          <w:rFonts w:hint="eastAsia" w:ascii="宋体" w:cs="宋体"/>
          <w:kern w:val="0"/>
          <w:sz w:val="24"/>
        </w:rPr>
        <w:t>4.在评标环节中，需评标委员会就某项定性的评审结论做出表决的，由评标委员会全体成员按照少数服从多数的原则确定。</w:t>
      </w:r>
    </w:p>
    <w:p>
      <w:pPr>
        <w:ind w:firstLine="482" w:firstLineChars="200"/>
        <w:rPr>
          <w:rFonts w:ascii="宋体" w:cs="宋体"/>
          <w:b/>
          <w:sz w:val="24"/>
        </w:rPr>
      </w:pPr>
      <w:r>
        <w:rPr>
          <w:rFonts w:hint="eastAsia" w:ascii="宋体" w:cs="宋体"/>
          <w:b/>
          <w:sz w:val="24"/>
        </w:rPr>
        <w:br w:type="page"/>
      </w:r>
    </w:p>
    <w:p>
      <w:pPr>
        <w:ind w:firstLine="482" w:firstLineChars="200"/>
        <w:jc w:val="center"/>
        <w:rPr>
          <w:b/>
          <w:bCs/>
          <w:sz w:val="24"/>
        </w:rPr>
      </w:pPr>
      <w:bookmarkStart w:id="21" w:name="_BookMark_10"/>
      <w:bookmarkEnd w:id="21"/>
      <w:r>
        <w:rPr>
          <w:rFonts w:hint="eastAsia"/>
          <w:b/>
          <w:bCs/>
          <w:sz w:val="24"/>
        </w:rPr>
        <w:t>综合评估法</w:t>
      </w:r>
    </w:p>
    <w:p>
      <w:pPr>
        <w:ind w:firstLine="480" w:firstLineChars="200"/>
        <w:jc w:val="center"/>
        <w:rPr>
          <w:sz w:val="24"/>
        </w:rPr>
      </w:pPr>
      <w:bookmarkStart w:id="22" w:name="_Toc1514"/>
      <w:r>
        <w:rPr>
          <w:rFonts w:hint="eastAsia"/>
          <w:sz w:val="24"/>
        </w:rPr>
        <w:t>评标办法前附表</w:t>
      </w:r>
      <w:bookmarkEnd w:id="22"/>
    </w:p>
    <w:tbl>
      <w:tblPr>
        <w:tblStyle w:val="25"/>
        <w:tblW w:w="9160" w:type="dxa"/>
        <w:jc w:val="center"/>
        <w:tblLayout w:type="fixed"/>
        <w:tblCellMar>
          <w:top w:w="0" w:type="dxa"/>
          <w:left w:w="0" w:type="dxa"/>
          <w:bottom w:w="0" w:type="dxa"/>
          <w:right w:w="0" w:type="dxa"/>
        </w:tblCellMar>
      </w:tblPr>
      <w:tblGrid>
        <w:gridCol w:w="612"/>
        <w:gridCol w:w="2393"/>
        <w:gridCol w:w="6155"/>
      </w:tblGrid>
      <w:tr>
        <w:tblPrEx>
          <w:tblCellMar>
            <w:top w:w="0" w:type="dxa"/>
            <w:left w:w="0" w:type="dxa"/>
            <w:bottom w:w="0" w:type="dxa"/>
            <w:right w:w="0" w:type="dxa"/>
          </w:tblCellMar>
        </w:tblPrEx>
        <w:trPr>
          <w:cantSplit/>
          <w:trHeight w:val="436" w:hRule="atLeast"/>
          <w:jc w:val="center"/>
        </w:trPr>
        <w:tc>
          <w:tcPr>
            <w:tcW w:w="612" w:type="dxa"/>
            <w:tcBorders>
              <w:top w:val="single" w:color="auto" w:sz="8" w:space="0"/>
              <w:left w:val="single" w:color="auto" w:sz="8" w:space="0"/>
              <w:bottom w:val="single" w:color="auto" w:sz="8" w:space="0"/>
              <w:right w:val="single" w:color="auto" w:sz="8" w:space="0"/>
            </w:tcBorders>
            <w:tcMar>
              <w:left w:w="28" w:type="dxa"/>
              <w:right w:w="28" w:type="dxa"/>
            </w:tcMar>
            <w:vAlign w:val="center"/>
          </w:tcPr>
          <w:p>
            <w:pPr>
              <w:jc w:val="center"/>
              <w:rPr>
                <w:rFonts w:ascii="宋体"/>
                <w:sz w:val="24"/>
              </w:rPr>
            </w:pPr>
            <w:r>
              <w:rPr>
                <w:rFonts w:hint="eastAsia" w:ascii="宋体"/>
                <w:sz w:val="24"/>
              </w:rPr>
              <w:t>序号</w:t>
            </w:r>
          </w:p>
        </w:tc>
        <w:tc>
          <w:tcPr>
            <w:tcW w:w="2393" w:type="dxa"/>
            <w:tcBorders>
              <w:top w:val="single" w:color="auto" w:sz="8" w:space="0"/>
              <w:left w:val="single" w:color="auto" w:sz="8" w:space="0"/>
              <w:bottom w:val="single" w:color="auto" w:sz="8" w:space="0"/>
              <w:right w:val="single" w:color="auto" w:sz="8" w:space="0"/>
            </w:tcBorders>
            <w:tcMar>
              <w:left w:w="28" w:type="dxa"/>
              <w:right w:w="28" w:type="dxa"/>
            </w:tcMar>
            <w:vAlign w:val="center"/>
          </w:tcPr>
          <w:p>
            <w:pPr>
              <w:jc w:val="center"/>
              <w:rPr>
                <w:rFonts w:ascii="宋体"/>
                <w:sz w:val="24"/>
              </w:rPr>
            </w:pPr>
            <w:r>
              <w:rPr>
                <w:rFonts w:hint="eastAsia" w:ascii="宋体"/>
                <w:sz w:val="24"/>
              </w:rPr>
              <w:t>条款内容</w:t>
            </w:r>
          </w:p>
        </w:tc>
        <w:tc>
          <w:tcPr>
            <w:tcW w:w="6155" w:type="dxa"/>
            <w:tcBorders>
              <w:top w:val="single" w:color="auto" w:sz="8" w:space="0"/>
              <w:left w:val="single" w:color="auto" w:sz="8" w:space="0"/>
              <w:bottom w:val="single" w:color="auto" w:sz="8" w:space="0"/>
              <w:right w:val="single" w:color="auto" w:sz="8" w:space="0"/>
            </w:tcBorders>
            <w:tcMar>
              <w:left w:w="28" w:type="dxa"/>
              <w:right w:w="28" w:type="dxa"/>
            </w:tcMar>
            <w:vAlign w:val="center"/>
          </w:tcPr>
          <w:p>
            <w:pPr>
              <w:jc w:val="center"/>
              <w:rPr>
                <w:rFonts w:ascii="宋体"/>
                <w:sz w:val="24"/>
              </w:rPr>
            </w:pPr>
            <w:r>
              <w:rPr>
                <w:rFonts w:hint="eastAsia" w:ascii="宋体"/>
                <w:sz w:val="24"/>
              </w:rPr>
              <w:t>编列内容</w:t>
            </w:r>
          </w:p>
        </w:tc>
      </w:tr>
      <w:tr>
        <w:tblPrEx>
          <w:tblCellMar>
            <w:top w:w="0" w:type="dxa"/>
            <w:left w:w="0" w:type="dxa"/>
            <w:bottom w:w="0" w:type="dxa"/>
            <w:right w:w="0" w:type="dxa"/>
          </w:tblCellMar>
        </w:tblPrEx>
        <w:trPr>
          <w:cantSplit/>
          <w:trHeight w:val="630" w:hRule="atLeast"/>
          <w:jc w:val="center"/>
        </w:trPr>
        <w:tc>
          <w:tcPr>
            <w:tcW w:w="612" w:type="dxa"/>
            <w:tcBorders>
              <w:top w:val="single" w:color="auto" w:sz="8" w:space="0"/>
              <w:left w:val="single" w:color="auto" w:sz="8" w:space="0"/>
              <w:bottom w:val="single" w:color="auto" w:sz="8" w:space="0"/>
              <w:right w:val="single" w:color="auto" w:sz="8" w:space="0"/>
            </w:tcBorders>
            <w:tcMar>
              <w:left w:w="28" w:type="dxa"/>
              <w:right w:w="28" w:type="dxa"/>
            </w:tcMar>
            <w:vAlign w:val="center"/>
          </w:tcPr>
          <w:p>
            <w:pPr>
              <w:jc w:val="center"/>
              <w:rPr>
                <w:rFonts w:ascii="宋体"/>
                <w:sz w:val="24"/>
              </w:rPr>
            </w:pPr>
            <w:r>
              <w:rPr>
                <w:rFonts w:ascii="宋体"/>
                <w:sz w:val="24"/>
              </w:rPr>
              <w:t>1</w:t>
            </w:r>
          </w:p>
        </w:tc>
        <w:tc>
          <w:tcPr>
            <w:tcW w:w="2393" w:type="dxa"/>
            <w:tcBorders>
              <w:top w:val="single" w:color="auto" w:sz="8" w:space="0"/>
              <w:left w:val="single" w:color="auto" w:sz="8" w:space="0"/>
              <w:bottom w:val="single" w:color="auto" w:sz="8" w:space="0"/>
              <w:right w:val="single" w:color="auto" w:sz="8" w:space="0"/>
            </w:tcBorders>
            <w:tcMar>
              <w:left w:w="28" w:type="dxa"/>
              <w:right w:w="28" w:type="dxa"/>
            </w:tcMar>
            <w:vAlign w:val="center"/>
          </w:tcPr>
          <w:p>
            <w:pPr>
              <w:jc w:val="left"/>
              <w:rPr>
                <w:rFonts w:ascii="宋体"/>
                <w:sz w:val="24"/>
              </w:rPr>
            </w:pPr>
            <w:r>
              <w:rPr>
                <w:rFonts w:hint="eastAsia" w:ascii="宋体"/>
                <w:sz w:val="24"/>
              </w:rPr>
              <w:t>分值构成及权重</w:t>
            </w:r>
          </w:p>
          <w:p>
            <w:pPr>
              <w:rPr>
                <w:rFonts w:ascii="宋体"/>
                <w:sz w:val="24"/>
              </w:rPr>
            </w:pPr>
            <w:r>
              <w:rPr>
                <w:rFonts w:ascii="宋体"/>
                <w:sz w:val="24"/>
              </w:rPr>
              <w:t>(</w:t>
            </w:r>
            <w:r>
              <w:rPr>
                <w:rFonts w:hint="eastAsia" w:ascii="宋体"/>
                <w:sz w:val="24"/>
              </w:rPr>
              <w:t>总分</w:t>
            </w:r>
            <w:r>
              <w:rPr>
                <w:rFonts w:ascii="宋体"/>
                <w:sz w:val="24"/>
              </w:rPr>
              <w:t>100</w:t>
            </w:r>
            <w:r>
              <w:rPr>
                <w:rFonts w:hint="eastAsia" w:ascii="宋体"/>
                <w:sz w:val="24"/>
              </w:rPr>
              <w:t>分</w:t>
            </w:r>
            <w:r>
              <w:rPr>
                <w:rFonts w:ascii="宋体"/>
                <w:sz w:val="24"/>
              </w:rPr>
              <w:t>)</w:t>
            </w:r>
          </w:p>
        </w:tc>
        <w:tc>
          <w:tcPr>
            <w:tcW w:w="6155" w:type="dxa"/>
            <w:tcBorders>
              <w:top w:val="single" w:color="auto" w:sz="8" w:space="0"/>
              <w:left w:val="single" w:color="auto" w:sz="8" w:space="0"/>
              <w:bottom w:val="single" w:color="auto" w:sz="8" w:space="0"/>
              <w:right w:val="single" w:color="auto" w:sz="8" w:space="0"/>
            </w:tcBorders>
            <w:tcMar>
              <w:left w:w="28" w:type="dxa"/>
              <w:right w:w="28" w:type="dxa"/>
            </w:tcMar>
            <w:vAlign w:val="center"/>
          </w:tcPr>
          <w:p>
            <w:pPr>
              <w:rPr>
                <w:rFonts w:ascii="宋体"/>
                <w:sz w:val="24"/>
              </w:rPr>
            </w:pPr>
            <w:r>
              <w:rPr>
                <w:rFonts w:ascii="宋体"/>
                <w:sz w:val="24"/>
              </w:rPr>
              <w:t>1.</w:t>
            </w:r>
            <w:r>
              <w:rPr>
                <w:rFonts w:hint="eastAsia" w:ascii="宋体"/>
                <w:sz w:val="24"/>
              </w:rPr>
              <w:t>详细评审部分权重</w:t>
            </w:r>
            <w:r>
              <w:rPr>
                <w:rFonts w:ascii="宋体"/>
                <w:sz w:val="24"/>
              </w:rPr>
              <w:t>Q1=70%</w:t>
            </w:r>
          </w:p>
          <w:p>
            <w:pPr>
              <w:rPr>
                <w:rFonts w:ascii="宋体"/>
                <w:sz w:val="24"/>
              </w:rPr>
            </w:pPr>
            <w:r>
              <w:rPr>
                <w:rFonts w:ascii="宋体"/>
                <w:sz w:val="24"/>
              </w:rPr>
              <w:t>2.</w:t>
            </w:r>
            <w:r>
              <w:rPr>
                <w:rFonts w:hint="eastAsia" w:ascii="宋体"/>
                <w:sz w:val="24"/>
              </w:rPr>
              <w:t>投标报价权重</w:t>
            </w:r>
            <w:r>
              <w:rPr>
                <w:rFonts w:ascii="宋体"/>
                <w:sz w:val="24"/>
              </w:rPr>
              <w:t>Q2=30%</w:t>
            </w:r>
          </w:p>
        </w:tc>
      </w:tr>
      <w:tr>
        <w:tblPrEx>
          <w:tblCellMar>
            <w:top w:w="0" w:type="dxa"/>
            <w:left w:w="0" w:type="dxa"/>
            <w:bottom w:w="0" w:type="dxa"/>
            <w:right w:w="0" w:type="dxa"/>
          </w:tblCellMar>
        </w:tblPrEx>
        <w:trPr>
          <w:cantSplit/>
          <w:trHeight w:val="403" w:hRule="atLeast"/>
          <w:jc w:val="center"/>
        </w:trPr>
        <w:tc>
          <w:tcPr>
            <w:tcW w:w="612" w:type="dxa"/>
            <w:tcBorders>
              <w:top w:val="single" w:color="auto" w:sz="8" w:space="0"/>
              <w:left w:val="single" w:color="auto" w:sz="8" w:space="0"/>
              <w:bottom w:val="single" w:color="auto" w:sz="8" w:space="0"/>
              <w:right w:val="single" w:color="auto" w:sz="8" w:space="0"/>
            </w:tcBorders>
            <w:tcMar>
              <w:left w:w="28" w:type="dxa"/>
              <w:right w:w="28" w:type="dxa"/>
            </w:tcMar>
            <w:vAlign w:val="center"/>
          </w:tcPr>
          <w:p>
            <w:pPr>
              <w:jc w:val="center"/>
              <w:rPr>
                <w:rFonts w:ascii="宋体"/>
                <w:sz w:val="24"/>
              </w:rPr>
            </w:pPr>
            <w:r>
              <w:rPr>
                <w:rFonts w:hint="eastAsia" w:ascii="宋体"/>
                <w:sz w:val="24"/>
              </w:rPr>
              <w:t>2</w:t>
            </w:r>
          </w:p>
        </w:tc>
        <w:tc>
          <w:tcPr>
            <w:tcW w:w="2393" w:type="dxa"/>
            <w:tcBorders>
              <w:top w:val="single" w:color="auto" w:sz="8" w:space="0"/>
              <w:left w:val="single" w:color="auto" w:sz="8" w:space="0"/>
              <w:bottom w:val="single" w:color="auto" w:sz="8" w:space="0"/>
              <w:right w:val="single" w:color="auto" w:sz="8" w:space="0"/>
            </w:tcBorders>
            <w:tcMar>
              <w:left w:w="28" w:type="dxa"/>
              <w:right w:w="28" w:type="dxa"/>
            </w:tcMar>
            <w:vAlign w:val="center"/>
          </w:tcPr>
          <w:p>
            <w:pPr>
              <w:rPr>
                <w:rFonts w:ascii="宋体"/>
                <w:sz w:val="24"/>
              </w:rPr>
            </w:pPr>
            <w:r>
              <w:rPr>
                <w:rFonts w:hint="eastAsia" w:ascii="宋体"/>
                <w:sz w:val="24"/>
              </w:rPr>
              <w:t>资格审查</w:t>
            </w:r>
          </w:p>
        </w:tc>
        <w:tc>
          <w:tcPr>
            <w:tcW w:w="6155" w:type="dxa"/>
            <w:tcBorders>
              <w:top w:val="single" w:color="auto" w:sz="8" w:space="0"/>
              <w:left w:val="single" w:color="auto" w:sz="8" w:space="0"/>
              <w:bottom w:val="single" w:color="auto" w:sz="8" w:space="0"/>
              <w:right w:val="single" w:color="auto" w:sz="8" w:space="0"/>
            </w:tcBorders>
            <w:tcMar>
              <w:left w:w="28" w:type="dxa"/>
              <w:right w:w="28" w:type="dxa"/>
            </w:tcMar>
            <w:vAlign w:val="center"/>
          </w:tcPr>
          <w:p>
            <w:pPr>
              <w:rPr>
                <w:rFonts w:ascii="宋体"/>
                <w:sz w:val="24"/>
              </w:rPr>
            </w:pPr>
            <w:r>
              <w:rPr>
                <w:rFonts w:hint="eastAsia" w:ascii="宋体"/>
                <w:sz w:val="24"/>
              </w:rPr>
              <w:t>详见《资格审查标准》</w:t>
            </w:r>
          </w:p>
        </w:tc>
      </w:tr>
      <w:tr>
        <w:tblPrEx>
          <w:tblCellMar>
            <w:top w:w="0" w:type="dxa"/>
            <w:left w:w="0" w:type="dxa"/>
            <w:bottom w:w="0" w:type="dxa"/>
            <w:right w:w="0" w:type="dxa"/>
          </w:tblCellMar>
        </w:tblPrEx>
        <w:trPr>
          <w:cantSplit/>
          <w:trHeight w:val="436" w:hRule="atLeast"/>
          <w:jc w:val="center"/>
        </w:trPr>
        <w:tc>
          <w:tcPr>
            <w:tcW w:w="612" w:type="dxa"/>
            <w:tcBorders>
              <w:top w:val="single" w:color="auto" w:sz="8" w:space="0"/>
              <w:left w:val="single" w:color="auto" w:sz="8" w:space="0"/>
              <w:bottom w:val="single" w:color="auto" w:sz="8" w:space="0"/>
              <w:right w:val="single" w:color="auto" w:sz="8" w:space="0"/>
            </w:tcBorders>
            <w:tcMar>
              <w:left w:w="28" w:type="dxa"/>
              <w:right w:w="28" w:type="dxa"/>
            </w:tcMar>
            <w:vAlign w:val="center"/>
          </w:tcPr>
          <w:p>
            <w:pPr>
              <w:jc w:val="center"/>
              <w:rPr>
                <w:rFonts w:ascii="宋体"/>
                <w:sz w:val="24"/>
              </w:rPr>
            </w:pPr>
            <w:r>
              <w:rPr>
                <w:rFonts w:hint="eastAsia" w:ascii="宋体"/>
                <w:sz w:val="24"/>
              </w:rPr>
              <w:t>3</w:t>
            </w:r>
          </w:p>
        </w:tc>
        <w:tc>
          <w:tcPr>
            <w:tcW w:w="2393" w:type="dxa"/>
            <w:tcBorders>
              <w:top w:val="single" w:color="auto" w:sz="8" w:space="0"/>
              <w:left w:val="single" w:color="auto" w:sz="8" w:space="0"/>
              <w:bottom w:val="single" w:color="auto" w:sz="8" w:space="0"/>
              <w:right w:val="single" w:color="auto" w:sz="8" w:space="0"/>
            </w:tcBorders>
            <w:tcMar>
              <w:left w:w="28" w:type="dxa"/>
              <w:right w:w="28" w:type="dxa"/>
            </w:tcMar>
            <w:vAlign w:val="center"/>
          </w:tcPr>
          <w:p>
            <w:pPr>
              <w:rPr>
                <w:rFonts w:ascii="宋体"/>
                <w:sz w:val="24"/>
              </w:rPr>
            </w:pPr>
            <w:r>
              <w:rPr>
                <w:rFonts w:hint="eastAsia" w:ascii="宋体"/>
                <w:sz w:val="24"/>
              </w:rPr>
              <w:t>完备性及符合性审查</w:t>
            </w:r>
          </w:p>
        </w:tc>
        <w:tc>
          <w:tcPr>
            <w:tcW w:w="6155" w:type="dxa"/>
            <w:tcBorders>
              <w:top w:val="single" w:color="auto" w:sz="8" w:space="0"/>
              <w:left w:val="single" w:color="auto" w:sz="8" w:space="0"/>
              <w:bottom w:val="single" w:color="auto" w:sz="8" w:space="0"/>
              <w:right w:val="single" w:color="auto" w:sz="8" w:space="0"/>
            </w:tcBorders>
            <w:tcMar>
              <w:left w:w="28" w:type="dxa"/>
              <w:right w:w="28" w:type="dxa"/>
            </w:tcMar>
            <w:vAlign w:val="center"/>
          </w:tcPr>
          <w:p>
            <w:pPr>
              <w:rPr>
                <w:rFonts w:ascii="宋体"/>
                <w:sz w:val="24"/>
              </w:rPr>
            </w:pPr>
            <w:r>
              <w:rPr>
                <w:rFonts w:hint="eastAsia" w:ascii="宋体"/>
                <w:sz w:val="24"/>
              </w:rPr>
              <w:t>详见《完备性及符合性审查标准》</w:t>
            </w:r>
          </w:p>
        </w:tc>
      </w:tr>
      <w:tr>
        <w:tblPrEx>
          <w:tblCellMar>
            <w:top w:w="0" w:type="dxa"/>
            <w:left w:w="0" w:type="dxa"/>
            <w:bottom w:w="0" w:type="dxa"/>
            <w:right w:w="0" w:type="dxa"/>
          </w:tblCellMar>
        </w:tblPrEx>
        <w:trPr>
          <w:cantSplit/>
          <w:trHeight w:val="465" w:hRule="atLeast"/>
          <w:jc w:val="center"/>
        </w:trPr>
        <w:tc>
          <w:tcPr>
            <w:tcW w:w="612" w:type="dxa"/>
            <w:tcBorders>
              <w:top w:val="single" w:color="auto" w:sz="8" w:space="0"/>
              <w:left w:val="single" w:color="auto" w:sz="8" w:space="0"/>
              <w:bottom w:val="single" w:color="auto" w:sz="4" w:space="0"/>
              <w:right w:val="single" w:color="auto" w:sz="8" w:space="0"/>
            </w:tcBorders>
            <w:tcMar>
              <w:left w:w="28" w:type="dxa"/>
              <w:right w:w="28" w:type="dxa"/>
            </w:tcMar>
            <w:vAlign w:val="center"/>
          </w:tcPr>
          <w:p>
            <w:pPr>
              <w:jc w:val="center"/>
              <w:rPr>
                <w:rFonts w:ascii="宋体"/>
                <w:sz w:val="24"/>
              </w:rPr>
            </w:pPr>
            <w:r>
              <w:rPr>
                <w:rFonts w:hint="eastAsia" w:ascii="宋体"/>
                <w:sz w:val="24"/>
              </w:rPr>
              <w:t>4</w:t>
            </w:r>
          </w:p>
        </w:tc>
        <w:tc>
          <w:tcPr>
            <w:tcW w:w="2393" w:type="dxa"/>
            <w:tcBorders>
              <w:top w:val="single" w:color="auto" w:sz="8" w:space="0"/>
              <w:left w:val="single" w:color="auto" w:sz="8" w:space="0"/>
              <w:bottom w:val="single" w:color="auto" w:sz="4" w:space="0"/>
              <w:right w:val="single" w:color="auto" w:sz="8" w:space="0"/>
            </w:tcBorders>
            <w:tcMar>
              <w:left w:w="28" w:type="dxa"/>
              <w:right w:w="28" w:type="dxa"/>
            </w:tcMar>
            <w:vAlign w:val="center"/>
          </w:tcPr>
          <w:p>
            <w:pPr>
              <w:rPr>
                <w:rFonts w:ascii="宋体"/>
                <w:sz w:val="24"/>
              </w:rPr>
            </w:pPr>
            <w:r>
              <w:rPr>
                <w:rFonts w:hint="eastAsia" w:ascii="宋体"/>
                <w:sz w:val="24"/>
              </w:rPr>
              <w:t>详细评审</w:t>
            </w:r>
          </w:p>
        </w:tc>
        <w:tc>
          <w:tcPr>
            <w:tcW w:w="6155" w:type="dxa"/>
            <w:tcBorders>
              <w:top w:val="single" w:color="auto" w:sz="8" w:space="0"/>
              <w:left w:val="single" w:color="auto" w:sz="8" w:space="0"/>
              <w:bottom w:val="single" w:color="auto" w:sz="4" w:space="0"/>
              <w:right w:val="single" w:color="auto" w:sz="8" w:space="0"/>
            </w:tcBorders>
            <w:tcMar>
              <w:left w:w="28" w:type="dxa"/>
              <w:right w:w="28" w:type="dxa"/>
            </w:tcMar>
            <w:vAlign w:val="center"/>
          </w:tcPr>
          <w:p>
            <w:pPr>
              <w:rPr>
                <w:rFonts w:ascii="宋体"/>
                <w:sz w:val="24"/>
              </w:rPr>
            </w:pPr>
            <w:r>
              <w:rPr>
                <w:rFonts w:hint="eastAsia" w:ascii="宋体"/>
                <w:sz w:val="24"/>
              </w:rPr>
              <w:t>详见《详细评审标准》</w:t>
            </w:r>
          </w:p>
        </w:tc>
      </w:tr>
      <w:tr>
        <w:tblPrEx>
          <w:tblCellMar>
            <w:top w:w="0" w:type="dxa"/>
            <w:left w:w="0" w:type="dxa"/>
            <w:bottom w:w="0" w:type="dxa"/>
            <w:right w:w="0" w:type="dxa"/>
          </w:tblCellMar>
        </w:tblPrEx>
        <w:trPr>
          <w:cantSplit/>
          <w:trHeight w:val="3008" w:hRule="atLeast"/>
          <w:jc w:val="center"/>
        </w:trPr>
        <w:tc>
          <w:tcPr>
            <w:tcW w:w="61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ascii="宋体"/>
                <w:sz w:val="24"/>
              </w:rPr>
            </w:pPr>
            <w:r>
              <w:rPr>
                <w:rFonts w:hint="eastAsia" w:ascii="宋体"/>
                <w:sz w:val="24"/>
              </w:rPr>
              <w:t>5</w:t>
            </w:r>
          </w:p>
        </w:tc>
        <w:tc>
          <w:tcPr>
            <w:tcW w:w="239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ascii="宋体"/>
                <w:sz w:val="24"/>
              </w:rPr>
            </w:pPr>
            <w:r>
              <w:rPr>
                <w:rFonts w:hint="eastAsia" w:ascii="宋体"/>
                <w:sz w:val="24"/>
              </w:rPr>
              <w:t>详细评审</w:t>
            </w:r>
          </w:p>
        </w:tc>
        <w:tc>
          <w:tcPr>
            <w:tcW w:w="615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hd w:val="clear" w:color="auto" w:fill="FFFFFF"/>
              <w:snapToGrid w:val="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投标报价得分计算方法：</w:t>
            </w:r>
          </w:p>
          <w:p>
            <w:pPr>
              <w:widowControl/>
              <w:shd w:val="clear" w:color="auto" w:fill="FFFFFF"/>
              <w:snapToGrid w:val="0"/>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1.投标报价的确定</w:t>
            </w:r>
          </w:p>
          <w:p>
            <w:pPr>
              <w:widowControl/>
              <w:shd w:val="clear" w:color="auto" w:fill="FFFFFF"/>
              <w:snapToGrid w:val="0"/>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投标报价是指经评审的且不超过采购预算金额的投标价格</w:t>
            </w:r>
          </w:p>
          <w:p>
            <w:pPr>
              <w:widowControl/>
              <w:shd w:val="clear" w:color="auto" w:fill="FFFFFF"/>
              <w:snapToGrid w:val="0"/>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2.评标基准价的确定</w:t>
            </w:r>
          </w:p>
          <w:p>
            <w:pPr>
              <w:widowControl/>
              <w:shd w:val="clear" w:color="auto" w:fill="FFFFFF"/>
              <w:snapToGrid w:val="0"/>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满足招标文件要求且投标报价最低的为评标基准价</w:t>
            </w:r>
          </w:p>
          <w:p>
            <w:pPr>
              <w:widowControl/>
              <w:shd w:val="clear" w:color="auto" w:fill="FFFFFF"/>
              <w:snapToGrid w:val="0"/>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3.投标报价得分=(评标基准价／投标报价)×100×Q2</w:t>
            </w:r>
          </w:p>
          <w:p>
            <w:pPr>
              <w:widowControl/>
              <w:shd w:val="clear" w:color="auto" w:fill="FFFFFF"/>
              <w:snapToGrid w:val="0"/>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4.评分分值计算保留小数点后两位，小数点后三位“四舍五入”。</w:t>
            </w:r>
          </w:p>
        </w:tc>
      </w:tr>
    </w:tbl>
    <w:p>
      <w:pPr>
        <w:widowControl/>
        <w:shd w:val="clear" w:color="auto" w:fill="FFFFFF"/>
        <w:snapToGrid w:val="0"/>
        <w:ind w:firstLine="482" w:firstLineChars="200"/>
        <w:jc w:val="center"/>
        <w:rPr>
          <w:rFonts w:ascii="宋体"/>
          <w:b/>
          <w:kern w:val="0"/>
          <w:sz w:val="24"/>
        </w:rPr>
      </w:pPr>
      <w:bookmarkStart w:id="23" w:name="_Toc501719166"/>
    </w:p>
    <w:p>
      <w:pPr>
        <w:widowControl/>
        <w:shd w:val="clear" w:color="auto" w:fill="FFFFFF"/>
        <w:snapToGrid w:val="0"/>
        <w:ind w:firstLine="482" w:firstLineChars="200"/>
        <w:jc w:val="center"/>
        <w:rPr>
          <w:rFonts w:ascii="宋体"/>
          <w:b/>
          <w:kern w:val="0"/>
          <w:sz w:val="24"/>
        </w:rPr>
      </w:pPr>
      <w:r>
        <w:rPr>
          <w:rFonts w:hint="eastAsia" w:ascii="宋体"/>
          <w:b/>
          <w:kern w:val="0"/>
          <w:sz w:val="24"/>
        </w:rPr>
        <w:t>《资格审查标准》</w:t>
      </w:r>
      <w:bookmarkEnd w:id="23"/>
    </w:p>
    <w:tbl>
      <w:tblPr>
        <w:tblStyle w:val="25"/>
        <w:tblW w:w="9160" w:type="dxa"/>
        <w:jc w:val="center"/>
        <w:tblLayout w:type="fixed"/>
        <w:tblCellMar>
          <w:top w:w="0" w:type="dxa"/>
          <w:left w:w="0" w:type="dxa"/>
          <w:bottom w:w="0" w:type="dxa"/>
          <w:right w:w="0" w:type="dxa"/>
        </w:tblCellMar>
      </w:tblPr>
      <w:tblGrid>
        <w:gridCol w:w="628"/>
        <w:gridCol w:w="8532"/>
      </w:tblGrid>
      <w:tr>
        <w:tblPrEx>
          <w:tblCellMar>
            <w:top w:w="0" w:type="dxa"/>
            <w:left w:w="0" w:type="dxa"/>
            <w:bottom w:w="0" w:type="dxa"/>
            <w:right w:w="0" w:type="dxa"/>
          </w:tblCellMar>
        </w:tblPrEx>
        <w:trPr>
          <w:cantSplit/>
          <w:trHeight w:val="522" w:hRule="atLeast"/>
          <w:jc w:val="center"/>
        </w:trPr>
        <w:tc>
          <w:tcPr>
            <w:tcW w:w="628" w:type="dxa"/>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jc w:val="center"/>
              <w:rPr>
                <w:rFonts w:ascii="宋体"/>
                <w:kern w:val="0"/>
                <w:sz w:val="24"/>
              </w:rPr>
            </w:pPr>
            <w:r>
              <w:rPr>
                <w:rFonts w:hint="eastAsia" w:ascii="宋体"/>
                <w:kern w:val="0"/>
                <w:sz w:val="24"/>
              </w:rPr>
              <w:t>序号</w:t>
            </w:r>
          </w:p>
        </w:tc>
        <w:tc>
          <w:tcPr>
            <w:tcW w:w="8532" w:type="dxa"/>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jc w:val="center"/>
              <w:rPr>
                <w:rFonts w:ascii="宋体"/>
                <w:kern w:val="0"/>
                <w:sz w:val="24"/>
              </w:rPr>
            </w:pPr>
            <w:r>
              <w:rPr>
                <w:rFonts w:hint="eastAsia" w:ascii="宋体"/>
                <w:kern w:val="0"/>
                <w:sz w:val="24"/>
              </w:rPr>
              <w:t>审查标准</w:t>
            </w:r>
          </w:p>
        </w:tc>
      </w:tr>
      <w:tr>
        <w:tblPrEx>
          <w:tblCellMar>
            <w:top w:w="0" w:type="dxa"/>
            <w:left w:w="0" w:type="dxa"/>
            <w:bottom w:w="0" w:type="dxa"/>
            <w:right w:w="0" w:type="dxa"/>
          </w:tblCellMar>
        </w:tblPrEx>
        <w:trPr>
          <w:cantSplit/>
          <w:trHeight w:val="733" w:hRule="atLeast"/>
          <w:jc w:val="center"/>
        </w:trPr>
        <w:tc>
          <w:tcPr>
            <w:tcW w:w="628" w:type="dxa"/>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jc w:val="center"/>
              <w:rPr>
                <w:rFonts w:ascii="宋体"/>
                <w:kern w:val="0"/>
                <w:sz w:val="24"/>
              </w:rPr>
            </w:pPr>
            <w:r>
              <w:rPr>
                <w:rFonts w:ascii="宋体"/>
                <w:kern w:val="0"/>
                <w:sz w:val="24"/>
              </w:rPr>
              <w:t>1</w:t>
            </w:r>
          </w:p>
        </w:tc>
        <w:tc>
          <w:tcPr>
            <w:tcW w:w="8532" w:type="dxa"/>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jc w:val="left"/>
              <w:rPr>
                <w:rFonts w:ascii="宋体"/>
                <w:color w:val="000000"/>
                <w:kern w:val="0"/>
                <w:sz w:val="24"/>
              </w:rPr>
            </w:pPr>
            <w:r>
              <w:rPr>
                <w:rFonts w:hint="eastAsia"/>
                <w:sz w:val="24"/>
              </w:rPr>
              <w:t>供应商必须是中华人民共和国境内注册的具有独立法人资格的企业，具备有效的营业执照。</w:t>
            </w:r>
          </w:p>
        </w:tc>
      </w:tr>
      <w:tr>
        <w:tblPrEx>
          <w:tblCellMar>
            <w:top w:w="0" w:type="dxa"/>
            <w:left w:w="0" w:type="dxa"/>
            <w:bottom w:w="0" w:type="dxa"/>
            <w:right w:w="0" w:type="dxa"/>
          </w:tblCellMar>
        </w:tblPrEx>
        <w:trPr>
          <w:cantSplit/>
          <w:trHeight w:val="782" w:hRule="atLeast"/>
          <w:jc w:val="center"/>
        </w:trPr>
        <w:tc>
          <w:tcPr>
            <w:tcW w:w="628" w:type="dxa"/>
            <w:tcBorders>
              <w:top w:val="nil"/>
              <w:left w:val="single" w:color="auto" w:sz="8" w:space="0"/>
              <w:bottom w:val="single" w:color="auto" w:sz="4" w:space="0"/>
              <w:right w:val="single" w:color="auto" w:sz="8" w:space="0"/>
            </w:tcBorders>
            <w:tcMar>
              <w:left w:w="28" w:type="dxa"/>
              <w:right w:w="28" w:type="dxa"/>
            </w:tcMar>
            <w:vAlign w:val="center"/>
          </w:tcPr>
          <w:p>
            <w:pPr>
              <w:widowControl/>
              <w:shd w:val="clear" w:color="auto" w:fill="FFFFFF"/>
              <w:snapToGrid w:val="0"/>
              <w:jc w:val="center"/>
              <w:rPr>
                <w:rFonts w:ascii="宋体"/>
                <w:kern w:val="0"/>
                <w:sz w:val="24"/>
              </w:rPr>
            </w:pPr>
            <w:r>
              <w:rPr>
                <w:rFonts w:ascii="宋体"/>
                <w:kern w:val="0"/>
                <w:sz w:val="24"/>
              </w:rPr>
              <w:t>2</w:t>
            </w:r>
          </w:p>
        </w:tc>
        <w:tc>
          <w:tcPr>
            <w:tcW w:w="8532" w:type="dxa"/>
            <w:tcBorders>
              <w:top w:val="nil"/>
              <w:left w:val="nil"/>
              <w:bottom w:val="single" w:color="auto" w:sz="4" w:space="0"/>
              <w:right w:val="single" w:color="auto" w:sz="8" w:space="0"/>
            </w:tcBorders>
            <w:tcMar>
              <w:left w:w="28" w:type="dxa"/>
              <w:right w:w="28" w:type="dxa"/>
            </w:tcMar>
            <w:vAlign w:val="center"/>
          </w:tcPr>
          <w:p>
            <w:pPr>
              <w:widowControl/>
              <w:shd w:val="clear" w:color="auto" w:fill="FFFFFF"/>
              <w:snapToGrid w:val="0"/>
              <w:jc w:val="left"/>
              <w:rPr>
                <w:rFonts w:hint="eastAsia" w:cs="Arial"/>
                <w:sz w:val="24"/>
              </w:rPr>
            </w:pPr>
            <w:r>
              <w:rPr>
                <w:rFonts w:hint="eastAsia" w:cs="Arial"/>
                <w:sz w:val="24"/>
              </w:rPr>
              <w:t>具有良好的商业信誉和健全的财务会计制度（银行出具的近1年内资信证明或上年度经审计的财务报告，新成立企业无需提供）。</w:t>
            </w:r>
          </w:p>
        </w:tc>
      </w:tr>
      <w:tr>
        <w:tblPrEx>
          <w:tblCellMar>
            <w:top w:w="0" w:type="dxa"/>
            <w:left w:w="0" w:type="dxa"/>
            <w:bottom w:w="0" w:type="dxa"/>
            <w:right w:w="0" w:type="dxa"/>
          </w:tblCellMar>
        </w:tblPrEx>
        <w:trPr>
          <w:cantSplit/>
          <w:trHeight w:val="578" w:hRule="atLeast"/>
          <w:jc w:val="center"/>
        </w:trPr>
        <w:tc>
          <w:tcPr>
            <w:tcW w:w="628" w:type="dxa"/>
            <w:tcBorders>
              <w:top w:val="single" w:color="auto" w:sz="4" w:space="0"/>
              <w:left w:val="single" w:color="auto" w:sz="4" w:space="0"/>
              <w:bottom w:val="single" w:color="auto" w:sz="8" w:space="0"/>
              <w:right w:val="single" w:color="auto" w:sz="8" w:space="0"/>
            </w:tcBorders>
            <w:tcMar>
              <w:left w:w="28" w:type="dxa"/>
              <w:right w:w="28" w:type="dxa"/>
            </w:tcMar>
            <w:vAlign w:val="center"/>
          </w:tcPr>
          <w:p>
            <w:pPr>
              <w:widowControl/>
              <w:shd w:val="clear" w:color="auto" w:fill="FFFFFF"/>
              <w:snapToGrid w:val="0"/>
              <w:jc w:val="center"/>
              <w:rPr>
                <w:rFonts w:ascii="宋体"/>
                <w:kern w:val="0"/>
                <w:sz w:val="24"/>
              </w:rPr>
            </w:pPr>
            <w:r>
              <w:rPr>
                <w:rFonts w:ascii="宋体"/>
                <w:kern w:val="0"/>
                <w:sz w:val="24"/>
              </w:rPr>
              <w:t>3</w:t>
            </w:r>
          </w:p>
        </w:tc>
        <w:tc>
          <w:tcPr>
            <w:tcW w:w="8532" w:type="dxa"/>
            <w:tcBorders>
              <w:top w:val="single" w:color="auto" w:sz="4" w:space="0"/>
              <w:left w:val="nil"/>
              <w:bottom w:val="single" w:color="auto" w:sz="8" w:space="0"/>
              <w:right w:val="single" w:color="auto" w:sz="4" w:space="0"/>
            </w:tcBorders>
            <w:tcMar>
              <w:left w:w="28" w:type="dxa"/>
              <w:right w:w="28" w:type="dxa"/>
            </w:tcMar>
            <w:vAlign w:val="center"/>
          </w:tcPr>
          <w:p>
            <w:pPr>
              <w:widowControl/>
              <w:shd w:val="clear" w:color="auto" w:fill="FFFFFF"/>
              <w:snapToGrid w:val="0"/>
              <w:jc w:val="left"/>
              <w:rPr>
                <w:rFonts w:hint="eastAsia" w:cs="Arial"/>
                <w:sz w:val="24"/>
              </w:rPr>
            </w:pPr>
            <w:r>
              <w:rPr>
                <w:rFonts w:hint="eastAsia" w:cs="Arial"/>
                <w:sz w:val="24"/>
                <w:lang w:val="zh-CN"/>
              </w:rPr>
              <w:t>具有履行合同所必需的专业技术能力与人员队伍。</w:t>
            </w:r>
          </w:p>
        </w:tc>
      </w:tr>
      <w:tr>
        <w:tblPrEx>
          <w:tblCellMar>
            <w:top w:w="0" w:type="dxa"/>
            <w:left w:w="0" w:type="dxa"/>
            <w:bottom w:w="0" w:type="dxa"/>
            <w:right w:w="0" w:type="dxa"/>
          </w:tblCellMar>
        </w:tblPrEx>
        <w:trPr>
          <w:cantSplit/>
          <w:trHeight w:val="1036" w:hRule="atLeast"/>
          <w:jc w:val="center"/>
        </w:trPr>
        <w:tc>
          <w:tcPr>
            <w:tcW w:w="628" w:type="dxa"/>
            <w:tcBorders>
              <w:top w:val="single" w:color="auto" w:sz="4" w:space="0"/>
              <w:left w:val="single" w:color="auto" w:sz="4" w:space="0"/>
              <w:bottom w:val="single" w:color="auto" w:sz="8" w:space="0"/>
              <w:right w:val="single" w:color="auto" w:sz="8" w:space="0"/>
            </w:tcBorders>
            <w:tcMar>
              <w:left w:w="28" w:type="dxa"/>
              <w:right w:w="28" w:type="dxa"/>
            </w:tcMar>
            <w:vAlign w:val="center"/>
          </w:tcPr>
          <w:p>
            <w:pPr>
              <w:widowControl/>
              <w:shd w:val="clear" w:color="auto" w:fill="FFFFFF"/>
              <w:snapToGrid w:val="0"/>
              <w:jc w:val="center"/>
              <w:rPr>
                <w:rFonts w:ascii="宋体"/>
                <w:kern w:val="0"/>
                <w:sz w:val="24"/>
              </w:rPr>
            </w:pPr>
            <w:r>
              <w:rPr>
                <w:rFonts w:hint="eastAsia" w:ascii="宋体"/>
                <w:kern w:val="0"/>
                <w:sz w:val="24"/>
              </w:rPr>
              <w:t>4</w:t>
            </w:r>
          </w:p>
        </w:tc>
        <w:tc>
          <w:tcPr>
            <w:tcW w:w="8532" w:type="dxa"/>
            <w:tcBorders>
              <w:top w:val="single" w:color="auto" w:sz="4" w:space="0"/>
              <w:left w:val="nil"/>
              <w:bottom w:val="single" w:color="auto" w:sz="8" w:space="0"/>
              <w:right w:val="single" w:color="auto" w:sz="4" w:space="0"/>
            </w:tcBorders>
            <w:tcMar>
              <w:left w:w="28" w:type="dxa"/>
              <w:right w:w="28" w:type="dxa"/>
            </w:tcMar>
            <w:vAlign w:val="center"/>
          </w:tcPr>
          <w:p>
            <w:pPr>
              <w:widowControl/>
              <w:shd w:val="clear" w:color="auto" w:fill="FFFFFF"/>
              <w:snapToGrid w:val="0"/>
              <w:jc w:val="left"/>
              <w:rPr>
                <w:rFonts w:hint="eastAsia" w:cs="Arial"/>
                <w:sz w:val="24"/>
              </w:rPr>
            </w:pPr>
            <w:r>
              <w:rPr>
                <w:rFonts w:hint="eastAsia" w:cs="Arial"/>
                <w:sz w:val="24"/>
                <w:lang w:val="zh-CN"/>
              </w:rPr>
              <w:t>有依法缴纳税收和社会保障资金的良好记录(提供近半年任意连续二个月依法缴纳税收和社会保障资金的相关材料,如依法免税或不需要缴纳社会保障资金的,应提供相应证明文件)。</w:t>
            </w:r>
          </w:p>
        </w:tc>
      </w:tr>
      <w:tr>
        <w:tblPrEx>
          <w:tblCellMar>
            <w:top w:w="0" w:type="dxa"/>
            <w:left w:w="0" w:type="dxa"/>
            <w:bottom w:w="0" w:type="dxa"/>
            <w:right w:w="0" w:type="dxa"/>
          </w:tblCellMar>
        </w:tblPrEx>
        <w:trPr>
          <w:cantSplit/>
          <w:trHeight w:val="551" w:hRule="atLeast"/>
          <w:jc w:val="center"/>
        </w:trPr>
        <w:tc>
          <w:tcPr>
            <w:tcW w:w="628" w:type="dxa"/>
            <w:tcBorders>
              <w:top w:val="single" w:color="auto" w:sz="4" w:space="0"/>
              <w:left w:val="single" w:color="auto" w:sz="4" w:space="0"/>
              <w:bottom w:val="single" w:color="auto" w:sz="8" w:space="0"/>
              <w:right w:val="single" w:color="auto" w:sz="8" w:space="0"/>
            </w:tcBorders>
            <w:tcMar>
              <w:left w:w="28" w:type="dxa"/>
              <w:right w:w="28" w:type="dxa"/>
            </w:tcMar>
            <w:vAlign w:val="center"/>
          </w:tcPr>
          <w:p>
            <w:pPr>
              <w:widowControl/>
              <w:shd w:val="clear" w:color="auto" w:fill="FFFFFF"/>
              <w:snapToGrid w:val="0"/>
              <w:jc w:val="center"/>
              <w:rPr>
                <w:rFonts w:ascii="宋体"/>
                <w:kern w:val="0"/>
                <w:sz w:val="24"/>
              </w:rPr>
            </w:pPr>
            <w:r>
              <w:rPr>
                <w:rFonts w:hint="eastAsia" w:ascii="宋体"/>
                <w:kern w:val="0"/>
                <w:sz w:val="24"/>
              </w:rPr>
              <w:t>5</w:t>
            </w:r>
          </w:p>
        </w:tc>
        <w:tc>
          <w:tcPr>
            <w:tcW w:w="8532" w:type="dxa"/>
            <w:tcBorders>
              <w:top w:val="single" w:color="auto" w:sz="4" w:space="0"/>
              <w:left w:val="nil"/>
              <w:bottom w:val="single" w:color="auto" w:sz="8" w:space="0"/>
              <w:right w:val="single" w:color="auto" w:sz="4" w:space="0"/>
            </w:tcBorders>
            <w:tcMar>
              <w:left w:w="28" w:type="dxa"/>
              <w:right w:w="28" w:type="dxa"/>
            </w:tcMar>
            <w:vAlign w:val="center"/>
          </w:tcPr>
          <w:p>
            <w:pPr>
              <w:widowControl/>
              <w:shd w:val="clear" w:color="auto" w:fill="FFFFFF"/>
              <w:snapToGrid w:val="0"/>
              <w:jc w:val="left"/>
              <w:rPr>
                <w:rFonts w:hint="eastAsia" w:cs="Arial"/>
                <w:sz w:val="24"/>
              </w:rPr>
            </w:pPr>
            <w:r>
              <w:rPr>
                <w:rFonts w:hint="eastAsia" w:cs="Arial"/>
                <w:sz w:val="24"/>
                <w:lang w:val="zh-CN"/>
              </w:rPr>
              <w:t>参加政府采购活动前三年内，在经营活动中没有重大违法记录（</w:t>
            </w:r>
            <w:r>
              <w:rPr>
                <w:rFonts w:hint="eastAsia" w:cs="Arial"/>
                <w:sz w:val="24"/>
              </w:rPr>
              <w:t>提供书面声明</w:t>
            </w:r>
            <w:r>
              <w:rPr>
                <w:rFonts w:hint="eastAsia" w:cs="Arial"/>
                <w:sz w:val="24"/>
                <w:lang w:val="zh-CN"/>
              </w:rPr>
              <w:t>）。</w:t>
            </w:r>
          </w:p>
        </w:tc>
      </w:tr>
      <w:tr>
        <w:tblPrEx>
          <w:tblCellMar>
            <w:top w:w="0" w:type="dxa"/>
            <w:left w:w="0" w:type="dxa"/>
            <w:bottom w:w="0" w:type="dxa"/>
            <w:right w:w="0" w:type="dxa"/>
          </w:tblCellMar>
        </w:tblPrEx>
        <w:trPr>
          <w:cantSplit/>
          <w:trHeight w:val="411" w:hRule="atLeast"/>
          <w:jc w:val="center"/>
        </w:trPr>
        <w:tc>
          <w:tcPr>
            <w:tcW w:w="628" w:type="dxa"/>
            <w:tcBorders>
              <w:top w:val="nil"/>
              <w:left w:val="single" w:color="auto" w:sz="4" w:space="0"/>
              <w:bottom w:val="single" w:color="auto" w:sz="4" w:space="0"/>
              <w:right w:val="single" w:color="auto" w:sz="8" w:space="0"/>
            </w:tcBorders>
            <w:tcMar>
              <w:left w:w="28" w:type="dxa"/>
              <w:right w:w="28" w:type="dxa"/>
            </w:tcMar>
            <w:vAlign w:val="center"/>
          </w:tcPr>
          <w:p>
            <w:pPr>
              <w:widowControl/>
              <w:shd w:val="clear" w:color="auto" w:fill="FFFFFF"/>
              <w:snapToGrid w:val="0"/>
              <w:jc w:val="center"/>
              <w:rPr>
                <w:rFonts w:ascii="宋体"/>
                <w:b/>
                <w:bCs/>
                <w:kern w:val="0"/>
                <w:sz w:val="24"/>
              </w:rPr>
            </w:pPr>
            <w:r>
              <w:rPr>
                <w:rFonts w:hint="eastAsia" w:ascii="宋体"/>
                <w:kern w:val="0"/>
                <w:sz w:val="24"/>
              </w:rPr>
              <w:t>6</w:t>
            </w:r>
          </w:p>
        </w:tc>
        <w:tc>
          <w:tcPr>
            <w:tcW w:w="8532" w:type="dxa"/>
            <w:tcBorders>
              <w:top w:val="nil"/>
              <w:left w:val="nil"/>
              <w:bottom w:val="single" w:color="auto" w:sz="4" w:space="0"/>
              <w:right w:val="single" w:color="auto" w:sz="4" w:space="0"/>
            </w:tcBorders>
            <w:tcMar>
              <w:left w:w="28" w:type="dxa"/>
              <w:right w:w="28" w:type="dxa"/>
            </w:tcMar>
            <w:vAlign w:val="center"/>
          </w:tcPr>
          <w:p>
            <w:pPr>
              <w:widowControl/>
              <w:shd w:val="clear" w:color="auto" w:fill="FFFFFF"/>
              <w:snapToGrid w:val="0"/>
              <w:jc w:val="left"/>
              <w:rPr>
                <w:rFonts w:hint="eastAsia" w:cs="Arial"/>
                <w:sz w:val="24"/>
              </w:rPr>
            </w:pPr>
            <w:r>
              <w:rPr>
                <w:rFonts w:hint="eastAsia" w:cs="Arial"/>
                <w:sz w:val="24"/>
                <w:lang w:val="zh-CN"/>
              </w:rPr>
              <w:t>供应商如在</w:t>
            </w:r>
            <w:r>
              <w:rPr>
                <w:rFonts w:hint="eastAsia" w:cs="Arial"/>
                <w:sz w:val="24"/>
              </w:rPr>
              <w:t>“</w:t>
            </w:r>
            <w:r>
              <w:rPr>
                <w:rFonts w:hint="eastAsia" w:cs="Arial"/>
                <w:sz w:val="24"/>
                <w:lang w:val="zh-CN"/>
              </w:rPr>
              <w:t>信用中国</w:t>
            </w:r>
            <w:r>
              <w:rPr>
                <w:rFonts w:hint="eastAsia" w:cs="Arial"/>
                <w:sz w:val="24"/>
              </w:rPr>
              <w:t>”</w:t>
            </w:r>
            <w:r>
              <w:rPr>
                <w:rFonts w:hint="eastAsia" w:cs="Arial"/>
                <w:sz w:val="24"/>
                <w:lang w:val="zh-CN"/>
              </w:rPr>
              <w:t>网站</w:t>
            </w:r>
            <w:r>
              <w:rPr>
                <w:rFonts w:hint="eastAsia" w:cs="Arial"/>
                <w:sz w:val="24"/>
              </w:rPr>
              <w:t>（www.creditchina.gov.cn）</w:t>
            </w:r>
            <w:r>
              <w:rPr>
                <w:rFonts w:hint="eastAsia" w:cs="Arial"/>
                <w:sz w:val="24"/>
                <w:lang w:val="zh-CN"/>
              </w:rPr>
              <w:t>、中国政府采购网</w:t>
            </w:r>
            <w:r>
              <w:rPr>
                <w:rFonts w:hint="eastAsia" w:cs="Arial"/>
                <w:sz w:val="24"/>
              </w:rPr>
              <w:t>（www.ccgp.gov.cn）</w:t>
            </w:r>
            <w:r>
              <w:rPr>
                <w:rFonts w:hint="eastAsia" w:cs="Arial"/>
                <w:sz w:val="24"/>
                <w:lang w:val="zh-CN"/>
              </w:rPr>
              <w:t>被列入失信被执行人、重大税收违法案件当事人名单、政府采购严重违法失信行为记录名单的</w:t>
            </w:r>
            <w:r>
              <w:rPr>
                <w:rFonts w:hint="eastAsia" w:cs="Arial"/>
                <w:sz w:val="24"/>
              </w:rPr>
              <w:t>（</w:t>
            </w:r>
            <w:r>
              <w:rPr>
                <w:rFonts w:hint="eastAsia" w:cs="Arial"/>
                <w:sz w:val="24"/>
                <w:lang w:val="zh-CN"/>
              </w:rPr>
              <w:t>尚在处罚期内的</w:t>
            </w:r>
            <w:r>
              <w:rPr>
                <w:rFonts w:hint="eastAsia" w:cs="Arial"/>
                <w:sz w:val="24"/>
              </w:rPr>
              <w:t>），</w:t>
            </w:r>
            <w:r>
              <w:rPr>
                <w:rFonts w:hint="eastAsia" w:cs="Arial"/>
                <w:sz w:val="24"/>
                <w:lang w:val="zh-CN"/>
              </w:rPr>
              <w:t>将拒绝本次政府采购活动。</w:t>
            </w:r>
          </w:p>
        </w:tc>
      </w:tr>
      <w:tr>
        <w:tblPrEx>
          <w:tblCellMar>
            <w:top w:w="0" w:type="dxa"/>
            <w:left w:w="0" w:type="dxa"/>
            <w:bottom w:w="0" w:type="dxa"/>
            <w:right w:w="0" w:type="dxa"/>
          </w:tblCellMar>
        </w:tblPrEx>
        <w:trPr>
          <w:cantSplit/>
          <w:trHeight w:val="570" w:hRule="atLeast"/>
          <w:jc w:val="center"/>
        </w:trPr>
        <w:tc>
          <w:tcPr>
            <w:tcW w:w="628" w:type="dxa"/>
            <w:tcBorders>
              <w:top w:val="nil"/>
              <w:left w:val="single" w:color="auto" w:sz="8" w:space="0"/>
              <w:bottom w:val="single" w:color="auto" w:sz="8" w:space="0"/>
              <w:right w:val="single" w:color="auto" w:sz="8" w:space="0"/>
            </w:tcBorders>
            <w:tcMar>
              <w:left w:w="28" w:type="dxa"/>
              <w:right w:w="28" w:type="dxa"/>
            </w:tcMar>
            <w:vAlign w:val="center"/>
          </w:tcPr>
          <w:p>
            <w:pPr>
              <w:widowControl/>
              <w:shd w:val="clear" w:color="auto" w:fill="FFFFFF"/>
              <w:snapToGrid w:val="0"/>
              <w:jc w:val="center"/>
              <w:rPr>
                <w:rFonts w:ascii="宋体"/>
                <w:kern w:val="0"/>
                <w:sz w:val="24"/>
              </w:rPr>
            </w:pPr>
            <w:r>
              <w:rPr>
                <w:rFonts w:hint="eastAsia" w:ascii="宋体"/>
                <w:kern w:val="0"/>
                <w:sz w:val="24"/>
              </w:rPr>
              <w:t>7</w:t>
            </w:r>
          </w:p>
        </w:tc>
        <w:tc>
          <w:tcPr>
            <w:tcW w:w="8532" w:type="dxa"/>
            <w:tcBorders>
              <w:top w:val="nil"/>
              <w:left w:val="nil"/>
              <w:bottom w:val="single" w:color="auto" w:sz="8" w:space="0"/>
              <w:right w:val="single" w:color="auto" w:sz="8" w:space="0"/>
            </w:tcBorders>
            <w:tcMar>
              <w:left w:w="28" w:type="dxa"/>
              <w:right w:w="28" w:type="dxa"/>
            </w:tcMar>
            <w:vAlign w:val="center"/>
          </w:tcPr>
          <w:p>
            <w:pPr>
              <w:widowControl/>
              <w:shd w:val="clear" w:color="auto" w:fill="FFFFFF"/>
              <w:snapToGrid w:val="0"/>
              <w:jc w:val="left"/>
              <w:rPr>
                <w:rFonts w:hint="eastAsia" w:cs="Arial"/>
                <w:sz w:val="24"/>
              </w:rPr>
            </w:pPr>
            <w:r>
              <w:rPr>
                <w:rFonts w:hint="eastAsia" w:cs="Arial"/>
                <w:sz w:val="24"/>
                <w:lang w:val="zh-CN"/>
              </w:rPr>
              <w:t>供应商为</w:t>
            </w:r>
            <w:r>
              <w:rPr>
                <w:rFonts w:hint="eastAsia" w:cs="Arial"/>
                <w:sz w:val="24"/>
              </w:rPr>
              <w:t>小微</w:t>
            </w:r>
            <w:r>
              <w:rPr>
                <w:rFonts w:hint="eastAsia" w:cs="Arial"/>
                <w:sz w:val="24"/>
                <w:lang w:val="zh-CN"/>
              </w:rPr>
              <w:t>企业</w:t>
            </w:r>
            <w:r>
              <w:rPr>
                <w:rFonts w:hint="eastAsia" w:cs="Arial"/>
                <w:sz w:val="24"/>
              </w:rPr>
              <w:t>,提供对应的资格文件。</w:t>
            </w:r>
          </w:p>
        </w:tc>
      </w:tr>
      <w:tr>
        <w:tblPrEx>
          <w:tblCellMar>
            <w:top w:w="0" w:type="dxa"/>
            <w:left w:w="0" w:type="dxa"/>
            <w:bottom w:w="0" w:type="dxa"/>
            <w:right w:w="0" w:type="dxa"/>
          </w:tblCellMar>
        </w:tblPrEx>
        <w:trPr>
          <w:cantSplit/>
          <w:trHeight w:val="950" w:hRule="atLeast"/>
          <w:jc w:val="center"/>
        </w:trPr>
        <w:tc>
          <w:tcPr>
            <w:tcW w:w="9160" w:type="dxa"/>
            <w:gridSpan w:val="2"/>
            <w:tcBorders>
              <w:top w:val="single" w:color="auto" w:sz="4" w:space="0"/>
              <w:left w:val="single" w:color="auto" w:sz="8" w:space="0"/>
              <w:bottom w:val="single" w:color="auto" w:sz="8" w:space="0"/>
              <w:right w:val="single" w:color="auto" w:sz="8" w:space="0"/>
            </w:tcBorders>
            <w:tcMar>
              <w:left w:w="28" w:type="dxa"/>
              <w:right w:w="28" w:type="dxa"/>
            </w:tcMar>
            <w:vAlign w:val="center"/>
          </w:tcPr>
          <w:p>
            <w:pPr>
              <w:widowControl/>
              <w:shd w:val="clear" w:color="auto" w:fill="FFFFFF"/>
              <w:snapToGrid w:val="0"/>
              <w:rPr>
                <w:rFonts w:ascii="宋体"/>
                <w:kern w:val="0"/>
                <w:sz w:val="24"/>
              </w:rPr>
            </w:pPr>
            <w:r>
              <w:rPr>
                <w:rFonts w:hint="eastAsia" w:ascii="宋体"/>
                <w:b/>
                <w:bCs/>
                <w:kern w:val="0"/>
                <w:sz w:val="24"/>
              </w:rPr>
              <w:t>备注：如果资格评审中有一项不满足审查标准的，将认定该投标人不通过资格审查，投标文件将被拒绝评审。并且不允许投标人通过修改或撤销其不符合要求的差异或保留，使之成为具有响应性的投标。</w:t>
            </w:r>
          </w:p>
        </w:tc>
      </w:tr>
    </w:tbl>
    <w:p>
      <w:pPr>
        <w:widowControl/>
        <w:shd w:val="clear" w:color="auto" w:fill="FFFFFF"/>
        <w:snapToGrid w:val="0"/>
        <w:ind w:firstLine="482" w:firstLineChars="200"/>
        <w:jc w:val="center"/>
        <w:rPr>
          <w:rFonts w:ascii="宋体"/>
          <w:b/>
          <w:kern w:val="0"/>
          <w:sz w:val="24"/>
        </w:rPr>
      </w:pPr>
      <w:bookmarkStart w:id="24" w:name="_Toc501719167"/>
    </w:p>
    <w:p>
      <w:pPr>
        <w:widowControl/>
        <w:shd w:val="clear" w:color="auto" w:fill="FFFFFF"/>
        <w:snapToGrid w:val="0"/>
        <w:ind w:firstLine="482" w:firstLineChars="200"/>
        <w:jc w:val="center"/>
        <w:rPr>
          <w:rFonts w:ascii="宋体"/>
          <w:b/>
          <w:kern w:val="0"/>
          <w:sz w:val="24"/>
        </w:rPr>
      </w:pPr>
    </w:p>
    <w:p>
      <w:pPr>
        <w:widowControl/>
        <w:shd w:val="clear" w:color="auto" w:fill="FFFFFF"/>
        <w:snapToGrid w:val="0"/>
        <w:ind w:firstLine="482" w:firstLineChars="200"/>
        <w:jc w:val="center"/>
        <w:rPr>
          <w:rFonts w:ascii="宋体"/>
          <w:b/>
          <w:kern w:val="0"/>
          <w:sz w:val="24"/>
        </w:rPr>
      </w:pPr>
      <w:r>
        <w:rPr>
          <w:rFonts w:hint="eastAsia" w:ascii="宋体"/>
          <w:b/>
          <w:kern w:val="0"/>
          <w:sz w:val="24"/>
        </w:rPr>
        <w:t>《完备性及符合性审查标准》</w:t>
      </w:r>
      <w:bookmarkEnd w:id="24"/>
    </w:p>
    <w:tbl>
      <w:tblPr>
        <w:tblStyle w:val="25"/>
        <w:tblW w:w="9177" w:type="dxa"/>
        <w:jc w:val="center"/>
        <w:tblLayout w:type="fixed"/>
        <w:tblCellMar>
          <w:top w:w="0" w:type="dxa"/>
          <w:left w:w="0" w:type="dxa"/>
          <w:bottom w:w="0" w:type="dxa"/>
          <w:right w:w="0" w:type="dxa"/>
        </w:tblCellMar>
      </w:tblPr>
      <w:tblGrid>
        <w:gridCol w:w="621"/>
        <w:gridCol w:w="8556"/>
      </w:tblGrid>
      <w:tr>
        <w:tblPrEx>
          <w:tblCellMar>
            <w:top w:w="0" w:type="dxa"/>
            <w:left w:w="0" w:type="dxa"/>
            <w:bottom w:w="0" w:type="dxa"/>
            <w:right w:w="0" w:type="dxa"/>
          </w:tblCellMar>
        </w:tblPrEx>
        <w:trPr>
          <w:cantSplit/>
          <w:trHeight w:val="465" w:hRule="atLeast"/>
          <w:jc w:val="center"/>
        </w:trPr>
        <w:tc>
          <w:tcPr>
            <w:tcW w:w="621" w:type="dxa"/>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rPr>
                <w:rFonts w:ascii="宋体"/>
                <w:kern w:val="0"/>
                <w:sz w:val="24"/>
              </w:rPr>
            </w:pPr>
            <w:r>
              <w:rPr>
                <w:rFonts w:hint="eastAsia" w:ascii="宋体"/>
                <w:kern w:val="0"/>
                <w:sz w:val="24"/>
              </w:rPr>
              <w:t>序号</w:t>
            </w:r>
          </w:p>
        </w:tc>
        <w:tc>
          <w:tcPr>
            <w:tcW w:w="8556" w:type="dxa"/>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jc w:val="center"/>
              <w:rPr>
                <w:rFonts w:ascii="宋体"/>
                <w:kern w:val="0"/>
                <w:sz w:val="24"/>
              </w:rPr>
            </w:pPr>
            <w:r>
              <w:rPr>
                <w:rFonts w:hint="eastAsia" w:ascii="宋体"/>
                <w:kern w:val="0"/>
                <w:sz w:val="24"/>
              </w:rPr>
              <w:t>评审标准</w:t>
            </w:r>
          </w:p>
        </w:tc>
      </w:tr>
      <w:tr>
        <w:tblPrEx>
          <w:tblCellMar>
            <w:top w:w="0" w:type="dxa"/>
            <w:left w:w="0" w:type="dxa"/>
            <w:bottom w:w="0" w:type="dxa"/>
            <w:right w:w="0" w:type="dxa"/>
          </w:tblCellMar>
        </w:tblPrEx>
        <w:trPr>
          <w:cantSplit/>
          <w:trHeight w:val="753" w:hRule="atLeast"/>
          <w:jc w:val="center"/>
        </w:trPr>
        <w:tc>
          <w:tcPr>
            <w:tcW w:w="621" w:type="dxa"/>
            <w:tcBorders>
              <w:top w:val="nil"/>
              <w:left w:val="single" w:color="auto" w:sz="8" w:space="0"/>
              <w:bottom w:val="single" w:color="auto" w:sz="8" w:space="0"/>
              <w:right w:val="single" w:color="auto" w:sz="8" w:space="0"/>
            </w:tcBorders>
            <w:tcMar>
              <w:left w:w="28" w:type="dxa"/>
              <w:right w:w="28" w:type="dxa"/>
            </w:tcMar>
            <w:vAlign w:val="center"/>
          </w:tcPr>
          <w:p>
            <w:pPr>
              <w:autoSpaceDE w:val="0"/>
              <w:autoSpaceDN w:val="0"/>
              <w:adjustRightInd w:val="0"/>
              <w:jc w:val="center"/>
              <w:rPr>
                <w:rFonts w:ascii="宋体" w:hAnsi="宋体" w:cs="宋体"/>
                <w:lang w:val="zh-CN"/>
              </w:rPr>
            </w:pPr>
            <w:r>
              <w:rPr>
                <w:rFonts w:hint="eastAsia" w:ascii="宋体" w:hAnsi="宋体" w:cs="宋体"/>
                <w:lang w:val="zh-CN"/>
              </w:rPr>
              <w:t>1</w:t>
            </w:r>
          </w:p>
        </w:tc>
        <w:tc>
          <w:tcPr>
            <w:tcW w:w="8556" w:type="dxa"/>
            <w:tcBorders>
              <w:top w:val="nil"/>
              <w:left w:val="nil"/>
              <w:bottom w:val="single" w:color="auto" w:sz="8" w:space="0"/>
              <w:right w:val="single" w:color="auto" w:sz="8" w:space="0"/>
            </w:tcBorders>
            <w:tcMar>
              <w:left w:w="28" w:type="dxa"/>
              <w:right w:w="28" w:type="dxa"/>
            </w:tcMar>
          </w:tcPr>
          <w:p>
            <w:pPr>
              <w:widowControl/>
              <w:shd w:val="clear" w:color="auto" w:fill="FFFFFF"/>
              <w:snapToGrid w:val="0"/>
              <w:jc w:val="left"/>
              <w:rPr>
                <w:rFonts w:hint="eastAsia" w:cs="Arial"/>
                <w:sz w:val="24"/>
                <w:lang w:val="zh-CN"/>
              </w:rPr>
            </w:pPr>
            <w:r>
              <w:rPr>
                <w:rFonts w:hint="eastAsia" w:cs="Arial"/>
                <w:sz w:val="24"/>
                <w:lang w:val="zh-CN"/>
              </w:rPr>
              <w:t>投标函必须按招标文件规定格式完整提供，并要盖投标人电子印章、法定代表人或授权代理人电子印章。</w:t>
            </w:r>
          </w:p>
        </w:tc>
      </w:tr>
      <w:tr>
        <w:tblPrEx>
          <w:tblCellMar>
            <w:top w:w="0" w:type="dxa"/>
            <w:left w:w="0" w:type="dxa"/>
            <w:bottom w:w="0" w:type="dxa"/>
            <w:right w:w="0" w:type="dxa"/>
          </w:tblCellMar>
        </w:tblPrEx>
        <w:trPr>
          <w:cantSplit/>
          <w:trHeight w:val="791" w:hRule="atLeast"/>
          <w:jc w:val="center"/>
        </w:trPr>
        <w:tc>
          <w:tcPr>
            <w:tcW w:w="621" w:type="dxa"/>
            <w:tcBorders>
              <w:top w:val="nil"/>
              <w:left w:val="single" w:color="auto" w:sz="8" w:space="0"/>
              <w:bottom w:val="single" w:color="auto" w:sz="8" w:space="0"/>
              <w:right w:val="single" w:color="auto" w:sz="8" w:space="0"/>
            </w:tcBorders>
            <w:tcMar>
              <w:left w:w="28" w:type="dxa"/>
              <w:right w:w="28" w:type="dxa"/>
            </w:tcMar>
            <w:vAlign w:val="center"/>
          </w:tcPr>
          <w:p>
            <w:pPr>
              <w:pStyle w:val="10"/>
              <w:numPr>
                <w:ilvl w:val="0"/>
                <w:numId w:val="0"/>
              </w:numPr>
              <w:jc w:val="center"/>
              <w:rPr>
                <w:rFonts w:ascii="宋体" w:hAnsi="宋体" w:eastAsia="宋体" w:cs="宋体"/>
                <w:sz w:val="21"/>
                <w:lang w:val="zh-CN"/>
              </w:rPr>
            </w:pPr>
            <w:r>
              <w:rPr>
                <w:rFonts w:hint="eastAsia" w:ascii="宋体" w:hAnsi="宋体" w:eastAsia="宋体" w:cs="宋体"/>
                <w:sz w:val="21"/>
                <w:lang w:val="zh-CN"/>
              </w:rPr>
              <w:t>2</w:t>
            </w:r>
          </w:p>
        </w:tc>
        <w:tc>
          <w:tcPr>
            <w:tcW w:w="8556" w:type="dxa"/>
            <w:tcBorders>
              <w:top w:val="nil"/>
              <w:left w:val="nil"/>
              <w:bottom w:val="single" w:color="auto" w:sz="8" w:space="0"/>
              <w:right w:val="single" w:color="auto" w:sz="8" w:space="0"/>
            </w:tcBorders>
            <w:tcMar>
              <w:left w:w="28" w:type="dxa"/>
              <w:right w:w="28" w:type="dxa"/>
            </w:tcMar>
            <w:vAlign w:val="center"/>
          </w:tcPr>
          <w:p>
            <w:pPr>
              <w:widowControl/>
              <w:shd w:val="clear" w:color="auto" w:fill="FFFFFF"/>
              <w:snapToGrid w:val="0"/>
              <w:jc w:val="left"/>
              <w:rPr>
                <w:rFonts w:hint="eastAsia" w:cs="Arial"/>
                <w:sz w:val="24"/>
                <w:lang w:val="zh-CN"/>
              </w:rPr>
            </w:pPr>
            <w:r>
              <w:rPr>
                <w:rFonts w:hint="eastAsia" w:cs="Arial"/>
                <w:sz w:val="24"/>
                <w:lang w:val="zh-CN"/>
              </w:rPr>
              <w:t>法定代表人身份证明书必须按招标文件规定格式完整提供，并要加盖投标人电子印章。</w:t>
            </w:r>
          </w:p>
        </w:tc>
      </w:tr>
      <w:tr>
        <w:tblPrEx>
          <w:tblCellMar>
            <w:top w:w="0" w:type="dxa"/>
            <w:left w:w="0" w:type="dxa"/>
            <w:bottom w:w="0" w:type="dxa"/>
            <w:right w:w="0" w:type="dxa"/>
          </w:tblCellMar>
        </w:tblPrEx>
        <w:trPr>
          <w:cantSplit/>
          <w:trHeight w:val="753" w:hRule="atLeast"/>
          <w:jc w:val="center"/>
        </w:trPr>
        <w:tc>
          <w:tcPr>
            <w:tcW w:w="621" w:type="dxa"/>
            <w:tcBorders>
              <w:top w:val="nil"/>
              <w:left w:val="single" w:color="auto" w:sz="8" w:space="0"/>
              <w:bottom w:val="single" w:color="auto" w:sz="8" w:space="0"/>
              <w:right w:val="single" w:color="auto" w:sz="8" w:space="0"/>
            </w:tcBorders>
            <w:tcMar>
              <w:left w:w="28" w:type="dxa"/>
              <w:right w:w="28" w:type="dxa"/>
            </w:tcMar>
            <w:vAlign w:val="center"/>
          </w:tcPr>
          <w:p>
            <w:pPr>
              <w:autoSpaceDE w:val="0"/>
              <w:autoSpaceDN w:val="0"/>
              <w:adjustRightInd w:val="0"/>
              <w:jc w:val="center"/>
              <w:rPr>
                <w:rFonts w:ascii="宋体" w:hAnsi="宋体" w:cs="宋体"/>
                <w:lang w:val="zh-CN"/>
              </w:rPr>
            </w:pPr>
            <w:r>
              <w:rPr>
                <w:rFonts w:hint="eastAsia" w:ascii="宋体" w:hAnsi="宋体" w:cs="宋体"/>
                <w:lang w:val="zh-CN"/>
              </w:rPr>
              <w:t>3</w:t>
            </w:r>
          </w:p>
        </w:tc>
        <w:tc>
          <w:tcPr>
            <w:tcW w:w="8556" w:type="dxa"/>
            <w:tcBorders>
              <w:top w:val="nil"/>
              <w:left w:val="nil"/>
              <w:bottom w:val="single" w:color="auto" w:sz="8" w:space="0"/>
              <w:right w:val="single" w:color="auto" w:sz="8" w:space="0"/>
            </w:tcBorders>
            <w:tcMar>
              <w:left w:w="28" w:type="dxa"/>
              <w:right w:w="28" w:type="dxa"/>
            </w:tcMar>
          </w:tcPr>
          <w:p>
            <w:pPr>
              <w:widowControl/>
              <w:shd w:val="clear" w:color="auto" w:fill="FFFFFF"/>
              <w:snapToGrid w:val="0"/>
              <w:jc w:val="left"/>
              <w:rPr>
                <w:rFonts w:hint="eastAsia" w:cs="Arial"/>
                <w:sz w:val="24"/>
                <w:lang w:val="zh-CN"/>
              </w:rPr>
            </w:pPr>
            <w:r>
              <w:rPr>
                <w:rFonts w:hint="eastAsia" w:cs="Arial"/>
                <w:sz w:val="24"/>
                <w:lang w:val="zh-CN"/>
              </w:rPr>
              <w:t>法定代表人授权委托书必须按招标文件规定格式完整提供，并要加盖投标人电子印章、法定代表人电子印章。</w:t>
            </w:r>
          </w:p>
        </w:tc>
      </w:tr>
      <w:tr>
        <w:tblPrEx>
          <w:tblCellMar>
            <w:top w:w="0" w:type="dxa"/>
            <w:left w:w="0" w:type="dxa"/>
            <w:bottom w:w="0" w:type="dxa"/>
            <w:right w:w="0" w:type="dxa"/>
          </w:tblCellMar>
        </w:tblPrEx>
        <w:trPr>
          <w:cantSplit/>
          <w:trHeight w:val="612" w:hRule="atLeast"/>
          <w:jc w:val="center"/>
        </w:trPr>
        <w:tc>
          <w:tcPr>
            <w:tcW w:w="621" w:type="dxa"/>
            <w:tcBorders>
              <w:top w:val="nil"/>
              <w:left w:val="single" w:color="auto" w:sz="8" w:space="0"/>
              <w:bottom w:val="single" w:color="auto" w:sz="8" w:space="0"/>
              <w:right w:val="single" w:color="auto" w:sz="8" w:space="0"/>
            </w:tcBorders>
            <w:tcMar>
              <w:left w:w="28" w:type="dxa"/>
              <w:right w:w="28" w:type="dxa"/>
            </w:tcMar>
            <w:vAlign w:val="center"/>
          </w:tcPr>
          <w:p>
            <w:pPr>
              <w:autoSpaceDE w:val="0"/>
              <w:autoSpaceDN w:val="0"/>
              <w:adjustRightInd w:val="0"/>
              <w:jc w:val="center"/>
              <w:rPr>
                <w:rFonts w:ascii="宋体" w:hAnsi="宋体" w:cs="宋体"/>
                <w:lang w:val="zh-CN"/>
              </w:rPr>
            </w:pPr>
            <w:r>
              <w:rPr>
                <w:rFonts w:hint="eastAsia" w:ascii="宋体" w:hAnsi="宋体" w:cs="宋体"/>
                <w:lang w:val="zh-CN"/>
              </w:rPr>
              <w:t>4</w:t>
            </w:r>
          </w:p>
        </w:tc>
        <w:tc>
          <w:tcPr>
            <w:tcW w:w="8556" w:type="dxa"/>
            <w:tcBorders>
              <w:top w:val="nil"/>
              <w:left w:val="nil"/>
              <w:bottom w:val="single" w:color="auto" w:sz="8" w:space="0"/>
              <w:right w:val="single" w:color="auto" w:sz="8" w:space="0"/>
            </w:tcBorders>
            <w:tcMar>
              <w:left w:w="28" w:type="dxa"/>
              <w:right w:w="28" w:type="dxa"/>
            </w:tcMar>
            <w:vAlign w:val="center"/>
          </w:tcPr>
          <w:p>
            <w:pPr>
              <w:widowControl/>
              <w:shd w:val="clear" w:color="auto" w:fill="FFFFFF"/>
              <w:snapToGrid w:val="0"/>
              <w:jc w:val="left"/>
              <w:rPr>
                <w:rFonts w:hint="eastAsia" w:cs="Arial"/>
                <w:sz w:val="24"/>
                <w:lang w:val="zh-CN"/>
              </w:rPr>
            </w:pPr>
            <w:r>
              <w:rPr>
                <w:rFonts w:hint="eastAsia" w:cs="Arial"/>
                <w:sz w:val="24"/>
                <w:lang w:val="zh-CN"/>
              </w:rPr>
              <w:t>投标价格不得超过投标人须知前附表中的采购预算金额。</w:t>
            </w:r>
          </w:p>
        </w:tc>
      </w:tr>
      <w:tr>
        <w:tblPrEx>
          <w:tblCellMar>
            <w:top w:w="0" w:type="dxa"/>
            <w:left w:w="0" w:type="dxa"/>
            <w:bottom w:w="0" w:type="dxa"/>
            <w:right w:w="0" w:type="dxa"/>
          </w:tblCellMar>
        </w:tblPrEx>
        <w:trPr>
          <w:cantSplit/>
          <w:trHeight w:val="753" w:hRule="atLeast"/>
          <w:jc w:val="center"/>
        </w:trPr>
        <w:tc>
          <w:tcPr>
            <w:tcW w:w="621" w:type="dxa"/>
            <w:tcBorders>
              <w:top w:val="nil"/>
              <w:left w:val="single" w:color="auto" w:sz="8" w:space="0"/>
              <w:bottom w:val="single" w:color="auto" w:sz="8" w:space="0"/>
              <w:right w:val="single" w:color="auto" w:sz="8" w:space="0"/>
            </w:tcBorders>
            <w:tcMar>
              <w:left w:w="28" w:type="dxa"/>
              <w:right w:w="28" w:type="dxa"/>
            </w:tcMar>
            <w:vAlign w:val="center"/>
          </w:tcPr>
          <w:p>
            <w:pPr>
              <w:autoSpaceDE w:val="0"/>
              <w:autoSpaceDN w:val="0"/>
              <w:adjustRightInd w:val="0"/>
              <w:jc w:val="center"/>
              <w:rPr>
                <w:rFonts w:ascii="宋体" w:hAnsi="宋体" w:cs="宋体"/>
                <w:highlight w:val="none"/>
              </w:rPr>
            </w:pPr>
            <w:r>
              <w:rPr>
                <w:rFonts w:hint="eastAsia" w:ascii="宋体" w:hAnsi="宋体" w:cs="宋体"/>
                <w:highlight w:val="none"/>
              </w:rPr>
              <w:t>5</w:t>
            </w:r>
          </w:p>
        </w:tc>
        <w:tc>
          <w:tcPr>
            <w:tcW w:w="8556" w:type="dxa"/>
            <w:tcBorders>
              <w:top w:val="nil"/>
              <w:left w:val="nil"/>
              <w:bottom w:val="single" w:color="auto" w:sz="8" w:space="0"/>
              <w:right w:val="single" w:color="auto" w:sz="8" w:space="0"/>
            </w:tcBorders>
            <w:tcMar>
              <w:left w:w="28" w:type="dxa"/>
              <w:right w:w="28" w:type="dxa"/>
            </w:tcMar>
            <w:vAlign w:val="center"/>
          </w:tcPr>
          <w:p>
            <w:pPr>
              <w:widowControl/>
              <w:shd w:val="clear" w:color="auto" w:fill="FFFFFF"/>
              <w:snapToGrid w:val="0"/>
              <w:jc w:val="left"/>
              <w:rPr>
                <w:rFonts w:hint="eastAsia" w:cs="Arial"/>
                <w:sz w:val="24"/>
                <w:highlight w:val="none"/>
                <w:lang w:val="zh-CN"/>
              </w:rPr>
            </w:pPr>
            <w:r>
              <w:rPr>
                <w:rFonts w:hint="eastAsia" w:cs="Arial"/>
                <w:sz w:val="24"/>
                <w:highlight w:val="none"/>
              </w:rPr>
              <w:t>供应商的报价明细表必须按招标文件中设备采购清单填报价格。招标项目名称、规格型号、单位、数量必须与设备采购清单一致。</w:t>
            </w:r>
          </w:p>
        </w:tc>
      </w:tr>
      <w:tr>
        <w:tblPrEx>
          <w:tblCellMar>
            <w:top w:w="0" w:type="dxa"/>
            <w:left w:w="0" w:type="dxa"/>
            <w:bottom w:w="0" w:type="dxa"/>
            <w:right w:w="0" w:type="dxa"/>
          </w:tblCellMar>
        </w:tblPrEx>
        <w:trPr>
          <w:cantSplit/>
          <w:trHeight w:val="477" w:hRule="atLeast"/>
          <w:jc w:val="center"/>
        </w:trPr>
        <w:tc>
          <w:tcPr>
            <w:tcW w:w="621" w:type="dxa"/>
            <w:tcBorders>
              <w:top w:val="nil"/>
              <w:left w:val="single" w:color="auto" w:sz="8" w:space="0"/>
              <w:bottom w:val="single" w:color="auto" w:sz="8" w:space="0"/>
              <w:right w:val="single" w:color="auto" w:sz="8" w:space="0"/>
            </w:tcBorders>
            <w:tcMar>
              <w:left w:w="28" w:type="dxa"/>
              <w:right w:w="28" w:type="dxa"/>
            </w:tcMar>
            <w:vAlign w:val="center"/>
          </w:tcPr>
          <w:p>
            <w:pPr>
              <w:autoSpaceDE w:val="0"/>
              <w:autoSpaceDN w:val="0"/>
              <w:adjustRightInd w:val="0"/>
              <w:jc w:val="center"/>
              <w:rPr>
                <w:rFonts w:ascii="宋体" w:hAnsi="宋体" w:cs="宋体"/>
                <w:lang w:val="zh-CN"/>
              </w:rPr>
            </w:pPr>
            <w:r>
              <w:rPr>
                <w:rFonts w:hint="eastAsia" w:ascii="宋体" w:hAnsi="宋体" w:cs="宋体"/>
              </w:rPr>
              <w:t>6</w:t>
            </w:r>
          </w:p>
        </w:tc>
        <w:tc>
          <w:tcPr>
            <w:tcW w:w="8556" w:type="dxa"/>
            <w:tcBorders>
              <w:top w:val="nil"/>
              <w:left w:val="nil"/>
              <w:bottom w:val="single" w:color="auto" w:sz="8" w:space="0"/>
              <w:right w:val="single" w:color="auto" w:sz="8" w:space="0"/>
            </w:tcBorders>
            <w:tcMar>
              <w:left w:w="28" w:type="dxa"/>
              <w:right w:w="28" w:type="dxa"/>
            </w:tcMar>
            <w:vAlign w:val="center"/>
          </w:tcPr>
          <w:p>
            <w:pPr>
              <w:widowControl/>
              <w:shd w:val="clear" w:color="auto" w:fill="FFFFFF"/>
              <w:snapToGrid w:val="0"/>
              <w:jc w:val="left"/>
              <w:rPr>
                <w:rFonts w:hint="eastAsia" w:cs="Arial"/>
                <w:sz w:val="24"/>
                <w:lang w:val="zh-CN"/>
              </w:rPr>
            </w:pPr>
            <w:r>
              <w:rPr>
                <w:rFonts w:hint="eastAsia" w:cs="Arial"/>
                <w:sz w:val="24"/>
                <w:lang w:val="zh-CN"/>
              </w:rPr>
              <w:t>每一项目只允许有一个报价，任何有选择的报价将不予接受。</w:t>
            </w:r>
          </w:p>
        </w:tc>
      </w:tr>
      <w:tr>
        <w:tblPrEx>
          <w:tblCellMar>
            <w:top w:w="0" w:type="dxa"/>
            <w:left w:w="0" w:type="dxa"/>
            <w:bottom w:w="0" w:type="dxa"/>
            <w:right w:w="0" w:type="dxa"/>
          </w:tblCellMar>
        </w:tblPrEx>
        <w:trPr>
          <w:cantSplit/>
          <w:trHeight w:val="635" w:hRule="atLeast"/>
          <w:jc w:val="center"/>
        </w:trPr>
        <w:tc>
          <w:tcPr>
            <w:tcW w:w="621" w:type="dxa"/>
            <w:tcBorders>
              <w:top w:val="nil"/>
              <w:left w:val="single" w:color="auto" w:sz="8" w:space="0"/>
              <w:bottom w:val="single" w:color="auto" w:sz="8" w:space="0"/>
              <w:right w:val="single" w:color="auto" w:sz="8" w:space="0"/>
            </w:tcBorders>
            <w:tcMar>
              <w:left w:w="28" w:type="dxa"/>
              <w:right w:w="28" w:type="dxa"/>
            </w:tcMar>
            <w:vAlign w:val="center"/>
          </w:tcPr>
          <w:p>
            <w:pPr>
              <w:autoSpaceDE w:val="0"/>
              <w:autoSpaceDN w:val="0"/>
              <w:adjustRightInd w:val="0"/>
              <w:jc w:val="center"/>
              <w:rPr>
                <w:rFonts w:ascii="宋体" w:hAnsi="宋体" w:cs="宋体"/>
                <w:lang w:val="zh-CN"/>
              </w:rPr>
            </w:pPr>
            <w:r>
              <w:rPr>
                <w:rFonts w:hint="eastAsia" w:ascii="宋体" w:hAnsi="宋体" w:cs="宋体"/>
              </w:rPr>
              <w:t>7</w:t>
            </w:r>
          </w:p>
        </w:tc>
        <w:tc>
          <w:tcPr>
            <w:tcW w:w="8556" w:type="dxa"/>
            <w:tcBorders>
              <w:top w:val="nil"/>
              <w:left w:val="nil"/>
              <w:bottom w:val="single" w:color="auto" w:sz="8" w:space="0"/>
              <w:right w:val="single" w:color="auto" w:sz="8" w:space="0"/>
            </w:tcBorders>
            <w:tcMar>
              <w:left w:w="28" w:type="dxa"/>
              <w:right w:w="28" w:type="dxa"/>
            </w:tcMar>
            <w:vAlign w:val="center"/>
          </w:tcPr>
          <w:p>
            <w:pPr>
              <w:widowControl/>
              <w:shd w:val="clear" w:color="auto" w:fill="FFFFFF"/>
              <w:snapToGrid w:val="0"/>
              <w:jc w:val="left"/>
              <w:rPr>
                <w:rFonts w:hint="eastAsia" w:cs="Arial"/>
                <w:sz w:val="24"/>
                <w:lang w:val="zh-CN"/>
              </w:rPr>
            </w:pPr>
            <w:r>
              <w:rPr>
                <w:rFonts w:hint="eastAsia" w:cs="Arial"/>
                <w:sz w:val="24"/>
                <w:lang w:val="zh-CN"/>
              </w:rPr>
              <w:t>投标</w:t>
            </w:r>
            <w:r>
              <w:rPr>
                <w:rFonts w:hint="eastAsia" w:cs="Arial"/>
                <w:sz w:val="24"/>
              </w:rPr>
              <w:t>报价</w:t>
            </w:r>
            <w:r>
              <w:rPr>
                <w:rFonts w:hint="eastAsia" w:cs="Arial"/>
                <w:sz w:val="24"/>
                <w:lang w:val="zh-CN"/>
              </w:rPr>
              <w:t>明细表</w:t>
            </w:r>
            <w:r>
              <w:rPr>
                <w:rFonts w:hint="eastAsia" w:cs="Arial"/>
                <w:sz w:val="24"/>
              </w:rPr>
              <w:t>按招标文件规定格式</w:t>
            </w:r>
            <w:r>
              <w:rPr>
                <w:rFonts w:hint="eastAsia" w:cs="Arial"/>
                <w:sz w:val="24"/>
                <w:lang w:val="zh-CN"/>
              </w:rPr>
              <w:t>完整填写。</w:t>
            </w:r>
          </w:p>
        </w:tc>
      </w:tr>
      <w:tr>
        <w:tblPrEx>
          <w:tblCellMar>
            <w:top w:w="0" w:type="dxa"/>
            <w:left w:w="0" w:type="dxa"/>
            <w:bottom w:w="0" w:type="dxa"/>
            <w:right w:w="0" w:type="dxa"/>
          </w:tblCellMar>
        </w:tblPrEx>
        <w:trPr>
          <w:cantSplit/>
          <w:trHeight w:val="627" w:hRule="atLeast"/>
          <w:jc w:val="center"/>
        </w:trPr>
        <w:tc>
          <w:tcPr>
            <w:tcW w:w="621" w:type="dxa"/>
            <w:tcBorders>
              <w:top w:val="nil"/>
              <w:left w:val="single" w:color="auto" w:sz="8" w:space="0"/>
              <w:bottom w:val="single" w:color="auto" w:sz="8" w:space="0"/>
              <w:right w:val="single" w:color="auto" w:sz="8" w:space="0"/>
            </w:tcBorders>
            <w:tcMar>
              <w:left w:w="28" w:type="dxa"/>
              <w:right w:w="28" w:type="dxa"/>
            </w:tcMar>
            <w:vAlign w:val="center"/>
          </w:tcPr>
          <w:p>
            <w:pPr>
              <w:autoSpaceDE w:val="0"/>
              <w:autoSpaceDN w:val="0"/>
              <w:adjustRightInd w:val="0"/>
              <w:jc w:val="center"/>
              <w:rPr>
                <w:rFonts w:ascii="宋体" w:hAnsi="宋体" w:cs="宋体"/>
              </w:rPr>
            </w:pPr>
            <w:r>
              <w:rPr>
                <w:rFonts w:hint="eastAsia" w:ascii="宋体" w:hAnsi="宋体" w:cs="宋体"/>
              </w:rPr>
              <w:t>8</w:t>
            </w:r>
          </w:p>
        </w:tc>
        <w:tc>
          <w:tcPr>
            <w:tcW w:w="8556" w:type="dxa"/>
            <w:tcBorders>
              <w:top w:val="nil"/>
              <w:left w:val="nil"/>
              <w:bottom w:val="single" w:color="auto" w:sz="8" w:space="0"/>
              <w:right w:val="single" w:color="auto" w:sz="8" w:space="0"/>
            </w:tcBorders>
            <w:tcMar>
              <w:left w:w="28" w:type="dxa"/>
              <w:right w:w="28" w:type="dxa"/>
            </w:tcMar>
            <w:vAlign w:val="center"/>
          </w:tcPr>
          <w:p>
            <w:pPr>
              <w:widowControl/>
              <w:shd w:val="clear" w:color="auto" w:fill="FFFFFF"/>
              <w:snapToGrid w:val="0"/>
              <w:jc w:val="left"/>
              <w:rPr>
                <w:rFonts w:hint="eastAsia" w:cs="Arial"/>
                <w:sz w:val="24"/>
                <w:lang w:val="zh-CN"/>
              </w:rPr>
            </w:pPr>
            <w:r>
              <w:rPr>
                <w:rFonts w:hint="eastAsia" w:cs="Arial"/>
                <w:sz w:val="24"/>
                <w:lang w:val="zh-CN"/>
              </w:rPr>
              <w:t>投标函中所报服务期限、</w:t>
            </w:r>
            <w:r>
              <w:rPr>
                <w:rFonts w:hint="eastAsia" w:cs="Arial"/>
                <w:sz w:val="24"/>
                <w:lang w:val="en-US" w:eastAsia="zh-CN"/>
              </w:rPr>
              <w:t>产品质量、质保期</w:t>
            </w:r>
            <w:r>
              <w:rPr>
                <w:rFonts w:hint="eastAsia" w:cs="Arial"/>
                <w:sz w:val="24"/>
                <w:lang w:val="zh-CN"/>
              </w:rPr>
              <w:t>必须要满足招标文件规定。</w:t>
            </w:r>
          </w:p>
        </w:tc>
      </w:tr>
      <w:tr>
        <w:tblPrEx>
          <w:tblCellMar>
            <w:top w:w="0" w:type="dxa"/>
            <w:left w:w="0" w:type="dxa"/>
            <w:bottom w:w="0" w:type="dxa"/>
            <w:right w:w="0" w:type="dxa"/>
          </w:tblCellMar>
        </w:tblPrEx>
        <w:trPr>
          <w:cantSplit/>
          <w:trHeight w:val="866" w:hRule="atLeast"/>
          <w:jc w:val="center"/>
        </w:trPr>
        <w:tc>
          <w:tcPr>
            <w:tcW w:w="621" w:type="dxa"/>
            <w:tcBorders>
              <w:top w:val="nil"/>
              <w:left w:val="single" w:color="auto" w:sz="8" w:space="0"/>
              <w:bottom w:val="single" w:color="auto" w:sz="8" w:space="0"/>
              <w:right w:val="single" w:color="auto" w:sz="8" w:space="0"/>
            </w:tcBorders>
            <w:tcMar>
              <w:left w:w="28" w:type="dxa"/>
              <w:right w:w="28" w:type="dxa"/>
            </w:tcMar>
            <w:vAlign w:val="center"/>
          </w:tcPr>
          <w:p>
            <w:pPr>
              <w:autoSpaceDE w:val="0"/>
              <w:autoSpaceDN w:val="0"/>
              <w:adjustRightInd w:val="0"/>
              <w:jc w:val="center"/>
              <w:rPr>
                <w:rFonts w:ascii="宋体" w:hAnsi="宋体" w:cs="宋体"/>
              </w:rPr>
            </w:pPr>
            <w:r>
              <w:rPr>
                <w:rFonts w:hint="eastAsia" w:ascii="宋体" w:hAnsi="宋体" w:cs="宋体"/>
              </w:rPr>
              <w:t>9</w:t>
            </w:r>
          </w:p>
        </w:tc>
        <w:tc>
          <w:tcPr>
            <w:tcW w:w="8556" w:type="dxa"/>
            <w:tcBorders>
              <w:top w:val="nil"/>
              <w:left w:val="nil"/>
              <w:bottom w:val="single" w:color="auto" w:sz="8" w:space="0"/>
              <w:right w:val="single" w:color="auto" w:sz="8" w:space="0"/>
            </w:tcBorders>
            <w:tcMar>
              <w:left w:w="28" w:type="dxa"/>
              <w:right w:w="28" w:type="dxa"/>
            </w:tcMar>
            <w:vAlign w:val="center"/>
          </w:tcPr>
          <w:p>
            <w:pPr>
              <w:widowControl/>
              <w:shd w:val="clear" w:color="auto" w:fill="FFFFFF"/>
              <w:snapToGrid w:val="0"/>
              <w:jc w:val="left"/>
              <w:rPr>
                <w:rFonts w:hint="eastAsia" w:cs="Arial"/>
                <w:sz w:val="24"/>
                <w:lang w:val="zh-CN"/>
              </w:rPr>
            </w:pPr>
            <w:r>
              <w:rPr>
                <w:rFonts w:hint="eastAsia" w:cs="Arial"/>
                <w:sz w:val="24"/>
                <w:lang w:val="zh-CN"/>
              </w:rPr>
              <w:t>供应商必须按照招标文件要求缴纳投标保证金，提供缴纳凭证截图，供应商未按照要求缴纳投标保证金的，其投标文件将被拒绝下一阶段评审。</w:t>
            </w:r>
          </w:p>
        </w:tc>
      </w:tr>
      <w:tr>
        <w:tblPrEx>
          <w:tblCellMar>
            <w:top w:w="0" w:type="dxa"/>
            <w:left w:w="0" w:type="dxa"/>
            <w:bottom w:w="0" w:type="dxa"/>
            <w:right w:w="0" w:type="dxa"/>
          </w:tblCellMar>
        </w:tblPrEx>
        <w:trPr>
          <w:cantSplit/>
          <w:trHeight w:val="20" w:hRule="atLeast"/>
          <w:jc w:val="center"/>
        </w:trPr>
        <w:tc>
          <w:tcPr>
            <w:tcW w:w="9177" w:type="dxa"/>
            <w:gridSpan w:val="2"/>
            <w:tcBorders>
              <w:top w:val="single" w:color="auto" w:sz="8" w:space="0"/>
              <w:left w:val="single" w:color="auto" w:sz="8" w:space="0"/>
              <w:bottom w:val="single" w:color="auto" w:sz="8" w:space="0"/>
              <w:right w:val="single" w:color="auto" w:sz="8" w:space="0"/>
            </w:tcBorders>
            <w:tcMar>
              <w:left w:w="28" w:type="dxa"/>
              <w:right w:w="28" w:type="dxa"/>
            </w:tcMar>
            <w:vAlign w:val="center"/>
          </w:tcPr>
          <w:p>
            <w:pPr>
              <w:widowControl/>
              <w:shd w:val="clear" w:color="auto" w:fill="FFFFFF"/>
              <w:snapToGrid w:val="0"/>
              <w:rPr>
                <w:rFonts w:ascii="宋体" w:cs="宋体"/>
                <w:sz w:val="24"/>
              </w:rPr>
            </w:pPr>
            <w:r>
              <w:rPr>
                <w:rFonts w:hint="eastAsia" w:ascii="宋体"/>
                <w:b/>
                <w:bCs/>
                <w:kern w:val="0"/>
                <w:sz w:val="24"/>
              </w:rPr>
              <w:t>备注：完备性及符合性审查中有一项不满足评审标准的，评标委员会将认定该投标人不通过完备性及符合性审查，不得进入下一阶段评审。并且不允许投标人通过修改或撤销其不符合要求的差异或保留，使之成为具有响应性的投标。</w:t>
            </w:r>
          </w:p>
        </w:tc>
      </w:tr>
    </w:tbl>
    <w:p>
      <w:pPr>
        <w:ind w:firstLine="480" w:firstLineChars="200"/>
        <w:jc w:val="left"/>
        <w:rPr>
          <w:rFonts w:ascii="宋体"/>
          <w:kern w:val="0"/>
          <w:sz w:val="24"/>
        </w:rPr>
      </w:pPr>
      <w:r>
        <w:rPr>
          <w:rFonts w:hint="eastAsia" w:ascii="宋体"/>
          <w:kern w:val="0"/>
          <w:sz w:val="24"/>
        </w:rPr>
        <w:t>只有通过了资格审查、完备性及符合性审查且投标人不少于3个方可进入详细评审。</w:t>
      </w:r>
    </w:p>
    <w:p>
      <w:pPr>
        <w:ind w:firstLine="482" w:firstLineChars="200"/>
        <w:jc w:val="center"/>
        <w:rPr>
          <w:rFonts w:hint="eastAsia" w:ascii="宋体"/>
          <w:b/>
          <w:kern w:val="0"/>
          <w:sz w:val="24"/>
        </w:rPr>
      </w:pPr>
    </w:p>
    <w:p>
      <w:pPr>
        <w:ind w:firstLine="482" w:firstLineChars="200"/>
        <w:jc w:val="center"/>
        <w:rPr>
          <w:rFonts w:ascii="宋体"/>
          <w:b/>
          <w:kern w:val="0"/>
          <w:sz w:val="24"/>
        </w:rPr>
      </w:pPr>
      <w:r>
        <w:rPr>
          <w:rFonts w:hint="eastAsia" w:ascii="宋体"/>
          <w:b/>
          <w:kern w:val="0"/>
          <w:sz w:val="24"/>
        </w:rPr>
        <w:t>《详细评审标准》</w:t>
      </w:r>
    </w:p>
    <w:p>
      <w:pPr>
        <w:snapToGrid w:val="0"/>
        <w:spacing w:line="400" w:lineRule="exact"/>
        <w:ind w:firstLine="482" w:firstLineChars="200"/>
        <w:jc w:val="left"/>
        <w:rPr>
          <w:rFonts w:ascii="宋体" w:cs="宋体"/>
          <w:b/>
          <w:bCs/>
          <w:sz w:val="24"/>
        </w:rPr>
      </w:pPr>
      <w:r>
        <w:rPr>
          <w:rFonts w:hint="eastAsia" w:ascii="宋体" w:cs="宋体"/>
          <w:b/>
          <w:bCs/>
          <w:sz w:val="24"/>
        </w:rPr>
        <w:t>1、价格部分（满分30分）</w:t>
      </w:r>
    </w:p>
    <w:p>
      <w:pPr>
        <w:snapToGrid w:val="0"/>
        <w:spacing w:line="400" w:lineRule="exact"/>
        <w:ind w:firstLine="480" w:firstLineChars="200"/>
        <w:jc w:val="left"/>
        <w:rPr>
          <w:rFonts w:ascii="宋体" w:cs="宋体"/>
          <w:sz w:val="24"/>
        </w:rPr>
      </w:pPr>
      <w:r>
        <w:rPr>
          <w:rFonts w:hint="eastAsia" w:ascii="宋体" w:cs="宋体"/>
          <w:bCs/>
          <w:sz w:val="24"/>
        </w:rPr>
        <w:t>综合评分法中的价格分统一采用低价优先法计算，即满足投标文件要求且最后报价最低的供应商的价格为评标基准价，其价格分为满分</w:t>
      </w:r>
      <w:r>
        <w:rPr>
          <w:rFonts w:hint="eastAsia" w:ascii="宋体" w:cs="宋体"/>
          <w:sz w:val="24"/>
        </w:rPr>
        <w:t>。其他投标人的价格分统一按照下列公式计算：</w:t>
      </w:r>
    </w:p>
    <w:p>
      <w:pPr>
        <w:snapToGrid w:val="0"/>
        <w:spacing w:line="400" w:lineRule="exact"/>
        <w:ind w:firstLine="480" w:firstLineChars="200"/>
        <w:jc w:val="left"/>
        <w:rPr>
          <w:rFonts w:ascii="宋体" w:cs="宋体"/>
          <w:sz w:val="24"/>
        </w:rPr>
      </w:pPr>
      <w:r>
        <w:rPr>
          <w:rFonts w:hint="eastAsia" w:ascii="宋体" w:cs="宋体"/>
          <w:sz w:val="24"/>
        </w:rPr>
        <w:t>投标报价得分=(评标基准价／评标报价)×投标报价权重</w:t>
      </w:r>
    </w:p>
    <w:p>
      <w:pPr>
        <w:snapToGrid w:val="0"/>
        <w:spacing w:line="400" w:lineRule="exact"/>
        <w:ind w:firstLine="482" w:firstLineChars="200"/>
      </w:pPr>
      <w:r>
        <w:rPr>
          <w:rFonts w:hint="eastAsia" w:ascii="宋体" w:cs="宋体"/>
          <w:b/>
          <w:bCs/>
          <w:sz w:val="24"/>
        </w:rPr>
        <w:t>注：各投标供应商不得采取恶意</w:t>
      </w:r>
      <w:r>
        <w:rPr>
          <w:rFonts w:hint="eastAsia" w:ascii="宋体" w:cs="宋体"/>
          <w:b/>
          <w:bCs/>
          <w:color w:val="000000"/>
          <w:sz w:val="24"/>
        </w:rPr>
        <w:t>竞价</w:t>
      </w:r>
      <w:r>
        <w:rPr>
          <w:rFonts w:hint="eastAsia" w:ascii="宋体" w:cs="宋体"/>
          <w:b/>
          <w:bCs/>
          <w:sz w:val="24"/>
        </w:rPr>
        <w:t>方式投标，不得以低于成本的价格参与投标。如评标委员会一致认为供应商恶意报价，其投标文件将作无效投标处理。</w:t>
      </w:r>
    </w:p>
    <w:p>
      <w:pPr>
        <w:pStyle w:val="19"/>
        <w:spacing w:line="400" w:lineRule="exact"/>
        <w:ind w:firstLine="482" w:firstLineChars="200"/>
        <w:jc w:val="left"/>
        <w:rPr>
          <w:rFonts w:ascii="宋体" w:cs="宋体"/>
          <w:b/>
          <w:bCs/>
          <w:sz w:val="24"/>
        </w:rPr>
      </w:pPr>
      <w:r>
        <w:rPr>
          <w:rFonts w:hint="eastAsia" w:ascii="宋体" w:cs="宋体"/>
          <w:b/>
          <w:bCs/>
          <w:sz w:val="24"/>
        </w:rPr>
        <w:t>2、详细评审评分标准（70分）</w:t>
      </w:r>
    </w:p>
    <w:tbl>
      <w:tblPr>
        <w:tblStyle w:val="25"/>
        <w:tblW w:w="9512" w:type="dxa"/>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723"/>
        <w:gridCol w:w="1560"/>
        <w:gridCol w:w="6404"/>
        <w:gridCol w:w="82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04" w:hRule="atLeast"/>
        </w:trPr>
        <w:tc>
          <w:tcPr>
            <w:tcW w:w="723" w:type="dxa"/>
            <w:vAlign w:val="center"/>
          </w:tcPr>
          <w:p>
            <w:pPr>
              <w:pStyle w:val="19"/>
              <w:jc w:val="center"/>
              <w:rPr>
                <w:rFonts w:ascii="宋体" w:cs="宋体"/>
                <w:b/>
                <w:bCs/>
                <w:sz w:val="28"/>
                <w:szCs w:val="28"/>
              </w:rPr>
            </w:pPr>
            <w:r>
              <w:rPr>
                <w:rFonts w:hint="eastAsia" w:ascii="宋体" w:cs="宋体"/>
                <w:b/>
                <w:bCs/>
                <w:sz w:val="24"/>
                <w:szCs w:val="24"/>
              </w:rPr>
              <w:t>序号</w:t>
            </w:r>
          </w:p>
        </w:tc>
        <w:tc>
          <w:tcPr>
            <w:tcW w:w="1560" w:type="dxa"/>
            <w:vAlign w:val="center"/>
          </w:tcPr>
          <w:p>
            <w:pPr>
              <w:pStyle w:val="19"/>
              <w:jc w:val="center"/>
              <w:rPr>
                <w:rFonts w:ascii="宋体" w:cs="宋体"/>
                <w:b/>
                <w:bCs/>
                <w:sz w:val="28"/>
                <w:szCs w:val="28"/>
              </w:rPr>
            </w:pPr>
            <w:r>
              <w:rPr>
                <w:rFonts w:hint="eastAsia" w:ascii="宋体" w:cs="宋体"/>
                <w:b/>
                <w:bCs/>
                <w:sz w:val="28"/>
                <w:szCs w:val="28"/>
              </w:rPr>
              <w:t>评分因素</w:t>
            </w:r>
          </w:p>
        </w:tc>
        <w:tc>
          <w:tcPr>
            <w:tcW w:w="6404" w:type="dxa"/>
            <w:vAlign w:val="center"/>
          </w:tcPr>
          <w:p>
            <w:pPr>
              <w:pStyle w:val="19"/>
              <w:jc w:val="center"/>
              <w:rPr>
                <w:rFonts w:ascii="宋体" w:cs="宋体"/>
                <w:b/>
                <w:bCs/>
                <w:sz w:val="28"/>
                <w:szCs w:val="28"/>
              </w:rPr>
            </w:pPr>
            <w:r>
              <w:rPr>
                <w:rFonts w:hint="eastAsia" w:ascii="宋体" w:cs="宋体"/>
                <w:b/>
                <w:bCs/>
                <w:sz w:val="28"/>
                <w:szCs w:val="28"/>
              </w:rPr>
              <w:t>评分标准</w:t>
            </w:r>
          </w:p>
        </w:tc>
        <w:tc>
          <w:tcPr>
            <w:tcW w:w="825" w:type="dxa"/>
            <w:vAlign w:val="center"/>
          </w:tcPr>
          <w:p>
            <w:pPr>
              <w:pStyle w:val="19"/>
              <w:jc w:val="center"/>
              <w:rPr>
                <w:rFonts w:ascii="宋体" w:cs="宋体"/>
                <w:b/>
                <w:bCs/>
                <w:sz w:val="28"/>
                <w:szCs w:val="28"/>
              </w:rPr>
            </w:pPr>
            <w:r>
              <w:rPr>
                <w:rFonts w:hint="eastAsia" w:ascii="宋体" w:cs="宋体"/>
                <w:b/>
                <w:bCs/>
                <w:sz w:val="28"/>
                <w:szCs w:val="28"/>
              </w:rPr>
              <w:t>分值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42" w:hRule="atLeast"/>
        </w:trPr>
        <w:tc>
          <w:tcPr>
            <w:tcW w:w="723" w:type="dxa"/>
            <w:vAlign w:val="center"/>
          </w:tcPr>
          <w:p>
            <w:pPr>
              <w:pStyle w:val="19"/>
              <w:jc w:val="center"/>
              <w:rPr>
                <w:rFonts w:ascii="宋体" w:cs="宋体"/>
                <w:sz w:val="24"/>
              </w:rPr>
            </w:pPr>
            <w:r>
              <w:rPr>
                <w:rFonts w:hint="eastAsia" w:ascii="宋体" w:cs="宋体"/>
                <w:sz w:val="24"/>
              </w:rPr>
              <w:t>1</w:t>
            </w:r>
          </w:p>
        </w:tc>
        <w:tc>
          <w:tcPr>
            <w:tcW w:w="1560" w:type="dxa"/>
            <w:vAlign w:val="center"/>
          </w:tcPr>
          <w:p>
            <w:pPr>
              <w:spacing w:line="300" w:lineRule="exact"/>
              <w:jc w:val="center"/>
              <w:rPr>
                <w:rFonts w:ascii="宋体" w:cs="宋体"/>
                <w:sz w:val="24"/>
              </w:rPr>
            </w:pPr>
            <w:r>
              <w:rPr>
                <w:rFonts w:hint="eastAsia" w:ascii="宋体" w:cs="宋体"/>
                <w:sz w:val="24"/>
              </w:rPr>
              <w:t>供应商基本概况</w:t>
            </w:r>
          </w:p>
        </w:tc>
        <w:tc>
          <w:tcPr>
            <w:tcW w:w="6404" w:type="dxa"/>
            <w:vAlign w:val="center"/>
          </w:tcPr>
          <w:p>
            <w:pPr>
              <w:spacing w:line="300" w:lineRule="exact"/>
              <w:jc w:val="left"/>
              <w:rPr>
                <w:rFonts w:ascii="宋体" w:cs="宋体"/>
                <w:sz w:val="24"/>
              </w:rPr>
            </w:pPr>
            <w:r>
              <w:rPr>
                <w:rFonts w:hint="eastAsia" w:ascii="宋体" w:cs="宋体"/>
                <w:sz w:val="24"/>
              </w:rPr>
              <w:t>技术力量合理，装备齐全，人员及设备配置合理</w:t>
            </w:r>
            <w:r>
              <w:rPr>
                <w:rFonts w:hint="eastAsia" w:ascii="宋体" w:cs="宋体"/>
                <w:color w:val="000000" w:themeColor="text1"/>
                <w:sz w:val="24"/>
              </w:rPr>
              <w:t>（</w:t>
            </w:r>
            <w:r>
              <w:rPr>
                <w:rFonts w:hint="eastAsia" w:ascii="宋体" w:cs="宋体"/>
                <w:color w:val="000000" w:themeColor="text1"/>
                <w:sz w:val="24"/>
                <w:lang w:val="en-US" w:eastAsia="zh-CN"/>
              </w:rPr>
              <w:t>2</w:t>
            </w:r>
            <w:r>
              <w:rPr>
                <w:rFonts w:hint="eastAsia" w:ascii="宋体" w:cs="宋体"/>
                <w:color w:val="000000" w:themeColor="text1"/>
                <w:sz w:val="24"/>
              </w:rPr>
              <w:t>-</w:t>
            </w:r>
            <w:r>
              <w:rPr>
                <w:rFonts w:hint="eastAsia" w:ascii="宋体" w:cs="宋体"/>
                <w:color w:val="000000" w:themeColor="text1"/>
                <w:sz w:val="24"/>
                <w:lang w:val="en-US" w:eastAsia="zh-CN"/>
              </w:rPr>
              <w:t>3</w:t>
            </w:r>
            <w:r>
              <w:rPr>
                <w:rFonts w:hint="eastAsia" w:ascii="宋体" w:cs="宋体"/>
                <w:color w:val="000000" w:themeColor="text1"/>
                <w:sz w:val="24"/>
              </w:rPr>
              <w:t>]</w:t>
            </w:r>
            <w:r>
              <w:rPr>
                <w:rFonts w:hint="eastAsia" w:ascii="宋体" w:cs="宋体"/>
                <w:sz w:val="24"/>
              </w:rPr>
              <w:t>；技术力量一般，装备较全，人员及设备配置较合理（</w:t>
            </w:r>
            <w:r>
              <w:rPr>
                <w:rFonts w:hint="eastAsia" w:ascii="宋体" w:cs="宋体"/>
                <w:sz w:val="24"/>
                <w:lang w:val="en-US" w:eastAsia="zh-CN"/>
              </w:rPr>
              <w:t>1</w:t>
            </w:r>
            <w:r>
              <w:rPr>
                <w:rFonts w:hint="eastAsia" w:ascii="宋体" w:cs="宋体"/>
                <w:sz w:val="24"/>
              </w:rPr>
              <w:t>-</w:t>
            </w:r>
            <w:r>
              <w:rPr>
                <w:rFonts w:hint="eastAsia" w:ascii="宋体" w:cs="宋体"/>
                <w:sz w:val="24"/>
                <w:lang w:val="en-US" w:eastAsia="zh-CN"/>
              </w:rPr>
              <w:t>2</w:t>
            </w:r>
            <w:r>
              <w:rPr>
                <w:rFonts w:hint="eastAsia" w:ascii="宋体" w:cs="宋体"/>
                <w:sz w:val="24"/>
              </w:rPr>
              <w:t>]；技术力量较弱，装备较差，人员及设备配置不合理[0-</w:t>
            </w:r>
            <w:r>
              <w:rPr>
                <w:rFonts w:hint="eastAsia" w:ascii="宋体" w:cs="宋体"/>
                <w:sz w:val="24"/>
                <w:lang w:val="en-US" w:eastAsia="zh-CN"/>
              </w:rPr>
              <w:t>1</w:t>
            </w:r>
            <w:r>
              <w:rPr>
                <w:rFonts w:hint="eastAsia" w:ascii="宋体" w:cs="宋体"/>
                <w:sz w:val="24"/>
              </w:rPr>
              <w:t>]；</w:t>
            </w:r>
          </w:p>
        </w:tc>
        <w:tc>
          <w:tcPr>
            <w:tcW w:w="825" w:type="dxa"/>
            <w:vAlign w:val="center"/>
          </w:tcPr>
          <w:p>
            <w:pPr>
              <w:pStyle w:val="19"/>
              <w:jc w:val="center"/>
              <w:rPr>
                <w:rFonts w:hint="eastAsia" w:ascii="宋体" w:eastAsia="宋体" w:cs="宋体"/>
                <w:sz w:val="24"/>
                <w:lang w:eastAsia="zh-CN"/>
              </w:rPr>
            </w:pPr>
            <w:r>
              <w:rPr>
                <w:rFonts w:hint="eastAsia" w:ascii="宋体" w:cs="宋体"/>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02" w:hRule="atLeast"/>
        </w:trPr>
        <w:tc>
          <w:tcPr>
            <w:tcW w:w="723" w:type="dxa"/>
            <w:vAlign w:val="center"/>
          </w:tcPr>
          <w:p>
            <w:pPr>
              <w:pStyle w:val="19"/>
              <w:jc w:val="center"/>
              <w:rPr>
                <w:rFonts w:ascii="宋体" w:cs="宋体"/>
                <w:sz w:val="24"/>
              </w:rPr>
            </w:pPr>
            <w:r>
              <w:rPr>
                <w:rFonts w:hint="eastAsia" w:ascii="宋体" w:cs="宋体"/>
                <w:sz w:val="24"/>
              </w:rPr>
              <w:t>2</w:t>
            </w:r>
          </w:p>
        </w:tc>
        <w:tc>
          <w:tcPr>
            <w:tcW w:w="1560" w:type="dxa"/>
            <w:vAlign w:val="center"/>
          </w:tcPr>
          <w:p>
            <w:pPr>
              <w:pStyle w:val="19"/>
              <w:jc w:val="center"/>
              <w:rPr>
                <w:rFonts w:ascii="宋体" w:cs="宋体"/>
                <w:color w:val="000000" w:themeColor="text1"/>
                <w:sz w:val="24"/>
              </w:rPr>
            </w:pPr>
            <w:r>
              <w:rPr>
                <w:rFonts w:hint="eastAsia" w:ascii="宋体" w:cs="宋体"/>
                <w:color w:val="000000" w:themeColor="text1"/>
                <w:sz w:val="24"/>
              </w:rPr>
              <w:t>本项目人员配置</w:t>
            </w:r>
          </w:p>
        </w:tc>
        <w:tc>
          <w:tcPr>
            <w:tcW w:w="6404" w:type="dxa"/>
            <w:vAlign w:val="center"/>
          </w:tcPr>
          <w:p>
            <w:pPr>
              <w:pStyle w:val="19"/>
              <w:jc w:val="left"/>
              <w:rPr>
                <w:rFonts w:ascii="宋体" w:cs="宋体"/>
                <w:color w:val="000000" w:themeColor="text1"/>
                <w:sz w:val="24"/>
              </w:rPr>
            </w:pPr>
            <w:r>
              <w:rPr>
                <w:rFonts w:hint="eastAsia" w:ascii="宋体" w:cs="宋体"/>
                <w:color w:val="000000" w:themeColor="text1"/>
                <w:sz w:val="24"/>
              </w:rPr>
              <w:t>项目技术服务人员配备科学、合理可行得（</w:t>
            </w:r>
            <w:r>
              <w:rPr>
                <w:rFonts w:hint="eastAsia" w:ascii="宋体" w:cs="宋体"/>
                <w:color w:val="000000" w:themeColor="text1"/>
                <w:sz w:val="24"/>
                <w:lang w:val="en-US" w:eastAsia="zh-CN"/>
              </w:rPr>
              <w:t>2</w:t>
            </w:r>
            <w:r>
              <w:rPr>
                <w:rFonts w:hint="eastAsia" w:ascii="宋体" w:cs="宋体"/>
                <w:color w:val="000000" w:themeColor="text1"/>
                <w:sz w:val="24"/>
              </w:rPr>
              <w:t>-</w:t>
            </w:r>
            <w:r>
              <w:rPr>
                <w:rFonts w:hint="eastAsia" w:ascii="宋体" w:cs="宋体"/>
                <w:color w:val="000000" w:themeColor="text1"/>
                <w:sz w:val="24"/>
                <w:lang w:val="en-US" w:eastAsia="zh-CN"/>
              </w:rPr>
              <w:t>3</w:t>
            </w:r>
            <w:r>
              <w:rPr>
                <w:rFonts w:hint="eastAsia" w:ascii="宋体" w:cs="宋体"/>
                <w:color w:val="000000" w:themeColor="text1"/>
                <w:sz w:val="24"/>
              </w:rPr>
              <w:t>]；良好得（</w:t>
            </w:r>
            <w:r>
              <w:rPr>
                <w:rFonts w:hint="eastAsia" w:ascii="宋体" w:cs="宋体"/>
                <w:color w:val="000000" w:themeColor="text1"/>
                <w:sz w:val="24"/>
                <w:lang w:val="en-US" w:eastAsia="zh-CN"/>
              </w:rPr>
              <w:t>1</w:t>
            </w:r>
            <w:r>
              <w:rPr>
                <w:rFonts w:hint="eastAsia" w:ascii="宋体" w:cs="宋体"/>
                <w:color w:val="000000" w:themeColor="text1"/>
                <w:sz w:val="24"/>
              </w:rPr>
              <w:t>-</w:t>
            </w:r>
            <w:r>
              <w:rPr>
                <w:rFonts w:hint="eastAsia" w:ascii="宋体" w:cs="宋体"/>
                <w:color w:val="000000" w:themeColor="text1"/>
                <w:sz w:val="24"/>
                <w:lang w:val="en-US" w:eastAsia="zh-CN"/>
              </w:rPr>
              <w:t>2</w:t>
            </w:r>
            <w:r>
              <w:rPr>
                <w:rFonts w:hint="eastAsia" w:ascii="宋体" w:cs="宋体"/>
                <w:color w:val="000000" w:themeColor="text1"/>
                <w:sz w:val="24"/>
              </w:rPr>
              <w:t>]；一般得[0-</w:t>
            </w:r>
            <w:r>
              <w:rPr>
                <w:rFonts w:hint="eastAsia" w:ascii="宋体" w:cs="宋体"/>
                <w:color w:val="000000" w:themeColor="text1"/>
                <w:sz w:val="24"/>
                <w:lang w:val="en-US" w:eastAsia="zh-CN"/>
              </w:rPr>
              <w:t>1</w:t>
            </w:r>
            <w:r>
              <w:rPr>
                <w:rFonts w:hint="eastAsia" w:ascii="宋体" w:cs="宋体"/>
                <w:color w:val="000000" w:themeColor="text1"/>
                <w:sz w:val="24"/>
              </w:rPr>
              <w:t>]；</w:t>
            </w:r>
          </w:p>
        </w:tc>
        <w:tc>
          <w:tcPr>
            <w:tcW w:w="825" w:type="dxa"/>
            <w:vAlign w:val="center"/>
          </w:tcPr>
          <w:p>
            <w:pPr>
              <w:pStyle w:val="19"/>
              <w:jc w:val="center"/>
              <w:rPr>
                <w:rFonts w:hint="eastAsia" w:ascii="宋体" w:eastAsia="宋体" w:cs="宋体"/>
                <w:sz w:val="24"/>
                <w:lang w:eastAsia="zh-CN"/>
              </w:rPr>
            </w:pPr>
            <w:r>
              <w:rPr>
                <w:rFonts w:hint="eastAsia" w:ascii="宋体" w:cs="宋体"/>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723" w:type="dxa"/>
            <w:vAlign w:val="center"/>
          </w:tcPr>
          <w:p>
            <w:pPr>
              <w:pStyle w:val="19"/>
              <w:jc w:val="center"/>
              <w:rPr>
                <w:rFonts w:hint="eastAsia" w:ascii="宋体" w:eastAsia="宋体" w:cs="宋体"/>
                <w:sz w:val="24"/>
                <w:lang w:eastAsia="zh-CN"/>
              </w:rPr>
            </w:pPr>
            <w:r>
              <w:rPr>
                <w:rFonts w:hint="eastAsia" w:ascii="宋体" w:cs="宋体"/>
                <w:sz w:val="24"/>
                <w:lang w:val="en-US" w:eastAsia="zh-CN"/>
              </w:rPr>
              <w:t>3</w:t>
            </w:r>
          </w:p>
        </w:tc>
        <w:tc>
          <w:tcPr>
            <w:tcW w:w="1560" w:type="dxa"/>
            <w:vAlign w:val="center"/>
          </w:tcPr>
          <w:p>
            <w:pPr>
              <w:pStyle w:val="19"/>
              <w:jc w:val="center"/>
              <w:rPr>
                <w:rFonts w:ascii="宋体" w:cs="宋体"/>
                <w:color w:val="000000" w:themeColor="text1"/>
                <w:sz w:val="24"/>
              </w:rPr>
            </w:pPr>
            <w:r>
              <w:rPr>
                <w:rFonts w:hint="eastAsia" w:ascii="宋体" w:cs="宋体"/>
                <w:color w:val="000000" w:themeColor="text1"/>
                <w:sz w:val="24"/>
              </w:rPr>
              <w:t>设备的配置性能指标</w:t>
            </w:r>
          </w:p>
        </w:tc>
        <w:tc>
          <w:tcPr>
            <w:tcW w:w="6404" w:type="dxa"/>
          </w:tcPr>
          <w:p>
            <w:pPr>
              <w:pStyle w:val="19"/>
              <w:jc w:val="left"/>
              <w:rPr>
                <w:rFonts w:ascii="宋体" w:cs="宋体"/>
                <w:color w:val="000000" w:themeColor="text1"/>
                <w:sz w:val="24"/>
              </w:rPr>
            </w:pPr>
            <w:r>
              <w:rPr>
                <w:rFonts w:hint="eastAsia" w:ascii="宋体" w:cs="宋体"/>
                <w:color w:val="000000" w:themeColor="text1"/>
                <w:sz w:val="24"/>
              </w:rPr>
              <w:t>评标专家根据各供应商的响应文件中相关证明资料进行综合比较，所投设备技术参数明确、配置齐全，规格、功能齐全，根据响应程度及对比各投标文件设备技术参数，产品安全可靠，便于操作，性能良好，能够保证整体项目顺利实施，所投产品技术参数全部满足的得6分。与招标文件指导参数有负偏离的，每种扣1分，扣完为止；</w:t>
            </w:r>
          </w:p>
        </w:tc>
        <w:tc>
          <w:tcPr>
            <w:tcW w:w="825" w:type="dxa"/>
            <w:vAlign w:val="center"/>
          </w:tcPr>
          <w:p>
            <w:pPr>
              <w:pStyle w:val="19"/>
              <w:jc w:val="center"/>
              <w:rPr>
                <w:rFonts w:hint="eastAsia" w:ascii="宋体" w:eastAsia="宋体" w:cs="宋体"/>
                <w:sz w:val="24"/>
                <w:lang w:eastAsia="zh-CN"/>
              </w:rPr>
            </w:pPr>
            <w:r>
              <w:rPr>
                <w:rFonts w:hint="eastAsia" w:ascii="宋体" w:cs="宋体"/>
                <w:sz w:val="24"/>
                <w:lang w:val="en-US" w:eastAsia="zh-CN"/>
              </w:rPr>
              <w:t>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23" w:type="dxa"/>
            <w:vAlign w:val="center"/>
          </w:tcPr>
          <w:p>
            <w:pPr>
              <w:pStyle w:val="19"/>
              <w:jc w:val="center"/>
              <w:rPr>
                <w:rFonts w:hint="eastAsia" w:ascii="宋体" w:eastAsia="宋体" w:cs="宋体"/>
                <w:sz w:val="24"/>
                <w:lang w:val="en-US" w:eastAsia="zh-CN"/>
              </w:rPr>
            </w:pPr>
            <w:r>
              <w:rPr>
                <w:rFonts w:hint="eastAsia" w:ascii="宋体" w:cs="宋体"/>
                <w:sz w:val="24"/>
                <w:lang w:val="en-US" w:eastAsia="zh-CN"/>
              </w:rPr>
              <w:t>4</w:t>
            </w:r>
          </w:p>
        </w:tc>
        <w:tc>
          <w:tcPr>
            <w:tcW w:w="1560" w:type="dxa"/>
            <w:vAlign w:val="center"/>
          </w:tcPr>
          <w:p>
            <w:pPr>
              <w:pStyle w:val="19"/>
              <w:jc w:val="center"/>
              <w:rPr>
                <w:rFonts w:hint="default" w:ascii="宋体" w:eastAsia="宋体" w:cs="宋体"/>
                <w:color w:val="000000" w:themeColor="text1"/>
                <w:sz w:val="24"/>
                <w:lang w:val="en-US" w:eastAsia="zh-CN"/>
              </w:rPr>
            </w:pPr>
            <w:r>
              <w:rPr>
                <w:rFonts w:hint="eastAsia" w:ascii="宋体" w:cs="宋体"/>
                <w:color w:val="000000" w:themeColor="text1"/>
                <w:sz w:val="24"/>
                <w:lang w:val="en-US" w:eastAsia="zh-CN"/>
              </w:rPr>
              <w:t>产品配置</w:t>
            </w:r>
          </w:p>
        </w:tc>
        <w:tc>
          <w:tcPr>
            <w:tcW w:w="6404" w:type="dxa"/>
          </w:tcPr>
          <w:p>
            <w:pPr>
              <w:pStyle w:val="19"/>
              <w:jc w:val="left"/>
              <w:rPr>
                <w:rFonts w:hint="default" w:ascii="宋体" w:cs="宋体"/>
                <w:color w:val="000000" w:themeColor="text1"/>
                <w:sz w:val="24"/>
                <w:lang w:val="en-US" w:eastAsia="zh-CN"/>
              </w:rPr>
            </w:pPr>
            <w:r>
              <w:rPr>
                <w:rFonts w:hint="eastAsia" w:ascii="宋体" w:cs="宋体"/>
                <w:color w:val="000000" w:themeColor="text1"/>
                <w:sz w:val="24"/>
              </w:rPr>
              <w:t>投标货物的配置全部符合招标要求的得基本分15分；优于招标要求的，每项加1分，最多加5分；低于招标要求的，每项扣1分，扣完为止。</w:t>
            </w:r>
          </w:p>
        </w:tc>
        <w:tc>
          <w:tcPr>
            <w:tcW w:w="825" w:type="dxa"/>
            <w:vAlign w:val="center"/>
          </w:tcPr>
          <w:p>
            <w:pPr>
              <w:pStyle w:val="19"/>
              <w:jc w:val="center"/>
              <w:rPr>
                <w:rFonts w:hint="default" w:ascii="宋体" w:eastAsia="宋体" w:cs="宋体"/>
                <w:sz w:val="24"/>
                <w:lang w:val="en-US" w:eastAsia="zh-CN"/>
              </w:rPr>
            </w:pPr>
            <w:r>
              <w:rPr>
                <w:rFonts w:hint="eastAsia" w:ascii="宋体" w:cs="宋体"/>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24" w:hRule="atLeast"/>
        </w:trPr>
        <w:tc>
          <w:tcPr>
            <w:tcW w:w="723" w:type="dxa"/>
            <w:vAlign w:val="center"/>
          </w:tcPr>
          <w:p>
            <w:pPr>
              <w:pStyle w:val="19"/>
              <w:jc w:val="center"/>
              <w:rPr>
                <w:rFonts w:hint="eastAsia" w:ascii="宋体" w:eastAsia="宋体" w:cs="宋体"/>
                <w:sz w:val="24"/>
                <w:lang w:eastAsia="zh-CN"/>
              </w:rPr>
            </w:pPr>
            <w:r>
              <w:rPr>
                <w:rFonts w:hint="eastAsia" w:ascii="宋体" w:cs="宋体"/>
                <w:sz w:val="24"/>
                <w:lang w:val="en-US" w:eastAsia="zh-CN"/>
              </w:rPr>
              <w:t>5</w:t>
            </w:r>
          </w:p>
        </w:tc>
        <w:tc>
          <w:tcPr>
            <w:tcW w:w="1560" w:type="dxa"/>
            <w:vAlign w:val="center"/>
          </w:tcPr>
          <w:p>
            <w:pPr>
              <w:pStyle w:val="19"/>
              <w:jc w:val="center"/>
              <w:rPr>
                <w:rFonts w:ascii="宋体" w:cs="宋体"/>
                <w:sz w:val="24"/>
              </w:rPr>
            </w:pPr>
            <w:r>
              <w:rPr>
                <w:rFonts w:hint="eastAsia" w:ascii="宋体" w:cs="宋体"/>
                <w:sz w:val="24"/>
              </w:rPr>
              <w:t>专利技术</w:t>
            </w:r>
          </w:p>
        </w:tc>
        <w:tc>
          <w:tcPr>
            <w:tcW w:w="6404" w:type="dxa"/>
            <w:vAlign w:val="center"/>
          </w:tcPr>
          <w:p>
            <w:pPr>
              <w:pStyle w:val="19"/>
              <w:rPr>
                <w:rFonts w:ascii="宋体" w:cs="宋体"/>
                <w:sz w:val="24"/>
              </w:rPr>
            </w:pPr>
            <w:r>
              <w:rPr>
                <w:rFonts w:hint="eastAsia" w:ascii="宋体" w:cs="宋体"/>
                <w:sz w:val="24"/>
              </w:rPr>
              <w:t>所投设备拥有专利技术有一项得1分，最多得4分（提供的有效证明扫描件），不提供不得分。</w:t>
            </w:r>
          </w:p>
        </w:tc>
        <w:tc>
          <w:tcPr>
            <w:tcW w:w="825" w:type="dxa"/>
            <w:vAlign w:val="center"/>
          </w:tcPr>
          <w:p>
            <w:pPr>
              <w:pStyle w:val="19"/>
              <w:jc w:val="center"/>
              <w:rPr>
                <w:rFonts w:ascii="宋体" w:cs="宋体"/>
                <w:sz w:val="24"/>
              </w:rPr>
            </w:pPr>
            <w:r>
              <w:rPr>
                <w:rFonts w:hint="eastAsia" w:ascii="宋体" w:cs="宋体"/>
                <w:sz w:val="24"/>
              </w:rPr>
              <w:t>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87" w:hRule="atLeast"/>
        </w:trPr>
        <w:tc>
          <w:tcPr>
            <w:tcW w:w="723" w:type="dxa"/>
            <w:vAlign w:val="center"/>
          </w:tcPr>
          <w:p>
            <w:pPr>
              <w:pStyle w:val="19"/>
              <w:jc w:val="center"/>
              <w:rPr>
                <w:rFonts w:hint="eastAsia" w:ascii="宋体" w:eastAsia="宋体" w:cs="宋体"/>
                <w:sz w:val="24"/>
                <w:lang w:eastAsia="zh-CN"/>
              </w:rPr>
            </w:pPr>
            <w:r>
              <w:rPr>
                <w:rFonts w:hint="eastAsia" w:ascii="宋体" w:cs="宋体"/>
                <w:sz w:val="24"/>
                <w:lang w:val="en-US" w:eastAsia="zh-CN"/>
              </w:rPr>
              <w:t>6</w:t>
            </w:r>
          </w:p>
        </w:tc>
        <w:tc>
          <w:tcPr>
            <w:tcW w:w="1560" w:type="dxa"/>
            <w:vAlign w:val="center"/>
          </w:tcPr>
          <w:p>
            <w:pPr>
              <w:pStyle w:val="19"/>
              <w:jc w:val="center"/>
              <w:rPr>
                <w:rFonts w:ascii="宋体" w:cs="宋体"/>
                <w:sz w:val="24"/>
              </w:rPr>
            </w:pPr>
            <w:r>
              <w:rPr>
                <w:rFonts w:hint="eastAsia" w:ascii="宋体" w:cs="宋体"/>
                <w:sz w:val="24"/>
              </w:rPr>
              <w:t>品牌实力</w:t>
            </w:r>
          </w:p>
        </w:tc>
        <w:tc>
          <w:tcPr>
            <w:tcW w:w="6404" w:type="dxa"/>
            <w:vAlign w:val="center"/>
          </w:tcPr>
          <w:p>
            <w:pPr>
              <w:pStyle w:val="19"/>
              <w:rPr>
                <w:rFonts w:ascii="宋体" w:cs="宋体"/>
                <w:sz w:val="24"/>
              </w:rPr>
            </w:pPr>
            <w:r>
              <w:rPr>
                <w:rFonts w:hint="eastAsia" w:ascii="宋体" w:cs="宋体"/>
                <w:sz w:val="24"/>
              </w:rPr>
              <w:t>帐篷中所用配套设施如电器、床、床上用品、餐桌等。如品牌综合影响强得10分，中得5分，弱得1分。</w:t>
            </w:r>
          </w:p>
        </w:tc>
        <w:tc>
          <w:tcPr>
            <w:tcW w:w="825" w:type="dxa"/>
            <w:vAlign w:val="center"/>
          </w:tcPr>
          <w:p>
            <w:pPr>
              <w:pStyle w:val="19"/>
              <w:jc w:val="center"/>
              <w:rPr>
                <w:rFonts w:ascii="宋体" w:cs="宋体"/>
                <w:sz w:val="24"/>
              </w:rPr>
            </w:pPr>
            <w:r>
              <w:rPr>
                <w:rFonts w:hint="eastAsia" w:ascii="宋体" w:cs="宋体"/>
                <w:sz w:val="24"/>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06" w:hRule="atLeast"/>
        </w:trPr>
        <w:tc>
          <w:tcPr>
            <w:tcW w:w="723" w:type="dxa"/>
            <w:vMerge w:val="restart"/>
            <w:vAlign w:val="center"/>
          </w:tcPr>
          <w:p>
            <w:pPr>
              <w:pStyle w:val="19"/>
              <w:jc w:val="center"/>
              <w:rPr>
                <w:rFonts w:hint="eastAsia" w:ascii="宋体" w:eastAsia="宋体" w:cs="宋体"/>
                <w:sz w:val="24"/>
                <w:lang w:eastAsia="zh-CN"/>
              </w:rPr>
            </w:pPr>
            <w:r>
              <w:rPr>
                <w:rFonts w:hint="eastAsia" w:ascii="宋体" w:cs="宋体"/>
                <w:sz w:val="24"/>
                <w:lang w:val="en-US" w:eastAsia="zh-CN"/>
              </w:rPr>
              <w:t>7</w:t>
            </w:r>
          </w:p>
        </w:tc>
        <w:tc>
          <w:tcPr>
            <w:tcW w:w="1560" w:type="dxa"/>
            <w:vMerge w:val="restart"/>
            <w:vAlign w:val="center"/>
          </w:tcPr>
          <w:p>
            <w:pPr>
              <w:pStyle w:val="19"/>
              <w:jc w:val="center"/>
              <w:rPr>
                <w:rFonts w:ascii="宋体"/>
                <w:color w:val="000000" w:themeColor="text1"/>
                <w:sz w:val="24"/>
              </w:rPr>
            </w:pPr>
            <w:r>
              <w:rPr>
                <w:rFonts w:hint="eastAsia" w:ascii="宋体" w:hAnsi="宋体" w:cs="仿宋"/>
                <w:color w:val="000000" w:themeColor="text1"/>
                <w:sz w:val="24"/>
              </w:rPr>
              <w:t>项目实施方案</w:t>
            </w:r>
          </w:p>
        </w:tc>
        <w:tc>
          <w:tcPr>
            <w:tcW w:w="6404" w:type="dxa"/>
            <w:vAlign w:val="center"/>
          </w:tcPr>
          <w:p>
            <w:pPr>
              <w:pStyle w:val="19"/>
              <w:jc w:val="left"/>
              <w:rPr>
                <w:rFonts w:ascii="宋体" w:cs="宋体"/>
                <w:color w:val="000000" w:themeColor="text1"/>
                <w:sz w:val="24"/>
              </w:rPr>
            </w:pPr>
            <w:r>
              <w:rPr>
                <w:rFonts w:hint="eastAsia" w:ascii="宋体" w:cs="宋体"/>
                <w:color w:val="000000" w:themeColor="text1"/>
                <w:sz w:val="24"/>
              </w:rPr>
              <w:t>根据投标人施工步骤、形象、进度安排进行评定，评定较好的得（3-4]分；一般的得（</w:t>
            </w:r>
            <w:r>
              <w:rPr>
                <w:rFonts w:hint="eastAsia" w:ascii="宋体" w:cs="宋体"/>
                <w:color w:val="000000" w:themeColor="text1"/>
                <w:sz w:val="24"/>
                <w:lang w:val="en-US" w:eastAsia="zh-CN"/>
              </w:rPr>
              <w:t>0</w:t>
            </w:r>
            <w:r>
              <w:rPr>
                <w:rFonts w:hint="eastAsia" w:ascii="宋体" w:cs="宋体"/>
                <w:color w:val="000000" w:themeColor="text1"/>
                <w:sz w:val="24"/>
              </w:rPr>
              <w:t>-</w:t>
            </w:r>
            <w:r>
              <w:rPr>
                <w:rFonts w:hint="eastAsia" w:ascii="宋体" w:cs="宋体"/>
                <w:color w:val="000000" w:themeColor="text1"/>
                <w:sz w:val="24"/>
                <w:lang w:val="en-US" w:eastAsia="zh-CN"/>
              </w:rPr>
              <w:t>3</w:t>
            </w:r>
            <w:r>
              <w:rPr>
                <w:rFonts w:hint="eastAsia" w:ascii="宋体" w:cs="宋体"/>
                <w:color w:val="000000" w:themeColor="text1"/>
                <w:sz w:val="24"/>
              </w:rPr>
              <w:t>]分。</w:t>
            </w:r>
          </w:p>
        </w:tc>
        <w:tc>
          <w:tcPr>
            <w:tcW w:w="825" w:type="dxa"/>
            <w:vAlign w:val="center"/>
          </w:tcPr>
          <w:p>
            <w:pPr>
              <w:pStyle w:val="19"/>
              <w:jc w:val="center"/>
              <w:rPr>
                <w:rFonts w:ascii="宋体" w:cs="宋体"/>
                <w:sz w:val="24"/>
              </w:rPr>
            </w:pPr>
            <w:r>
              <w:rPr>
                <w:rFonts w:hint="eastAsia" w:ascii="宋体" w:cs="宋体"/>
                <w:sz w:val="24"/>
              </w:rPr>
              <w:t>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62" w:hRule="atLeast"/>
        </w:trPr>
        <w:tc>
          <w:tcPr>
            <w:tcW w:w="723" w:type="dxa"/>
            <w:vMerge w:val="continue"/>
            <w:vAlign w:val="center"/>
          </w:tcPr>
          <w:p>
            <w:pPr>
              <w:pStyle w:val="19"/>
              <w:jc w:val="center"/>
              <w:rPr>
                <w:rFonts w:ascii="宋体" w:cs="宋体"/>
                <w:sz w:val="24"/>
              </w:rPr>
            </w:pPr>
          </w:p>
        </w:tc>
        <w:tc>
          <w:tcPr>
            <w:tcW w:w="1560" w:type="dxa"/>
            <w:vMerge w:val="continue"/>
            <w:vAlign w:val="center"/>
          </w:tcPr>
          <w:p>
            <w:pPr>
              <w:pStyle w:val="19"/>
              <w:jc w:val="center"/>
              <w:rPr>
                <w:rFonts w:ascii="宋体" w:hAnsi="宋体" w:cs="仿宋"/>
                <w:color w:val="000000" w:themeColor="text1"/>
                <w:sz w:val="24"/>
              </w:rPr>
            </w:pPr>
          </w:p>
        </w:tc>
        <w:tc>
          <w:tcPr>
            <w:tcW w:w="6404" w:type="dxa"/>
            <w:vAlign w:val="center"/>
          </w:tcPr>
          <w:p>
            <w:pPr>
              <w:pStyle w:val="19"/>
              <w:jc w:val="left"/>
              <w:rPr>
                <w:rFonts w:ascii="宋体" w:cs="宋体"/>
                <w:color w:val="000000" w:themeColor="text1"/>
                <w:sz w:val="24"/>
              </w:rPr>
            </w:pPr>
            <w:r>
              <w:rPr>
                <w:rFonts w:hint="eastAsia" w:ascii="宋体" w:cs="宋体"/>
                <w:color w:val="000000" w:themeColor="text1"/>
                <w:sz w:val="24"/>
              </w:rPr>
              <w:t>根据投标人主要施工方法进行评定，评定较好的得（2-3]分；一般的得（0-</w:t>
            </w:r>
            <w:r>
              <w:rPr>
                <w:rFonts w:hint="eastAsia" w:ascii="宋体" w:cs="宋体"/>
                <w:color w:val="000000" w:themeColor="text1"/>
                <w:sz w:val="24"/>
                <w:lang w:val="en-US" w:eastAsia="zh-CN"/>
              </w:rPr>
              <w:t>2</w:t>
            </w:r>
            <w:r>
              <w:rPr>
                <w:rFonts w:hint="eastAsia" w:ascii="宋体" w:cs="宋体"/>
                <w:color w:val="000000" w:themeColor="text1"/>
                <w:sz w:val="24"/>
              </w:rPr>
              <w:t>]分。</w:t>
            </w:r>
          </w:p>
        </w:tc>
        <w:tc>
          <w:tcPr>
            <w:tcW w:w="825" w:type="dxa"/>
            <w:vAlign w:val="center"/>
          </w:tcPr>
          <w:p>
            <w:pPr>
              <w:pStyle w:val="19"/>
              <w:jc w:val="center"/>
              <w:rPr>
                <w:rFonts w:ascii="宋体" w:cs="宋体"/>
                <w:sz w:val="24"/>
              </w:rPr>
            </w:pPr>
            <w:r>
              <w:rPr>
                <w:rFonts w:hint="eastAsia" w:ascii="宋体" w:cs="宋体"/>
                <w:sz w:val="24"/>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06" w:hRule="atLeast"/>
        </w:trPr>
        <w:tc>
          <w:tcPr>
            <w:tcW w:w="723" w:type="dxa"/>
            <w:vMerge w:val="continue"/>
            <w:vAlign w:val="center"/>
          </w:tcPr>
          <w:p>
            <w:pPr>
              <w:pStyle w:val="19"/>
              <w:jc w:val="center"/>
              <w:rPr>
                <w:rFonts w:ascii="宋体" w:cs="宋体"/>
                <w:sz w:val="24"/>
              </w:rPr>
            </w:pPr>
          </w:p>
        </w:tc>
        <w:tc>
          <w:tcPr>
            <w:tcW w:w="1560" w:type="dxa"/>
            <w:vMerge w:val="continue"/>
            <w:vAlign w:val="center"/>
          </w:tcPr>
          <w:p>
            <w:pPr>
              <w:pStyle w:val="19"/>
              <w:jc w:val="center"/>
              <w:rPr>
                <w:rFonts w:ascii="宋体" w:hAnsi="宋体" w:cs="仿宋"/>
                <w:color w:val="000000" w:themeColor="text1"/>
                <w:sz w:val="24"/>
              </w:rPr>
            </w:pPr>
          </w:p>
        </w:tc>
        <w:tc>
          <w:tcPr>
            <w:tcW w:w="6404" w:type="dxa"/>
            <w:vAlign w:val="center"/>
          </w:tcPr>
          <w:p>
            <w:pPr>
              <w:pStyle w:val="19"/>
              <w:jc w:val="left"/>
              <w:rPr>
                <w:rFonts w:ascii="宋体" w:cs="宋体"/>
                <w:color w:val="000000" w:themeColor="text1"/>
                <w:sz w:val="24"/>
              </w:rPr>
            </w:pPr>
            <w:r>
              <w:rPr>
                <w:rFonts w:hint="eastAsia" w:ascii="宋体" w:cs="宋体"/>
                <w:color w:val="000000" w:themeColor="text1"/>
                <w:sz w:val="24"/>
              </w:rPr>
              <w:t>根据投标人主要施工措施（质量、安全、节约、文明等），评定较好的得（2-3]分；一般的得（0-</w:t>
            </w:r>
            <w:r>
              <w:rPr>
                <w:rFonts w:hint="eastAsia" w:ascii="宋体" w:cs="宋体"/>
                <w:color w:val="000000" w:themeColor="text1"/>
                <w:sz w:val="24"/>
                <w:lang w:val="en-US" w:eastAsia="zh-CN"/>
              </w:rPr>
              <w:t>2</w:t>
            </w:r>
            <w:r>
              <w:rPr>
                <w:rFonts w:hint="eastAsia" w:ascii="宋体" w:cs="宋体"/>
                <w:color w:val="000000" w:themeColor="text1"/>
                <w:sz w:val="24"/>
              </w:rPr>
              <w:t>]分。</w:t>
            </w:r>
          </w:p>
        </w:tc>
        <w:tc>
          <w:tcPr>
            <w:tcW w:w="825" w:type="dxa"/>
            <w:vAlign w:val="center"/>
          </w:tcPr>
          <w:p>
            <w:pPr>
              <w:pStyle w:val="19"/>
              <w:jc w:val="center"/>
              <w:rPr>
                <w:rFonts w:ascii="宋体" w:cs="宋体"/>
                <w:sz w:val="24"/>
              </w:rPr>
            </w:pPr>
            <w:r>
              <w:rPr>
                <w:rFonts w:hint="eastAsia" w:ascii="宋体" w:cs="宋体"/>
                <w:sz w:val="24"/>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55" w:hRule="atLeast"/>
        </w:trPr>
        <w:tc>
          <w:tcPr>
            <w:tcW w:w="723" w:type="dxa"/>
            <w:vMerge w:val="continue"/>
            <w:vAlign w:val="center"/>
          </w:tcPr>
          <w:p>
            <w:pPr>
              <w:pStyle w:val="19"/>
              <w:jc w:val="center"/>
              <w:rPr>
                <w:rFonts w:ascii="宋体" w:cs="宋体"/>
                <w:sz w:val="24"/>
              </w:rPr>
            </w:pPr>
          </w:p>
        </w:tc>
        <w:tc>
          <w:tcPr>
            <w:tcW w:w="1560" w:type="dxa"/>
            <w:vMerge w:val="continue"/>
            <w:vAlign w:val="center"/>
          </w:tcPr>
          <w:p>
            <w:pPr>
              <w:pStyle w:val="19"/>
              <w:jc w:val="center"/>
              <w:rPr>
                <w:rFonts w:ascii="宋体" w:hAnsi="宋体" w:cs="仿宋"/>
                <w:color w:val="000000" w:themeColor="text1"/>
                <w:sz w:val="24"/>
              </w:rPr>
            </w:pPr>
          </w:p>
        </w:tc>
        <w:tc>
          <w:tcPr>
            <w:tcW w:w="6404" w:type="dxa"/>
            <w:vAlign w:val="center"/>
          </w:tcPr>
          <w:p>
            <w:pPr>
              <w:pStyle w:val="19"/>
              <w:jc w:val="left"/>
              <w:rPr>
                <w:rFonts w:ascii="宋体" w:cs="宋体"/>
                <w:color w:val="000000" w:themeColor="text1"/>
                <w:sz w:val="24"/>
              </w:rPr>
            </w:pPr>
            <w:r>
              <w:rPr>
                <w:rFonts w:hint="eastAsia" w:ascii="宋体" w:cs="宋体"/>
                <w:color w:val="000000" w:themeColor="text1"/>
                <w:sz w:val="24"/>
              </w:rPr>
              <w:t>根据投标人劳动力安排计划及其保证措施  调配投入计划合理性；劳动力安排计划与施工进度计划相呼应性等进行评定，评定较好的得（2-3]分；一般的得（0-</w:t>
            </w:r>
            <w:r>
              <w:rPr>
                <w:rFonts w:hint="eastAsia" w:ascii="宋体" w:cs="宋体"/>
                <w:color w:val="000000" w:themeColor="text1"/>
                <w:sz w:val="24"/>
                <w:lang w:val="en-US" w:eastAsia="zh-CN"/>
              </w:rPr>
              <w:t>2</w:t>
            </w:r>
            <w:r>
              <w:rPr>
                <w:rFonts w:hint="eastAsia" w:ascii="宋体" w:cs="宋体"/>
                <w:color w:val="000000" w:themeColor="text1"/>
                <w:sz w:val="24"/>
              </w:rPr>
              <w:t>]分。</w:t>
            </w:r>
          </w:p>
        </w:tc>
        <w:tc>
          <w:tcPr>
            <w:tcW w:w="825" w:type="dxa"/>
            <w:vAlign w:val="center"/>
          </w:tcPr>
          <w:p>
            <w:pPr>
              <w:pStyle w:val="19"/>
              <w:jc w:val="center"/>
              <w:rPr>
                <w:rFonts w:ascii="宋体" w:cs="宋体"/>
                <w:sz w:val="24"/>
              </w:rPr>
            </w:pPr>
            <w:r>
              <w:rPr>
                <w:rFonts w:hint="eastAsia" w:ascii="宋体" w:cs="宋体"/>
                <w:sz w:val="24"/>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23" w:type="dxa"/>
            <w:vMerge w:val="continue"/>
            <w:vAlign w:val="center"/>
          </w:tcPr>
          <w:p>
            <w:pPr>
              <w:pStyle w:val="19"/>
              <w:jc w:val="center"/>
              <w:rPr>
                <w:rFonts w:ascii="宋体" w:cs="宋体"/>
                <w:sz w:val="24"/>
              </w:rPr>
            </w:pPr>
          </w:p>
        </w:tc>
        <w:tc>
          <w:tcPr>
            <w:tcW w:w="1560" w:type="dxa"/>
            <w:vMerge w:val="continue"/>
            <w:vAlign w:val="center"/>
          </w:tcPr>
          <w:p>
            <w:pPr>
              <w:pStyle w:val="19"/>
              <w:jc w:val="center"/>
              <w:rPr>
                <w:rFonts w:ascii="宋体" w:hAnsi="宋体" w:cs="仿宋"/>
                <w:color w:val="000000" w:themeColor="text1"/>
                <w:sz w:val="24"/>
              </w:rPr>
            </w:pPr>
          </w:p>
        </w:tc>
        <w:tc>
          <w:tcPr>
            <w:tcW w:w="6404" w:type="dxa"/>
            <w:vAlign w:val="center"/>
          </w:tcPr>
          <w:p>
            <w:pPr>
              <w:pStyle w:val="19"/>
              <w:jc w:val="left"/>
              <w:rPr>
                <w:rFonts w:ascii="宋体" w:cs="宋体"/>
                <w:color w:val="000000" w:themeColor="text1"/>
                <w:sz w:val="24"/>
              </w:rPr>
            </w:pPr>
            <w:r>
              <w:rPr>
                <w:rFonts w:hint="eastAsia" w:ascii="宋体" w:cs="宋体"/>
                <w:color w:val="000000" w:themeColor="text1"/>
                <w:sz w:val="24"/>
              </w:rPr>
              <w:t>根据投标人对技术难点及相应解决方案；施工重点难点解决的方案进行综合评定，评定较好的得（2-3]分；一般的得（0-</w:t>
            </w:r>
            <w:r>
              <w:rPr>
                <w:rFonts w:hint="eastAsia" w:ascii="宋体" w:cs="宋体"/>
                <w:color w:val="000000" w:themeColor="text1"/>
                <w:sz w:val="24"/>
                <w:lang w:val="en-US" w:eastAsia="zh-CN"/>
              </w:rPr>
              <w:t>2</w:t>
            </w:r>
            <w:r>
              <w:rPr>
                <w:rFonts w:hint="eastAsia" w:ascii="宋体" w:cs="宋体"/>
                <w:color w:val="000000" w:themeColor="text1"/>
                <w:sz w:val="24"/>
              </w:rPr>
              <w:t>]分。</w:t>
            </w:r>
          </w:p>
        </w:tc>
        <w:tc>
          <w:tcPr>
            <w:tcW w:w="825" w:type="dxa"/>
            <w:vAlign w:val="center"/>
          </w:tcPr>
          <w:p>
            <w:pPr>
              <w:pStyle w:val="19"/>
              <w:jc w:val="center"/>
              <w:rPr>
                <w:rFonts w:ascii="宋体" w:cs="宋体"/>
                <w:sz w:val="24"/>
              </w:rPr>
            </w:pPr>
            <w:r>
              <w:rPr>
                <w:rFonts w:hint="eastAsia" w:ascii="宋体" w:cs="宋体"/>
                <w:sz w:val="24"/>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06" w:hRule="atLeast"/>
        </w:trPr>
        <w:tc>
          <w:tcPr>
            <w:tcW w:w="723" w:type="dxa"/>
            <w:vAlign w:val="center"/>
          </w:tcPr>
          <w:p>
            <w:pPr>
              <w:pStyle w:val="19"/>
              <w:jc w:val="center"/>
              <w:rPr>
                <w:rFonts w:hint="eastAsia" w:ascii="宋体" w:eastAsia="宋体" w:cs="宋体"/>
                <w:sz w:val="24"/>
                <w:lang w:eastAsia="zh-CN"/>
              </w:rPr>
            </w:pPr>
            <w:r>
              <w:rPr>
                <w:rFonts w:hint="eastAsia" w:ascii="宋体" w:cs="宋体"/>
                <w:sz w:val="24"/>
                <w:lang w:val="en-US" w:eastAsia="zh-CN"/>
              </w:rPr>
              <w:t>8</w:t>
            </w:r>
          </w:p>
        </w:tc>
        <w:tc>
          <w:tcPr>
            <w:tcW w:w="1560" w:type="dxa"/>
            <w:vAlign w:val="center"/>
          </w:tcPr>
          <w:p>
            <w:pPr>
              <w:pStyle w:val="19"/>
              <w:jc w:val="center"/>
              <w:rPr>
                <w:rFonts w:ascii="宋体" w:hAnsi="宋体" w:cs="仿宋"/>
                <w:color w:val="000000" w:themeColor="text1"/>
                <w:sz w:val="24"/>
              </w:rPr>
            </w:pPr>
            <w:r>
              <w:rPr>
                <w:rFonts w:hint="eastAsia" w:ascii="宋体"/>
                <w:color w:val="000000" w:themeColor="text1"/>
                <w:sz w:val="24"/>
              </w:rPr>
              <w:t>免费质量保证</w:t>
            </w:r>
          </w:p>
        </w:tc>
        <w:tc>
          <w:tcPr>
            <w:tcW w:w="6404" w:type="dxa"/>
          </w:tcPr>
          <w:p>
            <w:pPr>
              <w:pStyle w:val="19"/>
              <w:jc w:val="left"/>
              <w:rPr>
                <w:rFonts w:ascii="宋体" w:hAnsi="宋体" w:cs="仿宋"/>
                <w:color w:val="000000" w:themeColor="text1"/>
                <w:sz w:val="24"/>
              </w:rPr>
            </w:pPr>
            <w:r>
              <w:rPr>
                <w:rFonts w:hint="eastAsia" w:ascii="宋体" w:cs="宋体"/>
                <w:color w:val="000000" w:themeColor="text1"/>
                <w:sz w:val="24"/>
              </w:rPr>
              <w:t>投标货物免费质量保证期满足招标要求的得基本分</w:t>
            </w:r>
            <w:r>
              <w:rPr>
                <w:rFonts w:hint="eastAsia" w:ascii="宋体" w:cs="宋体"/>
                <w:color w:val="000000" w:themeColor="text1"/>
                <w:sz w:val="24"/>
                <w:lang w:val="en-US" w:eastAsia="zh-CN"/>
              </w:rPr>
              <w:t>1</w:t>
            </w:r>
            <w:r>
              <w:rPr>
                <w:rFonts w:hint="eastAsia" w:ascii="宋体" w:cs="宋体"/>
                <w:color w:val="000000" w:themeColor="text1"/>
                <w:sz w:val="24"/>
              </w:rPr>
              <w:t>分；免费质量保证期每增加1年加</w:t>
            </w:r>
            <w:r>
              <w:rPr>
                <w:rFonts w:hint="eastAsia" w:ascii="宋体" w:cs="宋体"/>
                <w:color w:val="000000" w:themeColor="text1"/>
                <w:sz w:val="24"/>
                <w:lang w:val="en-US" w:eastAsia="zh-CN"/>
              </w:rPr>
              <w:t>1</w:t>
            </w:r>
            <w:r>
              <w:rPr>
                <w:rFonts w:hint="eastAsia" w:ascii="宋体" w:cs="宋体"/>
                <w:color w:val="000000" w:themeColor="text1"/>
                <w:sz w:val="24"/>
              </w:rPr>
              <w:t>分，最高得</w:t>
            </w:r>
            <w:r>
              <w:rPr>
                <w:rFonts w:hint="eastAsia" w:ascii="宋体" w:cs="宋体"/>
                <w:color w:val="000000" w:themeColor="text1"/>
                <w:sz w:val="24"/>
                <w:lang w:val="en-US" w:eastAsia="zh-CN"/>
              </w:rPr>
              <w:t>5</w:t>
            </w:r>
            <w:r>
              <w:rPr>
                <w:rFonts w:hint="eastAsia" w:ascii="宋体" w:cs="宋体"/>
                <w:color w:val="000000" w:themeColor="text1"/>
                <w:sz w:val="24"/>
              </w:rPr>
              <w:t>分。</w:t>
            </w:r>
          </w:p>
        </w:tc>
        <w:tc>
          <w:tcPr>
            <w:tcW w:w="825" w:type="dxa"/>
            <w:vAlign w:val="center"/>
          </w:tcPr>
          <w:p>
            <w:pPr>
              <w:pStyle w:val="19"/>
              <w:jc w:val="center"/>
              <w:rPr>
                <w:rFonts w:hint="eastAsia" w:ascii="宋体" w:eastAsia="宋体" w:cs="宋体"/>
                <w:sz w:val="24"/>
                <w:lang w:eastAsia="zh-CN"/>
              </w:rPr>
            </w:pPr>
            <w:r>
              <w:rPr>
                <w:rFonts w:hint="eastAsia" w:ascii="宋体" w:cs="宋体"/>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23" w:type="dxa"/>
            <w:vAlign w:val="center"/>
          </w:tcPr>
          <w:p>
            <w:pPr>
              <w:pStyle w:val="19"/>
              <w:jc w:val="center"/>
              <w:rPr>
                <w:rFonts w:hint="eastAsia" w:ascii="宋体" w:eastAsia="宋体" w:cs="宋体"/>
                <w:sz w:val="24"/>
                <w:lang w:eastAsia="zh-CN"/>
              </w:rPr>
            </w:pPr>
            <w:r>
              <w:rPr>
                <w:rFonts w:hint="eastAsia" w:ascii="宋体" w:cs="宋体"/>
                <w:sz w:val="24"/>
                <w:lang w:val="en-US" w:eastAsia="zh-CN"/>
              </w:rPr>
              <w:t>9</w:t>
            </w:r>
          </w:p>
        </w:tc>
        <w:tc>
          <w:tcPr>
            <w:tcW w:w="1560" w:type="dxa"/>
            <w:vAlign w:val="center"/>
          </w:tcPr>
          <w:p>
            <w:pPr>
              <w:pStyle w:val="19"/>
              <w:jc w:val="center"/>
              <w:rPr>
                <w:rFonts w:ascii="宋体" w:cs="宋体"/>
                <w:color w:val="000000" w:themeColor="text1"/>
                <w:sz w:val="24"/>
              </w:rPr>
            </w:pPr>
            <w:r>
              <w:rPr>
                <w:rFonts w:hint="eastAsia" w:ascii="宋体" w:cs="宋体"/>
                <w:color w:val="000000" w:themeColor="text1"/>
                <w:sz w:val="24"/>
              </w:rPr>
              <w:t>售后服务及维保计划</w:t>
            </w:r>
          </w:p>
        </w:tc>
        <w:tc>
          <w:tcPr>
            <w:tcW w:w="6404" w:type="dxa"/>
          </w:tcPr>
          <w:p>
            <w:pPr>
              <w:pStyle w:val="19"/>
              <w:jc w:val="left"/>
              <w:rPr>
                <w:rFonts w:ascii="宋体" w:cs="宋体"/>
                <w:color w:val="000000" w:themeColor="text1"/>
                <w:sz w:val="24"/>
              </w:rPr>
            </w:pPr>
            <w:r>
              <w:rPr>
                <w:rFonts w:hint="eastAsia" w:ascii="宋体" w:cs="宋体"/>
                <w:color w:val="000000" w:themeColor="text1"/>
                <w:sz w:val="24"/>
              </w:rPr>
              <w:t>根据投标人提供的售后服务承诺，包括服务方案、处理程序、响应及处理时间、质量保证措施、服务方式（上门或送修）等进行综合评定，较好的得（</w:t>
            </w:r>
            <w:r>
              <w:rPr>
                <w:rFonts w:hint="eastAsia" w:ascii="宋体" w:cs="宋体"/>
                <w:color w:val="000000" w:themeColor="text1"/>
                <w:sz w:val="24"/>
                <w:lang w:val="en-US" w:eastAsia="zh-CN"/>
              </w:rPr>
              <w:t>2</w:t>
            </w:r>
            <w:r>
              <w:rPr>
                <w:rFonts w:hint="eastAsia" w:ascii="宋体" w:cs="宋体"/>
                <w:color w:val="000000" w:themeColor="text1"/>
                <w:sz w:val="24"/>
              </w:rPr>
              <w:t>-</w:t>
            </w:r>
            <w:r>
              <w:rPr>
                <w:rFonts w:hint="eastAsia" w:ascii="宋体" w:cs="宋体"/>
                <w:color w:val="000000" w:themeColor="text1"/>
                <w:sz w:val="24"/>
                <w:lang w:val="en-US" w:eastAsia="zh-CN"/>
              </w:rPr>
              <w:t>3</w:t>
            </w:r>
            <w:r>
              <w:rPr>
                <w:rFonts w:hint="eastAsia" w:ascii="宋体" w:cs="宋体"/>
                <w:color w:val="000000" w:themeColor="text1"/>
                <w:sz w:val="24"/>
              </w:rPr>
              <w:t>]分；良好得（</w:t>
            </w:r>
            <w:r>
              <w:rPr>
                <w:rFonts w:hint="eastAsia" w:ascii="宋体" w:cs="宋体"/>
                <w:color w:val="000000" w:themeColor="text1"/>
                <w:sz w:val="24"/>
                <w:lang w:val="en-US" w:eastAsia="zh-CN"/>
              </w:rPr>
              <w:t>1</w:t>
            </w:r>
            <w:r>
              <w:rPr>
                <w:rFonts w:hint="eastAsia" w:ascii="宋体" w:cs="宋体"/>
                <w:color w:val="000000" w:themeColor="text1"/>
                <w:sz w:val="24"/>
              </w:rPr>
              <w:t>-</w:t>
            </w:r>
            <w:r>
              <w:rPr>
                <w:rFonts w:hint="eastAsia" w:ascii="宋体" w:cs="宋体"/>
                <w:color w:val="000000" w:themeColor="text1"/>
                <w:sz w:val="24"/>
                <w:lang w:val="en-US" w:eastAsia="zh-CN"/>
              </w:rPr>
              <w:t>2</w:t>
            </w:r>
            <w:r>
              <w:rPr>
                <w:rFonts w:hint="eastAsia" w:ascii="宋体" w:cs="宋体"/>
                <w:color w:val="000000" w:themeColor="text1"/>
                <w:sz w:val="24"/>
              </w:rPr>
              <w:t>]；一般得[0-</w:t>
            </w:r>
            <w:r>
              <w:rPr>
                <w:rFonts w:hint="eastAsia" w:ascii="宋体" w:cs="宋体"/>
                <w:color w:val="000000" w:themeColor="text1"/>
                <w:sz w:val="24"/>
                <w:lang w:val="en-US" w:eastAsia="zh-CN"/>
              </w:rPr>
              <w:t>1</w:t>
            </w:r>
            <w:r>
              <w:rPr>
                <w:rFonts w:hint="eastAsia" w:ascii="宋体" w:cs="宋体"/>
                <w:color w:val="000000" w:themeColor="text1"/>
                <w:sz w:val="24"/>
              </w:rPr>
              <w:t>]。</w:t>
            </w:r>
          </w:p>
        </w:tc>
        <w:tc>
          <w:tcPr>
            <w:tcW w:w="825" w:type="dxa"/>
            <w:vAlign w:val="center"/>
          </w:tcPr>
          <w:p>
            <w:pPr>
              <w:pStyle w:val="19"/>
              <w:jc w:val="center"/>
              <w:rPr>
                <w:rFonts w:hint="eastAsia" w:ascii="宋体" w:eastAsia="宋体" w:cs="宋体"/>
                <w:sz w:val="24"/>
                <w:lang w:eastAsia="zh-CN"/>
              </w:rPr>
            </w:pPr>
            <w:r>
              <w:rPr>
                <w:rFonts w:hint="eastAsia" w:ascii="宋体" w:cs="宋体"/>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84" w:hRule="atLeast"/>
        </w:trPr>
        <w:tc>
          <w:tcPr>
            <w:tcW w:w="2283" w:type="dxa"/>
            <w:gridSpan w:val="2"/>
            <w:vAlign w:val="center"/>
          </w:tcPr>
          <w:p>
            <w:pPr>
              <w:pStyle w:val="19"/>
              <w:jc w:val="center"/>
              <w:rPr>
                <w:rFonts w:ascii="宋体" w:cs="宋体"/>
                <w:sz w:val="24"/>
              </w:rPr>
            </w:pPr>
            <w:r>
              <w:rPr>
                <w:rFonts w:hint="eastAsia" w:ascii="宋体" w:cs="宋体"/>
                <w:sz w:val="24"/>
              </w:rPr>
              <w:t>合计</w:t>
            </w:r>
          </w:p>
        </w:tc>
        <w:tc>
          <w:tcPr>
            <w:tcW w:w="6404" w:type="dxa"/>
          </w:tcPr>
          <w:p>
            <w:pPr>
              <w:pStyle w:val="19"/>
              <w:jc w:val="left"/>
              <w:rPr>
                <w:rFonts w:ascii="宋体" w:cs="宋体"/>
                <w:sz w:val="24"/>
              </w:rPr>
            </w:pPr>
          </w:p>
        </w:tc>
        <w:tc>
          <w:tcPr>
            <w:tcW w:w="825" w:type="dxa"/>
            <w:vAlign w:val="center"/>
          </w:tcPr>
          <w:p>
            <w:pPr>
              <w:pStyle w:val="19"/>
              <w:jc w:val="center"/>
              <w:rPr>
                <w:rFonts w:ascii="宋体" w:cs="宋体"/>
                <w:sz w:val="24"/>
              </w:rPr>
            </w:pPr>
            <w:r>
              <w:rPr>
                <w:rFonts w:hint="eastAsia" w:ascii="宋体" w:cs="宋体"/>
                <w:sz w:val="24"/>
              </w:rPr>
              <w:t>70</w:t>
            </w:r>
          </w:p>
        </w:tc>
      </w:tr>
    </w:tbl>
    <w:p>
      <w:pPr>
        <w:spacing w:line="360" w:lineRule="auto"/>
        <w:jc w:val="center"/>
        <w:rPr>
          <w:rFonts w:ascii="宋体" w:cs="宋体"/>
          <w:b/>
          <w:bCs/>
          <w:color w:val="000000"/>
          <w:sz w:val="32"/>
          <w:szCs w:val="32"/>
        </w:rPr>
      </w:pPr>
      <w:r>
        <w:rPr>
          <w:rFonts w:hint="eastAsia" w:ascii="宋体" w:cs="宋体"/>
          <w:b/>
          <w:bCs/>
          <w:color w:val="000000"/>
          <w:sz w:val="32"/>
          <w:szCs w:val="32"/>
        </w:rPr>
        <w:t>第四章   合同条款及格式</w:t>
      </w:r>
    </w:p>
    <w:p>
      <w:pPr>
        <w:pStyle w:val="7"/>
        <w:jc w:val="center"/>
      </w:pPr>
      <w:r>
        <w:rPr>
          <w:rFonts w:hint="eastAsia" w:ascii="宋体" w:cs="宋体"/>
          <w:bCs/>
          <w:color w:val="000000"/>
          <w:szCs w:val="32"/>
        </w:rPr>
        <w:t>第一节   通用合同条款</w:t>
      </w:r>
    </w:p>
    <w:p>
      <w:pPr>
        <w:spacing w:line="360" w:lineRule="auto"/>
        <w:ind w:firstLine="643" w:firstLineChars="200"/>
        <w:jc w:val="center"/>
        <w:rPr>
          <w:rFonts w:ascii="宋体" w:cs="宋体"/>
          <w:b/>
          <w:bCs/>
          <w:color w:val="000000"/>
          <w:sz w:val="32"/>
          <w:szCs w:val="32"/>
        </w:rPr>
      </w:pPr>
      <w:r>
        <w:rPr>
          <w:rFonts w:hint="eastAsia" w:ascii="宋体" w:cs="宋体"/>
          <w:b/>
          <w:bCs/>
          <w:color w:val="000000"/>
          <w:sz w:val="32"/>
          <w:szCs w:val="32"/>
        </w:rPr>
        <w:t>通用条款</w:t>
      </w:r>
    </w:p>
    <w:p>
      <w:pPr>
        <w:spacing w:line="360" w:lineRule="auto"/>
        <w:ind w:firstLine="480" w:firstLineChars="200"/>
        <w:rPr>
          <w:rFonts w:ascii="宋体" w:cs="宋体"/>
          <w:color w:val="000000"/>
          <w:sz w:val="24"/>
        </w:rPr>
      </w:pPr>
      <w:r>
        <w:rPr>
          <w:rFonts w:hint="eastAsia" w:ascii="宋体" w:cs="宋体"/>
          <w:color w:val="000000"/>
          <w:sz w:val="24"/>
        </w:rPr>
        <w:t>为更好地维护合同缔约各方的权益，确保缔约的慎重、具体和严密，合同各方特此同意下列条款，作为合同整体之不可分割的约定。如合同正文约定条款与本通用条款有冲突的，以正文约定为准。</w:t>
      </w:r>
    </w:p>
    <w:p>
      <w:pPr>
        <w:spacing w:line="360" w:lineRule="auto"/>
        <w:ind w:firstLine="482" w:firstLineChars="200"/>
        <w:rPr>
          <w:rFonts w:ascii="宋体" w:cs="宋体"/>
          <w:b/>
          <w:bCs/>
          <w:color w:val="000000"/>
          <w:sz w:val="24"/>
        </w:rPr>
      </w:pPr>
      <w:r>
        <w:rPr>
          <w:rFonts w:hint="eastAsia" w:ascii="宋体" w:cs="宋体"/>
          <w:b/>
          <w:bCs/>
          <w:color w:val="000000"/>
          <w:sz w:val="24"/>
        </w:rPr>
        <w:t>1．定义及解释</w:t>
      </w:r>
    </w:p>
    <w:p>
      <w:pPr>
        <w:spacing w:line="360" w:lineRule="auto"/>
        <w:ind w:firstLine="480" w:firstLineChars="200"/>
        <w:rPr>
          <w:rFonts w:ascii="宋体" w:cs="宋体"/>
          <w:color w:val="000000"/>
          <w:sz w:val="24"/>
        </w:rPr>
      </w:pPr>
      <w:r>
        <w:rPr>
          <w:rFonts w:hint="eastAsia" w:ascii="宋体" w:cs="宋体"/>
          <w:color w:val="000000"/>
          <w:sz w:val="24"/>
        </w:rPr>
        <w:t>1.1在本合同中，除非文义另有所指，否则下列词语有以下含义：</w:t>
      </w:r>
    </w:p>
    <w:p>
      <w:pPr>
        <w:spacing w:line="360" w:lineRule="auto"/>
        <w:ind w:firstLine="480" w:firstLineChars="200"/>
        <w:rPr>
          <w:rFonts w:ascii="宋体" w:cs="宋体"/>
          <w:color w:val="000000"/>
          <w:sz w:val="24"/>
        </w:rPr>
      </w:pPr>
      <w:r>
        <w:rPr>
          <w:rFonts w:hint="eastAsia" w:ascii="宋体" w:cs="宋体"/>
          <w:color w:val="000000"/>
          <w:sz w:val="24"/>
        </w:rPr>
        <w:t>1.1.1“书面”除本合同另有明确所指，包括书写、打印、电传信息、传真及任何其它清晰可辩的文字或图案复制方式。本合同项下或与本合同有关的所有通知、请求、要求或其它联络和所有需要送达的文件或以英文书就或附有经核实的英文译文。如果英文文本与其他语言的文本存在冲突，中文文本优先。</w:t>
      </w:r>
    </w:p>
    <w:p>
      <w:pPr>
        <w:spacing w:line="360" w:lineRule="auto"/>
        <w:ind w:firstLine="480" w:firstLineChars="200"/>
        <w:rPr>
          <w:rFonts w:ascii="宋体" w:cs="宋体"/>
          <w:color w:val="000000"/>
          <w:sz w:val="24"/>
        </w:rPr>
      </w:pPr>
      <w:r>
        <w:rPr>
          <w:rFonts w:hint="eastAsia" w:ascii="宋体" w:cs="宋体"/>
          <w:color w:val="000000"/>
          <w:sz w:val="24"/>
        </w:rPr>
        <w:t>1.1.2“信息提供者”指提供资料、消息、研究、表格、图纸、文本及／或其它包含但不限于提供信息的第三方。</w:t>
      </w:r>
    </w:p>
    <w:p>
      <w:pPr>
        <w:spacing w:line="360" w:lineRule="auto"/>
        <w:ind w:firstLine="480" w:firstLineChars="200"/>
        <w:rPr>
          <w:rFonts w:ascii="宋体" w:cs="宋体"/>
          <w:color w:val="000000"/>
          <w:sz w:val="24"/>
        </w:rPr>
      </w:pPr>
      <w:r>
        <w:rPr>
          <w:rFonts w:hint="eastAsia" w:ascii="宋体" w:cs="宋体"/>
          <w:color w:val="000000"/>
          <w:sz w:val="24"/>
        </w:rPr>
        <w:t>1.1.3“工作日”是指除星期六、星期日以外的并且在中国通常开门营业之日。</w:t>
      </w:r>
    </w:p>
    <w:p>
      <w:pPr>
        <w:spacing w:line="360" w:lineRule="auto"/>
        <w:ind w:firstLine="480" w:firstLineChars="200"/>
        <w:rPr>
          <w:rFonts w:ascii="宋体" w:cs="宋体"/>
          <w:color w:val="000000"/>
          <w:sz w:val="24"/>
        </w:rPr>
      </w:pPr>
      <w:r>
        <w:rPr>
          <w:rFonts w:hint="eastAsia" w:ascii="宋体" w:cs="宋体"/>
          <w:color w:val="000000"/>
          <w:sz w:val="24"/>
        </w:rPr>
        <w:t>1.1.4“适用法律”包括与本合同和担保文件的签署、提交、履行、有效性和可执行性相关的中华人民共和国的任何宪法、条约、法令、各级立法、普通法、惯例法及司法判例；</w:t>
      </w:r>
    </w:p>
    <w:p>
      <w:pPr>
        <w:spacing w:line="360" w:lineRule="auto"/>
        <w:ind w:firstLine="480" w:firstLineChars="200"/>
        <w:rPr>
          <w:rFonts w:ascii="宋体" w:cs="宋体"/>
          <w:color w:val="000000"/>
          <w:sz w:val="24"/>
        </w:rPr>
      </w:pPr>
      <w:r>
        <w:rPr>
          <w:rFonts w:hint="eastAsia" w:ascii="宋体" w:cs="宋体"/>
          <w:color w:val="000000"/>
          <w:sz w:val="24"/>
        </w:rPr>
        <w:t>1．2 “中国”即是中华人民共和国的法域。</w:t>
      </w:r>
    </w:p>
    <w:p>
      <w:pPr>
        <w:spacing w:line="360" w:lineRule="auto"/>
        <w:ind w:firstLine="480" w:firstLineChars="200"/>
        <w:rPr>
          <w:rFonts w:ascii="宋体" w:cs="宋体"/>
          <w:color w:val="000000"/>
          <w:sz w:val="24"/>
        </w:rPr>
      </w:pPr>
      <w:r>
        <w:rPr>
          <w:rFonts w:hint="eastAsia" w:ascii="宋体" w:cs="宋体"/>
          <w:color w:val="000000"/>
          <w:sz w:val="24"/>
        </w:rPr>
        <w:t>1．3 各标题只为方便查阅而设，不应妨碍本合同的解释。</w:t>
      </w:r>
    </w:p>
    <w:p>
      <w:pPr>
        <w:spacing w:line="360" w:lineRule="auto"/>
        <w:ind w:firstLine="480" w:firstLineChars="200"/>
        <w:rPr>
          <w:rFonts w:ascii="宋体" w:cs="宋体"/>
          <w:color w:val="000000"/>
          <w:sz w:val="24"/>
        </w:rPr>
      </w:pPr>
      <w:r>
        <w:rPr>
          <w:rFonts w:hint="eastAsia" w:ascii="宋体" w:cs="宋体"/>
          <w:color w:val="000000"/>
          <w:sz w:val="24"/>
        </w:rPr>
        <w:t>本合同中的条目编号和标题只为参考方便而设，在解释本合同时并无效力。</w:t>
      </w:r>
    </w:p>
    <w:p>
      <w:pPr>
        <w:spacing w:line="360" w:lineRule="auto"/>
        <w:ind w:firstLine="480" w:firstLineChars="200"/>
        <w:rPr>
          <w:rFonts w:ascii="宋体" w:cs="宋体"/>
          <w:color w:val="000000"/>
          <w:sz w:val="24"/>
        </w:rPr>
      </w:pPr>
      <w:r>
        <w:rPr>
          <w:rFonts w:hint="eastAsia" w:ascii="宋体" w:cs="宋体"/>
          <w:color w:val="000000"/>
          <w:sz w:val="24"/>
        </w:rPr>
        <w:t>1．4 除非另有规定，本合同提及的“条”、“段落”和“附件”应被解释为本合同的条、段落和附件。</w:t>
      </w:r>
    </w:p>
    <w:p>
      <w:pPr>
        <w:spacing w:line="360" w:lineRule="auto"/>
        <w:ind w:firstLine="480" w:firstLineChars="200"/>
        <w:rPr>
          <w:rFonts w:ascii="宋体" w:cs="宋体"/>
          <w:color w:val="000000"/>
          <w:sz w:val="24"/>
        </w:rPr>
      </w:pPr>
      <w:r>
        <w:rPr>
          <w:rFonts w:hint="eastAsia" w:ascii="宋体" w:cs="宋体"/>
          <w:color w:val="000000"/>
          <w:sz w:val="24"/>
        </w:rPr>
        <w:t>1．5 在提到法律规定时应被解释为是包括不时经过修改、重新制定之法律</w:t>
      </w:r>
    </w:p>
    <w:p>
      <w:pPr>
        <w:spacing w:line="360" w:lineRule="auto"/>
        <w:ind w:firstLine="480" w:firstLineChars="200"/>
        <w:rPr>
          <w:rFonts w:ascii="宋体" w:cs="宋体"/>
          <w:color w:val="000000"/>
          <w:sz w:val="24"/>
        </w:rPr>
      </w:pPr>
      <w:r>
        <w:rPr>
          <w:rFonts w:hint="eastAsia" w:ascii="宋体" w:cs="宋体"/>
          <w:color w:val="000000"/>
          <w:sz w:val="24"/>
        </w:rPr>
        <w:t>的规定。</w:t>
      </w:r>
    </w:p>
    <w:p>
      <w:pPr>
        <w:spacing w:line="360" w:lineRule="auto"/>
        <w:ind w:firstLine="480" w:firstLineChars="200"/>
        <w:rPr>
          <w:rFonts w:ascii="宋体" w:cs="宋体"/>
          <w:color w:val="000000"/>
          <w:sz w:val="24"/>
        </w:rPr>
      </w:pPr>
      <w:r>
        <w:rPr>
          <w:rFonts w:hint="eastAsia" w:ascii="宋体" w:cs="宋体"/>
          <w:color w:val="000000"/>
          <w:sz w:val="24"/>
        </w:rPr>
        <w:t>1．6 除非本合同另有规定，所有提及的时间都应该是指中国北京时间。</w:t>
      </w:r>
    </w:p>
    <w:p>
      <w:pPr>
        <w:spacing w:line="360" w:lineRule="auto"/>
        <w:ind w:firstLine="480" w:firstLineChars="200"/>
        <w:rPr>
          <w:rFonts w:ascii="宋体" w:cs="宋体"/>
          <w:color w:val="000000"/>
          <w:sz w:val="24"/>
        </w:rPr>
      </w:pPr>
      <w:r>
        <w:rPr>
          <w:rFonts w:hint="eastAsia" w:ascii="宋体" w:cs="宋体"/>
          <w:color w:val="000000"/>
          <w:sz w:val="24"/>
        </w:rPr>
        <w:t>1．7 除非另有规定，在提到本合同、担保文件或其它任何文件时应被解释</w:t>
      </w:r>
    </w:p>
    <w:p>
      <w:pPr>
        <w:spacing w:line="360" w:lineRule="auto"/>
        <w:ind w:firstLine="480" w:firstLineChars="200"/>
        <w:rPr>
          <w:rFonts w:ascii="宋体" w:cs="宋体"/>
          <w:color w:val="000000"/>
          <w:sz w:val="24"/>
        </w:rPr>
      </w:pPr>
      <w:r>
        <w:rPr>
          <w:rFonts w:hint="eastAsia" w:ascii="宋体" w:cs="宋体"/>
          <w:color w:val="000000"/>
          <w:sz w:val="24"/>
        </w:rPr>
        <w:t>为是包括经过修改，变更、更新或补充并于该时有效的版本。</w:t>
      </w:r>
    </w:p>
    <w:p>
      <w:pPr>
        <w:spacing w:line="360" w:lineRule="auto"/>
        <w:ind w:firstLine="480" w:firstLineChars="200"/>
        <w:rPr>
          <w:rFonts w:ascii="宋体" w:cs="宋体"/>
          <w:color w:val="000000"/>
          <w:sz w:val="24"/>
        </w:rPr>
      </w:pPr>
      <w:r>
        <w:rPr>
          <w:rFonts w:hint="eastAsia" w:ascii="宋体" w:cs="宋体"/>
          <w:color w:val="000000"/>
          <w:sz w:val="24"/>
        </w:rPr>
        <w:t>1．8 本合同所称的“以上”、“以下”、“以内”、“届满”，包括本数；所称的“不满”、“以外”，不包括本数。</w:t>
      </w:r>
    </w:p>
    <w:p>
      <w:pPr>
        <w:spacing w:line="360" w:lineRule="auto"/>
        <w:ind w:firstLine="482" w:firstLineChars="200"/>
        <w:rPr>
          <w:rFonts w:ascii="宋体" w:cs="宋体"/>
          <w:b/>
          <w:bCs/>
          <w:color w:val="000000"/>
          <w:sz w:val="24"/>
        </w:rPr>
      </w:pPr>
      <w:r>
        <w:rPr>
          <w:rFonts w:hint="eastAsia" w:ascii="宋体" w:cs="宋体"/>
          <w:b/>
          <w:bCs/>
          <w:color w:val="000000"/>
          <w:sz w:val="24"/>
        </w:rPr>
        <w:t>2．保证及声明</w:t>
      </w:r>
    </w:p>
    <w:p>
      <w:pPr>
        <w:spacing w:line="360" w:lineRule="auto"/>
        <w:ind w:firstLine="480" w:firstLineChars="200"/>
        <w:rPr>
          <w:rFonts w:ascii="宋体" w:cs="宋体"/>
          <w:color w:val="000000"/>
          <w:sz w:val="24"/>
        </w:rPr>
      </w:pPr>
      <w:r>
        <w:rPr>
          <w:rFonts w:hint="eastAsia" w:ascii="宋体" w:cs="宋体"/>
          <w:color w:val="000000"/>
          <w:sz w:val="24"/>
        </w:rPr>
        <w:t>2.1合同各方特此做出如下保证和声明：</w:t>
      </w:r>
    </w:p>
    <w:p>
      <w:pPr>
        <w:spacing w:line="360" w:lineRule="auto"/>
        <w:ind w:firstLine="480" w:firstLineChars="200"/>
        <w:rPr>
          <w:rFonts w:ascii="宋体" w:cs="宋体"/>
          <w:color w:val="000000"/>
          <w:sz w:val="24"/>
        </w:rPr>
      </w:pPr>
      <w:r>
        <w:rPr>
          <w:rFonts w:hint="eastAsia" w:ascii="宋体" w:cs="宋体"/>
          <w:color w:val="000000"/>
          <w:sz w:val="24"/>
        </w:rPr>
        <w:t>如果合同缔结方是商号或公司，则其为根据注册成立国法律适当组建并有效存续一个商号或公司；其有权签订本合同及与本合同有关的一切合同和／或根据本合同已制定或将制定的一切合同。并且，在任何情况下，本合同及所有上述合同均构成对该客户具有约束力并可强制执行的义务；</w:t>
      </w:r>
    </w:p>
    <w:p>
      <w:pPr>
        <w:spacing w:line="360" w:lineRule="auto"/>
        <w:ind w:firstLine="480" w:firstLineChars="200"/>
        <w:rPr>
          <w:rFonts w:ascii="宋体" w:cs="宋体"/>
          <w:color w:val="000000"/>
          <w:sz w:val="24"/>
        </w:rPr>
      </w:pPr>
      <w:r>
        <w:rPr>
          <w:rFonts w:hint="eastAsia" w:ascii="宋体" w:cs="宋体"/>
          <w:color w:val="000000"/>
          <w:sz w:val="24"/>
        </w:rPr>
        <w:t>2.1合同缔结方银行帐号或通讯地址如有变更，应在变更后五个工作日内，以书面形式通知合同他方，由于未及时通知此类变更而造成的任何延迟收费及通知不达等后果，合同他方均不承担违约责任。</w:t>
      </w:r>
    </w:p>
    <w:p>
      <w:pPr>
        <w:spacing w:line="360" w:lineRule="auto"/>
        <w:ind w:firstLine="482" w:firstLineChars="200"/>
        <w:rPr>
          <w:rFonts w:ascii="宋体" w:cs="宋体"/>
          <w:b/>
          <w:bCs/>
          <w:color w:val="000000"/>
          <w:sz w:val="24"/>
        </w:rPr>
      </w:pPr>
      <w:r>
        <w:rPr>
          <w:rFonts w:hint="eastAsia" w:ascii="宋体" w:cs="宋体"/>
          <w:b/>
          <w:bCs/>
          <w:color w:val="000000"/>
          <w:sz w:val="24"/>
        </w:rPr>
        <w:t>3．合同责任</w:t>
      </w:r>
    </w:p>
    <w:p>
      <w:pPr>
        <w:spacing w:line="360" w:lineRule="auto"/>
        <w:ind w:firstLine="480" w:firstLineChars="200"/>
        <w:rPr>
          <w:rFonts w:ascii="宋体" w:cs="宋体"/>
          <w:color w:val="000000"/>
          <w:sz w:val="24"/>
        </w:rPr>
      </w:pPr>
      <w:r>
        <w:rPr>
          <w:rFonts w:hint="eastAsia" w:ascii="宋体" w:cs="宋体"/>
          <w:color w:val="000000"/>
          <w:sz w:val="24"/>
        </w:rPr>
        <w:t>3.1由于一方的过失，造成本合同及其附件不能履行或不能完全履行时，由过失的一方承担违约责任；如属双方的过失，根据实际情况，由双方分别承担各自应负的违约责任。</w:t>
      </w:r>
    </w:p>
    <w:p>
      <w:pPr>
        <w:spacing w:line="360" w:lineRule="auto"/>
        <w:ind w:firstLine="480" w:firstLineChars="200"/>
        <w:rPr>
          <w:rFonts w:ascii="宋体" w:cs="宋体"/>
          <w:color w:val="000000"/>
          <w:sz w:val="24"/>
        </w:rPr>
      </w:pPr>
      <w:r>
        <w:rPr>
          <w:rFonts w:hint="eastAsia" w:ascii="宋体" w:cs="宋体"/>
          <w:color w:val="000000"/>
          <w:sz w:val="24"/>
        </w:rPr>
        <w:t>3.2任何一方将独立承担违约责任，一方未按合同约定履行约定及法定义务，将不作为另一方迟延或拒绝履行义务的理由。但依法书面主张合同中止履行权利的除外。</w:t>
      </w:r>
    </w:p>
    <w:p>
      <w:pPr>
        <w:spacing w:line="360" w:lineRule="auto"/>
        <w:ind w:firstLine="480" w:firstLineChars="200"/>
        <w:rPr>
          <w:rFonts w:ascii="宋体" w:cs="宋体"/>
          <w:color w:val="000000"/>
          <w:sz w:val="24"/>
        </w:rPr>
      </w:pPr>
      <w:r>
        <w:rPr>
          <w:rFonts w:hint="eastAsia" w:ascii="宋体" w:cs="宋体"/>
          <w:color w:val="000000"/>
          <w:sz w:val="24"/>
        </w:rPr>
        <w:t>3.3在履行合同过程中，一方当事人因第三人的原因造成违约的，应当向对方当事人承担违约责任。一方当事人和第三人之间的纠纷，依照法律规定或者按照约定解决。</w:t>
      </w:r>
    </w:p>
    <w:p>
      <w:pPr>
        <w:spacing w:line="360" w:lineRule="auto"/>
        <w:ind w:firstLine="480" w:firstLineChars="200"/>
        <w:rPr>
          <w:rFonts w:ascii="宋体" w:cs="宋体"/>
          <w:color w:val="000000"/>
          <w:sz w:val="24"/>
        </w:rPr>
      </w:pPr>
      <w:r>
        <w:rPr>
          <w:rFonts w:hint="eastAsia" w:ascii="宋体" w:cs="宋体"/>
          <w:color w:val="000000"/>
          <w:sz w:val="24"/>
        </w:rPr>
        <w:t>3.4除合同另有约定外，未经对方当事人同意，一方当事人不得将合同权利全部或部分转让给第三人，也不得全部或部分转移合同义务。</w:t>
      </w:r>
    </w:p>
    <w:p>
      <w:pPr>
        <w:spacing w:line="360" w:lineRule="auto"/>
        <w:ind w:firstLine="480" w:firstLineChars="200"/>
        <w:rPr>
          <w:rFonts w:ascii="宋体" w:cs="宋体"/>
          <w:color w:val="000000"/>
          <w:sz w:val="24"/>
        </w:rPr>
      </w:pPr>
      <w:r>
        <w:rPr>
          <w:rFonts w:hint="eastAsia" w:ascii="宋体" w:cs="宋体"/>
          <w:color w:val="000000"/>
          <w:sz w:val="24"/>
        </w:rPr>
        <w:t>3.5合同双方当事人不得以贿赂或变相贿赂的方式，谋取不当利益或损害对方权益。因贿赂造成对方损失的，行为人应赔偿损失，并承担相应的法律责任。</w:t>
      </w:r>
    </w:p>
    <w:p>
      <w:pPr>
        <w:spacing w:line="360" w:lineRule="auto"/>
        <w:ind w:firstLine="480" w:firstLineChars="200"/>
        <w:rPr>
          <w:rFonts w:ascii="宋体" w:cs="宋体"/>
          <w:color w:val="000000"/>
          <w:sz w:val="24"/>
        </w:rPr>
      </w:pPr>
      <w:r>
        <w:rPr>
          <w:rFonts w:hint="eastAsia" w:ascii="宋体" w:cs="宋体"/>
          <w:color w:val="000000"/>
          <w:sz w:val="24"/>
        </w:rPr>
        <w:t>3.6异议期的确定</w:t>
      </w:r>
    </w:p>
    <w:p>
      <w:pPr>
        <w:spacing w:line="360" w:lineRule="auto"/>
        <w:ind w:firstLine="480" w:firstLineChars="200"/>
        <w:rPr>
          <w:rFonts w:ascii="宋体" w:cs="宋体"/>
          <w:color w:val="000000"/>
          <w:sz w:val="24"/>
        </w:rPr>
      </w:pPr>
      <w:r>
        <w:rPr>
          <w:rFonts w:hint="eastAsia" w:ascii="宋体" w:cs="宋体"/>
          <w:color w:val="000000"/>
          <w:sz w:val="24"/>
        </w:rPr>
        <w:t>合同一方对他方的合同义务履行存有异议的，应书面提出。除本合同另有约定外，一方提出异议的期限为相对方的合同义务履行且异议方知道或者应当知道之日起10日内。</w:t>
      </w:r>
    </w:p>
    <w:p>
      <w:pPr>
        <w:spacing w:line="360" w:lineRule="auto"/>
        <w:ind w:firstLine="480" w:firstLineChars="200"/>
        <w:rPr>
          <w:rFonts w:ascii="宋体" w:cs="宋体"/>
          <w:color w:val="000000"/>
          <w:sz w:val="24"/>
        </w:rPr>
      </w:pPr>
      <w:r>
        <w:rPr>
          <w:rFonts w:hint="eastAsia" w:ascii="宋体" w:cs="宋体"/>
          <w:color w:val="000000"/>
          <w:sz w:val="24"/>
        </w:rPr>
        <w:t>3.7保质期的确定</w:t>
      </w:r>
    </w:p>
    <w:p>
      <w:pPr>
        <w:spacing w:line="360" w:lineRule="auto"/>
        <w:ind w:firstLine="480" w:firstLineChars="200"/>
        <w:rPr>
          <w:rFonts w:ascii="宋体" w:cs="宋体"/>
          <w:color w:val="000000"/>
          <w:sz w:val="24"/>
        </w:rPr>
      </w:pPr>
      <w:r>
        <w:rPr>
          <w:rFonts w:hint="eastAsia" w:ascii="宋体" w:cs="宋体"/>
          <w:color w:val="000000"/>
          <w:sz w:val="24"/>
        </w:rPr>
        <w:t>合同义务方应当对其所履行的合同义务确保完全符合合同之约定，并应确保</w:t>
      </w:r>
    </w:p>
    <w:p>
      <w:pPr>
        <w:spacing w:line="360" w:lineRule="auto"/>
        <w:ind w:firstLine="480" w:firstLineChars="200"/>
        <w:rPr>
          <w:rFonts w:ascii="宋体" w:cs="宋体"/>
          <w:color w:val="000000"/>
          <w:sz w:val="24"/>
        </w:rPr>
      </w:pPr>
      <w:r>
        <w:rPr>
          <w:rFonts w:hint="eastAsia" w:ascii="宋体" w:cs="宋体"/>
          <w:color w:val="000000"/>
          <w:sz w:val="24"/>
        </w:rPr>
        <w:t>其合同义务的履行在保质期内仍符合本合同之约定。除本合同另有约定外，合同</w:t>
      </w:r>
    </w:p>
    <w:p>
      <w:pPr>
        <w:spacing w:line="360" w:lineRule="auto"/>
        <w:ind w:firstLine="480" w:firstLineChars="200"/>
        <w:rPr>
          <w:rFonts w:ascii="宋体" w:cs="宋体"/>
          <w:color w:val="000000"/>
          <w:sz w:val="24"/>
        </w:rPr>
      </w:pPr>
      <w:r>
        <w:rPr>
          <w:rFonts w:hint="eastAsia" w:ascii="宋体" w:cs="宋体"/>
          <w:color w:val="000000"/>
          <w:sz w:val="24"/>
        </w:rPr>
        <w:t>义务方的保质期为合同义务完全履行完毕之日起60天内。</w:t>
      </w:r>
    </w:p>
    <w:p>
      <w:pPr>
        <w:spacing w:line="360" w:lineRule="auto"/>
        <w:ind w:firstLine="482" w:firstLineChars="200"/>
        <w:rPr>
          <w:rFonts w:ascii="宋体" w:cs="宋体"/>
          <w:b/>
          <w:bCs/>
          <w:color w:val="000000"/>
          <w:sz w:val="24"/>
        </w:rPr>
      </w:pPr>
      <w:r>
        <w:rPr>
          <w:rFonts w:hint="eastAsia" w:ascii="宋体" w:cs="宋体"/>
          <w:b/>
          <w:bCs/>
          <w:color w:val="000000"/>
          <w:sz w:val="24"/>
        </w:rPr>
        <w:t>4 保密规定</w:t>
      </w:r>
    </w:p>
    <w:p>
      <w:pPr>
        <w:spacing w:line="360" w:lineRule="auto"/>
        <w:ind w:firstLine="480" w:firstLineChars="200"/>
        <w:rPr>
          <w:rFonts w:ascii="宋体" w:cs="宋体"/>
          <w:color w:val="000000"/>
          <w:sz w:val="24"/>
        </w:rPr>
      </w:pPr>
      <w:r>
        <w:rPr>
          <w:rFonts w:hint="eastAsia" w:ascii="宋体" w:cs="宋体"/>
          <w:color w:val="000000"/>
          <w:sz w:val="24"/>
        </w:rPr>
        <w:t>4.1任何一方在依据本合同履行相应的义务时，可能会获得对方及其关联实体的机密或专有信息（“保密信息”）。各方均确认保密信息的专有性、敏感性以及保持信心的秘密性的重要性。上述信息包括但不限于：（1）本合同本身及其条款和内容；（2）在协议履行过程中所涉及的各类资讯（包括但不限于技术信息、客户信息、价格信息、操作工艺等）。除非根据法律或司法程序要求披露外，在没有对方事先书面同意的情况下，合同各方及/或各方之所雇人员均不得向任何其他方以任何形式透露上述信息。</w:t>
      </w:r>
    </w:p>
    <w:p>
      <w:pPr>
        <w:spacing w:line="360" w:lineRule="auto"/>
        <w:ind w:firstLine="480" w:firstLineChars="200"/>
        <w:rPr>
          <w:rFonts w:ascii="宋体" w:cs="宋体"/>
          <w:color w:val="000000"/>
          <w:sz w:val="24"/>
        </w:rPr>
      </w:pPr>
      <w:r>
        <w:rPr>
          <w:rFonts w:hint="eastAsia" w:ascii="宋体" w:cs="宋体"/>
          <w:color w:val="000000"/>
          <w:sz w:val="24"/>
        </w:rPr>
        <w:t>4.2各方均承诺，在签署及履行本合同过程中，任何一方的员工、服务人员、代理人和承包商对文件和交易信息的接触仅限于为了履行本合同约定的必要职能而必须得知该等信息的人员，并且该等信息的披露仅限于履行本合同约定事项之目的。任何一方均承诺促使其所有员工、服务人员、代理人和承包商遵守上述保密条款，防止秘密信息的披露。任何一方将许可对方审查保密程序。</w:t>
      </w:r>
    </w:p>
    <w:p>
      <w:pPr>
        <w:spacing w:line="360" w:lineRule="auto"/>
        <w:ind w:firstLine="480" w:firstLineChars="200"/>
        <w:rPr>
          <w:rFonts w:ascii="宋体" w:cs="宋体"/>
          <w:color w:val="000000"/>
          <w:sz w:val="24"/>
        </w:rPr>
      </w:pPr>
      <w:r>
        <w:rPr>
          <w:rFonts w:hint="eastAsia" w:ascii="宋体" w:cs="宋体"/>
          <w:color w:val="000000"/>
          <w:sz w:val="24"/>
        </w:rPr>
        <w:t>4.3如果一方受法院指令、传票或其他法律、管理机构或类似司法程序的要求而披露任何信息，则该接受通知或指令方均应在收到上述通知或指令后立即通知对方，以便对方申请相应的保护。</w:t>
      </w:r>
    </w:p>
    <w:p>
      <w:pPr>
        <w:spacing w:line="360" w:lineRule="auto"/>
        <w:ind w:firstLine="480" w:firstLineChars="200"/>
        <w:rPr>
          <w:rFonts w:ascii="宋体" w:cs="宋体"/>
          <w:color w:val="000000"/>
          <w:sz w:val="24"/>
        </w:rPr>
      </w:pPr>
      <w:r>
        <w:rPr>
          <w:rFonts w:hint="eastAsia" w:ascii="宋体" w:cs="宋体"/>
          <w:color w:val="000000"/>
          <w:sz w:val="24"/>
        </w:rPr>
        <w:t>4.4本条约定在本合同无论何种原因终止后应仍然有效。</w:t>
      </w:r>
    </w:p>
    <w:p>
      <w:pPr>
        <w:spacing w:line="360" w:lineRule="auto"/>
        <w:ind w:firstLine="482" w:firstLineChars="200"/>
        <w:rPr>
          <w:rFonts w:ascii="宋体" w:cs="宋体"/>
          <w:b/>
          <w:bCs/>
          <w:color w:val="000000"/>
          <w:sz w:val="24"/>
        </w:rPr>
      </w:pPr>
      <w:r>
        <w:rPr>
          <w:rFonts w:hint="eastAsia" w:ascii="宋体" w:cs="宋体"/>
          <w:b/>
          <w:bCs/>
          <w:color w:val="000000"/>
          <w:sz w:val="24"/>
        </w:rPr>
        <w:t>5.免责条款</w:t>
      </w:r>
    </w:p>
    <w:p>
      <w:pPr>
        <w:spacing w:line="360" w:lineRule="auto"/>
        <w:ind w:firstLine="480" w:firstLineChars="200"/>
        <w:rPr>
          <w:rFonts w:ascii="宋体" w:cs="宋体"/>
          <w:color w:val="000000"/>
          <w:sz w:val="24"/>
        </w:rPr>
      </w:pPr>
      <w:r>
        <w:rPr>
          <w:rFonts w:hint="eastAsia" w:ascii="宋体" w:cs="宋体"/>
          <w:color w:val="000000"/>
          <w:sz w:val="24"/>
        </w:rPr>
        <w:t>5.1本合同下任何一方无须为因不受其合理控制且其没有故意或过失的行为而造成的迟延履行或未履行承担责任。该等可原谅的迟延或未履行可能由以下事项引起，包括但不限于暴动、恐怖活动、叛乱、意外爆炸、水灾、暴雨、自然灾害及类似事件。主张该等不可抗力情况的一方应在其了解到该等不可抗力情况的发生后尽快通知另一方。如发生任何该等延迟，则完成该方在本合同下义务的期限应根据该等延迟的期限自动延长。尽管有上述规定，如因该等可原谅的延迟履行一方不能根据本合同履行其义务且该等情况持续了三十（30）天，对方可终止本合同。尽管有本规定，主张可原谅的迟延的一方应采取所有合理的行动以弥补该等迟延或未履行的影响。</w:t>
      </w:r>
    </w:p>
    <w:p>
      <w:pPr>
        <w:spacing w:line="360" w:lineRule="auto"/>
        <w:ind w:firstLine="480" w:firstLineChars="200"/>
        <w:rPr>
          <w:rFonts w:ascii="宋体" w:cs="宋体"/>
          <w:color w:val="000000"/>
          <w:sz w:val="24"/>
        </w:rPr>
      </w:pPr>
      <w:r>
        <w:rPr>
          <w:rFonts w:hint="eastAsia" w:ascii="宋体" w:cs="宋体"/>
          <w:color w:val="000000"/>
          <w:sz w:val="24"/>
        </w:rPr>
        <w:t>5.2任何一方由于不可抗力且自身无过错造成的不能履行或部分不能履行本合同的义务将不视为违约，但应在条件允许下采取必要的补救措施，以减少不可抗力造成的损失。遇有不可抗力的一方，应在五个工作日内将事件的情况以书面形式通知对方，并在事件发生后无个工作日内，提交不能履行或者部分不能履行本合同以及需要延期履行的理由的证明。</w:t>
      </w:r>
    </w:p>
    <w:p>
      <w:pPr>
        <w:spacing w:line="360" w:lineRule="auto"/>
        <w:ind w:firstLine="482" w:firstLineChars="200"/>
        <w:rPr>
          <w:rFonts w:ascii="宋体" w:cs="宋体"/>
          <w:b/>
          <w:bCs/>
          <w:color w:val="000000"/>
          <w:sz w:val="24"/>
        </w:rPr>
      </w:pPr>
      <w:r>
        <w:rPr>
          <w:rFonts w:hint="eastAsia" w:ascii="宋体" w:cs="宋体"/>
          <w:b/>
          <w:bCs/>
          <w:color w:val="000000"/>
          <w:sz w:val="24"/>
        </w:rPr>
        <w:t>6. 争议的解决</w:t>
      </w:r>
    </w:p>
    <w:p>
      <w:pPr>
        <w:spacing w:line="360" w:lineRule="auto"/>
        <w:ind w:firstLine="480" w:firstLineChars="200"/>
        <w:rPr>
          <w:rFonts w:ascii="宋体" w:cs="宋体"/>
          <w:color w:val="000000"/>
          <w:sz w:val="24"/>
        </w:rPr>
      </w:pPr>
      <w:r>
        <w:rPr>
          <w:rFonts w:hint="eastAsia" w:ascii="宋体" w:cs="宋体"/>
          <w:color w:val="000000"/>
          <w:sz w:val="24"/>
        </w:rPr>
        <w:t>6.1凡与本合同有关而引起的一切争议，各方应首先通过友好协商解决，如经协商后仍不能达成协议时，可提交被告所在地法院起诉解决。本合同另有约定的，从其约定。</w:t>
      </w:r>
    </w:p>
    <w:p>
      <w:pPr>
        <w:spacing w:line="360" w:lineRule="auto"/>
        <w:ind w:firstLine="480" w:firstLineChars="200"/>
        <w:rPr>
          <w:rFonts w:ascii="宋体" w:cs="宋体"/>
          <w:color w:val="000000"/>
          <w:sz w:val="24"/>
        </w:rPr>
      </w:pPr>
      <w:r>
        <w:rPr>
          <w:rFonts w:hint="eastAsia" w:ascii="宋体" w:cs="宋体"/>
          <w:color w:val="000000"/>
          <w:sz w:val="24"/>
        </w:rPr>
        <w:t>6.2由上述过程发生的费用（包括律师费等费用）除上述法院判决另有规定外，皆由败诉方承担。</w:t>
      </w:r>
    </w:p>
    <w:p>
      <w:pPr>
        <w:spacing w:line="360" w:lineRule="auto"/>
        <w:ind w:firstLine="480" w:firstLineChars="200"/>
        <w:rPr>
          <w:rFonts w:ascii="宋体" w:cs="宋体"/>
          <w:color w:val="000000"/>
          <w:sz w:val="24"/>
        </w:rPr>
      </w:pPr>
      <w:r>
        <w:rPr>
          <w:rFonts w:hint="eastAsia" w:ascii="宋体" w:cs="宋体"/>
          <w:color w:val="000000"/>
          <w:sz w:val="24"/>
        </w:rPr>
        <w:t>6.3在进行法院审理期间，除提交法院审理的事项外，合同仍应继续履行，各方发生的争议不影响本合同其他约定的履行。</w:t>
      </w:r>
    </w:p>
    <w:p>
      <w:pPr>
        <w:spacing w:line="360" w:lineRule="auto"/>
        <w:ind w:firstLine="480" w:firstLineChars="200"/>
        <w:rPr>
          <w:rFonts w:ascii="宋体" w:cs="宋体"/>
          <w:color w:val="000000"/>
          <w:sz w:val="24"/>
        </w:rPr>
      </w:pPr>
      <w:r>
        <w:rPr>
          <w:rFonts w:hint="eastAsia" w:ascii="宋体" w:cs="宋体"/>
          <w:color w:val="000000"/>
          <w:sz w:val="24"/>
        </w:rPr>
        <w:t>6.4在提请争议评审、仲裁或者诉讼前，以及在争议评审、仲裁或诉讼过程中，双方均可共同努力友好协商解决争议。</w:t>
      </w:r>
    </w:p>
    <w:p>
      <w:pPr>
        <w:spacing w:line="360" w:lineRule="auto"/>
        <w:ind w:firstLine="480" w:firstLineChars="200"/>
        <w:rPr>
          <w:rFonts w:ascii="宋体" w:cs="宋体"/>
          <w:color w:val="000000"/>
          <w:sz w:val="24"/>
        </w:rPr>
      </w:pPr>
      <w:r>
        <w:rPr>
          <w:rFonts w:hint="eastAsia" w:ascii="宋体" w:cs="宋体"/>
          <w:color w:val="000000"/>
          <w:sz w:val="24"/>
        </w:rPr>
        <w:t>6.5通过仲裁解决的争议。仲裁委员会的裁决是终局裁决，对双方均有约束力。仲裁费用应由败诉方承担。除进行仲裁的那部分外，在仲裁进行的同时，双方将继续执行合同的其余部分。</w:t>
      </w:r>
    </w:p>
    <w:p>
      <w:pPr>
        <w:spacing w:line="360" w:lineRule="auto"/>
        <w:ind w:firstLine="482" w:firstLineChars="200"/>
        <w:rPr>
          <w:rFonts w:ascii="宋体" w:cs="宋体"/>
          <w:b/>
          <w:bCs/>
          <w:color w:val="000000"/>
          <w:sz w:val="24"/>
        </w:rPr>
      </w:pPr>
      <w:r>
        <w:rPr>
          <w:rFonts w:hint="eastAsia" w:ascii="宋体" w:cs="宋体"/>
          <w:b/>
          <w:bCs/>
          <w:color w:val="000000"/>
          <w:sz w:val="24"/>
        </w:rPr>
        <w:t>7. 协议的可分割性</w:t>
      </w:r>
    </w:p>
    <w:p>
      <w:pPr>
        <w:spacing w:line="360" w:lineRule="auto"/>
        <w:ind w:firstLine="480" w:firstLineChars="200"/>
        <w:rPr>
          <w:rFonts w:ascii="宋体" w:cs="宋体"/>
          <w:color w:val="000000"/>
          <w:sz w:val="24"/>
        </w:rPr>
      </w:pPr>
      <w:r>
        <w:rPr>
          <w:rFonts w:hint="eastAsia" w:ascii="宋体" w:cs="宋体"/>
          <w:color w:val="000000"/>
          <w:sz w:val="24"/>
        </w:rPr>
        <w:t>7.1如果本合同的任何条款或规定无效或不能履行，本合同其余的内容不应受此影响，而且本合同其余各项条款与规定在法律允许的最大限度内应继续有效并予以执行。</w:t>
      </w:r>
    </w:p>
    <w:p>
      <w:pPr>
        <w:spacing w:line="360" w:lineRule="auto"/>
        <w:ind w:firstLine="480" w:firstLineChars="200"/>
        <w:rPr>
          <w:rFonts w:ascii="宋体" w:cs="宋体"/>
          <w:color w:val="000000"/>
          <w:sz w:val="24"/>
        </w:rPr>
      </w:pPr>
      <w:r>
        <w:rPr>
          <w:rFonts w:hint="eastAsia" w:ascii="宋体" w:cs="宋体"/>
          <w:color w:val="000000"/>
          <w:sz w:val="24"/>
        </w:rPr>
        <w:t>7.2本合同未尽事宜由双方协商解决，并根据需要可签订补充协议，补充协议与本合同具有同等法律效力。</w:t>
      </w:r>
    </w:p>
    <w:p>
      <w:pPr>
        <w:spacing w:line="360" w:lineRule="auto"/>
        <w:ind w:firstLine="482" w:firstLineChars="200"/>
        <w:rPr>
          <w:rFonts w:ascii="宋体" w:cs="宋体"/>
          <w:b/>
          <w:bCs/>
          <w:color w:val="000000"/>
          <w:sz w:val="24"/>
        </w:rPr>
      </w:pPr>
      <w:r>
        <w:rPr>
          <w:rFonts w:hint="eastAsia" w:ascii="宋体" w:cs="宋体"/>
          <w:b/>
          <w:bCs/>
          <w:color w:val="000000"/>
          <w:sz w:val="24"/>
        </w:rPr>
        <w:t>8.适用法律</w:t>
      </w:r>
    </w:p>
    <w:p>
      <w:pPr>
        <w:spacing w:line="360" w:lineRule="auto"/>
        <w:ind w:firstLine="480" w:firstLineChars="200"/>
        <w:rPr>
          <w:rFonts w:ascii="宋体" w:cs="宋体"/>
          <w:color w:val="000000"/>
          <w:sz w:val="24"/>
        </w:rPr>
      </w:pPr>
      <w:r>
        <w:rPr>
          <w:rFonts w:hint="eastAsia" w:ascii="宋体" w:cs="宋体"/>
          <w:color w:val="000000"/>
          <w:sz w:val="24"/>
        </w:rPr>
        <w:t>适用于合同的法律包括中华人民共和国法律、行政法规、部门规章，以及协议履行地的地方法规、自治条例、单行条例和地方政府规章。</w:t>
      </w:r>
    </w:p>
    <w:p>
      <w:pPr>
        <w:spacing w:line="360" w:lineRule="auto"/>
        <w:ind w:firstLine="482" w:firstLineChars="200"/>
        <w:rPr>
          <w:rFonts w:ascii="宋体" w:cs="宋体"/>
          <w:color w:val="000000"/>
          <w:sz w:val="24"/>
        </w:rPr>
      </w:pPr>
      <w:r>
        <w:rPr>
          <w:rFonts w:hint="eastAsia" w:ascii="宋体" w:cs="宋体"/>
          <w:b/>
          <w:bCs/>
          <w:color w:val="000000"/>
          <w:sz w:val="24"/>
        </w:rPr>
        <w:t>9.送达与通知</w:t>
      </w:r>
    </w:p>
    <w:p>
      <w:pPr>
        <w:spacing w:line="360" w:lineRule="auto"/>
        <w:ind w:firstLine="480" w:firstLineChars="200"/>
        <w:rPr>
          <w:rFonts w:ascii="宋体" w:cs="宋体"/>
          <w:color w:val="000000"/>
          <w:sz w:val="24"/>
        </w:rPr>
      </w:pPr>
      <w:r>
        <w:rPr>
          <w:rFonts w:hint="eastAsia" w:ascii="宋体" w:cs="宋体"/>
          <w:color w:val="000000"/>
          <w:sz w:val="24"/>
        </w:rPr>
        <w:t>9.1一方当事人可采用直接、邮寄、传真、电子邮件或者其他合法方式通知对方当事人。除本合同对有关通知事项已有约定外，本合同当事人任何一方发生法定代表人、名称、住所、企业组织形式等的变更，或发生合并、分立、并购、破产，或发生标的房屋抵押、转让、查封、扣押、监管、变卖、拍卖及其他可能影响本通知履行的任何事项，均应本着诚实信用的原则及时书面通知对方，履行通知义务。因上述变更未通报而导致送达不能或送达错误的，由变更通报义务方自行承担法律责任。</w:t>
      </w:r>
    </w:p>
    <w:p>
      <w:pPr>
        <w:spacing w:line="360" w:lineRule="auto"/>
        <w:ind w:firstLine="480" w:firstLineChars="200"/>
        <w:rPr>
          <w:rFonts w:ascii="宋体" w:cs="宋体"/>
          <w:color w:val="000000"/>
          <w:sz w:val="24"/>
        </w:rPr>
      </w:pPr>
      <w:r>
        <w:rPr>
          <w:rFonts w:hint="eastAsia" w:ascii="宋体" w:cs="宋体"/>
          <w:color w:val="000000"/>
          <w:sz w:val="24"/>
        </w:rPr>
        <w:t>9.2通知直接送交的，由对方当事人签收。当事人是自然人的，本人不在时可以由其同住的成年家属签收；当事人是法人或其他组织的，可以由法定代表人、主要负责人、负责收发的工作人员（包括但不限于门卫及物业管理人员）或者其他人员签收。当事人已委托其他人代收的，可以由代收人代收。</w:t>
      </w:r>
    </w:p>
    <w:p>
      <w:pPr>
        <w:spacing w:line="360" w:lineRule="auto"/>
        <w:ind w:firstLine="480" w:firstLineChars="200"/>
        <w:rPr>
          <w:rFonts w:ascii="宋体" w:cs="宋体"/>
          <w:color w:val="000000"/>
          <w:sz w:val="24"/>
        </w:rPr>
      </w:pPr>
      <w:r>
        <w:rPr>
          <w:rFonts w:hint="eastAsia" w:ascii="宋体" w:cs="宋体"/>
          <w:color w:val="000000"/>
          <w:sz w:val="24"/>
        </w:rPr>
        <w:t>9.3邮寄送达的，自然人以户籍所在地或者经常居住地为送达地址；法人或者其他组织以工商登记或者其他依法登记备案的住所地或者营业地为送达地址。当事人书面确认送达地址的，以确认的地址为送达地址，送达日期以回执或者特快专递查询单上注明的收件日期为送达日期。邮寄送达的签收，遵照9.2之约定履行。</w:t>
      </w:r>
    </w:p>
    <w:p>
      <w:pPr>
        <w:spacing w:line="360" w:lineRule="auto"/>
        <w:ind w:firstLine="480" w:firstLineChars="200"/>
        <w:rPr>
          <w:rFonts w:ascii="宋体" w:cs="宋体"/>
          <w:color w:val="000000"/>
          <w:sz w:val="24"/>
        </w:rPr>
      </w:pPr>
      <w:r>
        <w:rPr>
          <w:rFonts w:hint="eastAsia" w:ascii="宋体" w:cs="宋体"/>
          <w:color w:val="000000"/>
          <w:sz w:val="24"/>
        </w:rPr>
        <w:t>9.4因当事人提供或者确认的送达地址不准确、拒不提供送达地址、送达地址变更未及时通知对方当事人或者指定的代收人拒绝签收的，通知被退回之日视为送达日。</w:t>
      </w:r>
    </w:p>
    <w:p>
      <w:pPr>
        <w:spacing w:line="360" w:lineRule="auto"/>
        <w:ind w:firstLine="480" w:firstLineChars="200"/>
        <w:rPr>
          <w:rFonts w:ascii="宋体" w:cs="宋体"/>
          <w:color w:val="000000"/>
          <w:sz w:val="24"/>
        </w:rPr>
      </w:pPr>
      <w:r>
        <w:rPr>
          <w:rFonts w:hint="eastAsia" w:ascii="宋体" w:cs="宋体"/>
          <w:color w:val="000000"/>
          <w:sz w:val="24"/>
        </w:rPr>
        <w:t>9.5合同有关的通知、批准、证明、证书、指示、要求、请求、同意、意见、确定和决定等，均应采用书面形式。</w:t>
      </w:r>
    </w:p>
    <w:p>
      <w:pPr>
        <w:spacing w:line="360" w:lineRule="auto"/>
        <w:ind w:firstLine="480" w:firstLineChars="200"/>
        <w:rPr>
          <w:rFonts w:ascii="宋体" w:cs="宋体"/>
          <w:color w:val="000000"/>
          <w:sz w:val="24"/>
        </w:rPr>
      </w:pPr>
      <w:r>
        <w:rPr>
          <w:rFonts w:hint="eastAsia" w:ascii="宋体" w:cs="宋体"/>
          <w:color w:val="000000"/>
          <w:sz w:val="24"/>
        </w:rPr>
        <w:t>9.6本合同及其附件凡涉及日期的，按收件人签收日期和邮局戳记日期为准。时间期限的计算均包括本数在内。</w:t>
      </w:r>
    </w:p>
    <w:p>
      <w:pPr>
        <w:spacing w:line="360" w:lineRule="auto"/>
        <w:ind w:firstLine="480" w:firstLineChars="200"/>
        <w:rPr>
          <w:rFonts w:ascii="宋体" w:cs="宋体"/>
          <w:color w:val="000000"/>
          <w:sz w:val="24"/>
        </w:rPr>
      </w:pPr>
      <w:r>
        <w:rPr>
          <w:rFonts w:hint="eastAsia" w:ascii="宋体" w:cs="宋体"/>
          <w:color w:val="000000"/>
          <w:sz w:val="24"/>
        </w:rPr>
        <w:t>9.7来往函件均应按合同约定的期限及时发出和答复，不得无故扣压和拖延，亦不得拒收。否则，由此造成的后果由责任方负责。</w:t>
      </w:r>
    </w:p>
    <w:p>
      <w:pPr>
        <w:spacing w:line="360" w:lineRule="auto"/>
        <w:ind w:firstLine="480" w:firstLineChars="200"/>
        <w:rPr>
          <w:rFonts w:ascii="宋体" w:cs="宋体"/>
          <w:color w:val="000000"/>
          <w:sz w:val="24"/>
        </w:rPr>
      </w:pPr>
      <w:r>
        <w:rPr>
          <w:rFonts w:hint="eastAsia" w:ascii="宋体" w:cs="宋体"/>
          <w:color w:val="000000"/>
          <w:sz w:val="24"/>
        </w:rPr>
        <w:t>9.8本合同中规定按小时计算时间的，从时间有效开始时候计算（不扣除休息时间），规定按天计算时间的，开始当天不计入，从次日开始计算，时限的最后一天是休息日或其他法定节假日的，以节假日的次日为期限的最后一天。时限的最后一天的截至时间是24时。</w:t>
      </w:r>
    </w:p>
    <w:p>
      <w:pPr>
        <w:spacing w:line="360" w:lineRule="auto"/>
        <w:ind w:firstLine="482" w:firstLineChars="200"/>
        <w:rPr>
          <w:rFonts w:ascii="宋体" w:cs="宋体"/>
          <w:b/>
          <w:bCs/>
          <w:color w:val="000000"/>
          <w:sz w:val="24"/>
        </w:rPr>
      </w:pPr>
      <w:r>
        <w:rPr>
          <w:rFonts w:hint="eastAsia" w:ascii="宋体" w:cs="宋体"/>
          <w:b/>
          <w:bCs/>
          <w:color w:val="000000"/>
          <w:sz w:val="24"/>
        </w:rPr>
        <w:t>10.合同的生效</w:t>
      </w:r>
    </w:p>
    <w:p>
      <w:pPr>
        <w:spacing w:line="360" w:lineRule="auto"/>
        <w:ind w:firstLine="480" w:firstLineChars="200"/>
        <w:rPr>
          <w:rFonts w:ascii="宋体" w:cs="宋体"/>
          <w:color w:val="000000"/>
          <w:sz w:val="24"/>
        </w:rPr>
      </w:pPr>
      <w:r>
        <w:rPr>
          <w:rFonts w:hint="eastAsia" w:ascii="宋体" w:cs="宋体"/>
          <w:color w:val="000000"/>
          <w:sz w:val="24"/>
        </w:rPr>
        <w:t>10.1本合同自甲乙双方及/或其经纪机构的授权代表签字或盖章之日起生效（法律、行政法规规定应当办理批准、登记等手续生效的除外）。本合同生效后，双方对本合同内容的变更或补充应采用书面形式订立，并作为本合同的附件。附件与本合同具有同等的法律效力。</w:t>
      </w:r>
    </w:p>
    <w:p>
      <w:pPr>
        <w:spacing w:line="360" w:lineRule="auto"/>
        <w:ind w:firstLine="480" w:firstLineChars="200"/>
        <w:rPr>
          <w:rFonts w:ascii="宋体" w:cs="宋体"/>
          <w:color w:val="000000"/>
          <w:sz w:val="24"/>
        </w:rPr>
      </w:pPr>
      <w:r>
        <w:rPr>
          <w:rFonts w:hint="eastAsia" w:ascii="宋体" w:cs="宋体"/>
          <w:color w:val="000000"/>
          <w:sz w:val="24"/>
        </w:rPr>
        <w:t>10.2本合同连同本通用条款、附件及所签署的备忘录、补充协议等书面文件，均具有同等法律效力。</w:t>
      </w:r>
    </w:p>
    <w:p>
      <w:pPr>
        <w:spacing w:line="360" w:lineRule="auto"/>
        <w:ind w:firstLine="480" w:firstLineChars="200"/>
        <w:rPr>
          <w:rFonts w:ascii="宋体" w:cs="宋体"/>
          <w:color w:val="000000"/>
          <w:sz w:val="24"/>
        </w:rPr>
      </w:pPr>
      <w:r>
        <w:rPr>
          <w:rFonts w:hint="eastAsia" w:ascii="宋体" w:cs="宋体"/>
          <w:color w:val="000000"/>
          <w:sz w:val="24"/>
        </w:rPr>
        <w:t>10.3本合同条款如与国家法律、法规禁止性规定相抵触时，以国家法律、法规为准。</w:t>
      </w:r>
    </w:p>
    <w:p>
      <w:pPr>
        <w:spacing w:line="360" w:lineRule="auto"/>
        <w:ind w:firstLine="482" w:firstLineChars="200"/>
        <w:rPr>
          <w:rFonts w:ascii="宋体" w:cs="宋体"/>
          <w:b/>
          <w:bCs/>
          <w:color w:val="000000"/>
          <w:sz w:val="24"/>
        </w:rPr>
      </w:pPr>
      <w:r>
        <w:rPr>
          <w:rFonts w:hint="eastAsia" w:ascii="宋体" w:cs="宋体"/>
          <w:b/>
          <w:bCs/>
          <w:color w:val="000000"/>
          <w:sz w:val="24"/>
        </w:rPr>
        <w:t>11.合同的期满和终止</w:t>
      </w:r>
    </w:p>
    <w:p>
      <w:pPr>
        <w:spacing w:line="360" w:lineRule="auto"/>
        <w:ind w:firstLine="480" w:firstLineChars="200"/>
        <w:rPr>
          <w:rFonts w:ascii="宋体" w:cs="宋体"/>
          <w:color w:val="000000"/>
          <w:sz w:val="24"/>
        </w:rPr>
      </w:pPr>
      <w:r>
        <w:rPr>
          <w:rFonts w:hint="eastAsia" w:ascii="宋体" w:cs="宋体"/>
          <w:color w:val="000000"/>
          <w:sz w:val="24"/>
        </w:rPr>
        <w:t>11.1本合同从生效日期起开始生效，直至合同义务履行完毕为止，届时本合同也同时终止。但合同另有约定的，从其约定。</w:t>
      </w:r>
    </w:p>
    <w:p>
      <w:pPr>
        <w:spacing w:line="360" w:lineRule="auto"/>
        <w:ind w:firstLine="480" w:firstLineChars="200"/>
        <w:rPr>
          <w:rFonts w:ascii="宋体" w:cs="宋体"/>
          <w:color w:val="000000"/>
          <w:sz w:val="24"/>
        </w:rPr>
      </w:pPr>
      <w:r>
        <w:rPr>
          <w:rFonts w:hint="eastAsia" w:ascii="宋体" w:cs="宋体"/>
          <w:color w:val="000000"/>
          <w:sz w:val="24"/>
        </w:rPr>
        <w:t>11.2本合同因期满或解除而终止。</w:t>
      </w:r>
    </w:p>
    <w:p>
      <w:pPr>
        <w:spacing w:line="360" w:lineRule="auto"/>
        <w:ind w:firstLine="480" w:firstLineChars="200"/>
        <w:rPr>
          <w:rFonts w:ascii="宋体" w:cs="宋体"/>
          <w:color w:val="000000"/>
          <w:sz w:val="24"/>
        </w:rPr>
      </w:pPr>
      <w:r>
        <w:rPr>
          <w:rFonts w:hint="eastAsia" w:ascii="宋体" w:cs="宋体"/>
          <w:color w:val="000000"/>
          <w:sz w:val="24"/>
        </w:rPr>
        <w:t>11.3本合同的一般解除：</w:t>
      </w:r>
    </w:p>
    <w:p>
      <w:pPr>
        <w:spacing w:line="360" w:lineRule="auto"/>
        <w:ind w:firstLine="480" w:firstLineChars="200"/>
        <w:rPr>
          <w:rFonts w:ascii="宋体" w:cs="宋体"/>
          <w:color w:val="000000"/>
          <w:sz w:val="24"/>
        </w:rPr>
      </w:pPr>
      <w:r>
        <w:rPr>
          <w:rFonts w:hint="eastAsia" w:ascii="宋体" w:cs="宋体"/>
          <w:color w:val="000000"/>
          <w:sz w:val="24"/>
        </w:rPr>
        <w:t>本合同任何一方违约，经相对方书面通知要求限期改正后仍未按时改正的，相对方有权要求违约方承担违约赔偿责任，并可要求随时解除本合同。</w:t>
      </w:r>
    </w:p>
    <w:p>
      <w:pPr>
        <w:spacing w:line="360" w:lineRule="auto"/>
        <w:ind w:firstLine="480" w:firstLineChars="200"/>
        <w:rPr>
          <w:rFonts w:ascii="宋体" w:cs="宋体"/>
          <w:color w:val="000000"/>
          <w:sz w:val="24"/>
        </w:rPr>
      </w:pPr>
      <w:r>
        <w:rPr>
          <w:rFonts w:hint="eastAsia" w:ascii="宋体" w:cs="宋体"/>
          <w:color w:val="000000"/>
          <w:sz w:val="24"/>
        </w:rPr>
        <w:t>11.4本合同终止时，合同各方的所有权利均应停止。</w:t>
      </w:r>
    </w:p>
    <w:p>
      <w:pPr>
        <w:spacing w:line="360" w:lineRule="auto"/>
        <w:ind w:firstLine="480" w:firstLineChars="200"/>
        <w:rPr>
          <w:rFonts w:ascii="宋体" w:cs="宋体"/>
          <w:color w:val="000000"/>
          <w:sz w:val="24"/>
        </w:rPr>
      </w:pPr>
      <w:r>
        <w:rPr>
          <w:rFonts w:hint="eastAsia" w:ascii="宋体" w:cs="宋体"/>
          <w:color w:val="000000"/>
          <w:sz w:val="24"/>
        </w:rPr>
        <w:t>11.5无论本合同期满或因其他原因终止，合同各方均：</w:t>
      </w:r>
    </w:p>
    <w:p>
      <w:pPr>
        <w:spacing w:line="360" w:lineRule="auto"/>
        <w:ind w:firstLine="480" w:firstLineChars="200"/>
        <w:rPr>
          <w:rFonts w:ascii="宋体" w:cs="宋体"/>
          <w:color w:val="000000"/>
          <w:sz w:val="24"/>
        </w:rPr>
      </w:pPr>
      <w:r>
        <w:rPr>
          <w:rFonts w:hint="eastAsia" w:ascii="宋体" w:cs="宋体"/>
          <w:color w:val="000000"/>
          <w:sz w:val="24"/>
        </w:rPr>
        <w:t>11.5.1不应解除在合同期满或终止之前应有的任何责任；</w:t>
      </w:r>
    </w:p>
    <w:p>
      <w:pPr>
        <w:spacing w:line="360" w:lineRule="auto"/>
        <w:ind w:firstLine="480" w:firstLineChars="200"/>
        <w:rPr>
          <w:rFonts w:ascii="宋体" w:cs="宋体"/>
          <w:color w:val="000000"/>
          <w:sz w:val="24"/>
        </w:rPr>
      </w:pPr>
      <w:r>
        <w:rPr>
          <w:rFonts w:hint="eastAsia" w:ascii="宋体" w:cs="宋体"/>
          <w:color w:val="000000"/>
          <w:sz w:val="24"/>
        </w:rPr>
        <w:t>11.5.2对本合同已明确规定合同期满或中止后，仍应承担责任的条款，各方应继续受此条款约束。</w:t>
      </w:r>
    </w:p>
    <w:p>
      <w:pPr>
        <w:spacing w:line="360" w:lineRule="auto"/>
        <w:ind w:firstLine="482" w:firstLineChars="200"/>
        <w:rPr>
          <w:rFonts w:ascii="宋体" w:cs="宋体"/>
          <w:b/>
          <w:bCs/>
          <w:color w:val="000000"/>
          <w:sz w:val="24"/>
        </w:rPr>
      </w:pPr>
      <w:r>
        <w:rPr>
          <w:rFonts w:hint="eastAsia" w:ascii="宋体" w:cs="宋体"/>
          <w:b/>
          <w:bCs/>
          <w:color w:val="000000"/>
          <w:sz w:val="24"/>
        </w:rPr>
        <w:t>12. 通用条款数量的确定</w:t>
      </w:r>
    </w:p>
    <w:p>
      <w:pPr>
        <w:spacing w:line="360" w:lineRule="auto"/>
        <w:ind w:firstLine="480" w:firstLineChars="200"/>
        <w:rPr>
          <w:rFonts w:ascii="宋体"/>
          <w:kern w:val="0"/>
          <w:sz w:val="24"/>
        </w:rPr>
      </w:pPr>
      <w:r>
        <w:rPr>
          <w:rFonts w:hint="eastAsia" w:ascii="宋体" w:cs="宋体"/>
          <w:color w:val="000000"/>
          <w:sz w:val="24"/>
        </w:rPr>
        <w:t>本合同通用条款共计12条，截止至本条为限。</w:t>
      </w:r>
    </w:p>
    <w:p>
      <w:pPr>
        <w:ind w:firstLine="480" w:firstLineChars="200"/>
        <w:rPr>
          <w:rFonts w:ascii="Times New Roman" w:hAnsi="Times New Roman"/>
          <w:sz w:val="24"/>
        </w:rPr>
      </w:pPr>
      <w:r>
        <w:rPr>
          <w:rFonts w:ascii="Times New Roman" w:hAnsi="Times New Roman"/>
          <w:sz w:val="24"/>
        </w:rPr>
        <w:br w:type="page"/>
      </w:r>
    </w:p>
    <w:p>
      <w:pPr>
        <w:pStyle w:val="4"/>
        <w:ind w:firstLine="482" w:firstLineChars="200"/>
        <w:jc w:val="center"/>
        <w:rPr>
          <w:rFonts w:cs="宋体"/>
          <w:sz w:val="24"/>
          <w:szCs w:val="24"/>
        </w:rPr>
      </w:pPr>
      <w:bookmarkStart w:id="25" w:name="_Toc18422"/>
      <w:r>
        <w:rPr>
          <w:rFonts w:ascii="Times New Roman" w:hAnsi="Times New Roman"/>
          <w:sz w:val="24"/>
          <w:szCs w:val="24"/>
        </w:rPr>
        <w:t>第二节</w:t>
      </w:r>
      <w:r>
        <w:rPr>
          <w:rFonts w:hint="eastAsia" w:cs="宋体"/>
          <w:bCs/>
          <w:color w:val="000000"/>
          <w:sz w:val="24"/>
          <w:szCs w:val="24"/>
        </w:rPr>
        <w:t>专用合同条款</w:t>
      </w:r>
      <w:bookmarkEnd w:id="25"/>
    </w:p>
    <w:p>
      <w:pPr>
        <w:ind w:firstLine="643" w:firstLineChars="200"/>
        <w:jc w:val="center"/>
        <w:rPr>
          <w:rFonts w:ascii="宋体" w:cs="宋体"/>
          <w:b/>
          <w:bCs/>
          <w:sz w:val="32"/>
          <w:szCs w:val="32"/>
        </w:rPr>
      </w:pPr>
      <w:r>
        <w:rPr>
          <w:rFonts w:hint="eastAsia" w:ascii="宋体" w:cs="宋体"/>
          <w:b/>
          <w:bCs/>
          <w:sz w:val="32"/>
          <w:szCs w:val="32"/>
        </w:rPr>
        <w:t>采购供应合同（供参考）</w:t>
      </w:r>
    </w:p>
    <w:p>
      <w:pPr>
        <w:widowControl/>
        <w:spacing w:line="360" w:lineRule="auto"/>
        <w:ind w:firstLine="480" w:firstLineChars="200"/>
        <w:jc w:val="left"/>
        <w:rPr>
          <w:rFonts w:ascii="宋体" w:cs="宋体"/>
          <w:color w:val="333333"/>
          <w:kern w:val="0"/>
          <w:sz w:val="24"/>
        </w:rPr>
      </w:pPr>
      <w:r>
        <w:rPr>
          <w:rFonts w:hint="eastAsia" w:ascii="宋体" w:cs="宋体"/>
          <w:color w:val="333333"/>
          <w:kern w:val="0"/>
          <w:sz w:val="24"/>
        </w:rPr>
        <w:t>采购方：（以下简称甲方）</w:t>
      </w:r>
    </w:p>
    <w:p>
      <w:pPr>
        <w:widowControl/>
        <w:spacing w:line="360" w:lineRule="auto"/>
        <w:ind w:firstLine="480" w:firstLineChars="200"/>
        <w:jc w:val="left"/>
        <w:rPr>
          <w:rFonts w:ascii="宋体" w:cs="宋体"/>
          <w:color w:val="333333"/>
          <w:kern w:val="0"/>
          <w:sz w:val="24"/>
        </w:rPr>
      </w:pPr>
      <w:r>
        <w:rPr>
          <w:rFonts w:hint="eastAsia" w:ascii="宋体" w:cs="宋体"/>
          <w:color w:val="333333"/>
          <w:kern w:val="0"/>
          <w:sz w:val="24"/>
        </w:rPr>
        <w:t>供货方：（以下简称乙方）</w:t>
      </w:r>
    </w:p>
    <w:p>
      <w:pPr>
        <w:adjustRightInd w:val="0"/>
        <w:snapToGrid w:val="0"/>
        <w:spacing w:line="360" w:lineRule="auto"/>
        <w:ind w:firstLine="480" w:firstLineChars="200"/>
        <w:rPr>
          <w:rFonts w:ascii="宋体" w:cs="宋体"/>
          <w:sz w:val="24"/>
        </w:rPr>
      </w:pPr>
      <w:r>
        <w:rPr>
          <w:rFonts w:hint="eastAsia" w:ascii="宋体" w:cs="宋体"/>
          <w:sz w:val="24"/>
        </w:rPr>
        <w:t xml:space="preserve">根据（项目名称、项目编号)及相关结果，甲、乙双方经协商一致，签订本合同。   </w:t>
      </w:r>
    </w:p>
    <w:p>
      <w:pPr>
        <w:adjustRightInd w:val="0"/>
        <w:snapToGrid w:val="0"/>
        <w:spacing w:line="360" w:lineRule="auto"/>
        <w:ind w:firstLine="482" w:firstLineChars="200"/>
        <w:rPr>
          <w:rFonts w:ascii="宋体" w:cs="宋体"/>
          <w:b/>
          <w:sz w:val="24"/>
        </w:rPr>
      </w:pPr>
      <w:r>
        <w:rPr>
          <w:rFonts w:hint="eastAsia" w:ascii="宋体" w:cs="宋体"/>
          <w:b/>
          <w:sz w:val="24"/>
        </w:rPr>
        <w:t>一、合同编号：</w:t>
      </w:r>
    </w:p>
    <w:p>
      <w:pPr>
        <w:adjustRightInd w:val="0"/>
        <w:snapToGrid w:val="0"/>
        <w:spacing w:line="360" w:lineRule="auto"/>
        <w:ind w:firstLine="482" w:firstLineChars="200"/>
        <w:rPr>
          <w:rFonts w:ascii="宋体" w:cs="宋体"/>
          <w:b/>
          <w:sz w:val="24"/>
        </w:rPr>
      </w:pPr>
      <w:r>
        <w:rPr>
          <w:rFonts w:hint="eastAsia" w:ascii="宋体" w:cs="宋体"/>
          <w:b/>
          <w:sz w:val="24"/>
        </w:rPr>
        <w:t>二、签订地点：</w:t>
      </w:r>
    </w:p>
    <w:p>
      <w:pPr>
        <w:adjustRightInd w:val="0"/>
        <w:snapToGrid w:val="0"/>
        <w:spacing w:line="360" w:lineRule="auto"/>
        <w:ind w:firstLine="482" w:firstLineChars="200"/>
        <w:rPr>
          <w:rFonts w:ascii="宋体" w:cs="宋体"/>
          <w:b/>
          <w:sz w:val="24"/>
        </w:rPr>
      </w:pPr>
      <w:r>
        <w:rPr>
          <w:rFonts w:hint="eastAsia" w:ascii="宋体" w:cs="宋体"/>
          <w:b/>
          <w:sz w:val="24"/>
        </w:rPr>
        <w:t>三、签订时间：</w:t>
      </w:r>
    </w:p>
    <w:p>
      <w:pPr>
        <w:adjustRightInd w:val="0"/>
        <w:snapToGrid w:val="0"/>
        <w:spacing w:line="360" w:lineRule="auto"/>
        <w:ind w:firstLine="480" w:firstLineChars="200"/>
        <w:rPr>
          <w:rFonts w:ascii="宋体" w:cs="宋体"/>
          <w:sz w:val="24"/>
        </w:rPr>
      </w:pPr>
      <w:r>
        <w:rPr>
          <w:rFonts w:hint="eastAsia" w:ascii="宋体" w:cs="宋体"/>
          <w:sz w:val="24"/>
          <w:u w:val="single"/>
        </w:rPr>
        <w:t>年   月   日</w:t>
      </w:r>
    </w:p>
    <w:p>
      <w:pPr>
        <w:adjustRightInd w:val="0"/>
        <w:snapToGrid w:val="0"/>
        <w:spacing w:line="360" w:lineRule="auto"/>
        <w:ind w:firstLine="482" w:firstLineChars="200"/>
        <w:rPr>
          <w:rFonts w:ascii="宋体" w:cs="宋体"/>
          <w:b/>
          <w:sz w:val="24"/>
        </w:rPr>
      </w:pPr>
      <w:r>
        <w:rPr>
          <w:rFonts w:hint="eastAsia" w:ascii="宋体" w:cs="宋体"/>
          <w:b/>
          <w:sz w:val="24"/>
        </w:rPr>
        <w:t>四、合同内容：</w:t>
      </w:r>
    </w:p>
    <w:p>
      <w:pPr>
        <w:tabs>
          <w:tab w:val="left" w:pos="840"/>
        </w:tabs>
        <w:adjustRightInd w:val="0"/>
        <w:snapToGrid w:val="0"/>
        <w:spacing w:line="360" w:lineRule="auto"/>
        <w:ind w:firstLine="480" w:firstLineChars="200"/>
        <w:rPr>
          <w:rFonts w:ascii="宋体" w:cs="宋体"/>
          <w:sz w:val="24"/>
        </w:rPr>
      </w:pPr>
      <w:r>
        <w:rPr>
          <w:rFonts w:hint="eastAsia" w:ascii="宋体" w:cs="宋体"/>
          <w:sz w:val="24"/>
        </w:rPr>
        <w:t>甲方向乙方采购的货物及服务如下：</w:t>
      </w:r>
    </w:p>
    <w:p>
      <w:pPr>
        <w:tabs>
          <w:tab w:val="left" w:pos="840"/>
        </w:tabs>
        <w:adjustRightInd w:val="0"/>
        <w:snapToGrid w:val="0"/>
        <w:spacing w:line="360" w:lineRule="auto"/>
        <w:ind w:firstLine="480" w:firstLineChars="200"/>
        <w:rPr>
          <w:rFonts w:ascii="宋体" w:cs="宋体"/>
          <w:sz w:val="24"/>
        </w:rPr>
      </w:pPr>
      <w:r>
        <w:rPr>
          <w:rFonts w:hint="eastAsia" w:ascii="宋体" w:cs="宋体"/>
          <w:sz w:val="24"/>
        </w:rPr>
        <w:t xml:space="preserve">1、品名、生产厂商、规格、数量等信息详见供货一览表。 </w:t>
      </w:r>
    </w:p>
    <w:p>
      <w:pPr>
        <w:tabs>
          <w:tab w:val="left" w:pos="840"/>
        </w:tabs>
        <w:adjustRightInd w:val="0"/>
        <w:snapToGrid w:val="0"/>
        <w:spacing w:line="360" w:lineRule="auto"/>
        <w:ind w:firstLine="480" w:firstLineChars="200"/>
        <w:jc w:val="center"/>
        <w:rPr>
          <w:rFonts w:ascii="宋体" w:cs="宋体"/>
          <w:sz w:val="24"/>
        </w:rPr>
      </w:pPr>
      <w:r>
        <w:rPr>
          <w:rFonts w:hint="eastAsia" w:ascii="宋体" w:cs="宋体"/>
          <w:sz w:val="24"/>
        </w:rPr>
        <w:t>货物信息一览表</w:t>
      </w:r>
    </w:p>
    <w:tbl>
      <w:tblPr>
        <w:tblStyle w:val="25"/>
        <w:tblW w:w="79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5"/>
        <w:gridCol w:w="1882"/>
        <w:gridCol w:w="1392"/>
        <w:gridCol w:w="1086"/>
        <w:gridCol w:w="1327"/>
        <w:gridCol w:w="13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5" w:type="dxa"/>
            <w:vAlign w:val="center"/>
          </w:tcPr>
          <w:p>
            <w:pPr>
              <w:pStyle w:val="10"/>
              <w:numPr>
                <w:ilvl w:val="0"/>
                <w:numId w:val="0"/>
              </w:numPr>
              <w:jc w:val="center"/>
            </w:pPr>
            <w:r>
              <w:rPr>
                <w:rFonts w:hint="eastAsia"/>
              </w:rPr>
              <w:t>序号</w:t>
            </w:r>
          </w:p>
        </w:tc>
        <w:tc>
          <w:tcPr>
            <w:tcW w:w="1882" w:type="dxa"/>
            <w:vAlign w:val="center"/>
          </w:tcPr>
          <w:p>
            <w:pPr>
              <w:pStyle w:val="10"/>
              <w:numPr>
                <w:ilvl w:val="0"/>
                <w:numId w:val="0"/>
              </w:numPr>
              <w:jc w:val="center"/>
            </w:pPr>
            <w:r>
              <w:rPr>
                <w:rFonts w:hint="eastAsia"/>
              </w:rPr>
              <w:t>品名型号</w:t>
            </w:r>
          </w:p>
        </w:tc>
        <w:tc>
          <w:tcPr>
            <w:tcW w:w="1392" w:type="dxa"/>
            <w:vAlign w:val="center"/>
          </w:tcPr>
          <w:p>
            <w:pPr>
              <w:pStyle w:val="10"/>
              <w:numPr>
                <w:ilvl w:val="0"/>
                <w:numId w:val="0"/>
              </w:numPr>
              <w:jc w:val="center"/>
            </w:pPr>
            <w:r>
              <w:rPr>
                <w:rFonts w:hint="eastAsia"/>
              </w:rPr>
              <w:t>规格参数</w:t>
            </w:r>
          </w:p>
        </w:tc>
        <w:tc>
          <w:tcPr>
            <w:tcW w:w="1086" w:type="dxa"/>
            <w:vAlign w:val="center"/>
          </w:tcPr>
          <w:p>
            <w:pPr>
              <w:pStyle w:val="10"/>
              <w:numPr>
                <w:ilvl w:val="0"/>
                <w:numId w:val="0"/>
              </w:numPr>
              <w:jc w:val="center"/>
            </w:pPr>
            <w:r>
              <w:rPr>
                <w:rFonts w:hint="eastAsia"/>
              </w:rPr>
              <w:t>数量</w:t>
            </w:r>
          </w:p>
        </w:tc>
        <w:tc>
          <w:tcPr>
            <w:tcW w:w="1327" w:type="dxa"/>
            <w:vAlign w:val="center"/>
          </w:tcPr>
          <w:p>
            <w:pPr>
              <w:pStyle w:val="10"/>
              <w:numPr>
                <w:ilvl w:val="0"/>
                <w:numId w:val="0"/>
              </w:numPr>
              <w:jc w:val="center"/>
            </w:pPr>
            <w:r>
              <w:rPr>
                <w:rFonts w:hint="eastAsia"/>
              </w:rPr>
              <w:t>单价</w:t>
            </w:r>
          </w:p>
        </w:tc>
        <w:tc>
          <w:tcPr>
            <w:tcW w:w="1327" w:type="dxa"/>
            <w:vAlign w:val="center"/>
          </w:tcPr>
          <w:p>
            <w:pPr>
              <w:pStyle w:val="10"/>
              <w:numPr>
                <w:ilvl w:val="0"/>
                <w:numId w:val="0"/>
              </w:numPr>
              <w:jc w:val="center"/>
            </w:pPr>
            <w:r>
              <w:rPr>
                <w:rFonts w:hint="eastAsia"/>
              </w:rPr>
              <w:t>小计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jc w:val="center"/>
        </w:trPr>
        <w:tc>
          <w:tcPr>
            <w:tcW w:w="945" w:type="dxa"/>
            <w:vAlign w:val="center"/>
          </w:tcPr>
          <w:p>
            <w:pPr>
              <w:pStyle w:val="10"/>
              <w:numPr>
                <w:ilvl w:val="0"/>
                <w:numId w:val="0"/>
              </w:numPr>
              <w:jc w:val="center"/>
            </w:pPr>
            <w:r>
              <w:rPr>
                <w:rFonts w:hint="eastAsia"/>
              </w:rPr>
              <w:t>1</w:t>
            </w:r>
          </w:p>
        </w:tc>
        <w:tc>
          <w:tcPr>
            <w:tcW w:w="1882" w:type="dxa"/>
            <w:vAlign w:val="center"/>
          </w:tcPr>
          <w:p>
            <w:pPr>
              <w:pStyle w:val="10"/>
              <w:numPr>
                <w:ilvl w:val="0"/>
                <w:numId w:val="0"/>
              </w:numPr>
              <w:jc w:val="center"/>
            </w:pPr>
          </w:p>
        </w:tc>
        <w:tc>
          <w:tcPr>
            <w:tcW w:w="1392" w:type="dxa"/>
            <w:vAlign w:val="center"/>
          </w:tcPr>
          <w:p>
            <w:pPr>
              <w:pStyle w:val="10"/>
              <w:numPr>
                <w:ilvl w:val="0"/>
                <w:numId w:val="0"/>
              </w:numPr>
              <w:jc w:val="center"/>
            </w:pPr>
          </w:p>
        </w:tc>
        <w:tc>
          <w:tcPr>
            <w:tcW w:w="1086" w:type="dxa"/>
            <w:vAlign w:val="center"/>
          </w:tcPr>
          <w:p>
            <w:pPr>
              <w:pStyle w:val="10"/>
              <w:numPr>
                <w:ilvl w:val="0"/>
                <w:numId w:val="0"/>
              </w:numPr>
              <w:jc w:val="center"/>
            </w:pPr>
          </w:p>
        </w:tc>
        <w:tc>
          <w:tcPr>
            <w:tcW w:w="1327" w:type="dxa"/>
            <w:vAlign w:val="center"/>
          </w:tcPr>
          <w:p>
            <w:pPr>
              <w:pStyle w:val="10"/>
              <w:numPr>
                <w:ilvl w:val="0"/>
                <w:numId w:val="0"/>
              </w:numPr>
              <w:jc w:val="center"/>
            </w:pPr>
          </w:p>
        </w:tc>
        <w:tc>
          <w:tcPr>
            <w:tcW w:w="1327" w:type="dxa"/>
            <w:vAlign w:val="center"/>
          </w:tcPr>
          <w:p>
            <w:pPr>
              <w:pStyle w:val="10"/>
              <w:numPr>
                <w:ilvl w:val="0"/>
                <w:numId w:val="0"/>
              </w:num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jc w:val="center"/>
        </w:trPr>
        <w:tc>
          <w:tcPr>
            <w:tcW w:w="945" w:type="dxa"/>
            <w:vAlign w:val="center"/>
          </w:tcPr>
          <w:p>
            <w:pPr>
              <w:pStyle w:val="10"/>
              <w:numPr>
                <w:ilvl w:val="0"/>
                <w:numId w:val="0"/>
              </w:numPr>
              <w:jc w:val="center"/>
            </w:pPr>
            <w:r>
              <w:rPr>
                <w:rFonts w:hint="eastAsia"/>
              </w:rPr>
              <w:t>2</w:t>
            </w:r>
          </w:p>
        </w:tc>
        <w:tc>
          <w:tcPr>
            <w:tcW w:w="1882" w:type="dxa"/>
            <w:vAlign w:val="center"/>
          </w:tcPr>
          <w:p>
            <w:pPr>
              <w:pStyle w:val="10"/>
              <w:numPr>
                <w:ilvl w:val="0"/>
                <w:numId w:val="0"/>
              </w:numPr>
              <w:jc w:val="center"/>
            </w:pPr>
          </w:p>
        </w:tc>
        <w:tc>
          <w:tcPr>
            <w:tcW w:w="1392" w:type="dxa"/>
            <w:vAlign w:val="center"/>
          </w:tcPr>
          <w:p>
            <w:pPr>
              <w:pStyle w:val="10"/>
              <w:numPr>
                <w:ilvl w:val="0"/>
                <w:numId w:val="0"/>
              </w:numPr>
              <w:jc w:val="center"/>
            </w:pPr>
          </w:p>
        </w:tc>
        <w:tc>
          <w:tcPr>
            <w:tcW w:w="1086" w:type="dxa"/>
            <w:vAlign w:val="center"/>
          </w:tcPr>
          <w:p>
            <w:pPr>
              <w:pStyle w:val="10"/>
              <w:numPr>
                <w:ilvl w:val="0"/>
                <w:numId w:val="0"/>
              </w:numPr>
              <w:jc w:val="center"/>
            </w:pPr>
          </w:p>
        </w:tc>
        <w:tc>
          <w:tcPr>
            <w:tcW w:w="1327" w:type="dxa"/>
            <w:vAlign w:val="center"/>
          </w:tcPr>
          <w:p>
            <w:pPr>
              <w:pStyle w:val="10"/>
              <w:numPr>
                <w:ilvl w:val="0"/>
                <w:numId w:val="0"/>
              </w:numPr>
              <w:jc w:val="center"/>
            </w:pPr>
          </w:p>
        </w:tc>
        <w:tc>
          <w:tcPr>
            <w:tcW w:w="1327" w:type="dxa"/>
            <w:vAlign w:val="center"/>
          </w:tcPr>
          <w:p>
            <w:pPr>
              <w:pStyle w:val="10"/>
              <w:numPr>
                <w:ilvl w:val="0"/>
                <w:numId w:val="0"/>
              </w:num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jc w:val="center"/>
        </w:trPr>
        <w:tc>
          <w:tcPr>
            <w:tcW w:w="945" w:type="dxa"/>
            <w:vAlign w:val="center"/>
          </w:tcPr>
          <w:p>
            <w:pPr>
              <w:pStyle w:val="10"/>
              <w:numPr>
                <w:ilvl w:val="0"/>
                <w:numId w:val="0"/>
              </w:numPr>
              <w:jc w:val="center"/>
            </w:pPr>
            <w:r>
              <w:rPr>
                <w:rFonts w:hint="eastAsia" w:ascii="宋体" w:eastAsia="宋体" w:cs="宋体"/>
              </w:rPr>
              <w:t>……</w:t>
            </w:r>
          </w:p>
        </w:tc>
        <w:tc>
          <w:tcPr>
            <w:tcW w:w="1882" w:type="dxa"/>
            <w:vAlign w:val="center"/>
          </w:tcPr>
          <w:p>
            <w:pPr>
              <w:pStyle w:val="10"/>
              <w:numPr>
                <w:ilvl w:val="0"/>
                <w:numId w:val="0"/>
              </w:numPr>
              <w:jc w:val="center"/>
            </w:pPr>
          </w:p>
        </w:tc>
        <w:tc>
          <w:tcPr>
            <w:tcW w:w="1392" w:type="dxa"/>
            <w:vAlign w:val="center"/>
          </w:tcPr>
          <w:p>
            <w:pPr>
              <w:pStyle w:val="10"/>
              <w:numPr>
                <w:ilvl w:val="0"/>
                <w:numId w:val="0"/>
              </w:numPr>
              <w:jc w:val="center"/>
            </w:pPr>
          </w:p>
        </w:tc>
        <w:tc>
          <w:tcPr>
            <w:tcW w:w="1086" w:type="dxa"/>
            <w:vAlign w:val="center"/>
          </w:tcPr>
          <w:p>
            <w:pPr>
              <w:pStyle w:val="10"/>
              <w:numPr>
                <w:ilvl w:val="0"/>
                <w:numId w:val="0"/>
              </w:numPr>
              <w:jc w:val="center"/>
            </w:pPr>
          </w:p>
        </w:tc>
        <w:tc>
          <w:tcPr>
            <w:tcW w:w="1327" w:type="dxa"/>
            <w:vAlign w:val="center"/>
          </w:tcPr>
          <w:p>
            <w:pPr>
              <w:pStyle w:val="10"/>
              <w:numPr>
                <w:ilvl w:val="0"/>
                <w:numId w:val="0"/>
              </w:numPr>
              <w:jc w:val="center"/>
            </w:pPr>
          </w:p>
        </w:tc>
        <w:tc>
          <w:tcPr>
            <w:tcW w:w="1327" w:type="dxa"/>
            <w:vAlign w:val="center"/>
          </w:tcPr>
          <w:p>
            <w:pPr>
              <w:pStyle w:val="10"/>
              <w:numPr>
                <w:ilvl w:val="0"/>
                <w:numId w:val="0"/>
              </w:num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jc w:val="center"/>
        </w:trPr>
        <w:tc>
          <w:tcPr>
            <w:tcW w:w="945" w:type="dxa"/>
            <w:vAlign w:val="center"/>
          </w:tcPr>
          <w:p>
            <w:pPr>
              <w:pStyle w:val="10"/>
              <w:numPr>
                <w:ilvl w:val="0"/>
                <w:numId w:val="0"/>
              </w:numPr>
              <w:jc w:val="center"/>
            </w:pPr>
            <w:r>
              <w:rPr>
                <w:rFonts w:hint="eastAsia"/>
              </w:rPr>
              <w:t>总金额</w:t>
            </w:r>
          </w:p>
        </w:tc>
        <w:tc>
          <w:tcPr>
            <w:tcW w:w="5687" w:type="dxa"/>
            <w:gridSpan w:val="4"/>
            <w:vAlign w:val="center"/>
          </w:tcPr>
          <w:p>
            <w:pPr>
              <w:pStyle w:val="10"/>
              <w:numPr>
                <w:ilvl w:val="0"/>
                <w:numId w:val="0"/>
              </w:numPr>
              <w:jc w:val="center"/>
            </w:pPr>
          </w:p>
        </w:tc>
        <w:tc>
          <w:tcPr>
            <w:tcW w:w="1327" w:type="dxa"/>
            <w:vAlign w:val="center"/>
          </w:tcPr>
          <w:p>
            <w:pPr>
              <w:pStyle w:val="10"/>
              <w:numPr>
                <w:ilvl w:val="0"/>
                <w:numId w:val="0"/>
              </w:numPr>
              <w:jc w:val="center"/>
            </w:pPr>
          </w:p>
        </w:tc>
      </w:tr>
    </w:tbl>
    <w:p>
      <w:pPr>
        <w:tabs>
          <w:tab w:val="left" w:pos="840"/>
        </w:tabs>
        <w:adjustRightInd w:val="0"/>
        <w:snapToGrid w:val="0"/>
        <w:spacing w:line="360" w:lineRule="auto"/>
        <w:ind w:firstLine="480" w:firstLineChars="200"/>
        <w:rPr>
          <w:rFonts w:ascii="宋体" w:cs="宋体"/>
          <w:sz w:val="24"/>
        </w:rPr>
      </w:pPr>
      <w:r>
        <w:rPr>
          <w:rFonts w:hint="eastAsia" w:ascii="宋体" w:cs="宋体"/>
          <w:sz w:val="24"/>
        </w:rPr>
        <w:t>2、价格解释：合同价格包括成本、税款、包装、运费、售后服务等全部费用，价格一次确定不再变更。</w:t>
      </w:r>
    </w:p>
    <w:p>
      <w:pPr>
        <w:tabs>
          <w:tab w:val="left" w:pos="840"/>
        </w:tabs>
        <w:adjustRightInd w:val="0"/>
        <w:snapToGrid w:val="0"/>
        <w:spacing w:line="360" w:lineRule="auto"/>
        <w:ind w:firstLine="482" w:firstLineChars="200"/>
        <w:rPr>
          <w:rFonts w:ascii="宋体" w:cs="宋体"/>
          <w:sz w:val="24"/>
        </w:rPr>
      </w:pPr>
      <w:r>
        <w:rPr>
          <w:rFonts w:hint="eastAsia" w:ascii="宋体" w:cs="宋体"/>
          <w:b/>
          <w:sz w:val="24"/>
        </w:rPr>
        <w:t>3、包装要求：</w:t>
      </w:r>
      <w:r>
        <w:rPr>
          <w:rFonts w:hint="eastAsia" w:ascii="宋体" w:cs="宋体"/>
          <w:sz w:val="24"/>
        </w:rPr>
        <w:t>不论采取何种包装形式，卖方均需确保货品无破损，无污染，且方便二次运输。产品包装按照大小包装分配成一定比例，而且标识清楚，以方便使用，避免浪费。因包装不当造成的损失由卖方负责，包退包换。</w:t>
      </w:r>
    </w:p>
    <w:p>
      <w:pPr>
        <w:adjustRightInd w:val="0"/>
        <w:snapToGrid w:val="0"/>
        <w:spacing w:line="360" w:lineRule="auto"/>
        <w:ind w:firstLine="482" w:firstLineChars="200"/>
        <w:rPr>
          <w:rFonts w:ascii="宋体" w:cs="宋体"/>
          <w:b/>
          <w:sz w:val="24"/>
        </w:rPr>
      </w:pPr>
      <w:r>
        <w:rPr>
          <w:rFonts w:hint="eastAsia" w:ascii="宋体" w:cs="宋体"/>
          <w:b/>
          <w:sz w:val="24"/>
        </w:rPr>
        <w:t>五、招标文件、投标文件，中标人在评标过程中的承诺文件，合同所附供货一览表均为本合同不可分割的一部分。如果供货一览表的内容与招、投标文件和评标结果表不一致时，以招、投标文件和评标结果表为准。</w:t>
      </w:r>
    </w:p>
    <w:p>
      <w:pPr>
        <w:adjustRightInd w:val="0"/>
        <w:snapToGrid w:val="0"/>
        <w:spacing w:line="360" w:lineRule="auto"/>
        <w:ind w:firstLine="482" w:firstLineChars="200"/>
        <w:rPr>
          <w:rFonts w:ascii="宋体" w:cs="宋体"/>
          <w:b/>
          <w:sz w:val="24"/>
        </w:rPr>
      </w:pPr>
      <w:r>
        <w:rPr>
          <w:rFonts w:hint="eastAsia" w:ascii="宋体" w:cs="宋体"/>
          <w:b/>
          <w:sz w:val="24"/>
        </w:rPr>
        <w:t>六、合同金额：</w:t>
      </w:r>
    </w:p>
    <w:p>
      <w:pPr>
        <w:adjustRightInd w:val="0"/>
        <w:snapToGrid w:val="0"/>
        <w:spacing w:line="360" w:lineRule="auto"/>
        <w:ind w:firstLine="480" w:firstLineChars="200"/>
        <w:rPr>
          <w:rFonts w:ascii="宋体" w:cs="宋体"/>
          <w:sz w:val="24"/>
          <w:u w:val="single"/>
        </w:rPr>
      </w:pPr>
      <w:r>
        <w:rPr>
          <w:rFonts w:hint="eastAsia" w:ascii="宋体" w:cs="宋体"/>
          <w:sz w:val="24"/>
        </w:rPr>
        <w:t>小写：</w:t>
      </w:r>
      <w:r>
        <w:rPr>
          <w:rFonts w:hint="eastAsia" w:ascii="宋体" w:cs="宋体"/>
          <w:sz w:val="24"/>
          <w:u w:val="single"/>
        </w:rPr>
        <w:t xml:space="preserve">¥        </w:t>
      </w:r>
    </w:p>
    <w:p>
      <w:pPr>
        <w:adjustRightInd w:val="0"/>
        <w:snapToGrid w:val="0"/>
        <w:spacing w:line="360" w:lineRule="auto"/>
        <w:ind w:firstLine="480" w:firstLineChars="200"/>
        <w:rPr>
          <w:rFonts w:ascii="宋体" w:cs="宋体"/>
          <w:sz w:val="24"/>
          <w:u w:val="single"/>
        </w:rPr>
      </w:pPr>
      <w:r>
        <w:rPr>
          <w:rFonts w:hint="eastAsia" w:ascii="宋体" w:cs="宋体"/>
          <w:sz w:val="24"/>
        </w:rPr>
        <w:t>大写：</w:t>
      </w:r>
    </w:p>
    <w:p>
      <w:pPr>
        <w:adjustRightInd w:val="0"/>
        <w:snapToGrid w:val="0"/>
        <w:spacing w:line="360" w:lineRule="auto"/>
        <w:ind w:firstLine="480" w:firstLineChars="200"/>
        <w:rPr>
          <w:rFonts w:ascii="宋体" w:cs="宋体"/>
          <w:sz w:val="24"/>
        </w:rPr>
      </w:pPr>
      <w:r>
        <w:rPr>
          <w:rFonts w:hint="eastAsia" w:ascii="宋体" w:cs="宋体"/>
          <w:sz w:val="24"/>
        </w:rPr>
        <w:t>数量：</w:t>
      </w:r>
    </w:p>
    <w:p>
      <w:pPr>
        <w:adjustRightInd w:val="0"/>
        <w:snapToGrid w:val="0"/>
        <w:spacing w:line="360" w:lineRule="auto"/>
        <w:ind w:firstLine="482" w:firstLineChars="200"/>
        <w:rPr>
          <w:rFonts w:ascii="宋体" w:cs="宋体"/>
          <w:b/>
          <w:sz w:val="24"/>
        </w:rPr>
      </w:pPr>
      <w:r>
        <w:rPr>
          <w:rFonts w:hint="eastAsia" w:ascii="宋体" w:cs="宋体"/>
          <w:b/>
          <w:sz w:val="24"/>
        </w:rPr>
        <w:t>七、一般条款：</w:t>
      </w:r>
    </w:p>
    <w:p>
      <w:pPr>
        <w:adjustRightInd w:val="0"/>
        <w:snapToGrid w:val="0"/>
        <w:spacing w:line="360" w:lineRule="auto"/>
        <w:ind w:firstLine="480" w:firstLineChars="200"/>
        <w:rPr>
          <w:rFonts w:ascii="宋体" w:cs="宋体"/>
          <w:sz w:val="24"/>
        </w:rPr>
      </w:pPr>
      <w:r>
        <w:rPr>
          <w:rFonts w:hint="eastAsia" w:ascii="宋体" w:cs="宋体"/>
          <w:sz w:val="24"/>
        </w:rPr>
        <w:t>1、卖方所提供的货物符合国家现行有效标准，因质量问题而发生的任何故障由卖方负责。</w:t>
      </w:r>
    </w:p>
    <w:p>
      <w:pPr>
        <w:adjustRightInd w:val="0"/>
        <w:snapToGrid w:val="0"/>
        <w:spacing w:line="360" w:lineRule="auto"/>
        <w:ind w:firstLine="480" w:firstLineChars="200"/>
        <w:rPr>
          <w:rFonts w:ascii="宋体" w:cs="宋体"/>
          <w:sz w:val="24"/>
        </w:rPr>
      </w:pPr>
      <w:r>
        <w:rPr>
          <w:rFonts w:hint="eastAsia" w:ascii="宋体" w:cs="宋体"/>
          <w:sz w:val="24"/>
        </w:rPr>
        <w:t>2、卖方承担交货前的一切责任和费用。</w:t>
      </w:r>
    </w:p>
    <w:p>
      <w:pPr>
        <w:adjustRightInd w:val="0"/>
        <w:snapToGrid w:val="0"/>
        <w:spacing w:line="360" w:lineRule="auto"/>
        <w:ind w:firstLine="480" w:firstLineChars="200"/>
        <w:rPr>
          <w:rFonts w:ascii="宋体" w:cs="宋体"/>
          <w:sz w:val="24"/>
        </w:rPr>
      </w:pPr>
      <w:r>
        <w:rPr>
          <w:rFonts w:hint="eastAsia" w:ascii="宋体" w:cs="宋体"/>
          <w:sz w:val="24"/>
        </w:rPr>
        <w:t>3、买方如发现损坏、缺件等问题，由卖方负责。</w:t>
      </w:r>
    </w:p>
    <w:p>
      <w:pPr>
        <w:adjustRightInd w:val="0"/>
        <w:snapToGrid w:val="0"/>
        <w:spacing w:line="360" w:lineRule="auto"/>
        <w:ind w:firstLine="480" w:firstLineChars="200"/>
        <w:rPr>
          <w:rFonts w:ascii="宋体" w:cs="宋体"/>
          <w:sz w:val="24"/>
        </w:rPr>
      </w:pPr>
      <w:r>
        <w:rPr>
          <w:rFonts w:hint="eastAsia" w:ascii="宋体" w:cs="宋体"/>
          <w:sz w:val="24"/>
        </w:rPr>
        <w:t>4、卖方在发运货物时需提供相应的技术文件，包括使用说明等。</w:t>
      </w:r>
    </w:p>
    <w:p>
      <w:pPr>
        <w:adjustRightInd w:val="0"/>
        <w:snapToGrid w:val="0"/>
        <w:spacing w:line="360" w:lineRule="auto"/>
        <w:ind w:firstLine="480" w:firstLineChars="200"/>
        <w:rPr>
          <w:rFonts w:ascii="宋体" w:cs="宋体"/>
          <w:sz w:val="24"/>
        </w:rPr>
      </w:pPr>
      <w:r>
        <w:rPr>
          <w:rFonts w:hint="eastAsia" w:ascii="宋体" w:cs="宋体"/>
          <w:sz w:val="24"/>
        </w:rPr>
        <w:t>5、卖方对所供产品保质期应按生产厂商的承诺执行(附生产厂家承诺)。</w:t>
      </w:r>
    </w:p>
    <w:p>
      <w:pPr>
        <w:adjustRightInd w:val="0"/>
        <w:snapToGrid w:val="0"/>
        <w:spacing w:line="360" w:lineRule="auto"/>
        <w:ind w:firstLine="480" w:firstLineChars="200"/>
        <w:rPr>
          <w:rFonts w:ascii="宋体" w:cs="宋体"/>
          <w:color w:val="000000" w:themeColor="text1"/>
          <w:sz w:val="24"/>
        </w:rPr>
      </w:pPr>
      <w:r>
        <w:rPr>
          <w:rFonts w:hint="eastAsia" w:ascii="宋体" w:cs="宋体"/>
          <w:sz w:val="24"/>
        </w:rPr>
        <w:t>6、</w:t>
      </w:r>
      <w:r>
        <w:rPr>
          <w:rFonts w:hint="eastAsia" w:ascii="宋体" w:cs="宋体"/>
          <w:color w:val="000000"/>
          <w:sz w:val="24"/>
        </w:rPr>
        <w:t>付款方式：</w:t>
      </w:r>
      <w:r>
        <w:rPr>
          <w:rFonts w:ascii="宋体" w:cs="宋体"/>
          <w:color w:val="000000" w:themeColor="text1"/>
          <w:sz w:val="24"/>
        </w:rPr>
        <w:t>最终以与甲方签订的《采购供应合同》的具体约定为准</w:t>
      </w:r>
    </w:p>
    <w:p>
      <w:pPr>
        <w:adjustRightInd w:val="0"/>
        <w:snapToGrid w:val="0"/>
        <w:spacing w:line="360" w:lineRule="auto"/>
        <w:ind w:firstLine="480" w:firstLineChars="200"/>
        <w:rPr>
          <w:rFonts w:ascii="宋体" w:cs="宋体"/>
          <w:sz w:val="24"/>
          <w:u w:val="single"/>
        </w:rPr>
      </w:pPr>
      <w:r>
        <w:rPr>
          <w:rFonts w:hint="eastAsia" w:ascii="宋体" w:cs="宋体"/>
          <w:sz w:val="24"/>
        </w:rPr>
        <w:t>7、合同所签定数量仅为参考数量，买方可根据实际需求情况适当增减数量。</w:t>
      </w:r>
    </w:p>
    <w:p>
      <w:pPr>
        <w:adjustRightInd w:val="0"/>
        <w:snapToGrid w:val="0"/>
        <w:spacing w:line="360" w:lineRule="auto"/>
        <w:ind w:firstLine="480" w:firstLineChars="200"/>
        <w:rPr>
          <w:rFonts w:ascii="宋体" w:cs="宋体"/>
          <w:sz w:val="24"/>
        </w:rPr>
      </w:pPr>
      <w:r>
        <w:rPr>
          <w:rFonts w:hint="eastAsia" w:ascii="宋体" w:cs="宋体"/>
          <w:sz w:val="24"/>
        </w:rPr>
        <w:t>8、凡货款由财政国库或采购人支付的,卖方凭合同向买方供货,未见合同供货而造成的一切后果由卖方负责。</w:t>
      </w:r>
    </w:p>
    <w:p>
      <w:pPr>
        <w:adjustRightInd w:val="0"/>
        <w:snapToGrid w:val="0"/>
        <w:spacing w:line="360" w:lineRule="auto"/>
        <w:ind w:firstLine="480" w:firstLineChars="200"/>
        <w:rPr>
          <w:rFonts w:ascii="宋体" w:cs="宋体"/>
          <w:sz w:val="24"/>
        </w:rPr>
      </w:pPr>
      <w:r>
        <w:rPr>
          <w:rFonts w:hint="eastAsia" w:ascii="宋体" w:cs="宋体"/>
          <w:sz w:val="24"/>
        </w:rPr>
        <w:t>9、买卖双方签订的合同，应在相关部门的监督下认真履行。</w:t>
      </w:r>
    </w:p>
    <w:p>
      <w:pPr>
        <w:adjustRightInd w:val="0"/>
        <w:snapToGrid w:val="0"/>
        <w:spacing w:line="360" w:lineRule="auto"/>
        <w:ind w:firstLine="480" w:firstLineChars="200"/>
        <w:rPr>
          <w:rFonts w:ascii="宋体" w:cs="宋体"/>
          <w:sz w:val="24"/>
        </w:rPr>
      </w:pPr>
      <w:r>
        <w:rPr>
          <w:rFonts w:hint="eastAsia" w:ascii="宋体" w:cs="宋体"/>
          <w:sz w:val="24"/>
        </w:rPr>
        <w:t>10、违约责任：卖方应依据合同规定时间按时交货，如不能，由此给买方带来的损失由卖方负责，将没收履约保证金，并上报财政部门依法处理。</w:t>
      </w:r>
    </w:p>
    <w:p>
      <w:pPr>
        <w:adjustRightInd w:val="0"/>
        <w:snapToGrid w:val="0"/>
        <w:spacing w:line="360" w:lineRule="auto"/>
        <w:ind w:firstLine="480" w:firstLineChars="200"/>
        <w:rPr>
          <w:rFonts w:ascii="宋体" w:cs="宋体"/>
          <w:sz w:val="24"/>
        </w:rPr>
      </w:pPr>
      <w:r>
        <w:rPr>
          <w:rFonts w:hint="eastAsia" w:ascii="宋体" w:cs="宋体"/>
          <w:sz w:val="24"/>
        </w:rPr>
        <w:t xml:space="preserve">11、质量验收： </w:t>
      </w:r>
    </w:p>
    <w:p>
      <w:pPr>
        <w:adjustRightInd w:val="0"/>
        <w:snapToGrid w:val="0"/>
        <w:spacing w:line="360" w:lineRule="auto"/>
        <w:ind w:firstLine="480" w:firstLineChars="200"/>
        <w:rPr>
          <w:rFonts w:ascii="宋体" w:cs="宋体"/>
          <w:sz w:val="24"/>
        </w:rPr>
      </w:pPr>
      <w:r>
        <w:rPr>
          <w:rFonts w:hint="eastAsia" w:ascii="宋体" w:cs="宋体"/>
          <w:sz w:val="24"/>
        </w:rPr>
        <w:t>（1）买方应当在10个工作日内完成到货验收工作，验收合格后在验收单上签署 “验收合格”字样，逾期验收视为验收合格。</w:t>
      </w:r>
    </w:p>
    <w:p>
      <w:pPr>
        <w:adjustRightInd w:val="0"/>
        <w:snapToGrid w:val="0"/>
        <w:spacing w:line="360" w:lineRule="auto"/>
        <w:ind w:firstLine="480" w:firstLineChars="200"/>
        <w:jc w:val="left"/>
        <w:rPr>
          <w:rFonts w:ascii="宋体" w:cs="宋体"/>
          <w:sz w:val="24"/>
        </w:rPr>
      </w:pPr>
      <w:r>
        <w:rPr>
          <w:rFonts w:hint="eastAsia" w:ascii="宋体" w:cs="宋体"/>
          <w:sz w:val="24"/>
        </w:rPr>
        <w:t>（2）买方委托的验收人在验收中发现不符合合同要求和验收标准或有异议时，应由买方及时通知卖方，卖方应在接到通知后三天内给予答复，并负责处理，若需送法定质检部门检验，检验费用由卖方承担。如发现质量严重不符合质量要求的，买方可通知卖方停止供货，解除合同。</w:t>
      </w:r>
    </w:p>
    <w:p>
      <w:pPr>
        <w:adjustRightInd w:val="0"/>
        <w:snapToGrid w:val="0"/>
        <w:spacing w:line="360" w:lineRule="auto"/>
        <w:ind w:firstLine="482" w:firstLineChars="200"/>
        <w:rPr>
          <w:rFonts w:ascii="宋体" w:cs="宋体"/>
          <w:b/>
          <w:sz w:val="24"/>
        </w:rPr>
      </w:pPr>
      <w:r>
        <w:rPr>
          <w:rFonts w:hint="eastAsia" w:ascii="宋体" w:cs="宋体"/>
          <w:b/>
          <w:sz w:val="24"/>
        </w:rPr>
        <w:t>八、交货时间、交货地点和验收单位：</w:t>
      </w:r>
    </w:p>
    <w:p>
      <w:pPr>
        <w:adjustRightInd w:val="0"/>
        <w:snapToGrid w:val="0"/>
        <w:spacing w:line="360" w:lineRule="auto"/>
        <w:ind w:firstLine="480" w:firstLineChars="200"/>
        <w:rPr>
          <w:rFonts w:ascii="宋体" w:cs="宋体"/>
          <w:sz w:val="24"/>
          <w:u w:val="single"/>
        </w:rPr>
      </w:pPr>
      <w:r>
        <w:rPr>
          <w:rFonts w:hint="eastAsia" w:ascii="宋体" w:cs="宋体"/>
          <w:sz w:val="24"/>
        </w:rPr>
        <w:t>（1）交货地点：</w:t>
      </w:r>
      <w:r>
        <w:rPr>
          <w:rFonts w:hint="eastAsia" w:ascii="宋体" w:cs="宋体"/>
          <w:color w:val="000000" w:themeColor="text1"/>
          <w:sz w:val="24"/>
          <w:u w:val="single"/>
        </w:rPr>
        <w:t>甲方指定地点</w:t>
      </w:r>
    </w:p>
    <w:p>
      <w:pPr>
        <w:adjustRightInd w:val="0"/>
        <w:snapToGrid w:val="0"/>
        <w:spacing w:line="360" w:lineRule="auto"/>
        <w:ind w:firstLine="480" w:firstLineChars="200"/>
        <w:rPr>
          <w:rFonts w:ascii="宋体" w:cs="宋体"/>
          <w:sz w:val="24"/>
          <w:u w:val="single"/>
        </w:rPr>
      </w:pPr>
      <w:r>
        <w:rPr>
          <w:rFonts w:hint="eastAsia" w:ascii="宋体" w:cs="宋体"/>
          <w:sz w:val="24"/>
        </w:rPr>
        <w:t>（2）验收单位：</w:t>
      </w:r>
      <w:r>
        <w:rPr>
          <w:rFonts w:hint="eastAsia" w:ascii="宋体" w:cs="宋体"/>
          <w:sz w:val="24"/>
          <w:u w:val="single"/>
        </w:rPr>
        <w:t>甲方及相关单位</w:t>
      </w:r>
    </w:p>
    <w:p>
      <w:pPr>
        <w:adjustRightInd w:val="0"/>
        <w:snapToGrid w:val="0"/>
        <w:spacing w:line="360" w:lineRule="auto"/>
        <w:ind w:firstLine="482" w:firstLineChars="200"/>
        <w:rPr>
          <w:rFonts w:ascii="宋体" w:cs="宋体"/>
          <w:b/>
          <w:sz w:val="24"/>
        </w:rPr>
      </w:pPr>
      <w:r>
        <w:rPr>
          <w:rFonts w:hint="eastAsia" w:ascii="宋体" w:cs="宋体"/>
          <w:b/>
          <w:sz w:val="24"/>
        </w:rPr>
        <w:t>九、经济责任：</w:t>
      </w:r>
    </w:p>
    <w:p>
      <w:pPr>
        <w:adjustRightInd w:val="0"/>
        <w:snapToGrid w:val="0"/>
        <w:spacing w:line="360" w:lineRule="auto"/>
        <w:ind w:firstLine="480" w:firstLineChars="200"/>
        <w:rPr>
          <w:rFonts w:ascii="宋体" w:cs="宋体"/>
          <w:sz w:val="24"/>
        </w:rPr>
      </w:pPr>
      <w:r>
        <w:rPr>
          <w:rFonts w:hint="eastAsia" w:ascii="宋体" w:cs="宋体"/>
          <w:sz w:val="24"/>
        </w:rPr>
        <w:t>卖方责任：</w:t>
      </w:r>
    </w:p>
    <w:p>
      <w:pPr>
        <w:adjustRightInd w:val="0"/>
        <w:snapToGrid w:val="0"/>
        <w:spacing w:line="360" w:lineRule="auto"/>
        <w:ind w:firstLine="480" w:firstLineChars="200"/>
        <w:rPr>
          <w:rFonts w:ascii="宋体" w:cs="宋体"/>
          <w:sz w:val="24"/>
        </w:rPr>
      </w:pPr>
      <w:r>
        <w:rPr>
          <w:rFonts w:hint="eastAsia" w:ascii="宋体" w:cs="宋体"/>
          <w:sz w:val="24"/>
        </w:rPr>
        <w:t>（1）卖方不履行合同或交付的数量全部或部分不符合合同要求的，买方或买方委托验收人有权拒收不符合质量要求的全部或部分货物。</w:t>
      </w:r>
    </w:p>
    <w:p>
      <w:pPr>
        <w:adjustRightInd w:val="0"/>
        <w:snapToGrid w:val="0"/>
        <w:spacing w:line="360" w:lineRule="auto"/>
        <w:ind w:firstLine="480" w:firstLineChars="200"/>
        <w:rPr>
          <w:rFonts w:ascii="宋体" w:cs="宋体"/>
          <w:sz w:val="24"/>
        </w:rPr>
      </w:pPr>
      <w:r>
        <w:rPr>
          <w:rFonts w:hint="eastAsia" w:ascii="宋体" w:cs="宋体"/>
          <w:sz w:val="24"/>
        </w:rPr>
        <w:t>（2）货物质量不符合合同规定时，卖方负责包退包换。由于上述原因导致延误交货时间的，每延误一日，供应方应按逾期交货部分货物价款总值的5‰向买方偿付违约金。</w:t>
      </w:r>
    </w:p>
    <w:p>
      <w:pPr>
        <w:adjustRightInd w:val="0"/>
        <w:snapToGrid w:val="0"/>
        <w:spacing w:line="360" w:lineRule="auto"/>
        <w:ind w:firstLine="480" w:firstLineChars="200"/>
        <w:rPr>
          <w:rFonts w:ascii="宋体" w:cs="宋体"/>
          <w:sz w:val="24"/>
        </w:rPr>
      </w:pPr>
      <w:r>
        <w:rPr>
          <w:rFonts w:hint="eastAsia" w:ascii="宋体" w:cs="宋体"/>
          <w:sz w:val="24"/>
        </w:rPr>
        <w:t>（3）卖方必须按合同规定的日期交货，每逾期一日，卖方必须向买方支付逾期交货货物总额5‰的违约金。逾期交货超过10日，买方有权解除合同，履约保证金不予退还。</w:t>
      </w:r>
    </w:p>
    <w:p>
      <w:pPr>
        <w:adjustRightInd w:val="0"/>
        <w:snapToGrid w:val="0"/>
        <w:spacing w:line="360" w:lineRule="auto"/>
        <w:ind w:firstLine="482" w:firstLineChars="200"/>
        <w:rPr>
          <w:rFonts w:ascii="宋体" w:cs="宋体"/>
          <w:b/>
          <w:sz w:val="24"/>
        </w:rPr>
      </w:pPr>
      <w:r>
        <w:rPr>
          <w:rFonts w:hint="eastAsia" w:ascii="宋体" w:cs="宋体"/>
          <w:b/>
          <w:sz w:val="24"/>
        </w:rPr>
        <w:t>十、合同解释：</w:t>
      </w:r>
    </w:p>
    <w:p>
      <w:pPr>
        <w:adjustRightInd w:val="0"/>
        <w:snapToGrid w:val="0"/>
        <w:spacing w:line="360" w:lineRule="auto"/>
        <w:ind w:firstLine="480" w:firstLineChars="200"/>
        <w:rPr>
          <w:rFonts w:ascii="宋体" w:cs="宋体"/>
          <w:sz w:val="24"/>
        </w:rPr>
      </w:pPr>
      <w:r>
        <w:rPr>
          <w:rFonts w:hint="eastAsia" w:ascii="宋体" w:cs="宋体"/>
          <w:sz w:val="24"/>
        </w:rPr>
        <w:t xml:space="preserve">如合同条文存在歧义，《民法典》又无明文规定，依照交易习惯和采购当事人订立合同的目的做合理并且善意的解释，以维护交易安全和社会的公序良俗。 </w:t>
      </w:r>
    </w:p>
    <w:p>
      <w:pPr>
        <w:adjustRightInd w:val="0"/>
        <w:snapToGrid w:val="0"/>
        <w:spacing w:line="360" w:lineRule="auto"/>
        <w:ind w:firstLine="482" w:firstLineChars="200"/>
        <w:rPr>
          <w:rFonts w:ascii="宋体" w:cs="宋体"/>
          <w:b/>
          <w:sz w:val="24"/>
        </w:rPr>
      </w:pPr>
      <w:r>
        <w:rPr>
          <w:rFonts w:hint="eastAsia" w:ascii="宋体" w:cs="宋体"/>
          <w:b/>
          <w:sz w:val="24"/>
        </w:rPr>
        <w:t>十一、争议解决</w:t>
      </w:r>
    </w:p>
    <w:p>
      <w:pPr>
        <w:adjustRightInd w:val="0"/>
        <w:snapToGrid w:val="0"/>
        <w:spacing w:line="360" w:lineRule="auto"/>
        <w:ind w:firstLine="480" w:firstLineChars="200"/>
        <w:rPr>
          <w:rFonts w:ascii="宋体" w:cs="宋体"/>
          <w:color w:val="00B0F0"/>
          <w:sz w:val="24"/>
        </w:rPr>
      </w:pPr>
      <w:r>
        <w:rPr>
          <w:rFonts w:hint="eastAsia" w:ascii="宋体" w:cs="宋体"/>
          <w:sz w:val="24"/>
        </w:rPr>
        <w:t>合同执行过程中发生的</w:t>
      </w:r>
      <w:r>
        <w:rPr>
          <w:rFonts w:hint="eastAsia" w:ascii="宋体" w:cs="宋体"/>
          <w:color w:val="000000" w:themeColor="text1"/>
          <w:sz w:val="24"/>
        </w:rPr>
        <w:t>一切争议，双方应通过友好协商解决，如协商不能解决，提交甲方所在地人民法院诉讼解决。</w:t>
      </w:r>
    </w:p>
    <w:p>
      <w:pPr>
        <w:adjustRightInd w:val="0"/>
        <w:snapToGrid w:val="0"/>
        <w:spacing w:line="360" w:lineRule="auto"/>
        <w:ind w:firstLine="482" w:firstLineChars="200"/>
        <w:rPr>
          <w:rFonts w:ascii="宋体" w:cs="宋体"/>
          <w:b/>
          <w:sz w:val="24"/>
        </w:rPr>
      </w:pPr>
      <w:r>
        <w:rPr>
          <w:rFonts w:hint="eastAsia" w:ascii="宋体" w:cs="宋体"/>
          <w:b/>
          <w:sz w:val="24"/>
        </w:rPr>
        <w:t>十二、合同生效</w:t>
      </w:r>
    </w:p>
    <w:p>
      <w:pPr>
        <w:adjustRightInd w:val="0"/>
        <w:snapToGrid w:val="0"/>
        <w:spacing w:line="360" w:lineRule="auto"/>
        <w:ind w:firstLine="480" w:firstLineChars="200"/>
        <w:rPr>
          <w:rFonts w:ascii="宋体" w:cs="宋体"/>
          <w:sz w:val="24"/>
        </w:rPr>
      </w:pPr>
      <w:r>
        <w:rPr>
          <w:rFonts w:hint="eastAsia" w:ascii="宋体" w:cs="宋体"/>
          <w:sz w:val="24"/>
        </w:rPr>
        <w:t>本合同经买卖双方及招标单位授权代表签字盖章后生效</w:t>
      </w:r>
      <w:r>
        <w:rPr>
          <w:rFonts w:hint="eastAsia" w:ascii="宋体" w:cs="宋体"/>
          <w:color w:val="000000" w:themeColor="text1"/>
          <w:sz w:val="24"/>
        </w:rPr>
        <w:t>且买方收到卖方缴纳的全部履约保证金后生效。本</w:t>
      </w:r>
      <w:r>
        <w:rPr>
          <w:rFonts w:hint="eastAsia" w:ascii="宋体" w:cs="宋体"/>
          <w:sz w:val="24"/>
        </w:rPr>
        <w:t>合同具有法律效力，受国家法律保护。</w:t>
      </w:r>
    </w:p>
    <w:p>
      <w:pPr>
        <w:adjustRightInd w:val="0"/>
        <w:snapToGrid w:val="0"/>
        <w:spacing w:line="360" w:lineRule="auto"/>
        <w:ind w:firstLine="482" w:firstLineChars="200"/>
        <w:rPr>
          <w:rFonts w:ascii="宋体" w:cs="宋体"/>
          <w:b/>
          <w:sz w:val="24"/>
        </w:rPr>
      </w:pPr>
      <w:r>
        <w:rPr>
          <w:rFonts w:hint="eastAsia" w:ascii="宋体" w:cs="宋体"/>
          <w:b/>
          <w:sz w:val="24"/>
        </w:rPr>
        <w:t>十三、合同份数</w:t>
      </w:r>
    </w:p>
    <w:p>
      <w:pPr>
        <w:adjustRightInd w:val="0"/>
        <w:snapToGrid w:val="0"/>
        <w:spacing w:line="360" w:lineRule="auto"/>
        <w:ind w:firstLine="480" w:firstLineChars="200"/>
        <w:rPr>
          <w:rFonts w:ascii="宋体" w:cs="宋体"/>
          <w:sz w:val="24"/>
        </w:rPr>
      </w:pPr>
      <w:r>
        <w:rPr>
          <w:rFonts w:hint="eastAsia" w:ascii="宋体" w:cs="宋体"/>
          <w:sz w:val="24"/>
        </w:rPr>
        <w:t>本合同一式五份，甲乙双方各执一份，招标代理机构三份（监管部门一份、甲方资料一份，留档一份）。</w:t>
      </w:r>
    </w:p>
    <w:p>
      <w:pPr>
        <w:adjustRightInd w:val="0"/>
        <w:snapToGrid w:val="0"/>
        <w:spacing w:line="360" w:lineRule="auto"/>
        <w:ind w:firstLine="482" w:firstLineChars="200"/>
        <w:rPr>
          <w:rFonts w:ascii="宋体" w:cs="宋体"/>
          <w:b/>
          <w:sz w:val="24"/>
        </w:rPr>
      </w:pPr>
      <w:r>
        <w:rPr>
          <w:rFonts w:hint="eastAsia" w:ascii="宋体" w:cs="宋体"/>
          <w:b/>
          <w:sz w:val="24"/>
        </w:rPr>
        <w:t>十四、其他</w:t>
      </w:r>
    </w:p>
    <w:p>
      <w:pPr>
        <w:adjustRightInd w:val="0"/>
        <w:snapToGrid w:val="0"/>
        <w:spacing w:line="360" w:lineRule="auto"/>
        <w:ind w:firstLine="480" w:firstLineChars="200"/>
        <w:rPr>
          <w:rFonts w:ascii="宋体" w:cs="宋体"/>
          <w:sz w:val="24"/>
        </w:rPr>
      </w:pPr>
      <w:r>
        <w:rPr>
          <w:rFonts w:hint="eastAsia" w:ascii="宋体" w:cs="宋体"/>
          <w:sz w:val="24"/>
        </w:rPr>
        <w:t>其它未尽事宜由买卖双方协商约定。另定补充协议，补充协议与本协议具有同等法律效力。</w:t>
      </w:r>
    </w:p>
    <w:p>
      <w:pPr>
        <w:widowControl/>
        <w:spacing w:line="360" w:lineRule="auto"/>
        <w:ind w:firstLine="482" w:firstLineChars="200"/>
        <w:jc w:val="left"/>
        <w:rPr>
          <w:rFonts w:ascii="宋体" w:cs="宋体"/>
          <w:b/>
          <w:color w:val="333333"/>
          <w:kern w:val="0"/>
          <w:sz w:val="24"/>
        </w:rPr>
      </w:pPr>
      <w:r>
        <w:rPr>
          <w:rFonts w:hint="eastAsia" w:ascii="宋体" w:cs="宋体"/>
          <w:b/>
          <w:color w:val="333333"/>
          <w:kern w:val="0"/>
          <w:sz w:val="24"/>
        </w:rPr>
        <w:t>甲方采购方：（盖章）              乙方供货服务方：（盖章）</w:t>
      </w:r>
    </w:p>
    <w:p>
      <w:pPr>
        <w:widowControl/>
        <w:spacing w:line="360" w:lineRule="auto"/>
        <w:ind w:firstLine="480" w:firstLineChars="200"/>
        <w:jc w:val="left"/>
        <w:rPr>
          <w:rFonts w:ascii="宋体" w:cs="宋体"/>
          <w:color w:val="333333"/>
          <w:kern w:val="0"/>
          <w:sz w:val="24"/>
        </w:rPr>
      </w:pPr>
      <w:r>
        <w:rPr>
          <w:rFonts w:hint="eastAsia" w:ascii="宋体" w:cs="宋体"/>
          <w:color w:val="333333"/>
          <w:kern w:val="0"/>
          <w:sz w:val="24"/>
        </w:rPr>
        <w:t>法人代表：                        法人代表：</w:t>
      </w:r>
    </w:p>
    <w:p>
      <w:pPr>
        <w:widowControl/>
        <w:spacing w:line="360" w:lineRule="auto"/>
        <w:ind w:firstLine="480" w:firstLineChars="200"/>
        <w:jc w:val="left"/>
        <w:rPr>
          <w:rFonts w:ascii="宋体" w:cs="宋体"/>
          <w:color w:val="333333"/>
          <w:sz w:val="24"/>
        </w:rPr>
      </w:pPr>
      <w:r>
        <w:rPr>
          <w:rFonts w:hint="eastAsia" w:ascii="宋体" w:cs="宋体"/>
          <w:color w:val="333333"/>
          <w:kern w:val="0"/>
          <w:sz w:val="24"/>
        </w:rPr>
        <w:t>委托人：                          委托人：</w:t>
      </w:r>
    </w:p>
    <w:p>
      <w:pPr>
        <w:widowControl/>
        <w:spacing w:line="360" w:lineRule="auto"/>
        <w:ind w:firstLine="480" w:firstLineChars="200"/>
        <w:jc w:val="left"/>
        <w:rPr>
          <w:rFonts w:ascii="仿宋" w:eastAsia="仿宋"/>
          <w:sz w:val="30"/>
          <w:szCs w:val="30"/>
        </w:rPr>
      </w:pPr>
      <w:r>
        <w:rPr>
          <w:rFonts w:hint="eastAsia" w:ascii="宋体" w:cs="宋体"/>
          <w:color w:val="333333"/>
          <w:kern w:val="0"/>
          <w:sz w:val="24"/>
        </w:rPr>
        <w:t>日 期：                           日期：</w:t>
      </w:r>
    </w:p>
    <w:p>
      <w:pPr>
        <w:ind w:firstLine="480" w:firstLineChars="200"/>
        <w:rPr>
          <w:rFonts w:ascii="黑体" w:eastAsia="黑体" w:cs="黑体"/>
          <w:sz w:val="24"/>
        </w:rPr>
      </w:pPr>
      <w:r>
        <w:rPr>
          <w:rFonts w:hint="eastAsia" w:ascii="黑体" w:eastAsia="黑体" w:cs="黑体"/>
          <w:sz w:val="24"/>
        </w:rPr>
        <w:br w:type="page"/>
      </w:r>
    </w:p>
    <w:p>
      <w:pPr>
        <w:pStyle w:val="3"/>
        <w:ind w:firstLine="482" w:firstLineChars="200"/>
        <w:jc w:val="center"/>
        <w:rPr>
          <w:rFonts w:ascii="黑体" w:eastAsia="黑体" w:cs="黑体"/>
          <w:sz w:val="24"/>
        </w:rPr>
      </w:pPr>
      <w:bookmarkStart w:id="26" w:name="_Toc14451"/>
      <w:r>
        <w:rPr>
          <w:rFonts w:hint="eastAsia" w:ascii="黑体" w:eastAsia="黑体" w:cs="黑体"/>
          <w:color w:val="000000"/>
          <w:sz w:val="24"/>
        </w:rPr>
        <w:t>第五章</w:t>
      </w:r>
      <w:r>
        <w:rPr>
          <w:rFonts w:hint="eastAsia" w:ascii="黑体" w:eastAsia="黑体" w:cs="黑体"/>
          <w:sz w:val="24"/>
        </w:rPr>
        <w:t xml:space="preserve">  技术标准和要求</w:t>
      </w:r>
      <w:bookmarkEnd w:id="26"/>
    </w:p>
    <w:p>
      <w:pPr>
        <w:numPr>
          <w:ilvl w:val="0"/>
          <w:numId w:val="4"/>
        </w:numPr>
        <w:ind w:firstLine="420" w:firstLineChars="200"/>
      </w:pPr>
      <w:r>
        <w:rPr>
          <w:rFonts w:hint="eastAsia"/>
        </w:rPr>
        <w:t>投标人所投产品须符合或优于《技术标准和要求》；</w:t>
      </w:r>
    </w:p>
    <w:p>
      <w:pPr>
        <w:ind w:firstLine="420" w:firstLineChars="200"/>
      </w:pPr>
      <w:r>
        <w:rPr>
          <w:rFonts w:hint="eastAsia"/>
        </w:rPr>
        <w:t>2. 投标报价时每个产品数量按1（套、米）报单价，之后计算单价之和；</w:t>
      </w:r>
    </w:p>
    <w:p>
      <w:pPr>
        <w:ind w:firstLine="420" w:firstLineChars="200"/>
      </w:pPr>
      <w:r>
        <w:rPr>
          <w:rFonts w:hint="eastAsia"/>
        </w:rPr>
        <w:t>3. 所投产品的数量为预估数值，实际采购数量以与采购人签订的</w:t>
      </w:r>
      <w:r>
        <w:rPr>
          <w:rFonts w:hint="eastAsia" w:ascii="宋体" w:cs="宋体"/>
          <w:kern w:val="0"/>
          <w:szCs w:val="21"/>
        </w:rPr>
        <w:t>《采购供应合同》</w:t>
      </w:r>
      <w:r>
        <w:rPr>
          <w:rFonts w:hint="eastAsia"/>
        </w:rPr>
        <w:t>为准；</w:t>
      </w:r>
    </w:p>
    <w:p>
      <w:pPr>
        <w:ind w:firstLine="420" w:firstLineChars="200"/>
      </w:pPr>
      <w:r>
        <w:rPr>
          <w:rFonts w:hint="eastAsia"/>
        </w:rPr>
        <w:t xml:space="preserve">4. </w:t>
      </w:r>
      <w:r>
        <w:rPr>
          <w:rFonts w:hint="eastAsia" w:ascii="宋体" w:cs="宋体"/>
          <w:kern w:val="0"/>
          <w:szCs w:val="21"/>
        </w:rPr>
        <w:t>《采购供应合同》</w:t>
      </w:r>
      <w:r>
        <w:rPr>
          <w:rFonts w:hint="eastAsia"/>
        </w:rPr>
        <w:t>不得超过本项目的预算总额。</w:t>
      </w:r>
    </w:p>
    <w:p>
      <w:pPr>
        <w:ind w:firstLine="602" w:firstLineChars="200"/>
        <w:jc w:val="center"/>
        <w:rPr>
          <w:b/>
          <w:sz w:val="30"/>
          <w:szCs w:val="30"/>
        </w:rPr>
      </w:pPr>
      <w:r>
        <w:rPr>
          <w:rFonts w:hint="eastAsia"/>
          <w:b/>
          <w:sz w:val="30"/>
          <w:szCs w:val="30"/>
        </w:rPr>
        <w:t>设备采购清单</w:t>
      </w:r>
      <w:r>
        <w:rPr>
          <w:rFonts w:hint="eastAsia"/>
        </w:rPr>
        <w:t xml:space="preserve">                                                  </w:t>
      </w:r>
    </w:p>
    <w:tbl>
      <w:tblPr>
        <w:tblStyle w:val="25"/>
        <w:tblW w:w="9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171"/>
        <w:gridCol w:w="4005"/>
        <w:gridCol w:w="450"/>
        <w:gridCol w:w="555"/>
        <w:gridCol w:w="870"/>
        <w:gridCol w:w="915"/>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33" w:type="dxa"/>
            <w:noWrap/>
            <w:vAlign w:val="center"/>
          </w:tcPr>
          <w:p>
            <w:pPr>
              <w:spacing w:line="240" w:lineRule="atLeast"/>
              <w:jc w:val="center"/>
              <w:rPr>
                <w:rFonts w:ascii="宋体" w:hAnsi="宋体" w:cs="宋体"/>
                <w:b/>
                <w:snapToGrid w:val="0"/>
                <w:szCs w:val="21"/>
                <w:lang w:val="zh-CN"/>
              </w:rPr>
            </w:pPr>
            <w:r>
              <w:rPr>
                <w:rFonts w:hint="eastAsia" w:ascii="宋体" w:hAnsi="宋体" w:cs="宋体"/>
                <w:b/>
                <w:snapToGrid w:val="0"/>
                <w:szCs w:val="21"/>
                <w:lang w:val="zh-CN"/>
              </w:rPr>
              <w:t>序号</w:t>
            </w:r>
          </w:p>
        </w:tc>
        <w:tc>
          <w:tcPr>
            <w:tcW w:w="1171" w:type="dxa"/>
            <w:noWrap/>
            <w:vAlign w:val="center"/>
          </w:tcPr>
          <w:p>
            <w:pPr>
              <w:spacing w:line="240" w:lineRule="atLeast"/>
              <w:jc w:val="center"/>
              <w:rPr>
                <w:rFonts w:ascii="宋体" w:hAnsi="宋体" w:cs="宋体"/>
                <w:b/>
                <w:snapToGrid w:val="0"/>
                <w:szCs w:val="21"/>
                <w:lang w:val="zh-CN"/>
              </w:rPr>
            </w:pPr>
            <w:r>
              <w:rPr>
                <w:rFonts w:hint="eastAsia" w:ascii="宋体" w:hAnsi="宋体" w:cs="宋体"/>
                <w:b/>
                <w:snapToGrid w:val="0"/>
                <w:szCs w:val="21"/>
              </w:rPr>
              <w:t>招标项目</w:t>
            </w:r>
            <w:r>
              <w:rPr>
                <w:rFonts w:hint="eastAsia" w:ascii="宋体" w:hAnsi="宋体" w:cs="宋体"/>
                <w:b/>
                <w:snapToGrid w:val="0"/>
                <w:szCs w:val="21"/>
                <w:lang w:val="zh-CN"/>
              </w:rPr>
              <w:t>名称</w:t>
            </w:r>
          </w:p>
        </w:tc>
        <w:tc>
          <w:tcPr>
            <w:tcW w:w="4005" w:type="dxa"/>
            <w:noWrap/>
            <w:vAlign w:val="center"/>
          </w:tcPr>
          <w:p>
            <w:pPr>
              <w:spacing w:line="240" w:lineRule="atLeast"/>
              <w:jc w:val="center"/>
              <w:rPr>
                <w:rFonts w:ascii="宋体" w:hAnsi="宋体" w:cs="宋体"/>
                <w:b/>
                <w:snapToGrid w:val="0"/>
                <w:szCs w:val="21"/>
              </w:rPr>
            </w:pPr>
            <w:r>
              <w:rPr>
                <w:rFonts w:hint="eastAsia" w:ascii="宋体" w:hAnsi="宋体" w:cs="宋体"/>
                <w:b/>
                <w:snapToGrid w:val="0"/>
                <w:szCs w:val="21"/>
              </w:rPr>
              <w:t>规格型号</w:t>
            </w:r>
          </w:p>
        </w:tc>
        <w:tc>
          <w:tcPr>
            <w:tcW w:w="450" w:type="dxa"/>
            <w:noWrap/>
            <w:vAlign w:val="center"/>
          </w:tcPr>
          <w:p>
            <w:pPr>
              <w:spacing w:line="240" w:lineRule="atLeast"/>
              <w:jc w:val="center"/>
              <w:rPr>
                <w:rFonts w:ascii="宋体" w:hAnsi="宋体" w:cs="宋体"/>
                <w:b/>
                <w:snapToGrid w:val="0"/>
                <w:szCs w:val="21"/>
                <w:lang w:val="zh-CN"/>
              </w:rPr>
            </w:pPr>
            <w:r>
              <w:rPr>
                <w:rFonts w:hint="eastAsia" w:ascii="宋体" w:hAnsi="宋体" w:cs="宋体"/>
                <w:b/>
                <w:snapToGrid w:val="0"/>
                <w:szCs w:val="21"/>
                <w:lang w:val="zh-CN"/>
              </w:rPr>
              <w:t>单位</w:t>
            </w:r>
          </w:p>
        </w:tc>
        <w:tc>
          <w:tcPr>
            <w:tcW w:w="555" w:type="dxa"/>
            <w:noWrap/>
            <w:vAlign w:val="center"/>
          </w:tcPr>
          <w:p>
            <w:pPr>
              <w:spacing w:line="240" w:lineRule="atLeast"/>
              <w:jc w:val="center"/>
              <w:rPr>
                <w:rFonts w:ascii="宋体" w:hAnsi="宋体" w:cs="宋体"/>
                <w:b/>
                <w:snapToGrid w:val="0"/>
                <w:szCs w:val="21"/>
                <w:lang w:val="zh-CN"/>
              </w:rPr>
            </w:pPr>
            <w:r>
              <w:rPr>
                <w:rFonts w:hint="eastAsia" w:ascii="宋体" w:hAnsi="宋体" w:cs="宋体"/>
                <w:b/>
                <w:snapToGrid w:val="0"/>
                <w:szCs w:val="21"/>
                <w:lang w:val="zh-CN"/>
              </w:rPr>
              <w:t>数量</w:t>
            </w:r>
          </w:p>
        </w:tc>
        <w:tc>
          <w:tcPr>
            <w:tcW w:w="870" w:type="dxa"/>
            <w:noWrap/>
            <w:vAlign w:val="center"/>
          </w:tcPr>
          <w:p>
            <w:pPr>
              <w:spacing w:line="240" w:lineRule="atLeast"/>
              <w:jc w:val="center"/>
              <w:rPr>
                <w:rFonts w:ascii="宋体" w:hAnsi="宋体" w:cs="宋体"/>
                <w:b/>
                <w:snapToGrid w:val="0"/>
                <w:szCs w:val="21"/>
                <w:lang w:val="zh-CN"/>
              </w:rPr>
            </w:pPr>
            <w:r>
              <w:rPr>
                <w:rFonts w:hint="eastAsia" w:ascii="宋体" w:hAnsi="宋体" w:cs="宋体"/>
                <w:b/>
                <w:snapToGrid w:val="0"/>
                <w:szCs w:val="21"/>
                <w:lang w:val="zh-CN"/>
              </w:rPr>
              <w:t>单价（元）</w:t>
            </w:r>
          </w:p>
        </w:tc>
        <w:tc>
          <w:tcPr>
            <w:tcW w:w="915" w:type="dxa"/>
            <w:noWrap/>
            <w:vAlign w:val="center"/>
          </w:tcPr>
          <w:p>
            <w:pPr>
              <w:spacing w:line="240" w:lineRule="atLeast"/>
              <w:jc w:val="center"/>
              <w:rPr>
                <w:rFonts w:ascii="宋体" w:hAnsi="宋体" w:cs="宋体"/>
                <w:b/>
                <w:snapToGrid w:val="0"/>
                <w:szCs w:val="21"/>
                <w:lang w:val="zh-CN"/>
              </w:rPr>
            </w:pPr>
            <w:r>
              <w:rPr>
                <w:rFonts w:hint="eastAsia" w:ascii="宋体" w:hAnsi="宋体" w:cs="宋体"/>
                <w:b/>
                <w:snapToGrid w:val="0"/>
                <w:szCs w:val="21"/>
                <w:lang w:val="zh-CN"/>
              </w:rPr>
              <w:t>合价（元）</w:t>
            </w:r>
          </w:p>
        </w:tc>
        <w:tc>
          <w:tcPr>
            <w:tcW w:w="855" w:type="dxa"/>
            <w:noWrap/>
            <w:vAlign w:val="center"/>
          </w:tcPr>
          <w:p>
            <w:pPr>
              <w:spacing w:line="240" w:lineRule="atLeast"/>
              <w:jc w:val="both"/>
              <w:rPr>
                <w:rFonts w:hint="default" w:ascii="宋体" w:hAnsi="宋体" w:eastAsia="宋体" w:cs="宋体"/>
                <w:b/>
                <w:snapToGrid w:val="0"/>
                <w:szCs w:val="21"/>
                <w:lang w:val="en-US" w:eastAsia="zh-CN"/>
              </w:rPr>
            </w:pPr>
            <w:r>
              <w:rPr>
                <w:rFonts w:hint="eastAsia" w:ascii="宋体" w:hAnsi="宋体" w:cs="宋体"/>
                <w:b/>
                <w:snapToGrid w:val="0"/>
                <w:szCs w:val="21"/>
                <w:lang w:val="en-US" w:eastAsia="zh-CN"/>
              </w:rPr>
              <w:t>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spacing w:line="240" w:lineRule="atLeast"/>
              <w:jc w:val="center"/>
              <w:rPr>
                <w:rFonts w:ascii="宋体" w:hAnsi="宋体" w:cs="宋体"/>
                <w:b/>
                <w:bCs/>
                <w:snapToGrid w:val="0"/>
                <w:sz w:val="28"/>
                <w:szCs w:val="28"/>
                <w:lang w:val="zh-CN"/>
              </w:rPr>
            </w:pPr>
            <w:r>
              <w:rPr>
                <w:rFonts w:hint="eastAsia" w:ascii="宋体" w:hAnsi="宋体" w:cs="宋体"/>
                <w:b/>
                <w:bCs/>
                <w:snapToGrid w:val="0"/>
                <w:sz w:val="28"/>
                <w:szCs w:val="28"/>
                <w:lang w:val="zh-CN"/>
              </w:rPr>
              <w:t>1</w:t>
            </w:r>
          </w:p>
        </w:tc>
        <w:tc>
          <w:tcPr>
            <w:tcW w:w="5176" w:type="dxa"/>
            <w:gridSpan w:val="2"/>
            <w:noWrap/>
            <w:vAlign w:val="center"/>
          </w:tcPr>
          <w:p>
            <w:pPr>
              <w:keepNext w:val="0"/>
              <w:keepLines w:val="0"/>
              <w:widowControl/>
              <w:suppressLineNumbers w:val="0"/>
              <w:jc w:val="left"/>
              <w:rPr>
                <w:rFonts w:hint="eastAsia" w:ascii="宋体" w:hAnsi="宋体" w:cs="宋体"/>
                <w:b/>
                <w:bCs/>
                <w:snapToGrid w:val="0"/>
                <w:sz w:val="28"/>
                <w:szCs w:val="28"/>
                <w:lang w:val="zh-CN"/>
              </w:rPr>
            </w:pPr>
            <w:r>
              <w:rPr>
                <w:rFonts w:hint="eastAsia" w:ascii="宋体" w:hAnsi="宋体" w:cs="宋体"/>
                <w:b/>
                <w:bCs/>
                <w:snapToGrid w:val="0"/>
                <w:sz w:val="28"/>
                <w:szCs w:val="28"/>
                <w:lang w:val="zh-CN"/>
              </w:rPr>
              <w:t>大号A型帐套装（露营天幕1）</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zh-CN" w:eastAsia="zh-CN" w:bidi="ar"/>
              </w:rPr>
              <w:t>尺寸：2400mm*2400mm*2060mm</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zh-CN" w:eastAsia="zh-CN" w:bidi="ar"/>
              </w:rPr>
              <w:t>重量：23.85kg</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zh-CN" w:eastAsia="zh-CN" w:bidi="ar"/>
              </w:rPr>
              <w:t>面料：防水科技棉</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zh-CN" w:eastAsia="zh-CN" w:bidi="ar"/>
              </w:rPr>
              <w:t>底板：耐磨高强牛津纺防水 5000mm</w:t>
            </w:r>
          </w:p>
          <w:p>
            <w:pPr>
              <w:spacing w:line="240" w:lineRule="atLeast"/>
              <w:jc w:val="both"/>
              <w:rPr>
                <w:rFonts w:hint="eastAsia" w:ascii="宋体" w:hAnsi="宋体" w:cs="宋体"/>
                <w:b/>
                <w:bCs/>
                <w:snapToGrid w:val="0"/>
                <w:sz w:val="28"/>
                <w:szCs w:val="28"/>
                <w:lang w:val="zh-CN"/>
              </w:rPr>
            </w:pPr>
            <w:r>
              <w:rPr>
                <w:rFonts w:hint="eastAsia" w:ascii="仿宋" w:hAnsi="仿宋" w:eastAsia="仿宋" w:cs="仿宋"/>
                <w:b w:val="0"/>
                <w:color w:val="231F20"/>
                <w:kern w:val="0"/>
                <w:sz w:val="24"/>
                <w:szCs w:val="24"/>
                <w:lang w:val="zh-CN" w:eastAsia="zh-CN" w:bidi="ar"/>
              </w:rPr>
              <w:t>支架：加强钢管支架。</w:t>
            </w:r>
          </w:p>
          <w:p>
            <w:pPr>
              <w:pStyle w:val="7"/>
              <w:rPr>
                <w:lang w:val="zh-CN"/>
              </w:rPr>
            </w:pPr>
            <w:r>
              <w:drawing>
                <wp:inline distT="0" distB="0" distL="114300" distR="114300">
                  <wp:extent cx="3148330" cy="2113280"/>
                  <wp:effectExtent l="0" t="0" r="1397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148330" cy="2113280"/>
                          </a:xfrm>
                          <a:prstGeom prst="rect">
                            <a:avLst/>
                          </a:prstGeom>
                          <a:noFill/>
                          <a:ln>
                            <a:noFill/>
                          </a:ln>
                        </pic:spPr>
                      </pic:pic>
                    </a:graphicData>
                  </a:graphic>
                </wp:inline>
              </w:drawing>
            </w:r>
          </w:p>
        </w:tc>
        <w:tc>
          <w:tcPr>
            <w:tcW w:w="450" w:type="dxa"/>
            <w:noWrap/>
            <w:vAlign w:val="center"/>
          </w:tcPr>
          <w:p>
            <w:pPr>
              <w:widowControl/>
              <w:jc w:val="center"/>
              <w:textAlignment w:val="center"/>
              <w:rPr>
                <w:rFonts w:ascii="宋体" w:hAnsi="宋体" w:cs="宋体"/>
                <w:b/>
                <w:bCs/>
                <w:color w:val="000000"/>
                <w:kern w:val="0"/>
                <w:sz w:val="28"/>
                <w:szCs w:val="28"/>
              </w:rPr>
            </w:pPr>
            <w:r>
              <w:rPr>
                <w:rFonts w:hint="eastAsia" w:ascii="宋体" w:hAnsi="宋体" w:cs="宋体"/>
                <w:b/>
                <w:bCs/>
                <w:color w:val="000000"/>
                <w:kern w:val="0"/>
                <w:sz w:val="28"/>
                <w:szCs w:val="28"/>
              </w:rPr>
              <w:t>套</w:t>
            </w:r>
          </w:p>
        </w:tc>
        <w:tc>
          <w:tcPr>
            <w:tcW w:w="555" w:type="dxa"/>
            <w:noWrap/>
            <w:vAlign w:val="center"/>
          </w:tcPr>
          <w:p>
            <w:pPr>
              <w:widowControl/>
              <w:jc w:val="right"/>
              <w:textAlignment w:val="center"/>
              <w:rPr>
                <w:rFonts w:ascii="宋体" w:hAnsi="宋体" w:cs="宋体"/>
                <w:b/>
                <w:bCs/>
                <w:color w:val="000000"/>
                <w:kern w:val="0"/>
                <w:sz w:val="28"/>
                <w:szCs w:val="28"/>
              </w:rPr>
            </w:pPr>
            <w:r>
              <w:rPr>
                <w:rFonts w:hint="eastAsia" w:ascii="宋体" w:hAnsi="宋体" w:cs="宋体"/>
                <w:b/>
                <w:bCs/>
                <w:color w:val="000000"/>
                <w:kern w:val="0"/>
                <w:sz w:val="28"/>
                <w:szCs w:val="28"/>
              </w:rPr>
              <w:t>26</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restart"/>
            <w:noWrap/>
          </w:tcPr>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zh-CN" w:eastAsia="zh-CN" w:bidi="ar"/>
              </w:rPr>
              <w:t>配置有帐篷和睡垫、水袋、内胆、餐桌椅等设施，可</w:t>
            </w:r>
          </w:p>
          <w:p>
            <w:pPr>
              <w:keepNext w:val="0"/>
              <w:keepLines w:val="0"/>
              <w:widowControl/>
              <w:suppressLineNumbers w:val="0"/>
              <w:jc w:val="left"/>
              <w:rPr>
                <w:rFonts w:ascii="宋体" w:hAnsi="宋体" w:cs="宋体"/>
                <w:snapToGrid w:val="0"/>
                <w:sz w:val="18"/>
                <w:szCs w:val="18"/>
                <w:lang w:val="zh-CN"/>
              </w:rPr>
            </w:pPr>
            <w:r>
              <w:rPr>
                <w:rFonts w:hint="eastAsia" w:ascii="仿宋" w:hAnsi="仿宋" w:eastAsia="仿宋" w:cs="仿宋"/>
                <w:b w:val="0"/>
                <w:color w:val="231F20"/>
                <w:kern w:val="0"/>
                <w:sz w:val="24"/>
                <w:szCs w:val="24"/>
                <w:lang w:val="zh-CN" w:eastAsia="zh-CN" w:bidi="ar"/>
              </w:rPr>
              <w:t>以提供 2-3 人的露营和餐饮、娱乐、小型聚会的功能。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8599" w:type="dxa"/>
            <w:gridSpan w:val="7"/>
            <w:noWrap/>
            <w:vAlign w:val="center"/>
          </w:tcPr>
          <w:p>
            <w:pPr>
              <w:keepNext w:val="0"/>
              <w:keepLines w:val="0"/>
              <w:widowControl/>
              <w:suppressLineNumbers w:val="0"/>
              <w:jc w:val="center"/>
              <w:rPr>
                <w:rFonts w:hint="default" w:ascii="宋体" w:hAnsi="宋体" w:eastAsia="宋体" w:cs="宋体"/>
                <w:snapToGrid w:val="0"/>
                <w:sz w:val="18"/>
                <w:szCs w:val="18"/>
                <w:lang w:val="en-US" w:eastAsia="zh-CN"/>
              </w:rPr>
            </w:pPr>
            <w:r>
              <w:rPr>
                <w:rFonts w:hint="eastAsia" w:ascii="宋体" w:hAnsi="宋体" w:cs="宋体"/>
                <w:b/>
                <w:bCs/>
                <w:color w:val="000000"/>
                <w:kern w:val="0"/>
                <w:sz w:val="28"/>
                <w:szCs w:val="28"/>
                <w:lang w:val="en-US" w:eastAsia="zh-CN"/>
              </w:rPr>
              <w:t>每套帐篷含以下配套设施</w:t>
            </w: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1.1</w:t>
            </w:r>
          </w:p>
        </w:tc>
        <w:tc>
          <w:tcPr>
            <w:tcW w:w="1171" w:type="dxa"/>
            <w:noWrap/>
            <w:vAlign w:val="center"/>
          </w:tcPr>
          <w:p>
            <w:pPr>
              <w:keepNext w:val="0"/>
              <w:keepLines w:val="0"/>
              <w:widowControl/>
              <w:suppressLineNumbers w:val="0"/>
              <w:jc w:val="both"/>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en-US" w:eastAsia="zh-CN" w:bidi="ar"/>
              </w:rPr>
              <w:t>地毯</w:t>
            </w:r>
          </w:p>
        </w:tc>
        <w:tc>
          <w:tcPr>
            <w:tcW w:w="4005"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zh-CN" w:eastAsia="zh-CN" w:bidi="ar"/>
              </w:rPr>
              <w:t>尺寸：适用于 2.4m 帐篷</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zh-CN" w:eastAsia="zh-CN" w:bidi="ar"/>
              </w:rPr>
              <w:t>材料：天然棉</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zh-CN" w:eastAsia="zh-CN" w:bidi="ar"/>
              </w:rPr>
              <w:t>绒重：1400 克</w:t>
            </w: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张</w:t>
            </w:r>
          </w:p>
        </w:tc>
        <w:tc>
          <w:tcPr>
            <w:tcW w:w="555" w:type="dxa"/>
            <w:noWrap/>
            <w:vAlign w:val="center"/>
          </w:tcPr>
          <w:p>
            <w:pPr>
              <w:keepNext w:val="0"/>
              <w:keepLines w:val="0"/>
              <w:widowControl/>
              <w:suppressLineNumbers w:val="0"/>
              <w:jc w:val="righ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1.2</w:t>
            </w:r>
          </w:p>
        </w:tc>
        <w:tc>
          <w:tcPr>
            <w:tcW w:w="1171" w:type="dxa"/>
            <w:noWrap/>
            <w:vAlign w:val="center"/>
          </w:tcPr>
          <w:p>
            <w:pPr>
              <w:keepNext w:val="0"/>
              <w:keepLines w:val="0"/>
              <w:widowControl/>
              <w:suppressLineNumbers w:val="0"/>
              <w:jc w:val="both"/>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八角天翼</w:t>
            </w:r>
          </w:p>
        </w:tc>
        <w:tc>
          <w:tcPr>
            <w:tcW w:w="4005"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zh-CN" w:eastAsia="zh-CN" w:bidi="ar"/>
              </w:rPr>
              <w:t xml:space="preserve">尺寸：400*450*230/180cm </w:t>
            </w:r>
            <w:r>
              <w:rPr>
                <w:rFonts w:hint="eastAsia" w:ascii="仿宋" w:hAnsi="仿宋" w:eastAsia="仿宋" w:cs="仿宋"/>
                <w:b w:val="0"/>
                <w:color w:val="231F20"/>
                <w:kern w:val="0"/>
                <w:sz w:val="24"/>
                <w:szCs w:val="24"/>
                <w:lang w:val="en-US" w:eastAsia="zh-CN" w:bidi="ar"/>
              </w:rPr>
              <w:t xml:space="preserve">      </w:t>
            </w:r>
            <w:r>
              <w:rPr>
                <w:rFonts w:hint="eastAsia" w:ascii="仿宋" w:hAnsi="仿宋" w:eastAsia="仿宋" w:cs="仿宋"/>
                <w:b w:val="0"/>
                <w:color w:val="231F20"/>
                <w:kern w:val="0"/>
                <w:sz w:val="24"/>
                <w:szCs w:val="24"/>
                <w:lang w:val="zh-CN" w:eastAsia="zh-CN" w:bidi="ar"/>
              </w:rPr>
              <w:t xml:space="preserve"> 面料：防水科技棉</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zh-CN" w:eastAsia="zh-CN" w:bidi="ar"/>
              </w:rPr>
              <w:t>支架：喷塑钢管25mm 2根 19mm 2根</w:t>
            </w: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顶</w:t>
            </w:r>
          </w:p>
        </w:tc>
        <w:tc>
          <w:tcPr>
            <w:tcW w:w="555" w:type="dxa"/>
            <w:noWrap/>
            <w:vAlign w:val="center"/>
          </w:tcPr>
          <w:p>
            <w:pPr>
              <w:keepNext w:val="0"/>
              <w:keepLines w:val="0"/>
              <w:widowControl/>
              <w:suppressLineNumbers w:val="0"/>
              <w:jc w:val="righ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1.3</w:t>
            </w:r>
          </w:p>
        </w:tc>
        <w:tc>
          <w:tcPr>
            <w:tcW w:w="1171"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bCs/>
                <w:color w:val="231F20"/>
                <w:kern w:val="0"/>
                <w:sz w:val="24"/>
                <w:szCs w:val="24"/>
                <w:lang w:val="en-US" w:eastAsia="zh-CN" w:bidi="ar"/>
              </w:rPr>
              <w:t>☆</w:t>
            </w:r>
            <w:r>
              <w:rPr>
                <w:rFonts w:hint="eastAsia" w:ascii="仿宋" w:hAnsi="仿宋" w:eastAsia="仿宋" w:cs="仿宋"/>
                <w:b w:val="0"/>
                <w:color w:val="231F20"/>
                <w:kern w:val="0"/>
                <w:sz w:val="24"/>
                <w:szCs w:val="24"/>
                <w:lang w:val="en-US" w:eastAsia="zh-CN" w:bidi="ar"/>
              </w:rPr>
              <w:t>双人包边床</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4005"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展开尺寸：2010mm*1320mm*100mm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面料上：30D 弹力布 TPU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面料下：190T 春亚纺 TPU </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en-US" w:eastAsia="zh-CN" w:bidi="ar"/>
              </w:rPr>
              <w:t>墙条：30D 弹力布 TPU</w:t>
            </w: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张</w:t>
            </w:r>
          </w:p>
        </w:tc>
        <w:tc>
          <w:tcPr>
            <w:tcW w:w="555" w:type="dxa"/>
            <w:noWrap/>
            <w:vAlign w:val="center"/>
          </w:tcPr>
          <w:p>
            <w:pPr>
              <w:keepNext w:val="0"/>
              <w:keepLines w:val="0"/>
              <w:widowControl/>
              <w:suppressLineNumbers w:val="0"/>
              <w:jc w:val="righ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1.4</w:t>
            </w:r>
          </w:p>
        </w:tc>
        <w:tc>
          <w:tcPr>
            <w:tcW w:w="1171"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bCs/>
                <w:color w:val="231F20"/>
                <w:kern w:val="0"/>
                <w:sz w:val="24"/>
                <w:szCs w:val="24"/>
                <w:lang w:val="en-US" w:eastAsia="zh-CN" w:bidi="ar"/>
              </w:rPr>
              <w:t>☆</w:t>
            </w:r>
            <w:r>
              <w:rPr>
                <w:rFonts w:hint="eastAsia" w:ascii="仿宋" w:hAnsi="仿宋" w:eastAsia="仿宋" w:cs="仿宋"/>
                <w:b w:val="0"/>
                <w:color w:val="231F20"/>
                <w:kern w:val="0"/>
                <w:sz w:val="24"/>
                <w:szCs w:val="24"/>
                <w:lang w:val="en-US" w:eastAsia="zh-CN" w:bidi="ar"/>
              </w:rPr>
              <w:t>单人包边床</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4005"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展开尺寸：2030mm *800mm *100mm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面料上：30D 弹力布 TPU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面料下：190T 春亚纺 TPU </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en-US" w:eastAsia="zh-CN" w:bidi="ar"/>
              </w:rPr>
              <w:t>墙条：30D 弹力布 TPU</w:t>
            </w: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张</w:t>
            </w:r>
          </w:p>
        </w:tc>
        <w:tc>
          <w:tcPr>
            <w:tcW w:w="555" w:type="dxa"/>
            <w:noWrap/>
            <w:vAlign w:val="center"/>
          </w:tcPr>
          <w:p>
            <w:pPr>
              <w:keepNext w:val="0"/>
              <w:keepLines w:val="0"/>
              <w:widowControl/>
              <w:suppressLineNumbers w:val="0"/>
              <w:jc w:val="righ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1.5</w:t>
            </w:r>
          </w:p>
        </w:tc>
        <w:tc>
          <w:tcPr>
            <w:tcW w:w="1171"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3D 自动充气枕</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4005"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尺寸：460mm *300mm *120mm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面料：30D 弹力布，19 倍高弹力海绵，190T 春亚纺， </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en-US" w:eastAsia="zh-CN" w:bidi="ar"/>
              </w:rPr>
              <w:t>TPU 复合面料</w:t>
            </w: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3</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1.6</w:t>
            </w:r>
          </w:p>
        </w:tc>
        <w:tc>
          <w:tcPr>
            <w:tcW w:w="1171"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桃皮绒信封睡袋300g）</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4005"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尺寸：2100mm *800mm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温标（℃）：10-50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外料：桃皮绒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里料：水洗棉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填充：羽绒棉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绗缝：水平绗缝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拉链：尼龙拉链配防夹拉头，内胆拼接树脂拉链 </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en-US" w:eastAsia="zh-CN" w:bidi="ar"/>
              </w:rPr>
              <w:t>拼接方式：上下拼接</w:t>
            </w: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3</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633"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1.7</w:t>
            </w:r>
          </w:p>
        </w:tc>
        <w:tc>
          <w:tcPr>
            <w:tcW w:w="1171"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en-US" w:eastAsia="zh-CN" w:bidi="ar"/>
              </w:rPr>
              <w:t>TC 棉内胆（搭配桃皮绒睡袋使用）</w:t>
            </w:r>
          </w:p>
        </w:tc>
        <w:tc>
          <w:tcPr>
            <w:tcW w:w="4005"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尺寸：2100mm *800mm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睡袋内胆：直筒 </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en-US" w:eastAsia="zh-CN" w:bidi="ar"/>
              </w:rPr>
              <w:t>面料：TC 棉</w:t>
            </w: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6</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1.8</w:t>
            </w:r>
          </w:p>
        </w:tc>
        <w:tc>
          <w:tcPr>
            <w:tcW w:w="1171"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中号榉木椅</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4005"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尺寸：W520mm *D630mm *H780mm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承重：100kg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重量：4kg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管子规格：20mm *20mm </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en-US" w:eastAsia="zh-CN" w:bidi="ar"/>
              </w:rPr>
              <w:t>材料：榉木连接用铆钉非螺丝，帆布，反绒超纤维皮标</w:t>
            </w: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把</w:t>
            </w:r>
          </w:p>
        </w:tc>
        <w:tc>
          <w:tcPr>
            <w:tcW w:w="555" w:type="dxa"/>
            <w:noWrap/>
            <w:vAlign w:val="center"/>
          </w:tcPr>
          <w:p>
            <w:pPr>
              <w:keepNext w:val="0"/>
              <w:keepLines w:val="0"/>
              <w:widowControl/>
              <w:suppressLineNumbers w:val="0"/>
              <w:jc w:val="righ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4</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1.9</w:t>
            </w:r>
          </w:p>
        </w:tc>
        <w:tc>
          <w:tcPr>
            <w:tcW w:w="1171"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120cm 蛋卷榉木折叠桌</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4005"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尺寸：L1200mm *W600mm *H450mm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克重：9.69-10.69kg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承重力：40kg </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en-US" w:eastAsia="zh-CN" w:bidi="ar"/>
              </w:rPr>
              <w:t>材料：榉木自然色，磨砂黑色铁件，黑色 PVC 脚套</w:t>
            </w: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张</w:t>
            </w:r>
          </w:p>
        </w:tc>
        <w:tc>
          <w:tcPr>
            <w:tcW w:w="555" w:type="dxa"/>
            <w:noWrap/>
            <w:vAlign w:val="center"/>
          </w:tcPr>
          <w:p>
            <w:pPr>
              <w:keepNext w:val="0"/>
              <w:keepLines w:val="0"/>
              <w:widowControl/>
              <w:suppressLineNumbers w:val="0"/>
              <w:jc w:val="righ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1.10</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复古露营手提灯</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4005"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尺寸：Ф117mm*170mm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电池类型：2*18650 锂电池，5000mah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最大功率 : 4W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续航时间：6-24H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亮度：20-280lm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重量：386g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防水等级：IP55 </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en-US" w:eastAsia="zh-CN" w:bidi="ar"/>
              </w:rPr>
              <w:t>充电适配：Type-C 接线头</w:t>
            </w: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pStyle w:val="7"/>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1.11</w:t>
            </w:r>
          </w:p>
        </w:tc>
        <w:tc>
          <w:tcPr>
            <w:tcW w:w="1171"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复古营地灯</w:t>
            </w:r>
          </w:p>
          <w:p>
            <w:pPr>
              <w:spacing w:line="240" w:lineRule="atLeast"/>
              <w:rPr>
                <w:rFonts w:hint="eastAsia" w:ascii="仿宋" w:hAnsi="仿宋" w:eastAsia="仿宋" w:cs="仿宋"/>
                <w:b w:val="0"/>
                <w:color w:val="231F20"/>
                <w:kern w:val="0"/>
                <w:sz w:val="24"/>
                <w:szCs w:val="24"/>
                <w:lang w:val="zh-CN" w:eastAsia="zh-CN" w:bidi="ar"/>
              </w:rPr>
            </w:pPr>
          </w:p>
        </w:tc>
        <w:tc>
          <w:tcPr>
            <w:tcW w:w="4005"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灯底：竹子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灯身：ABS+PC+ 铁艺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提手：苎麻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电池容量：2*18650 锂电池 2400mah 或者 3 节 AA 干电池通用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功率：5W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电压：3.7-4.2V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亮度：257lm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 xml:space="preserve">续航时间：6-115H </w:t>
            </w:r>
          </w:p>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en-US" w:eastAsia="zh-CN" w:bidi="ar"/>
              </w:rPr>
              <w:t>防水等级：IPX6</w:t>
            </w: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1.12</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超轻折叠灯架</w:t>
            </w:r>
          </w:p>
          <w:p>
            <w:pPr>
              <w:keepNext w:val="0"/>
              <w:keepLines w:val="0"/>
              <w:widowControl/>
              <w:suppressLineNumbers w:val="0"/>
              <w:jc w:val="left"/>
              <w:rPr>
                <w:rFonts w:hint="eastAsia" w:ascii="仿宋" w:hAnsi="仿宋" w:eastAsia="仿宋" w:cs="仿宋"/>
                <w:color w:val="231F20"/>
                <w:kern w:val="0"/>
                <w:sz w:val="24"/>
                <w:szCs w:val="24"/>
                <w:lang w:val="zh-CN" w:eastAsia="zh-CN" w:bidi="ar"/>
              </w:rPr>
            </w:pP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尺寸：650mm *1940mm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铝管规格：25mm/22mm/19mm/16mm </w:t>
            </w:r>
          </w:p>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 xml:space="preserve">表面：光亮氧化 / 覆膜处理 </w:t>
            </w: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1.13</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PP 折叠箱 50L+ 木纹盖板 </w:t>
            </w:r>
          </w:p>
          <w:p>
            <w:pPr>
              <w:keepNext w:val="0"/>
              <w:keepLines w:val="0"/>
              <w:widowControl/>
              <w:suppressLineNumbers w:val="0"/>
              <w:jc w:val="left"/>
              <w:rPr>
                <w:rFonts w:hint="eastAsia" w:ascii="仿宋" w:hAnsi="仿宋" w:eastAsia="仿宋" w:cs="仿宋"/>
                <w:color w:val="231F20"/>
                <w:kern w:val="0"/>
                <w:sz w:val="24"/>
                <w:szCs w:val="24"/>
                <w:lang w:val="zh-CN" w:eastAsia="zh-CN" w:bidi="ar"/>
              </w:rPr>
            </w:pP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容量：50L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展开尺寸：530mm *365mm*340mm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折叠尺寸：530mm *365mm*100mm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承重：25kg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材质：食用级 PP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塑料新料占比：100% 新料 </w:t>
            </w:r>
          </w:p>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材质：密度板</w:t>
            </w: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个/块</w:t>
            </w:r>
          </w:p>
        </w:tc>
        <w:tc>
          <w:tcPr>
            <w:tcW w:w="555" w:type="dxa"/>
            <w:noWrap/>
            <w:vAlign w:val="center"/>
          </w:tcPr>
          <w:p>
            <w:pPr>
              <w:keepNext w:val="0"/>
              <w:keepLines w:val="0"/>
              <w:widowControl/>
              <w:suppressLineNumbers w:val="0"/>
              <w:jc w:val="righ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1.14</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水晶气泡球太阳能灯</w:t>
            </w:r>
          </w:p>
          <w:p>
            <w:pPr>
              <w:keepNext w:val="0"/>
              <w:keepLines w:val="0"/>
              <w:widowControl/>
              <w:suppressLineNumbers w:val="0"/>
              <w:jc w:val="left"/>
              <w:rPr>
                <w:rFonts w:hint="eastAsia" w:ascii="仿宋" w:hAnsi="仿宋" w:eastAsia="仿宋" w:cs="仿宋"/>
                <w:color w:val="231F20"/>
                <w:kern w:val="0"/>
                <w:sz w:val="24"/>
                <w:szCs w:val="24"/>
                <w:lang w:val="zh-CN" w:eastAsia="zh-CN" w:bidi="ar"/>
              </w:rPr>
            </w:pP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长度：5 米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灯泡数：20 颗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灯光颜色：暖白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太阳能盒材质：ABS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太阳能板：4.5V/250ma 滴胶多晶硅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电池容量：3.7V1200mah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多种闪烁模式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电压 : 12V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亮灯时长：6-12 小时 </w:t>
            </w:r>
          </w:p>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防水等级：IP65</w:t>
            </w: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1.15</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流苏桌旗</w:t>
            </w:r>
          </w:p>
        </w:tc>
        <w:tc>
          <w:tcPr>
            <w:tcW w:w="4005" w:type="dxa"/>
            <w:noWrap/>
            <w:vAlign w:val="bottom"/>
          </w:tcPr>
          <w:p>
            <w:pPr>
              <w:keepNext w:val="0"/>
              <w:keepLines w:val="0"/>
              <w:widowControl/>
              <w:suppressLineNumbers w:val="0"/>
              <w:jc w:val="center"/>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亚麻编织流苏，尺寸与桌面配套。</w:t>
            </w:r>
          </w:p>
          <w:p>
            <w:pPr>
              <w:keepNext w:val="0"/>
              <w:keepLines w:val="0"/>
              <w:widowControl/>
              <w:suppressLineNumbers w:val="0"/>
              <w:jc w:val="center"/>
              <w:rPr>
                <w:rFonts w:hint="eastAsia" w:ascii="仿宋" w:hAnsi="仿宋" w:eastAsia="仿宋" w:cs="仿宋"/>
                <w:color w:val="231F20"/>
                <w:kern w:val="0"/>
                <w:sz w:val="24"/>
                <w:szCs w:val="24"/>
                <w:lang w:val="zh-CN" w:eastAsia="zh-CN" w:bidi="ar"/>
              </w:rPr>
            </w:pP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面</w:t>
            </w:r>
          </w:p>
        </w:tc>
        <w:tc>
          <w:tcPr>
            <w:tcW w:w="555" w:type="dxa"/>
            <w:noWrap/>
            <w:vAlign w:val="center"/>
          </w:tcPr>
          <w:p>
            <w:pPr>
              <w:keepNext w:val="0"/>
              <w:keepLines w:val="0"/>
              <w:widowControl/>
              <w:suppressLineNumbers w:val="0"/>
              <w:jc w:val="righ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1.16</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露营氛围三角旗</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尺寸：170mm *160mm（单个）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绳子总长 4100mm，含 18 面旗帜。</w:t>
            </w:r>
          </w:p>
          <w:p>
            <w:pPr>
              <w:keepNext w:val="0"/>
              <w:keepLines w:val="0"/>
              <w:widowControl/>
              <w:suppressLineNumbers w:val="0"/>
              <w:jc w:val="left"/>
              <w:rPr>
                <w:rFonts w:hint="eastAsia" w:ascii="仿宋" w:hAnsi="仿宋" w:eastAsia="仿宋" w:cs="仿宋"/>
                <w:color w:val="231F20"/>
                <w:kern w:val="0"/>
                <w:sz w:val="24"/>
                <w:szCs w:val="24"/>
                <w:lang w:val="zh-CN" w:eastAsia="zh-CN" w:bidi="ar"/>
              </w:rPr>
            </w:pP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面</w:t>
            </w:r>
          </w:p>
        </w:tc>
        <w:tc>
          <w:tcPr>
            <w:tcW w:w="555" w:type="dxa"/>
            <w:noWrap/>
            <w:vAlign w:val="center"/>
          </w:tcPr>
          <w:p>
            <w:pPr>
              <w:keepNext w:val="0"/>
              <w:keepLines w:val="0"/>
              <w:widowControl/>
              <w:suppressLineNumbers w:val="0"/>
              <w:jc w:val="righ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2</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1.17</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风绳安全警示露营灯</w:t>
            </w:r>
          </w:p>
          <w:p>
            <w:pPr>
              <w:keepNext w:val="0"/>
              <w:keepLines w:val="0"/>
              <w:widowControl/>
              <w:suppressLineNumbers w:val="0"/>
              <w:jc w:val="left"/>
              <w:rPr>
                <w:rFonts w:hint="eastAsia" w:ascii="仿宋" w:hAnsi="仿宋" w:eastAsia="仿宋" w:cs="仿宋"/>
                <w:color w:val="231F20"/>
                <w:kern w:val="0"/>
                <w:sz w:val="24"/>
                <w:szCs w:val="24"/>
                <w:lang w:val="zh-CN" w:eastAsia="zh-CN" w:bidi="ar"/>
              </w:rPr>
            </w:pP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重量 : 17.2g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最大功率 : 3W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亮度 : 5lm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照明半径 (m): 1m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续航时间 : 72H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防水性能 : IPX6 </w:t>
            </w:r>
          </w:p>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材质 : 硅胶</w:t>
            </w: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10</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spacing w:line="240" w:lineRule="atLeast"/>
              <w:jc w:val="center"/>
              <w:rPr>
                <w:rFonts w:ascii="宋体" w:hAnsi="宋体" w:cs="宋体"/>
                <w:snapToGrid w:val="0"/>
                <w:sz w:val="28"/>
                <w:szCs w:val="28"/>
              </w:rPr>
            </w:pPr>
            <w:r>
              <w:rPr>
                <w:rFonts w:hint="eastAsia" w:ascii="宋体" w:hAnsi="宋体" w:cs="宋体"/>
                <w:b/>
                <w:bCs/>
                <w:snapToGrid w:val="0"/>
                <w:sz w:val="28"/>
                <w:szCs w:val="28"/>
              </w:rPr>
              <w:t>2</w:t>
            </w:r>
          </w:p>
        </w:tc>
        <w:tc>
          <w:tcPr>
            <w:tcW w:w="5176" w:type="dxa"/>
            <w:gridSpan w:val="2"/>
            <w:noWrap/>
            <w:vAlign w:val="center"/>
          </w:tcPr>
          <w:p>
            <w:pPr>
              <w:keepNext w:val="0"/>
              <w:keepLines w:val="0"/>
              <w:widowControl/>
              <w:suppressLineNumbers w:val="0"/>
              <w:jc w:val="left"/>
              <w:rPr>
                <w:rFonts w:hint="eastAsia"/>
                <w:b/>
                <w:bCs/>
                <w:sz w:val="28"/>
                <w:szCs w:val="28"/>
              </w:rPr>
            </w:pPr>
            <w:r>
              <w:rPr>
                <w:rFonts w:hint="eastAsia"/>
                <w:b/>
                <w:bCs/>
                <w:sz w:val="28"/>
                <w:szCs w:val="28"/>
              </w:rPr>
              <w:t>4m蒙古包套装（露营天幕2）</w:t>
            </w:r>
          </w:p>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尺寸：4000mm *4000mm *2500/1500mm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墙高：550mm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面料：加强棉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底板：耐磨超防水 PVC 定向布 </w:t>
            </w:r>
          </w:p>
          <w:p>
            <w:pPr>
              <w:widowControl/>
              <w:jc w:val="left"/>
              <w:textAlignment w:val="center"/>
              <w:rPr>
                <w:rFonts w:hint="eastAsia"/>
                <w:b/>
                <w:bCs/>
                <w:sz w:val="28"/>
                <w:szCs w:val="28"/>
              </w:rPr>
            </w:pPr>
            <w:r>
              <w:rPr>
                <w:rFonts w:hint="eastAsia" w:ascii="仿宋" w:hAnsi="仿宋" w:eastAsia="仿宋" w:cs="仿宋"/>
                <w:color w:val="231F20"/>
                <w:kern w:val="0"/>
                <w:sz w:val="24"/>
                <w:szCs w:val="24"/>
                <w:lang w:val="en-US" w:eastAsia="zh-CN" w:bidi="ar"/>
              </w:rPr>
              <w:t>支架：喷塑钢管</w:t>
            </w:r>
          </w:p>
          <w:p>
            <w:pPr>
              <w:pStyle w:val="7"/>
              <w:rPr>
                <w:sz w:val="28"/>
                <w:szCs w:val="28"/>
              </w:rPr>
            </w:pPr>
            <w:r>
              <w:rPr>
                <w:sz w:val="28"/>
                <w:szCs w:val="28"/>
              </w:rPr>
              <w:drawing>
                <wp:inline distT="0" distB="0" distL="114300" distR="114300">
                  <wp:extent cx="3147695" cy="2164080"/>
                  <wp:effectExtent l="0" t="0" r="1460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147695" cy="2164080"/>
                          </a:xfrm>
                          <a:prstGeom prst="rect">
                            <a:avLst/>
                          </a:prstGeom>
                          <a:noFill/>
                          <a:ln>
                            <a:noFill/>
                          </a:ln>
                        </pic:spPr>
                      </pic:pic>
                    </a:graphicData>
                  </a:graphic>
                </wp:inline>
              </w:drawing>
            </w:r>
          </w:p>
        </w:tc>
        <w:tc>
          <w:tcPr>
            <w:tcW w:w="450" w:type="dxa"/>
            <w:noWrap/>
            <w:vAlign w:val="center"/>
          </w:tcPr>
          <w:p>
            <w:pPr>
              <w:widowControl/>
              <w:jc w:val="center"/>
              <w:textAlignment w:val="center"/>
              <w:rPr>
                <w:rFonts w:hint="eastAsia" w:ascii="宋体" w:hAnsi="宋体" w:cs="宋体"/>
                <w:b/>
                <w:bCs/>
                <w:color w:val="000000"/>
                <w:kern w:val="0"/>
                <w:sz w:val="28"/>
                <w:szCs w:val="28"/>
                <w:lang w:val="zh-CN"/>
              </w:rPr>
            </w:pPr>
            <w:r>
              <w:rPr>
                <w:rFonts w:hint="eastAsia" w:ascii="宋体" w:hAnsi="宋体" w:cs="宋体"/>
                <w:b/>
                <w:bCs/>
                <w:color w:val="000000"/>
                <w:kern w:val="0"/>
                <w:sz w:val="28"/>
                <w:szCs w:val="28"/>
              </w:rPr>
              <w:t>套</w:t>
            </w:r>
          </w:p>
        </w:tc>
        <w:tc>
          <w:tcPr>
            <w:tcW w:w="555" w:type="dxa"/>
            <w:noWrap/>
            <w:vAlign w:val="center"/>
          </w:tcPr>
          <w:p>
            <w:pPr>
              <w:widowControl/>
              <w:jc w:val="right"/>
              <w:textAlignment w:val="center"/>
              <w:rPr>
                <w:rFonts w:hint="eastAsia" w:ascii="宋体" w:hAnsi="宋体" w:cs="宋体"/>
                <w:b/>
                <w:bCs/>
                <w:color w:val="000000"/>
                <w:kern w:val="0"/>
                <w:sz w:val="28"/>
                <w:szCs w:val="28"/>
                <w:lang w:val="zh-CN"/>
              </w:rPr>
            </w:pPr>
            <w:r>
              <w:rPr>
                <w:rFonts w:hint="eastAsia" w:ascii="宋体" w:hAnsi="宋体" w:cs="宋体"/>
                <w:b/>
                <w:bCs/>
                <w:color w:val="000000"/>
                <w:kern w:val="0"/>
                <w:sz w:val="28"/>
                <w:szCs w:val="28"/>
              </w:rPr>
              <w:t>8</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restart"/>
            <w:noWrap/>
          </w:tcPr>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r>
              <w:rPr>
                <w:rFonts w:hint="eastAsia" w:ascii="仿宋" w:hAnsi="仿宋" w:eastAsia="仿宋" w:cs="仿宋"/>
                <w:b w:val="0"/>
                <w:color w:val="231F20"/>
                <w:kern w:val="0"/>
                <w:sz w:val="24"/>
                <w:szCs w:val="24"/>
                <w:lang w:val="zh-CN" w:eastAsia="zh-CN" w:bidi="ar"/>
              </w:rPr>
              <w:t>配置有内帐、外帐和睡垫、水袋、内胆、餐桌椅等设施，</w:t>
            </w:r>
          </w:p>
          <w:p>
            <w:pPr>
              <w:keepNext w:val="0"/>
              <w:keepLines w:val="0"/>
              <w:widowControl/>
              <w:suppressLineNumbers w:val="0"/>
              <w:jc w:val="left"/>
              <w:rPr>
                <w:rFonts w:ascii="宋体" w:hAnsi="宋体" w:cs="宋体"/>
                <w:snapToGrid w:val="0"/>
                <w:sz w:val="18"/>
                <w:szCs w:val="18"/>
                <w:lang w:val="zh-CN"/>
              </w:rPr>
            </w:pPr>
            <w:r>
              <w:rPr>
                <w:rFonts w:hint="eastAsia" w:ascii="仿宋" w:hAnsi="仿宋" w:eastAsia="仿宋" w:cs="仿宋"/>
                <w:b w:val="0"/>
                <w:color w:val="231F20"/>
                <w:kern w:val="0"/>
                <w:sz w:val="24"/>
                <w:szCs w:val="24"/>
                <w:lang w:val="zh-CN" w:eastAsia="zh-CN" w:bidi="ar"/>
              </w:rPr>
              <w:t>可以提供 2-4 人的露营和餐饮、娱乐、小型聚会的功能</w:t>
            </w:r>
            <w:r>
              <w:rPr>
                <w:rFonts w:hint="eastAsia" w:ascii="宋体" w:hAnsi="宋体" w:cs="宋体"/>
                <w:snapToGrid w:val="0"/>
                <w:sz w:val="18"/>
                <w:szCs w:val="18"/>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8599" w:type="dxa"/>
            <w:gridSpan w:val="7"/>
            <w:noWrap/>
            <w:vAlign w:val="center"/>
          </w:tcPr>
          <w:p>
            <w:pPr>
              <w:keepNext w:val="0"/>
              <w:keepLines w:val="0"/>
              <w:widowControl/>
              <w:suppressLineNumbers w:val="0"/>
              <w:jc w:val="center"/>
              <w:rPr>
                <w:rFonts w:ascii="宋体" w:hAnsi="宋体" w:cs="宋体"/>
                <w:b/>
                <w:bCs/>
                <w:snapToGrid w:val="0"/>
                <w:sz w:val="28"/>
                <w:szCs w:val="28"/>
                <w:lang w:val="zh-CN"/>
              </w:rPr>
            </w:pPr>
            <w:r>
              <w:rPr>
                <w:rFonts w:hint="eastAsia" w:ascii="仿宋" w:hAnsi="仿宋" w:eastAsia="仿宋" w:cs="仿宋"/>
                <w:b/>
                <w:bCs/>
                <w:color w:val="231F20"/>
                <w:kern w:val="0"/>
                <w:sz w:val="28"/>
                <w:szCs w:val="28"/>
                <w:lang w:val="en-US" w:eastAsia="zh-CN" w:bidi="ar"/>
              </w:rPr>
              <w:t>每套蒙古包包含以下配套设施</w:t>
            </w: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2.1</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4 米蒙古包外罩</w:t>
            </w: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尺寸：4000mm *4000mm *3000/1700mm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面料：210D 高强牛津布 PU3000MM</w:t>
            </w:r>
          </w:p>
        </w:tc>
        <w:tc>
          <w:tcPr>
            <w:tcW w:w="450"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2.2</w:t>
            </w: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八角天翼</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尺寸：400*450*230/180cm        面料：防水科技棉</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支架：喷塑钢管25mm 2根 19mm 2根</w:t>
            </w:r>
          </w:p>
        </w:tc>
        <w:tc>
          <w:tcPr>
            <w:tcW w:w="450"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顶</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2.3</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帐篷地毯</w:t>
            </w: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尺寸：适用于 4m 蒙古包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材料：天然棉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绒重：1400 克</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张</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2.4</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b/>
                <w:bCs/>
                <w:color w:val="231F20"/>
                <w:kern w:val="0"/>
                <w:sz w:val="24"/>
                <w:szCs w:val="24"/>
                <w:lang w:val="en-US" w:eastAsia="zh-CN" w:bidi="ar"/>
              </w:rPr>
              <w:t>☆</w:t>
            </w:r>
            <w:r>
              <w:rPr>
                <w:rFonts w:ascii="仿宋" w:hAnsi="仿宋" w:eastAsia="仿宋" w:cs="仿宋"/>
                <w:color w:val="231F20"/>
                <w:kern w:val="0"/>
                <w:sz w:val="24"/>
                <w:szCs w:val="24"/>
                <w:lang w:val="en-US" w:eastAsia="zh-CN" w:bidi="ar"/>
              </w:rPr>
              <w:t>双人包边床</w:t>
            </w: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展开尺寸：2010mm*1320mm*100mm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重量：5.3kg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面料上：30D 弹力布 TPU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面料下：190T 春亚纺 TPU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墙条：30D 弹力布 TPU</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张</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2.5</w:t>
            </w: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3D 自动充气枕</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尺寸：460mm *300mm *120mm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面料：30D 弹力布，19 倍高弹力海绵，190T 春亚纺，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TPU 复合面料</w:t>
            </w:r>
          </w:p>
        </w:tc>
        <w:tc>
          <w:tcPr>
            <w:tcW w:w="450"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4</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2.6</w:t>
            </w: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桃皮绒信封睡袋（300g</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w:t>
            </w: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尺寸：2100mm *800mm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温标（℃）：10-50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外料：桃皮绒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里料：水洗棉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填充：羽绒棉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绗缝：水平绗缝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拉链：尼龙拉链配防夹拉头，内胆拼接树脂拉链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拼接方式：上下拼接</w:t>
            </w:r>
          </w:p>
        </w:tc>
        <w:tc>
          <w:tcPr>
            <w:tcW w:w="450"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4</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2.7</w:t>
            </w: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TC 棉内胆（搭配桃皮绒睡袋使用）</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尺寸：2100mm *800mm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重量：330g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睡袋内胆：直筒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面料：TC 棉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中号榉木椅 *4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尺寸：W520mm *D630mm *H780mm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承重：100kg</w:t>
            </w:r>
          </w:p>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重量：4kg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管子规格：20mm *20mm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材料：榉木连接用铆钉非螺丝，帆布，反绒超纤维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皮标</w:t>
            </w:r>
          </w:p>
        </w:tc>
        <w:tc>
          <w:tcPr>
            <w:tcW w:w="450"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8</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2.8</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中号榉木椅</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产品尺寸： W52*D63*H78</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承重：100KG</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内盒尺寸：101*16.5*9.5cm</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管子规格:2*2cm                          榉木连接用铆钉非螺丝，帆布，反绒超纤维皮标</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2.9</w:t>
            </w: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120cm 蛋卷榉木折叠桌</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尺寸：L1200mm *W600mm *H450mm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克重：9.69-10.69kg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承重力：40kg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材料：榉木自然色，磨砂黑色铁件，黑色 PVC 脚套</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张</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2.10</w:t>
            </w: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复古露营手提灯</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尺寸：Ф117mm*170mm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电池类型：2*18650 锂电池，5000mah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最大功率 : 4W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续航时间：6-24H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亮度：20-280lm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重量：386g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防水等级：IP55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充电适配：Type-C 接线头</w:t>
            </w:r>
          </w:p>
        </w:tc>
        <w:tc>
          <w:tcPr>
            <w:tcW w:w="450"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2.11</w:t>
            </w: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复古营地灯</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灯底：竹子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灯身：ABS+PC+ 铁艺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提手：苎麻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电池容量：2*18650 锂电池 2400mah 或者 3 节 AA 干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电池通用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功率：5W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电压：3.7-4.2V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亮度：257lm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续航时间：6-115H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防水等级：IPX6</w:t>
            </w:r>
          </w:p>
        </w:tc>
        <w:tc>
          <w:tcPr>
            <w:tcW w:w="450"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2.12</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超轻折叠灯架</w:t>
            </w: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尺寸：650mm *1940mm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铝管规格：25mm/22mm/19mm/16mm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表面：光亮氧化 / 覆膜处理 </w:t>
            </w:r>
          </w:p>
        </w:tc>
        <w:tc>
          <w:tcPr>
            <w:tcW w:w="450"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2.13</w:t>
            </w: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PP 折叠箱 50L+ 木纹盖板</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容量：50L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展开尺寸：530mm *365mm*340mm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折叠尺寸：530mm *365mm*100mm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承重：25kg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材质：食用级 PP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塑料新料占比：100% 新料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材质：密度板</w:t>
            </w:r>
          </w:p>
        </w:tc>
        <w:tc>
          <w:tcPr>
            <w:tcW w:w="450"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个/块</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2.14</w:t>
            </w: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水晶气泡球太阳能灯</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长度：5 米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灯泡数：20 颗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灯光颜色：暖白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太阳能盒材质：ABS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太阳能板：4.5V/250ma 滴胶多晶硅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电池容量：3.7V1200mah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多种闪烁模式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电压 : 12V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亮灯时长：6-12 小时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防水等级：IP65</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50"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2.15</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流苏桌旗</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亚麻编织流苏，尺寸与桌面配套。</w:t>
            </w:r>
          </w:p>
        </w:tc>
        <w:tc>
          <w:tcPr>
            <w:tcW w:w="450"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面</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2.16</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露营氛围三角旗</w:t>
            </w: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尺寸：170mm *160mm（单个）</w:t>
            </w:r>
            <w:r>
              <w:rPr>
                <w:rFonts w:hint="eastAsia" w:ascii="仿宋" w:hAnsi="仿宋" w:eastAsia="仿宋" w:cs="仿宋"/>
                <w:color w:val="231F20"/>
                <w:kern w:val="0"/>
                <w:sz w:val="24"/>
                <w:szCs w:val="24"/>
                <w:lang w:val="en-US" w:eastAsia="zh-CN" w:bidi="ar"/>
              </w:rPr>
              <w:t>，TC棉</w:t>
            </w:r>
            <w:r>
              <w:rPr>
                <w:rFonts w:ascii="仿宋" w:hAnsi="仿宋" w:eastAsia="仿宋" w:cs="仿宋"/>
                <w:color w:val="231F20"/>
                <w:kern w:val="0"/>
                <w:sz w:val="24"/>
                <w:szCs w:val="24"/>
                <w:lang w:val="en-US" w:eastAsia="zh-CN" w:bidi="ar"/>
              </w:rPr>
              <w:t xml:space="preserve">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绳子总长 4100mm，含 18 面旗帜。</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50"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面</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2.17</w:t>
            </w: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风绳安全警示露营灯</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重量 : 17.2g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最大功率 : 3W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亮度 : 5lm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照明半径 (m): 1m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续航时间 : 72H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防水性能 : IPX6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材质 : 硅胶 </w:t>
            </w:r>
          </w:p>
        </w:tc>
        <w:tc>
          <w:tcPr>
            <w:tcW w:w="450"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10</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2.18</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置物架</w:t>
            </w:r>
          </w:p>
        </w:tc>
        <w:tc>
          <w:tcPr>
            <w:tcW w:w="4005" w:type="dxa"/>
            <w:noWrap/>
            <w:vAlign w:val="center"/>
          </w:tcPr>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尺寸：450mm *90mm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材料：楠竹、棉麻布</w:t>
            </w:r>
          </w:p>
        </w:tc>
        <w:tc>
          <w:tcPr>
            <w:tcW w:w="450"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2.19</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置物架（大号）</w:t>
            </w: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展开尺寸：970mm×940mm×90mm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收纳尺寸：440mm×100mm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净重：725g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材质：塑钢、铝合金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管材直径：横管 19mm，脚管 12mm</w:t>
            </w:r>
          </w:p>
        </w:tc>
        <w:tc>
          <w:tcPr>
            <w:tcW w:w="450"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2.20</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实木花架</w:t>
            </w:r>
          </w:p>
        </w:tc>
        <w:tc>
          <w:tcPr>
            <w:tcW w:w="4005" w:type="dxa"/>
            <w:noWrap/>
            <w:vAlign w:val="bottom"/>
          </w:tcPr>
          <w:p>
            <w:pPr>
              <w:keepNext w:val="0"/>
              <w:keepLines w:val="0"/>
              <w:widowControl/>
              <w:suppressLineNumbers w:val="0"/>
              <w:jc w:val="left"/>
            </w:pPr>
            <w:r>
              <w:rPr>
                <w:rFonts w:ascii="仿宋" w:hAnsi="仿宋" w:eastAsia="仿宋" w:cs="仿宋"/>
                <w:color w:val="231F20"/>
                <w:kern w:val="0"/>
                <w:sz w:val="24"/>
                <w:szCs w:val="24"/>
                <w:lang w:val="en-US" w:eastAsia="zh-CN" w:bidi="ar"/>
              </w:rPr>
              <w:t>材料：竹制</w:t>
            </w:r>
          </w:p>
          <w:p>
            <w:pPr>
              <w:keepNext w:val="0"/>
              <w:keepLines w:val="0"/>
              <w:widowControl/>
              <w:suppressLineNumbers w:val="0"/>
              <w:jc w:val="center"/>
              <w:rPr>
                <w:rFonts w:hint="eastAsia" w:ascii="仿宋" w:hAnsi="仿宋" w:eastAsia="仿宋" w:cs="仿宋"/>
                <w:color w:val="231F20"/>
                <w:kern w:val="0"/>
                <w:sz w:val="24"/>
                <w:szCs w:val="24"/>
                <w:lang w:val="en-US" w:eastAsia="zh-CN" w:bidi="ar"/>
              </w:rPr>
            </w:pPr>
          </w:p>
        </w:tc>
        <w:tc>
          <w:tcPr>
            <w:tcW w:w="450"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2.21</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防滑地垫</w:t>
            </w: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展开尺寸：600mm *900mm（不含流苏）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流苏长：100mm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防滑垫尺寸：800mm *500mm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克重：约 600g</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张</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2.22</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水晶气泡球太阳能灯</w:t>
            </w:r>
          </w:p>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长度：5 米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灯泡数：20 颗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灯光颜色：暖白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太阳能盒材质：ABS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太阳能板：4.5V/250ma 滴胶多晶硅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电池容量：3.7V1200mah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多种闪烁模式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电压 : 12V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亮灯时长：6-12 小时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防水等级：IP65</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2.23</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 xml:space="preserve">毛绒地垫 </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尺寸：400mm*800mm</w:t>
            </w:r>
            <w:r>
              <w:rPr>
                <w:rFonts w:hint="eastAsia" w:ascii="仿宋" w:hAnsi="仿宋" w:eastAsia="仿宋" w:cs="仿宋"/>
                <w:color w:val="231F20"/>
                <w:kern w:val="0"/>
                <w:sz w:val="24"/>
                <w:szCs w:val="24"/>
                <w:lang w:val="en-US" w:eastAsia="zh-CN" w:bidi="ar"/>
              </w:rPr>
              <w:t>，柔软舒适、细腻光滑、易打理</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张</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spacing w:line="240" w:lineRule="atLeast"/>
              <w:jc w:val="center"/>
              <w:rPr>
                <w:rFonts w:ascii="宋体" w:hAnsi="宋体" w:cs="宋体"/>
                <w:snapToGrid w:val="0"/>
                <w:szCs w:val="21"/>
              </w:rPr>
            </w:pPr>
            <w:r>
              <w:rPr>
                <w:rFonts w:hint="eastAsia" w:ascii="宋体" w:hAnsi="宋体" w:cs="宋体"/>
                <w:b/>
                <w:bCs/>
                <w:snapToGrid w:val="0"/>
                <w:sz w:val="28"/>
                <w:szCs w:val="28"/>
              </w:rPr>
              <w:t>3</w:t>
            </w:r>
          </w:p>
        </w:tc>
        <w:tc>
          <w:tcPr>
            <w:tcW w:w="5176" w:type="dxa"/>
            <w:gridSpan w:val="2"/>
            <w:noWrap/>
            <w:vAlign w:val="center"/>
          </w:tcPr>
          <w:p>
            <w:pPr>
              <w:pStyle w:val="7"/>
              <w:spacing w:line="240" w:lineRule="atLeast"/>
              <w:rPr>
                <w:rFonts w:hint="eastAsia"/>
              </w:rPr>
            </w:pPr>
            <w:r>
              <w:rPr>
                <w:rFonts w:hint="eastAsia"/>
              </w:rPr>
              <w:t>长方形L棉布天幕套装（露营天幕3）</w:t>
            </w:r>
          </w:p>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尺寸：L5200mm*W4350mm*H2500/1800mm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重量：12.5kg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面料：210G TC 高科技棉布防水抗 UV 米白色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支架：喷塑钢管 25MM 2 根， 22MM 4 根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地钉：250mm 冰钉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风绳：6mm 以上 </w:t>
            </w:r>
          </w:p>
          <w:p>
            <w:pPr>
              <w:rPr>
                <w:rFonts w:hint="eastAsia"/>
              </w:rPr>
            </w:pPr>
            <w:r>
              <w:rPr>
                <w:rFonts w:hint="eastAsia" w:ascii="仿宋" w:hAnsi="仿宋" w:eastAsia="仿宋" w:cs="仿宋"/>
                <w:color w:val="231F20"/>
                <w:kern w:val="0"/>
                <w:sz w:val="24"/>
                <w:szCs w:val="24"/>
                <w:lang w:val="en-US" w:eastAsia="zh-CN" w:bidi="ar"/>
              </w:rPr>
              <w:t>配便携外包袋</w:t>
            </w:r>
          </w:p>
          <w:p>
            <w:r>
              <w:drawing>
                <wp:inline distT="0" distB="0" distL="114300" distR="114300">
                  <wp:extent cx="3148965" cy="2231390"/>
                  <wp:effectExtent l="0" t="0" r="1333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3148965" cy="2231390"/>
                          </a:xfrm>
                          <a:prstGeom prst="rect">
                            <a:avLst/>
                          </a:prstGeom>
                          <a:noFill/>
                          <a:ln>
                            <a:noFill/>
                          </a:ln>
                        </pic:spPr>
                      </pic:pic>
                    </a:graphicData>
                  </a:graphic>
                </wp:inline>
              </w:drawing>
            </w:r>
          </w:p>
        </w:tc>
        <w:tc>
          <w:tcPr>
            <w:tcW w:w="450" w:type="dxa"/>
            <w:noWrap/>
            <w:vAlign w:val="center"/>
          </w:tcPr>
          <w:p>
            <w:pPr>
              <w:widowControl/>
              <w:jc w:val="center"/>
              <w:textAlignment w:val="center"/>
              <w:rPr>
                <w:rFonts w:ascii="宋体" w:hAnsi="宋体" w:cs="宋体"/>
                <w:b/>
                <w:bCs/>
                <w:snapToGrid w:val="0"/>
                <w:sz w:val="28"/>
                <w:szCs w:val="28"/>
                <w:lang w:val="zh-CN"/>
              </w:rPr>
            </w:pPr>
            <w:r>
              <w:rPr>
                <w:rFonts w:hint="eastAsia" w:ascii="宋体" w:hAnsi="宋体" w:cs="宋体"/>
                <w:b/>
                <w:bCs/>
                <w:color w:val="000000"/>
                <w:kern w:val="0"/>
                <w:sz w:val="28"/>
                <w:szCs w:val="28"/>
              </w:rPr>
              <w:t>套</w:t>
            </w:r>
          </w:p>
        </w:tc>
        <w:tc>
          <w:tcPr>
            <w:tcW w:w="555" w:type="dxa"/>
            <w:noWrap/>
            <w:vAlign w:val="center"/>
          </w:tcPr>
          <w:p>
            <w:pPr>
              <w:widowControl/>
              <w:jc w:val="right"/>
              <w:textAlignment w:val="center"/>
              <w:rPr>
                <w:rFonts w:ascii="宋体" w:hAnsi="宋体" w:cs="宋体"/>
                <w:b/>
                <w:bCs/>
                <w:snapToGrid w:val="0"/>
                <w:sz w:val="28"/>
                <w:szCs w:val="28"/>
                <w:lang w:val="zh-CN"/>
              </w:rPr>
            </w:pPr>
            <w:r>
              <w:rPr>
                <w:rFonts w:hint="eastAsia" w:ascii="宋体" w:hAnsi="宋体" w:cs="宋体"/>
                <w:b/>
                <w:bCs/>
                <w:color w:val="000000"/>
                <w:kern w:val="0"/>
                <w:sz w:val="28"/>
                <w:szCs w:val="28"/>
              </w:rPr>
              <w:t>6</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restart"/>
            <w:noWrap/>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zh-CN" w:eastAsia="zh-CN" w:bidi="ar"/>
              </w:rPr>
              <w:t>配置有天幕和餐桌椅及相应的收纳设施，可以供住客、</w:t>
            </w:r>
          </w:p>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zh-CN" w:eastAsia="zh-CN" w:bidi="ar"/>
              </w:rPr>
              <w:t>游客、徒步者进餐、聚会、小型会议、户外宴会等活动的开展。</w:t>
            </w:r>
          </w:p>
          <w:p>
            <w:pPr>
              <w:keepNext w:val="0"/>
              <w:keepLines w:val="0"/>
              <w:widowControl/>
              <w:suppressLineNumbers w:val="0"/>
              <w:jc w:val="left"/>
              <w:rPr>
                <w:rFonts w:ascii="宋体" w:hAnsi="宋体" w:cs="宋体"/>
                <w:snapToGrid w:val="0"/>
                <w:sz w:val="18"/>
                <w:szCs w:val="18"/>
                <w:lang w:val="zh-CN"/>
              </w:rPr>
            </w:pPr>
            <w:r>
              <w:rPr>
                <w:rFonts w:hint="eastAsia" w:ascii="仿宋" w:hAnsi="仿宋" w:eastAsia="仿宋" w:cs="仿宋"/>
                <w:color w:val="231F20"/>
                <w:kern w:val="0"/>
                <w:sz w:val="24"/>
                <w:szCs w:val="24"/>
                <w:lang w:val="zh-CN" w:eastAsia="zh-CN" w:bidi="ar"/>
              </w:rPr>
              <w:t>可同时容纳 10-12 人的座位。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8599" w:type="dxa"/>
            <w:gridSpan w:val="7"/>
            <w:noWrap/>
            <w:vAlign w:val="center"/>
          </w:tcPr>
          <w:p>
            <w:pPr>
              <w:spacing w:line="240" w:lineRule="atLeast"/>
              <w:jc w:val="center"/>
              <w:rPr>
                <w:rFonts w:hint="default" w:ascii="宋体" w:hAnsi="宋体" w:cs="宋体"/>
                <w:b/>
                <w:bCs/>
                <w:snapToGrid w:val="0"/>
                <w:sz w:val="28"/>
                <w:szCs w:val="28"/>
                <w:lang w:val="en-US"/>
              </w:rPr>
            </w:pPr>
            <w:r>
              <w:rPr>
                <w:rFonts w:hint="eastAsia" w:ascii="仿宋" w:hAnsi="仿宋" w:eastAsia="仿宋" w:cs="仿宋"/>
                <w:b/>
                <w:bCs/>
                <w:color w:val="231F20"/>
                <w:kern w:val="0"/>
                <w:sz w:val="28"/>
                <w:szCs w:val="28"/>
                <w:lang w:val="en-US" w:eastAsia="zh-CN" w:bidi="ar"/>
              </w:rPr>
              <w:t>每套天幕包含以下配套设施</w:t>
            </w: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3.1</w:t>
            </w: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仿木纹折叠铝椅</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产品尺寸：530mm *430mm *610mm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承重：120kg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铝管：15*20mm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布料：600D 牛津布，反绒超纤维皮标</w:t>
            </w:r>
          </w:p>
        </w:tc>
        <w:tc>
          <w:tcPr>
            <w:tcW w:w="450"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把</w:t>
            </w:r>
          </w:p>
        </w:tc>
        <w:tc>
          <w:tcPr>
            <w:tcW w:w="555" w:type="dxa"/>
            <w:noWrap/>
            <w:vAlign w:val="center"/>
          </w:tcPr>
          <w:p>
            <w:pPr>
              <w:keepNext w:val="0"/>
              <w:keepLines w:val="0"/>
              <w:widowControl/>
              <w:suppressLineNumbers w:val="0"/>
              <w:jc w:val="righ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10</w:t>
            </w:r>
          </w:p>
        </w:tc>
        <w:tc>
          <w:tcPr>
            <w:tcW w:w="87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p>
          <w:p>
            <w:pPr>
              <w:keepNext w:val="0"/>
              <w:keepLines w:val="0"/>
              <w:widowControl/>
              <w:suppressLineNumbers w:val="0"/>
              <w:jc w:val="lef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3.2</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蛋卷仿木纹铝桌</w:t>
            </w: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尺寸：900mm x530mm x650/450mm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铝管：22x22mm;17x17mm </w:t>
            </w:r>
          </w:p>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面板：仿木纹喷塑</w:t>
            </w:r>
          </w:p>
        </w:tc>
        <w:tc>
          <w:tcPr>
            <w:tcW w:w="45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张</w:t>
            </w:r>
          </w:p>
        </w:tc>
        <w:tc>
          <w:tcPr>
            <w:tcW w:w="555" w:type="dxa"/>
            <w:noWrap/>
            <w:vAlign w:val="center"/>
          </w:tcPr>
          <w:p>
            <w:pPr>
              <w:keepNext w:val="0"/>
              <w:keepLines w:val="0"/>
              <w:widowControl/>
              <w:suppressLineNumbers w:val="0"/>
              <w:jc w:val="right"/>
              <w:rPr>
                <w:rFonts w:hint="default"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5</w:t>
            </w:r>
          </w:p>
        </w:tc>
        <w:tc>
          <w:tcPr>
            <w:tcW w:w="87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eastAsia"/>
                <w:lang w:val="en-US" w:eastAsia="zh-CN"/>
              </w:rPr>
            </w:pPr>
          </w:p>
          <w:p>
            <w:pPr>
              <w:pStyle w:val="2"/>
              <w:rPr>
                <w:rFonts w:hint="eastAsia"/>
                <w:lang w:val="en-US" w:eastAsia="zh-CN"/>
              </w:rPr>
            </w:pP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复古露营手提灯</w:t>
            </w:r>
          </w:p>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尺寸：Ф117mm*170mm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电池类型：2*18650 锂电池，5000mah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最大功率 : 4W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续航时间：6-24H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亮度：20-280lm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重量：386g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防水等级：IP55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充电适配：Type-C 接线头</w:t>
            </w:r>
          </w:p>
        </w:tc>
        <w:tc>
          <w:tcPr>
            <w:tcW w:w="45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2</w:t>
            </w:r>
          </w:p>
        </w:tc>
        <w:tc>
          <w:tcPr>
            <w:tcW w:w="87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pStyle w:val="2"/>
              <w:rPr>
                <w:rFonts w:hint="eastAsia"/>
                <w:lang w:val="en-US" w:eastAsia="zh-CN"/>
              </w:rPr>
            </w:pP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复古露营灯</w:t>
            </w:r>
          </w:p>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尺寸：200mm *200mm *335mm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克重：1.3kg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额定电压：电池输出 4.2V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充电输入 5V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额定功率：5W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电池容量：10000 毫安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续航时间：11-120H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最大功率：6W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流明：400lm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防水等级：IPX4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照明半径：5.5M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材质：铁艺、ABS 电镀、玻璃</w:t>
            </w:r>
          </w:p>
        </w:tc>
        <w:tc>
          <w:tcPr>
            <w:tcW w:w="45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2</w:t>
            </w:r>
          </w:p>
        </w:tc>
        <w:tc>
          <w:tcPr>
            <w:tcW w:w="87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pStyle w:val="2"/>
              <w:rPr>
                <w:rFonts w:hint="eastAsia"/>
                <w:lang w:val="en-US" w:eastAsia="zh-CN"/>
              </w:rPr>
            </w:pP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超轻折叠灯架</w:t>
            </w:r>
          </w:p>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尺寸：650mm *1940mm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铝管规格：25mm/22mm/19mm/16mm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表面：光亮氧化 / 覆膜处理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重量：1.3kg</w:t>
            </w:r>
          </w:p>
        </w:tc>
        <w:tc>
          <w:tcPr>
            <w:tcW w:w="45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2</w:t>
            </w:r>
          </w:p>
        </w:tc>
        <w:tc>
          <w:tcPr>
            <w:tcW w:w="87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pStyle w:val="2"/>
              <w:rPr>
                <w:rFonts w:hint="eastAsia"/>
                <w:lang w:val="en-US" w:eastAsia="zh-CN"/>
              </w:rPr>
            </w:pP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水晶气泡球太阳能灯</w:t>
            </w:r>
          </w:p>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长度：5 米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灯泡数：20 颗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灯光颜色：暖白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太阳能盒材质：ABS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太阳能板：4.5V/250ma 滴胶多晶硅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电池容量：3.7V1200mah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多种闪烁模式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电压 : 12V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亮灯时长：6-12 小时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防水等级：IP65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绳子总长 4100mm，含 18 面旗帜。</w:t>
            </w:r>
          </w:p>
        </w:tc>
        <w:tc>
          <w:tcPr>
            <w:tcW w:w="45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4</w:t>
            </w:r>
          </w:p>
        </w:tc>
        <w:tc>
          <w:tcPr>
            <w:tcW w:w="87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pStyle w:val="2"/>
              <w:rPr>
                <w:rFonts w:hint="eastAsia"/>
                <w:lang w:val="en-US" w:eastAsia="zh-CN"/>
              </w:rPr>
            </w:pP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露营氛围三角旗</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17*16cm（单个） ，TC棉</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绳子总长410CM，含18面旗帜 </w:t>
            </w:r>
          </w:p>
        </w:tc>
        <w:tc>
          <w:tcPr>
            <w:tcW w:w="45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面</w:t>
            </w:r>
          </w:p>
        </w:tc>
        <w:tc>
          <w:tcPr>
            <w:tcW w:w="555" w:type="dxa"/>
            <w:noWrap/>
            <w:vAlign w:val="center"/>
          </w:tcPr>
          <w:p>
            <w:pPr>
              <w:keepNext w:val="0"/>
              <w:keepLines w:val="0"/>
              <w:widowControl/>
              <w:suppressLineNumbers w:val="0"/>
              <w:jc w:val="righ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2</w:t>
            </w:r>
          </w:p>
        </w:tc>
        <w:tc>
          <w:tcPr>
            <w:tcW w:w="87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pStyle w:val="2"/>
              <w:rPr>
                <w:rFonts w:hint="eastAsia"/>
                <w:lang w:val="en-US" w:eastAsia="zh-CN"/>
              </w:rPr>
            </w:pP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风绳安全警示露营灯</w:t>
            </w:r>
          </w:p>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重量 : 17.2g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最大功率 : 3W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亮度 : 5lm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照明半径 (m): 1m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续航时间 : 72H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防水性能 : IPX6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材质 : 硅胶</w:t>
            </w:r>
          </w:p>
        </w:tc>
        <w:tc>
          <w:tcPr>
            <w:tcW w:w="45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10</w:t>
            </w:r>
          </w:p>
        </w:tc>
        <w:tc>
          <w:tcPr>
            <w:tcW w:w="87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折叠储物柜（大号）</w:t>
            </w:r>
          </w:p>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尺寸：1000mm×490mm×820mm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重量：13.5-14.4kg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材质：MDF 搁架、天然竹顶板、钢制挡风玻璃 </w:t>
            </w:r>
          </w:p>
          <w:p>
            <w:pPr>
              <w:keepNext w:val="0"/>
              <w:keepLines w:val="0"/>
              <w:widowControl/>
              <w:suppressLineNumbers w:val="0"/>
              <w:jc w:val="left"/>
              <w:rPr>
                <w:b w:val="0"/>
                <w:bCs w:val="0"/>
              </w:rPr>
            </w:pPr>
            <w:r>
              <w:rPr>
                <w:rFonts w:hint="eastAsia" w:ascii="仿宋" w:hAnsi="仿宋" w:eastAsia="仿宋" w:cs="仿宋"/>
                <w:color w:val="231F20"/>
                <w:kern w:val="0"/>
                <w:sz w:val="24"/>
                <w:szCs w:val="24"/>
                <w:lang w:val="en-US" w:eastAsia="zh-CN" w:bidi="ar"/>
              </w:rPr>
              <w:t>面料：</w:t>
            </w:r>
            <w:r>
              <w:rPr>
                <w:rFonts w:hint="eastAsia" w:ascii="仿宋" w:hAnsi="仿宋" w:eastAsia="仿宋" w:cs="仿宋"/>
                <w:b w:val="0"/>
                <w:bCs w:val="0"/>
                <w:color w:val="231F20"/>
                <w:kern w:val="0"/>
                <w:sz w:val="24"/>
                <w:szCs w:val="24"/>
                <w:lang w:val="en-US" w:eastAsia="zh-CN" w:bidi="ar"/>
              </w:rPr>
              <w:t xml:space="preserve">600X300D 牛津 </w:t>
            </w:r>
          </w:p>
          <w:p>
            <w:pPr>
              <w:keepNext w:val="0"/>
              <w:keepLines w:val="0"/>
              <w:widowControl/>
              <w:suppressLineNumbers w:val="0"/>
              <w:jc w:val="left"/>
              <w:rPr>
                <w:b w:val="0"/>
                <w:bCs w:val="0"/>
              </w:rPr>
            </w:pPr>
            <w:r>
              <w:rPr>
                <w:rFonts w:hint="eastAsia" w:ascii="仿宋" w:hAnsi="仿宋" w:eastAsia="仿宋" w:cs="仿宋"/>
                <w:b w:val="0"/>
                <w:bCs w:val="0"/>
                <w:color w:val="231F20"/>
                <w:kern w:val="0"/>
                <w:sz w:val="24"/>
                <w:szCs w:val="24"/>
                <w:lang w:val="en-US" w:eastAsia="zh-CN" w:bidi="ar"/>
              </w:rPr>
              <w:t xml:space="preserve">框架：铝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带灯架、外袋。</w:t>
            </w:r>
          </w:p>
        </w:tc>
        <w:tc>
          <w:tcPr>
            <w:tcW w:w="45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储物柜侧边架</w:t>
            </w:r>
          </w:p>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尺寸：1060mm *440mm *800mm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克重：2.7-3.3kg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含外袋。</w:t>
            </w:r>
          </w:p>
        </w:tc>
        <w:tc>
          <w:tcPr>
            <w:tcW w:w="45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b w:val="0"/>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hint="eastAsia" w:ascii="仿宋" w:hAnsi="仿宋" w:eastAsia="仿宋" w:cs="仿宋"/>
                <w:b w:val="0"/>
                <w:color w:val="231F20"/>
                <w:kern w:val="0"/>
                <w:sz w:val="24"/>
                <w:szCs w:val="24"/>
                <w:lang w:val="zh-CN" w:eastAsia="zh-CN" w:bidi="ar"/>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spacing w:line="240" w:lineRule="atLeast"/>
              <w:jc w:val="center"/>
              <w:rPr>
                <w:rFonts w:ascii="宋体" w:hAnsi="宋体" w:cs="宋体"/>
                <w:snapToGrid w:val="0"/>
                <w:sz w:val="28"/>
                <w:szCs w:val="28"/>
              </w:rPr>
            </w:pPr>
            <w:r>
              <w:rPr>
                <w:rFonts w:hint="eastAsia" w:ascii="宋体" w:hAnsi="宋体" w:cs="宋体"/>
                <w:snapToGrid w:val="0"/>
                <w:sz w:val="28"/>
                <w:szCs w:val="28"/>
              </w:rPr>
              <w:t>4</w:t>
            </w:r>
          </w:p>
        </w:tc>
        <w:tc>
          <w:tcPr>
            <w:tcW w:w="5176" w:type="dxa"/>
            <w:gridSpan w:val="2"/>
            <w:noWrap/>
            <w:vAlign w:val="bottom"/>
          </w:tcPr>
          <w:p>
            <w:pPr>
              <w:keepNext w:val="0"/>
              <w:keepLines w:val="0"/>
              <w:widowControl/>
              <w:suppressLineNumbers w:val="0"/>
              <w:jc w:val="left"/>
              <w:rPr>
                <w:rFonts w:hint="eastAsia"/>
                <w:b/>
                <w:bCs/>
                <w:sz w:val="28"/>
                <w:szCs w:val="28"/>
              </w:rPr>
            </w:pPr>
            <w:r>
              <w:rPr>
                <w:rFonts w:hint="eastAsia"/>
                <w:b/>
                <w:bCs/>
                <w:sz w:val="28"/>
                <w:szCs w:val="28"/>
              </w:rPr>
              <w:t>印第安敞开帐-10m（星空房）套装</w:t>
            </w:r>
          </w:p>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寸：直径 10 米 * 高 7 米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结构：印第安帐篷、帐篷实木支架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特殊工艺：360 度开口，多根主杆 </w:t>
            </w:r>
          </w:p>
          <w:p>
            <w:pPr>
              <w:pStyle w:val="7"/>
              <w:spacing w:line="240" w:lineRule="atLeast"/>
              <w:jc w:val="center"/>
              <w:rPr>
                <w:rFonts w:hint="eastAsia" w:ascii="仿宋" w:hAnsi="仿宋" w:eastAsia="仿宋" w:cs="仿宋"/>
                <w:b w:val="0"/>
                <w:color w:val="231F20"/>
                <w:kern w:val="0"/>
                <w:sz w:val="24"/>
                <w:szCs w:val="24"/>
                <w:lang w:val="en-US" w:eastAsia="zh-CN" w:bidi="ar"/>
              </w:rPr>
            </w:pPr>
            <w:r>
              <w:rPr>
                <w:rFonts w:hint="eastAsia" w:ascii="仿宋" w:hAnsi="仿宋" w:eastAsia="仿宋" w:cs="仿宋"/>
                <w:b w:val="0"/>
                <w:color w:val="231F20"/>
                <w:kern w:val="0"/>
                <w:sz w:val="24"/>
                <w:szCs w:val="24"/>
                <w:lang w:val="en-US" w:eastAsia="zh-CN" w:bidi="ar"/>
              </w:rPr>
              <w:t>面料材质：加强棉、耐水压、防泼水、防水、防霉</w:t>
            </w:r>
          </w:p>
          <w:p>
            <w:pPr>
              <w:pStyle w:val="7"/>
              <w:spacing w:line="240" w:lineRule="atLeast"/>
              <w:jc w:val="center"/>
              <w:rPr>
                <w:rFonts w:hint="eastAsia"/>
              </w:rPr>
            </w:pPr>
            <w:r>
              <w:drawing>
                <wp:inline distT="0" distB="0" distL="114300" distR="114300">
                  <wp:extent cx="3147695" cy="2104390"/>
                  <wp:effectExtent l="0" t="0" r="1460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147695" cy="2104390"/>
                          </a:xfrm>
                          <a:prstGeom prst="rect">
                            <a:avLst/>
                          </a:prstGeom>
                          <a:noFill/>
                          <a:ln>
                            <a:noFill/>
                          </a:ln>
                        </pic:spPr>
                      </pic:pic>
                    </a:graphicData>
                  </a:graphic>
                </wp:inline>
              </w:drawing>
            </w:r>
          </w:p>
          <w:p/>
        </w:tc>
        <w:tc>
          <w:tcPr>
            <w:tcW w:w="450" w:type="dxa"/>
            <w:noWrap/>
            <w:vAlign w:val="center"/>
          </w:tcPr>
          <w:p>
            <w:pPr>
              <w:widowControl/>
              <w:jc w:val="center"/>
              <w:textAlignment w:val="center"/>
              <w:rPr>
                <w:rFonts w:ascii="宋体" w:hAnsi="宋体" w:cs="宋体"/>
                <w:b/>
                <w:bCs/>
                <w:snapToGrid w:val="0"/>
                <w:sz w:val="28"/>
                <w:szCs w:val="28"/>
                <w:lang w:val="zh-CN"/>
              </w:rPr>
            </w:pPr>
            <w:r>
              <w:rPr>
                <w:rFonts w:hint="eastAsia" w:ascii="宋体" w:hAnsi="宋体" w:cs="宋体"/>
                <w:b/>
                <w:bCs/>
                <w:color w:val="000000"/>
                <w:kern w:val="0"/>
                <w:sz w:val="28"/>
                <w:szCs w:val="28"/>
              </w:rPr>
              <w:t>套</w:t>
            </w:r>
          </w:p>
        </w:tc>
        <w:tc>
          <w:tcPr>
            <w:tcW w:w="555" w:type="dxa"/>
            <w:noWrap/>
            <w:vAlign w:val="center"/>
          </w:tcPr>
          <w:p>
            <w:pPr>
              <w:widowControl/>
              <w:jc w:val="right"/>
              <w:textAlignment w:val="center"/>
              <w:rPr>
                <w:rFonts w:ascii="宋体" w:hAnsi="宋体" w:cs="宋体"/>
                <w:b/>
                <w:bCs/>
                <w:snapToGrid w:val="0"/>
                <w:sz w:val="28"/>
                <w:szCs w:val="28"/>
                <w:lang w:val="zh-CN"/>
              </w:rPr>
            </w:pPr>
            <w:r>
              <w:rPr>
                <w:rFonts w:hint="eastAsia" w:ascii="宋体" w:hAnsi="宋体" w:cs="宋体"/>
                <w:b/>
                <w:bCs/>
                <w:color w:val="000000"/>
                <w:kern w:val="0"/>
                <w:sz w:val="28"/>
                <w:szCs w:val="28"/>
              </w:rPr>
              <w:t>2</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restart"/>
            <w:noWrap/>
          </w:tcPr>
          <w:p>
            <w:pPr>
              <w:keepNext w:val="0"/>
              <w:keepLines w:val="0"/>
              <w:widowControl/>
              <w:suppressLineNumbers w:val="0"/>
              <w:jc w:val="left"/>
              <w:rPr>
                <w:rFonts w:hint="eastAsia" w:ascii="仿宋" w:hAnsi="仿宋" w:eastAsia="仿宋" w:cs="仿宋"/>
                <w:b w:val="0"/>
                <w:bCs w:val="0"/>
                <w:color w:val="231F20"/>
                <w:kern w:val="0"/>
                <w:sz w:val="24"/>
                <w:szCs w:val="24"/>
                <w:lang w:val="zh-CN" w:eastAsia="zh-CN" w:bidi="ar"/>
              </w:rPr>
            </w:pPr>
            <w:r>
              <w:rPr>
                <w:rFonts w:hint="eastAsia" w:ascii="仿宋" w:hAnsi="仿宋" w:eastAsia="仿宋" w:cs="仿宋"/>
                <w:b w:val="0"/>
                <w:bCs w:val="0"/>
                <w:color w:val="231F20"/>
                <w:kern w:val="0"/>
                <w:sz w:val="24"/>
                <w:szCs w:val="24"/>
                <w:lang w:val="zh-CN" w:eastAsia="zh-CN" w:bidi="ar"/>
              </w:rPr>
              <w:t>直径 10m 的印第安草帽开帐配有餐桌椅和相应的收纳</w:t>
            </w:r>
          </w:p>
          <w:p>
            <w:pPr>
              <w:keepNext w:val="0"/>
              <w:keepLines w:val="0"/>
              <w:widowControl/>
              <w:suppressLineNumbers w:val="0"/>
              <w:jc w:val="left"/>
              <w:rPr>
                <w:rFonts w:hint="eastAsia" w:ascii="仿宋" w:hAnsi="仿宋" w:eastAsia="仿宋" w:cs="仿宋"/>
                <w:b w:val="0"/>
                <w:bCs w:val="0"/>
                <w:color w:val="231F20"/>
                <w:kern w:val="0"/>
                <w:sz w:val="24"/>
                <w:szCs w:val="24"/>
                <w:lang w:val="zh-CN" w:eastAsia="zh-CN" w:bidi="ar"/>
              </w:rPr>
            </w:pPr>
            <w:r>
              <w:rPr>
                <w:rFonts w:hint="eastAsia" w:ascii="仿宋" w:hAnsi="仿宋" w:eastAsia="仿宋" w:cs="仿宋"/>
                <w:b w:val="0"/>
                <w:bCs w:val="0"/>
                <w:color w:val="231F20"/>
                <w:kern w:val="0"/>
                <w:sz w:val="24"/>
                <w:szCs w:val="24"/>
                <w:lang w:val="zh-CN" w:eastAsia="zh-CN" w:bidi="ar"/>
              </w:rPr>
              <w:t>设施，是供给整个营地进餐、会议、典礼、宴会等中型活</w:t>
            </w:r>
          </w:p>
          <w:p>
            <w:pPr>
              <w:keepNext w:val="0"/>
              <w:keepLines w:val="0"/>
              <w:widowControl/>
              <w:suppressLineNumbers w:val="0"/>
              <w:jc w:val="left"/>
              <w:rPr>
                <w:rFonts w:ascii="宋体" w:hAnsi="宋体" w:cs="宋体"/>
                <w:snapToGrid w:val="0"/>
                <w:sz w:val="18"/>
                <w:szCs w:val="18"/>
                <w:lang w:val="zh-CN"/>
              </w:rPr>
            </w:pPr>
            <w:r>
              <w:rPr>
                <w:rFonts w:hint="eastAsia" w:ascii="仿宋" w:hAnsi="仿宋" w:eastAsia="仿宋" w:cs="仿宋"/>
                <w:b w:val="0"/>
                <w:bCs w:val="0"/>
                <w:color w:val="231F20"/>
                <w:kern w:val="0"/>
                <w:sz w:val="24"/>
                <w:szCs w:val="24"/>
                <w:lang w:val="zh-CN" w:eastAsia="zh-CN" w:bidi="ar"/>
              </w:rPr>
              <w:t>动的主要场所，两个帐篷可同时容纳 70 人的餐位。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8599" w:type="dxa"/>
            <w:gridSpan w:val="7"/>
            <w:noWrap/>
            <w:vAlign w:val="center"/>
          </w:tcPr>
          <w:p>
            <w:pPr>
              <w:spacing w:line="240" w:lineRule="atLeast"/>
              <w:jc w:val="center"/>
              <w:rPr>
                <w:rFonts w:hint="default" w:ascii="宋体" w:hAnsi="宋体" w:eastAsia="宋体" w:cs="宋体"/>
                <w:b/>
                <w:bCs/>
                <w:snapToGrid w:val="0"/>
                <w:sz w:val="28"/>
                <w:szCs w:val="28"/>
                <w:lang w:val="en-US" w:eastAsia="zh-CN"/>
              </w:rPr>
            </w:pPr>
            <w:r>
              <w:rPr>
                <w:rFonts w:hint="eastAsia" w:ascii="仿宋" w:hAnsi="仿宋" w:eastAsia="仿宋" w:cs="仿宋"/>
                <w:b/>
                <w:bCs/>
                <w:color w:val="231F20"/>
                <w:kern w:val="0"/>
                <w:sz w:val="28"/>
                <w:szCs w:val="28"/>
                <w:lang w:val="en-US" w:eastAsia="zh-CN" w:bidi="ar"/>
              </w:rPr>
              <w:t>每套</w:t>
            </w:r>
            <w:r>
              <w:rPr>
                <w:rFonts w:hint="eastAsia"/>
                <w:b/>
                <w:bCs/>
                <w:sz w:val="28"/>
                <w:szCs w:val="28"/>
              </w:rPr>
              <w:t>印第安敞开帐</w:t>
            </w:r>
            <w:r>
              <w:rPr>
                <w:rFonts w:hint="eastAsia"/>
                <w:b/>
                <w:bCs/>
                <w:sz w:val="28"/>
                <w:szCs w:val="28"/>
                <w:lang w:val="en-US" w:eastAsia="zh-CN"/>
              </w:rPr>
              <w:t>包含以下配套设施</w:t>
            </w: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4.1</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仿木纹折叠铝椅</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产品尺寸：530mm *430mm *610mm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承重：120kg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重量：2.2Kg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铝管：15*20mm </w:t>
            </w:r>
          </w:p>
          <w:p>
            <w:pPr>
              <w:keepNext w:val="0"/>
              <w:keepLines w:val="0"/>
              <w:widowControl/>
              <w:suppressLineNumbers w:val="0"/>
              <w:jc w:val="left"/>
              <w:rPr>
                <w:rFonts w:hint="eastAsia" w:ascii="宋体" w:hAnsi="宋体" w:cs="宋体"/>
                <w:color w:val="000000"/>
                <w:kern w:val="0"/>
                <w:sz w:val="21"/>
                <w:szCs w:val="21"/>
              </w:rPr>
            </w:pPr>
            <w:r>
              <w:rPr>
                <w:rFonts w:hint="eastAsia" w:ascii="仿宋" w:hAnsi="仿宋" w:eastAsia="仿宋" w:cs="仿宋"/>
                <w:color w:val="231F20"/>
                <w:kern w:val="0"/>
                <w:sz w:val="24"/>
                <w:szCs w:val="24"/>
                <w:lang w:val="en-US" w:eastAsia="zh-CN" w:bidi="ar"/>
              </w:rPr>
              <w:t>布料：600D 牛津布，反绒超纤维皮标</w:t>
            </w:r>
          </w:p>
        </w:tc>
        <w:tc>
          <w:tcPr>
            <w:tcW w:w="450" w:type="dxa"/>
            <w:noWrap/>
            <w:vAlign w:val="center"/>
          </w:tcPr>
          <w:p>
            <w:pPr>
              <w:widowControl/>
              <w:jc w:val="center"/>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把</w:t>
            </w:r>
          </w:p>
        </w:tc>
        <w:tc>
          <w:tcPr>
            <w:tcW w:w="555" w:type="dxa"/>
            <w:noWrap/>
            <w:vAlign w:val="center"/>
          </w:tcPr>
          <w:p>
            <w:pPr>
              <w:widowControl/>
              <w:jc w:val="right"/>
              <w:textAlignment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32</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4.2</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竹制对折导轨桌</w:t>
            </w: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尺寸：1200mm *800mm *500/700mm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重量：11.5-12.4kg </w:t>
            </w:r>
          </w:p>
          <w:p>
            <w:pPr>
              <w:keepNext w:val="0"/>
              <w:keepLines w:val="0"/>
              <w:widowControl/>
              <w:suppressLineNumbers w:val="0"/>
              <w:jc w:val="left"/>
              <w:rPr>
                <w:rFonts w:hint="eastAsia" w:ascii="宋体" w:hAnsi="宋体" w:cs="宋体"/>
                <w:color w:val="000000"/>
                <w:kern w:val="0"/>
                <w:sz w:val="21"/>
                <w:szCs w:val="21"/>
              </w:rPr>
            </w:pPr>
            <w:r>
              <w:rPr>
                <w:rFonts w:hint="eastAsia" w:ascii="仿宋" w:hAnsi="仿宋" w:eastAsia="仿宋" w:cs="仿宋"/>
                <w:color w:val="231F20"/>
                <w:kern w:val="0"/>
                <w:sz w:val="24"/>
                <w:szCs w:val="24"/>
                <w:lang w:val="en-US" w:eastAsia="zh-CN" w:bidi="ar"/>
              </w:rPr>
              <w:t>面板：仿木纹喷塑</w:t>
            </w:r>
          </w:p>
        </w:tc>
        <w:tc>
          <w:tcPr>
            <w:tcW w:w="450" w:type="dxa"/>
            <w:noWrap/>
            <w:vAlign w:val="center"/>
          </w:tcPr>
          <w:p>
            <w:pPr>
              <w:widowControl/>
              <w:jc w:val="center"/>
              <w:textAlignment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张</w:t>
            </w:r>
          </w:p>
        </w:tc>
        <w:tc>
          <w:tcPr>
            <w:tcW w:w="555" w:type="dxa"/>
            <w:noWrap/>
            <w:vAlign w:val="center"/>
          </w:tcPr>
          <w:p>
            <w:pPr>
              <w:widowControl/>
              <w:jc w:val="right"/>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8</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4.3</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复古露营手提灯</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尺寸：Ф117mm*170mm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电池类型：2*18650 锂电池，5000mah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最大功率 : 4W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续航时间：6-24H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亮度：20-280lm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重量：386g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防水等级：IP55 </w:t>
            </w:r>
          </w:p>
          <w:p>
            <w:pPr>
              <w:keepNext w:val="0"/>
              <w:keepLines w:val="0"/>
              <w:widowControl/>
              <w:suppressLineNumbers w:val="0"/>
              <w:jc w:val="left"/>
              <w:rPr>
                <w:rFonts w:hint="eastAsia" w:ascii="宋体" w:hAnsi="宋体" w:cs="宋体"/>
                <w:color w:val="000000"/>
                <w:kern w:val="0"/>
                <w:sz w:val="21"/>
                <w:szCs w:val="21"/>
              </w:rPr>
            </w:pPr>
            <w:r>
              <w:rPr>
                <w:rFonts w:hint="eastAsia" w:ascii="仿宋" w:hAnsi="仿宋" w:eastAsia="仿宋" w:cs="仿宋"/>
                <w:color w:val="231F20"/>
                <w:kern w:val="0"/>
                <w:sz w:val="24"/>
                <w:szCs w:val="24"/>
                <w:lang w:val="en-US" w:eastAsia="zh-CN" w:bidi="ar"/>
              </w:rPr>
              <w:t>充电适配：Type-C 接线头</w:t>
            </w:r>
          </w:p>
        </w:tc>
        <w:tc>
          <w:tcPr>
            <w:tcW w:w="450" w:type="dxa"/>
            <w:noWrap/>
            <w:vAlign w:val="center"/>
          </w:tcPr>
          <w:p>
            <w:pPr>
              <w:widowControl/>
              <w:jc w:val="center"/>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个</w:t>
            </w:r>
          </w:p>
        </w:tc>
        <w:tc>
          <w:tcPr>
            <w:tcW w:w="555" w:type="dxa"/>
            <w:noWrap/>
            <w:vAlign w:val="center"/>
          </w:tcPr>
          <w:p>
            <w:pPr>
              <w:widowControl/>
              <w:jc w:val="right"/>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4.4</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复古露营灯</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尺寸：200mm *200mm *335mm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克重：1.3kg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额定电压：电池输出 4.2V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充电输入 5V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额定功率：5W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电池容量：10000 毫安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续航时间：11-120H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最大功率：6W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流明：400lm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防水等级：IPX4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照明半径：5.5M </w:t>
            </w:r>
          </w:p>
          <w:p>
            <w:pPr>
              <w:keepNext w:val="0"/>
              <w:keepLines w:val="0"/>
              <w:widowControl/>
              <w:suppressLineNumbers w:val="0"/>
              <w:jc w:val="left"/>
              <w:rPr>
                <w:rFonts w:hint="eastAsia" w:ascii="宋体" w:hAnsi="宋体" w:cs="宋体"/>
                <w:color w:val="000000"/>
                <w:kern w:val="0"/>
                <w:sz w:val="21"/>
                <w:szCs w:val="21"/>
              </w:rPr>
            </w:pPr>
            <w:r>
              <w:rPr>
                <w:rFonts w:hint="eastAsia" w:ascii="仿宋" w:hAnsi="仿宋" w:eastAsia="仿宋" w:cs="仿宋"/>
                <w:color w:val="231F20"/>
                <w:kern w:val="0"/>
                <w:sz w:val="24"/>
                <w:szCs w:val="24"/>
                <w:lang w:val="en-US" w:eastAsia="zh-CN" w:bidi="ar"/>
              </w:rPr>
              <w:t>材质：铁艺、ABS 电镀、玻璃</w:t>
            </w:r>
          </w:p>
        </w:tc>
        <w:tc>
          <w:tcPr>
            <w:tcW w:w="450" w:type="dxa"/>
            <w:noWrap/>
            <w:vAlign w:val="center"/>
          </w:tcPr>
          <w:p>
            <w:pPr>
              <w:widowControl/>
              <w:jc w:val="center"/>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个</w:t>
            </w:r>
          </w:p>
        </w:tc>
        <w:tc>
          <w:tcPr>
            <w:tcW w:w="555" w:type="dxa"/>
            <w:noWrap/>
            <w:vAlign w:val="center"/>
          </w:tcPr>
          <w:p>
            <w:pPr>
              <w:widowControl/>
              <w:jc w:val="right"/>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4.5</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超轻折叠灯架</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尺寸：650mm *1940mm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铝管规格：25mm/22mm/19mm/16mm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表面：光亮氧化 / 覆膜处理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重量：1.3kg</w:t>
            </w:r>
          </w:p>
          <w:p>
            <w:pPr>
              <w:pStyle w:val="7"/>
              <w:spacing w:line="240" w:lineRule="atLeast"/>
              <w:rPr>
                <w:rFonts w:hint="eastAsia" w:ascii="宋体" w:hAnsi="宋体" w:cs="宋体"/>
                <w:color w:val="000000"/>
                <w:kern w:val="0"/>
                <w:sz w:val="21"/>
                <w:szCs w:val="21"/>
              </w:rPr>
            </w:pPr>
          </w:p>
        </w:tc>
        <w:tc>
          <w:tcPr>
            <w:tcW w:w="450" w:type="dxa"/>
            <w:noWrap/>
            <w:vAlign w:val="center"/>
          </w:tcPr>
          <w:p>
            <w:pPr>
              <w:widowControl/>
              <w:jc w:val="center"/>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个</w:t>
            </w:r>
          </w:p>
        </w:tc>
        <w:tc>
          <w:tcPr>
            <w:tcW w:w="555" w:type="dxa"/>
            <w:noWrap/>
            <w:vAlign w:val="center"/>
          </w:tcPr>
          <w:p>
            <w:pPr>
              <w:widowControl/>
              <w:jc w:val="right"/>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pStyle w:val="7"/>
              <w:rPr>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4.6</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水晶气泡球太阳能灯</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长度：5 米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灯泡数：20 颗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灯光颜色：暖白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太阳能盒材质：ABS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太阳能板：4.5V/250ma 滴胶多晶硅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电池容量：3.7V1200mah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多种闪烁模式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电压 : 12V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亮灯时长：6-12 小时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防水等级：IP65 </w:t>
            </w:r>
          </w:p>
          <w:p>
            <w:pPr>
              <w:keepNext w:val="0"/>
              <w:keepLines w:val="0"/>
              <w:widowControl/>
              <w:suppressLineNumbers w:val="0"/>
              <w:jc w:val="left"/>
              <w:rPr>
                <w:rFonts w:hint="eastAsia" w:ascii="宋体" w:hAnsi="宋体" w:cs="宋体"/>
                <w:color w:val="000000"/>
                <w:kern w:val="0"/>
                <w:sz w:val="21"/>
                <w:szCs w:val="21"/>
              </w:rPr>
            </w:pPr>
            <w:r>
              <w:rPr>
                <w:rFonts w:hint="eastAsia" w:ascii="仿宋" w:hAnsi="仿宋" w:eastAsia="仿宋" w:cs="仿宋"/>
                <w:color w:val="231F20"/>
                <w:kern w:val="0"/>
                <w:sz w:val="24"/>
                <w:szCs w:val="24"/>
                <w:lang w:val="en-US" w:eastAsia="zh-CN" w:bidi="ar"/>
              </w:rPr>
              <w:t>绳子总长 4100mm，含 18 面旗帜。</w:t>
            </w:r>
          </w:p>
        </w:tc>
        <w:tc>
          <w:tcPr>
            <w:tcW w:w="450" w:type="dxa"/>
            <w:noWrap/>
            <w:vAlign w:val="center"/>
          </w:tcPr>
          <w:p>
            <w:pPr>
              <w:widowControl/>
              <w:jc w:val="center"/>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个</w:t>
            </w:r>
          </w:p>
        </w:tc>
        <w:tc>
          <w:tcPr>
            <w:tcW w:w="555" w:type="dxa"/>
            <w:noWrap/>
            <w:vAlign w:val="center"/>
          </w:tcPr>
          <w:p>
            <w:pPr>
              <w:widowControl/>
              <w:jc w:val="right"/>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pStyle w:val="7"/>
              <w:rPr>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4.7</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风绳安全警示露营灯</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重量 : 17.2g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最大功率 : 3W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亮度 : 5lm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照明半径 (m): 1m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续航时间 : 72H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防水性能 : IPX6 </w:t>
            </w:r>
          </w:p>
          <w:p>
            <w:pPr>
              <w:keepNext w:val="0"/>
              <w:keepLines w:val="0"/>
              <w:widowControl/>
              <w:suppressLineNumbers w:val="0"/>
              <w:jc w:val="left"/>
              <w:rPr>
                <w:rFonts w:hint="eastAsia" w:ascii="宋体" w:hAnsi="宋体" w:cs="宋体"/>
                <w:color w:val="000000"/>
                <w:kern w:val="0"/>
                <w:sz w:val="21"/>
                <w:szCs w:val="21"/>
              </w:rPr>
            </w:pPr>
            <w:r>
              <w:rPr>
                <w:rFonts w:hint="eastAsia" w:ascii="仿宋" w:hAnsi="仿宋" w:eastAsia="仿宋" w:cs="仿宋"/>
                <w:color w:val="231F20"/>
                <w:kern w:val="0"/>
                <w:sz w:val="24"/>
                <w:szCs w:val="24"/>
                <w:lang w:val="en-US" w:eastAsia="zh-CN" w:bidi="ar"/>
              </w:rPr>
              <w:t>材质 : 硅胶</w:t>
            </w:r>
          </w:p>
        </w:tc>
        <w:tc>
          <w:tcPr>
            <w:tcW w:w="450" w:type="dxa"/>
            <w:noWrap/>
            <w:vAlign w:val="center"/>
          </w:tcPr>
          <w:p>
            <w:pPr>
              <w:widowControl/>
              <w:jc w:val="center"/>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个</w:t>
            </w:r>
          </w:p>
        </w:tc>
        <w:tc>
          <w:tcPr>
            <w:tcW w:w="555" w:type="dxa"/>
            <w:noWrap/>
            <w:vAlign w:val="center"/>
          </w:tcPr>
          <w:p>
            <w:pPr>
              <w:widowControl/>
              <w:jc w:val="right"/>
              <w:textAlignment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10</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pStyle w:val="7"/>
              <w:rPr>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4.8</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折叠储物柜（大号）</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尺寸：1000mm×490mm×820mm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重量：13.5-14.4kg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材质：MDF 搁架、天然竹顶板、钢制挡风玻璃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面料：600X300D 牛津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框架：铝 </w:t>
            </w:r>
          </w:p>
          <w:p>
            <w:pPr>
              <w:keepNext w:val="0"/>
              <w:keepLines w:val="0"/>
              <w:widowControl/>
              <w:suppressLineNumbers w:val="0"/>
              <w:jc w:val="left"/>
              <w:rPr>
                <w:rFonts w:hint="eastAsia" w:ascii="宋体" w:hAnsi="宋体" w:cs="宋体"/>
                <w:color w:val="000000"/>
                <w:kern w:val="0"/>
                <w:sz w:val="21"/>
                <w:szCs w:val="21"/>
              </w:rPr>
            </w:pPr>
            <w:r>
              <w:rPr>
                <w:rFonts w:hint="eastAsia" w:ascii="仿宋" w:hAnsi="仿宋" w:eastAsia="仿宋" w:cs="仿宋"/>
                <w:color w:val="231F20"/>
                <w:kern w:val="0"/>
                <w:sz w:val="24"/>
                <w:szCs w:val="24"/>
                <w:lang w:val="en-US" w:eastAsia="zh-CN" w:bidi="ar"/>
              </w:rPr>
              <w:t>带灯架、外袋。</w:t>
            </w:r>
          </w:p>
        </w:tc>
        <w:tc>
          <w:tcPr>
            <w:tcW w:w="450" w:type="dxa"/>
            <w:noWrap/>
            <w:vAlign w:val="center"/>
          </w:tcPr>
          <w:p>
            <w:pPr>
              <w:widowControl/>
              <w:jc w:val="center"/>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个</w:t>
            </w:r>
          </w:p>
        </w:tc>
        <w:tc>
          <w:tcPr>
            <w:tcW w:w="555" w:type="dxa"/>
            <w:noWrap/>
            <w:vAlign w:val="center"/>
          </w:tcPr>
          <w:p>
            <w:pPr>
              <w:widowControl/>
              <w:jc w:val="right"/>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4.9</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储物柜侧边架</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005" w:type="dxa"/>
            <w:noWrap/>
            <w:vAlign w:val="center"/>
          </w:tcPr>
          <w:p>
            <w:pPr>
              <w:keepNext w:val="0"/>
              <w:keepLines w:val="0"/>
              <w:widowControl/>
              <w:suppressLineNumbers w:val="0"/>
              <w:jc w:val="left"/>
            </w:pPr>
            <w:r>
              <w:rPr>
                <w:rFonts w:ascii="仿宋" w:hAnsi="仿宋" w:eastAsia="仿宋" w:cs="仿宋"/>
                <w:color w:val="231F20"/>
                <w:kern w:val="0"/>
                <w:sz w:val="24"/>
                <w:szCs w:val="24"/>
                <w:lang w:val="en-US" w:eastAsia="zh-CN" w:bidi="ar"/>
              </w:rPr>
              <w:t xml:space="preserve">尺寸：1060mm *440mm *800mm </w:t>
            </w:r>
          </w:p>
          <w:p>
            <w:pPr>
              <w:keepNext w:val="0"/>
              <w:keepLines w:val="0"/>
              <w:widowControl/>
              <w:suppressLineNumbers w:val="0"/>
              <w:jc w:val="left"/>
            </w:pPr>
            <w:r>
              <w:rPr>
                <w:rFonts w:hint="eastAsia" w:ascii="仿宋" w:hAnsi="仿宋" w:eastAsia="仿宋" w:cs="仿宋"/>
                <w:color w:val="231F20"/>
                <w:kern w:val="0"/>
                <w:sz w:val="24"/>
                <w:szCs w:val="24"/>
                <w:lang w:val="en-US" w:eastAsia="zh-CN" w:bidi="ar"/>
              </w:rPr>
              <w:t xml:space="preserve">克重：2.7-3.3kg </w:t>
            </w:r>
          </w:p>
          <w:p>
            <w:pPr>
              <w:keepNext w:val="0"/>
              <w:keepLines w:val="0"/>
              <w:widowControl/>
              <w:suppressLineNumbers w:val="0"/>
              <w:jc w:val="left"/>
              <w:rPr>
                <w:rFonts w:hint="eastAsia" w:ascii="宋体" w:hAnsi="宋体" w:cs="宋体"/>
                <w:color w:val="000000"/>
                <w:kern w:val="0"/>
                <w:sz w:val="21"/>
                <w:szCs w:val="21"/>
              </w:rPr>
            </w:pPr>
            <w:r>
              <w:rPr>
                <w:rFonts w:hint="eastAsia" w:ascii="仿宋" w:hAnsi="仿宋" w:eastAsia="仿宋" w:cs="仿宋"/>
                <w:color w:val="231F20"/>
                <w:kern w:val="0"/>
                <w:sz w:val="24"/>
                <w:szCs w:val="24"/>
                <w:lang w:val="en-US" w:eastAsia="zh-CN" w:bidi="ar"/>
              </w:rPr>
              <w:t xml:space="preserve">含外袋。 </w:t>
            </w:r>
          </w:p>
        </w:tc>
        <w:tc>
          <w:tcPr>
            <w:tcW w:w="450" w:type="dxa"/>
            <w:noWrap/>
            <w:vAlign w:val="center"/>
          </w:tcPr>
          <w:p>
            <w:pPr>
              <w:widowControl/>
              <w:jc w:val="center"/>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个</w:t>
            </w:r>
          </w:p>
        </w:tc>
        <w:tc>
          <w:tcPr>
            <w:tcW w:w="555" w:type="dxa"/>
            <w:noWrap/>
            <w:vAlign w:val="center"/>
          </w:tcPr>
          <w:p>
            <w:pPr>
              <w:widowControl/>
              <w:jc w:val="right"/>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spacing w:line="240" w:lineRule="atLeast"/>
              <w:jc w:val="center"/>
              <w:rPr>
                <w:rFonts w:ascii="宋体" w:hAnsi="宋体" w:cs="宋体"/>
                <w:b/>
                <w:bCs/>
                <w:snapToGrid w:val="0"/>
                <w:sz w:val="28"/>
                <w:szCs w:val="28"/>
              </w:rPr>
            </w:pPr>
            <w:r>
              <w:rPr>
                <w:rFonts w:hint="eastAsia" w:ascii="宋体" w:hAnsi="宋体" w:cs="宋体"/>
                <w:b/>
                <w:bCs/>
                <w:snapToGrid w:val="0"/>
                <w:sz w:val="28"/>
                <w:szCs w:val="28"/>
              </w:rPr>
              <w:t>5</w:t>
            </w:r>
          </w:p>
        </w:tc>
        <w:tc>
          <w:tcPr>
            <w:tcW w:w="5176" w:type="dxa"/>
            <w:gridSpan w:val="2"/>
            <w:noWrap/>
            <w:vAlign w:val="center"/>
          </w:tcPr>
          <w:p>
            <w:pPr>
              <w:keepNext w:val="0"/>
              <w:keepLines w:val="0"/>
              <w:widowControl/>
              <w:suppressLineNumbers w:val="0"/>
              <w:jc w:val="left"/>
              <w:rPr>
                <w:rFonts w:hint="eastAsia" w:ascii="宋体" w:hAnsi="宋体" w:cs="宋体"/>
                <w:b/>
                <w:bCs/>
                <w:color w:val="000000"/>
                <w:kern w:val="0"/>
                <w:sz w:val="28"/>
                <w:szCs w:val="28"/>
              </w:rPr>
            </w:pPr>
            <w:r>
              <w:rPr>
                <w:rFonts w:hint="eastAsia" w:ascii="宋体" w:hAnsi="宋体" w:cs="宋体"/>
                <w:b/>
                <w:bCs/>
                <w:color w:val="000000"/>
                <w:kern w:val="0"/>
                <w:sz w:val="28"/>
                <w:szCs w:val="28"/>
              </w:rPr>
              <w:t>大床房野奢帐篷（移动民宿1）</w:t>
            </w:r>
          </w:p>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 xml:space="preserve">整体尺寸：7.8m*8m </w:t>
            </w:r>
          </w:p>
          <w:p>
            <w:pPr>
              <w:pStyle w:val="7"/>
              <w:spacing w:line="240" w:lineRule="auto"/>
              <w:jc w:val="left"/>
              <w:rPr>
                <w:b/>
                <w:bCs/>
                <w:sz w:val="28"/>
                <w:szCs w:val="28"/>
              </w:rPr>
            </w:pPr>
            <w:r>
              <w:rPr>
                <w:rFonts w:hint="default" w:ascii="仿宋" w:hAnsi="仿宋" w:eastAsia="仿宋" w:cs="仿宋"/>
                <w:b w:val="0"/>
                <w:color w:val="231F20"/>
                <w:kern w:val="0"/>
                <w:sz w:val="24"/>
                <w:szCs w:val="24"/>
                <w:lang w:val="en-US" w:eastAsia="zh-CN" w:bidi="ar"/>
              </w:rPr>
              <w:t xml:space="preserve">房间面积：29.7 </w:t>
            </w:r>
            <w:r>
              <w:rPr>
                <w:rFonts w:ascii="仿宋" w:hAnsi="仿宋" w:eastAsia="仿宋" w:cs="仿宋"/>
                <w:b w:val="0"/>
                <w:color w:val="231F20"/>
                <w:kern w:val="0"/>
                <w:sz w:val="24"/>
                <w:szCs w:val="24"/>
                <w:lang w:val="en-US" w:eastAsia="zh-CN" w:bidi="ar"/>
              </w:rPr>
              <w:t>㎡</w:t>
            </w:r>
            <w:r>
              <w:drawing>
                <wp:inline distT="0" distB="0" distL="114300" distR="114300">
                  <wp:extent cx="3146425" cy="2091690"/>
                  <wp:effectExtent l="0" t="0" r="1587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46425" cy="2091690"/>
                          </a:xfrm>
                          <a:prstGeom prst="rect">
                            <a:avLst/>
                          </a:prstGeom>
                          <a:noFill/>
                          <a:ln>
                            <a:noFill/>
                          </a:ln>
                        </pic:spPr>
                      </pic:pic>
                    </a:graphicData>
                  </a:graphic>
                </wp:inline>
              </w:drawing>
            </w:r>
          </w:p>
        </w:tc>
        <w:tc>
          <w:tcPr>
            <w:tcW w:w="450" w:type="dxa"/>
            <w:noWrap/>
            <w:vAlign w:val="center"/>
          </w:tcPr>
          <w:p>
            <w:pPr>
              <w:widowControl/>
              <w:jc w:val="center"/>
              <w:textAlignment w:val="center"/>
              <w:rPr>
                <w:rFonts w:ascii="宋体" w:hAnsi="宋体" w:cs="宋体"/>
                <w:b/>
                <w:bCs/>
                <w:snapToGrid w:val="0"/>
                <w:sz w:val="28"/>
                <w:szCs w:val="28"/>
                <w:lang w:val="zh-CN"/>
              </w:rPr>
            </w:pPr>
            <w:r>
              <w:rPr>
                <w:rFonts w:hint="eastAsia" w:ascii="宋体" w:hAnsi="宋体" w:cs="宋体"/>
                <w:b/>
                <w:bCs/>
                <w:color w:val="000000"/>
                <w:kern w:val="0"/>
                <w:sz w:val="28"/>
                <w:szCs w:val="28"/>
              </w:rPr>
              <w:t>套</w:t>
            </w:r>
          </w:p>
        </w:tc>
        <w:tc>
          <w:tcPr>
            <w:tcW w:w="555" w:type="dxa"/>
            <w:noWrap/>
            <w:vAlign w:val="center"/>
          </w:tcPr>
          <w:p>
            <w:pPr>
              <w:widowControl/>
              <w:jc w:val="right"/>
              <w:textAlignment w:val="center"/>
              <w:rPr>
                <w:rFonts w:ascii="宋体" w:hAnsi="宋体" w:cs="宋体"/>
                <w:b/>
                <w:bCs/>
                <w:snapToGrid w:val="0"/>
                <w:sz w:val="28"/>
                <w:szCs w:val="28"/>
                <w:lang w:val="zh-CN"/>
              </w:rPr>
            </w:pPr>
            <w:r>
              <w:rPr>
                <w:rFonts w:hint="eastAsia" w:ascii="宋体" w:hAnsi="宋体" w:cs="宋体"/>
                <w:b/>
                <w:bCs/>
                <w:color w:val="000000"/>
                <w:kern w:val="0"/>
                <w:sz w:val="28"/>
                <w:szCs w:val="28"/>
              </w:rPr>
              <w:t>3</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restart"/>
            <w:noWrap/>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zh-CN" w:eastAsia="zh-CN" w:bidi="ar"/>
              </w:rPr>
              <w:t>这种野奢帐篷是场外加工，场内搭建的住宿场所。具</w:t>
            </w:r>
          </w:p>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zh-CN" w:eastAsia="zh-CN" w:bidi="ar"/>
              </w:rPr>
              <w:t>备优良的保温性能和全套内部设施。铺设石墨烯电地暖可</w:t>
            </w:r>
          </w:p>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zh-CN" w:eastAsia="zh-CN" w:bidi="ar"/>
              </w:rPr>
              <w:t>以保障冬季的平稳运营，是营地不可或缺的高端客房。同</w:t>
            </w:r>
          </w:p>
          <w:p>
            <w:pPr>
              <w:keepNext w:val="0"/>
              <w:keepLines w:val="0"/>
              <w:widowControl/>
              <w:suppressLineNumbers w:val="0"/>
              <w:jc w:val="left"/>
              <w:rPr>
                <w:rFonts w:ascii="宋体" w:hAnsi="宋体" w:cs="宋体"/>
                <w:snapToGrid w:val="0"/>
                <w:sz w:val="18"/>
                <w:szCs w:val="18"/>
                <w:lang w:val="zh-CN"/>
              </w:rPr>
            </w:pPr>
            <w:r>
              <w:rPr>
                <w:rFonts w:hint="eastAsia" w:ascii="仿宋" w:hAnsi="仿宋" w:eastAsia="仿宋" w:cs="仿宋"/>
                <w:color w:val="231F20"/>
                <w:kern w:val="0"/>
                <w:sz w:val="24"/>
                <w:szCs w:val="24"/>
                <w:lang w:val="zh-CN" w:eastAsia="zh-CN" w:bidi="ar"/>
              </w:rPr>
              <w:t>时具备拆除重建的功能，随时根据需求更换位置。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8599" w:type="dxa"/>
            <w:gridSpan w:val="7"/>
            <w:noWrap/>
            <w:vAlign w:val="center"/>
          </w:tcPr>
          <w:p>
            <w:pPr>
              <w:spacing w:line="240" w:lineRule="atLeast"/>
              <w:jc w:val="center"/>
              <w:rPr>
                <w:rFonts w:hint="default" w:ascii="宋体" w:hAnsi="宋体" w:eastAsia="宋体" w:cs="宋体"/>
                <w:b/>
                <w:bCs/>
                <w:snapToGrid w:val="0"/>
                <w:sz w:val="28"/>
                <w:szCs w:val="28"/>
                <w:lang w:val="en-US" w:eastAsia="zh-CN"/>
              </w:rPr>
            </w:pPr>
            <w:r>
              <w:rPr>
                <w:rFonts w:hint="eastAsia" w:ascii="宋体" w:hAnsi="宋体" w:cs="宋体"/>
                <w:b/>
                <w:bCs/>
                <w:color w:val="000000"/>
                <w:kern w:val="0"/>
                <w:sz w:val="28"/>
                <w:szCs w:val="28"/>
                <w:lang w:val="en-US" w:eastAsia="zh-CN"/>
              </w:rPr>
              <w:t>每套</w:t>
            </w:r>
            <w:r>
              <w:rPr>
                <w:rFonts w:hint="eastAsia" w:ascii="宋体" w:hAnsi="宋体" w:cs="宋体"/>
                <w:b/>
                <w:bCs/>
                <w:color w:val="000000"/>
                <w:kern w:val="0"/>
                <w:sz w:val="28"/>
                <w:szCs w:val="28"/>
              </w:rPr>
              <w:t>大床房野奢帐篷</w:t>
            </w:r>
            <w:r>
              <w:rPr>
                <w:rFonts w:hint="eastAsia" w:ascii="宋体" w:hAnsi="宋体" w:cs="宋体"/>
                <w:b/>
                <w:bCs/>
                <w:color w:val="000000"/>
                <w:kern w:val="0"/>
                <w:sz w:val="28"/>
                <w:szCs w:val="28"/>
                <w:lang w:val="en-US" w:eastAsia="zh-CN"/>
              </w:rPr>
              <w:t>包含以下配套设施</w:t>
            </w: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33" w:type="dxa"/>
            <w:vMerge w:val="restart"/>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5.1帐篷主体</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帐篷顶部外帐</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顶部带自洁功能的PVC张拉膜，阻燃、颜色为深绿色</w:t>
            </w:r>
          </w:p>
        </w:tc>
        <w:tc>
          <w:tcPr>
            <w:tcW w:w="450" w:type="dxa"/>
            <w:noWrap/>
            <w:vAlign w:val="center"/>
          </w:tcPr>
          <w:p>
            <w:pPr>
              <w:keepNext w:val="0"/>
              <w:keepLines w:val="0"/>
              <w:widowControl/>
              <w:suppressLineNumbers w:val="0"/>
              <w:jc w:val="center"/>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center"/>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33" w:type="dxa"/>
            <w:vMerge w:val="continue"/>
            <w:noWrap/>
            <w:vAlign w:val="center"/>
          </w:tcPr>
          <w:p>
            <w:pPr>
              <w:keepNext w:val="0"/>
              <w:keepLines w:val="0"/>
              <w:widowControl/>
              <w:suppressLineNumbers w:val="0"/>
              <w:jc w:val="left"/>
            </w:pP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帐篷内帐</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进口加强棉，防霉防水防紫外线，颜色为米黄色</w:t>
            </w:r>
          </w:p>
        </w:tc>
        <w:tc>
          <w:tcPr>
            <w:tcW w:w="450" w:type="dxa"/>
            <w:noWrap/>
            <w:vAlign w:val="center"/>
          </w:tcPr>
          <w:p>
            <w:pPr>
              <w:keepNext w:val="0"/>
              <w:keepLines w:val="0"/>
              <w:widowControl/>
              <w:suppressLineNumbers w:val="0"/>
              <w:jc w:val="center"/>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center"/>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帐篷连接器</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通过斜支撑架对帐篷顶增强支撑，同时通缩连接件直接搭建</w:t>
            </w:r>
          </w:p>
        </w:tc>
        <w:tc>
          <w:tcPr>
            <w:tcW w:w="450" w:type="dxa"/>
            <w:noWrap/>
            <w:vAlign w:val="center"/>
          </w:tcPr>
          <w:p>
            <w:pPr>
              <w:keepNext w:val="0"/>
              <w:keepLines w:val="0"/>
              <w:widowControl/>
              <w:suppressLineNumbers w:val="0"/>
              <w:jc w:val="center"/>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center"/>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奢华帐篷底座</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烘干防腐木</w:t>
            </w:r>
          </w:p>
        </w:tc>
        <w:tc>
          <w:tcPr>
            <w:tcW w:w="450" w:type="dxa"/>
            <w:noWrap/>
            <w:vAlign w:val="center"/>
          </w:tcPr>
          <w:p>
            <w:pPr>
              <w:keepNext w:val="0"/>
              <w:keepLines w:val="0"/>
              <w:widowControl/>
              <w:suppressLineNumbers w:val="0"/>
              <w:jc w:val="center"/>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center"/>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帐篷实木支架      </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圆木</w:t>
            </w:r>
          </w:p>
        </w:tc>
        <w:tc>
          <w:tcPr>
            <w:tcW w:w="450" w:type="dxa"/>
            <w:noWrap/>
            <w:vAlign w:val="center"/>
          </w:tcPr>
          <w:p>
            <w:pPr>
              <w:keepNext w:val="0"/>
              <w:keepLines w:val="0"/>
              <w:widowControl/>
              <w:suppressLineNumbers w:val="0"/>
              <w:jc w:val="center"/>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center"/>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lang w:val="en-US" w:eastAsia="zh-CN"/>
              </w:rPr>
            </w:pPr>
          </w:p>
          <w:p>
            <w:pPr>
              <w:pStyle w:val="2"/>
              <w:rPr>
                <w:lang w:val="en-US" w:eastAsia="zh-CN"/>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633" w:type="dxa"/>
            <w:vMerge w:val="restart"/>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5.2基层地基</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地桩螺丝</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根据规范及标准进行采购（山石地面不可使用）</w:t>
            </w:r>
          </w:p>
        </w:tc>
        <w:tc>
          <w:tcPr>
            <w:tcW w:w="450" w:type="dxa"/>
            <w:noWrap/>
            <w:vAlign w:val="center"/>
          </w:tcPr>
          <w:p>
            <w:pPr>
              <w:keepNext w:val="0"/>
              <w:keepLines w:val="0"/>
              <w:widowControl/>
              <w:suppressLineNumbers w:val="0"/>
              <w:jc w:val="center"/>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center"/>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33" w:type="dxa"/>
            <w:vMerge w:val="continue"/>
            <w:noWrap/>
            <w:vAlign w:val="center"/>
          </w:tcPr>
          <w:p>
            <w:pPr>
              <w:keepNext w:val="0"/>
              <w:keepLines w:val="0"/>
              <w:widowControl/>
              <w:suppressLineNumbers w:val="0"/>
              <w:jc w:val="left"/>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槽钢龙骨</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根据规范及标准进行采购</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33" w:type="dxa"/>
            <w:vMerge w:val="restart"/>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5.3</w:t>
            </w:r>
            <w:r>
              <w:rPr>
                <w:rFonts w:ascii="仿宋" w:hAnsi="仿宋" w:eastAsia="仿宋" w:cs="仿宋"/>
                <w:color w:val="231F20"/>
                <w:kern w:val="0"/>
                <w:sz w:val="24"/>
                <w:szCs w:val="24"/>
                <w:lang w:val="en-US" w:eastAsia="zh-CN" w:bidi="ar"/>
              </w:rPr>
              <w:t>平台系统</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OSB防腐木地板   </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根据规范及标准进行采购</w:t>
            </w:r>
          </w:p>
        </w:tc>
        <w:tc>
          <w:tcPr>
            <w:tcW w:w="450" w:type="dxa"/>
            <w:noWrap/>
            <w:vAlign w:val="center"/>
          </w:tcPr>
          <w:p>
            <w:pPr>
              <w:keepNext w:val="0"/>
              <w:keepLines w:val="0"/>
              <w:widowControl/>
              <w:suppressLineNumbers w:val="0"/>
              <w:jc w:val="left"/>
              <w:rPr>
                <w:rFonts w:hint="eastAsia" w:ascii="宋体" w:hAnsi="宋体" w:cs="宋体"/>
                <w:color w:val="000000"/>
                <w:kern w:val="0"/>
                <w:szCs w:val="21"/>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right"/>
              <w:rPr>
                <w:rFonts w:hint="eastAsia" w:ascii="宋体" w:hAnsi="宋体" w:cs="宋体"/>
                <w:color w:val="000000"/>
                <w:kern w:val="0"/>
                <w:szCs w:val="21"/>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33" w:type="dxa"/>
            <w:vMerge w:val="continue"/>
            <w:noWrap/>
            <w:vAlign w:val="center"/>
          </w:tcPr>
          <w:p>
            <w:pPr>
              <w:keepNext w:val="0"/>
              <w:keepLines w:val="0"/>
              <w:widowControl/>
              <w:suppressLineNumbers w:val="0"/>
              <w:jc w:val="left"/>
            </w:pPr>
          </w:p>
        </w:tc>
        <w:tc>
          <w:tcPr>
            <w:tcW w:w="1171"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防潮层</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根据规范及标准进行采购</w:t>
            </w:r>
          </w:p>
        </w:tc>
        <w:tc>
          <w:tcPr>
            <w:tcW w:w="45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righ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地暖层</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根据规范及标准进行采购</w:t>
            </w:r>
          </w:p>
        </w:tc>
        <w:tc>
          <w:tcPr>
            <w:tcW w:w="45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righ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保暖层</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根据规范及标准进行采购</w:t>
            </w:r>
          </w:p>
        </w:tc>
        <w:tc>
          <w:tcPr>
            <w:tcW w:w="45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righ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SPC地板</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根据规范及标准进行采购</w:t>
            </w:r>
          </w:p>
        </w:tc>
        <w:tc>
          <w:tcPr>
            <w:tcW w:w="45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righ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633" w:type="dxa"/>
            <w:vMerge w:val="restart"/>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5.4阳台围栏及院门门禁系统</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阳台栏杆                       </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防腐木</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项</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33" w:type="dxa"/>
            <w:vMerge w:val="continue"/>
            <w:noWrap/>
            <w:vAlign w:val="center"/>
          </w:tcPr>
          <w:p>
            <w:pPr>
              <w:keepNext w:val="0"/>
              <w:keepLines w:val="0"/>
              <w:widowControl/>
              <w:suppressLineNumbers w:val="0"/>
              <w:jc w:val="left"/>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麻绳围栏</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麻绳</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项</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633" w:type="dxa"/>
            <w:vMerge w:val="continue"/>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阳台院门</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防腐木 </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项</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633" w:type="dxa"/>
            <w:vMerge w:val="continue"/>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highlight w:val="none"/>
                <w:lang w:val="en-US" w:eastAsia="zh-CN" w:bidi="ar"/>
              </w:rPr>
            </w:pPr>
            <w:r>
              <w:rPr>
                <w:rFonts w:hint="eastAsia" w:ascii="仿宋" w:hAnsi="仿宋" w:eastAsia="仿宋" w:cs="仿宋"/>
                <w:color w:val="231F20"/>
                <w:kern w:val="0"/>
                <w:sz w:val="24"/>
                <w:szCs w:val="24"/>
                <w:highlight w:val="none"/>
                <w:lang w:val="en-US" w:eastAsia="zh-CN" w:bidi="ar"/>
              </w:rPr>
              <w:t>电子锁+门禁系统</w:t>
            </w:r>
          </w:p>
        </w:tc>
        <w:tc>
          <w:tcPr>
            <w:tcW w:w="4005" w:type="dxa"/>
            <w:noWrap/>
            <w:vAlign w:val="center"/>
          </w:tcPr>
          <w:p>
            <w:pPr>
              <w:keepNext w:val="0"/>
              <w:keepLines w:val="0"/>
              <w:widowControl/>
              <w:suppressLineNumbers w:val="0"/>
              <w:jc w:val="left"/>
              <w:rPr>
                <w:rFonts w:hint="default" w:ascii="仿宋" w:hAnsi="仿宋" w:eastAsia="仿宋" w:cs="仿宋"/>
                <w:color w:val="231F20"/>
                <w:kern w:val="0"/>
                <w:sz w:val="24"/>
                <w:szCs w:val="24"/>
                <w:highlight w:val="none"/>
                <w:lang w:val="en-US" w:eastAsia="zh-CN" w:bidi="ar"/>
              </w:rPr>
            </w:pPr>
            <w:r>
              <w:rPr>
                <w:rFonts w:hint="eastAsia" w:ascii="仿宋" w:hAnsi="仿宋" w:eastAsia="仿宋" w:cs="仿宋"/>
                <w:color w:val="231F20"/>
                <w:kern w:val="0"/>
                <w:sz w:val="24"/>
                <w:szCs w:val="24"/>
                <w:highlight w:val="none"/>
                <w:lang w:val="en-US" w:eastAsia="zh-CN" w:bidi="ar"/>
              </w:rPr>
              <w:t>铝合金</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3" w:hRule="atLeast"/>
        </w:trPr>
        <w:tc>
          <w:tcPr>
            <w:tcW w:w="633" w:type="dxa"/>
            <w:vMerge w:val="restart"/>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5.5阳台家具及电器</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阳台桌</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木板厚度30mm，</w:t>
            </w:r>
            <w:r>
              <w:rPr>
                <w:rFonts w:hint="eastAsia" w:ascii="仿宋" w:hAnsi="仿宋" w:eastAsia="仿宋" w:cs="仿宋"/>
                <w:color w:val="231F20"/>
                <w:kern w:val="0"/>
                <w:sz w:val="24"/>
                <w:szCs w:val="24"/>
                <w:lang w:val="en-US" w:eastAsia="zh-CN" w:bidi="ar"/>
              </w:rPr>
              <w:br w:type="textWrapping"/>
            </w:r>
            <w:r>
              <w:rPr>
                <w:rFonts w:hint="eastAsia" w:ascii="仿宋" w:hAnsi="仿宋" w:eastAsia="仿宋" w:cs="仿宋"/>
                <w:color w:val="231F20"/>
                <w:kern w:val="0"/>
                <w:sz w:val="24"/>
                <w:szCs w:val="24"/>
                <w:lang w:val="en-US" w:eastAsia="zh-CN" w:bidi="ar"/>
              </w:rPr>
              <w:t>1600*800*800mm</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张</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633" w:type="dxa"/>
            <w:vMerge w:val="continue"/>
            <w:noWrap/>
            <w:vAlign w:val="center"/>
          </w:tcPr>
          <w:p>
            <w:pPr>
              <w:keepNext w:val="0"/>
              <w:keepLines w:val="0"/>
              <w:widowControl/>
              <w:suppressLineNumbers w:val="0"/>
              <w:jc w:val="left"/>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阳台单人靠背椅</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木板厚度30mm，</w:t>
            </w:r>
            <w:r>
              <w:rPr>
                <w:rFonts w:hint="eastAsia" w:ascii="仿宋" w:hAnsi="仿宋" w:eastAsia="仿宋" w:cs="仿宋"/>
                <w:color w:val="231F20"/>
                <w:kern w:val="0"/>
                <w:sz w:val="24"/>
                <w:szCs w:val="24"/>
                <w:lang w:val="en-US" w:eastAsia="zh-CN" w:bidi="ar"/>
              </w:rPr>
              <w:br w:type="textWrapping"/>
            </w:r>
            <w:r>
              <w:rPr>
                <w:rFonts w:hint="eastAsia" w:ascii="仿宋" w:hAnsi="仿宋" w:eastAsia="仿宋" w:cs="仿宋"/>
                <w:color w:val="231F20"/>
                <w:kern w:val="0"/>
                <w:sz w:val="24"/>
                <w:szCs w:val="24"/>
                <w:lang w:val="en-US" w:eastAsia="zh-CN" w:bidi="ar"/>
              </w:rPr>
              <w:t xml:space="preserve">2400*400*450/780mm </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张</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4</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阳台吊灯</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古典风格灯具</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restart"/>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5.6客厅家具及电器</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玻璃移门</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铝合金玻璃移门</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widowControl/>
              <w:jc w:val="right"/>
              <w:textAlignment w:val="center"/>
              <w:rPr>
                <w:rFonts w:hint="eastAsia" w:ascii="宋体" w:hAnsi="宋体" w:cs="宋体"/>
                <w:color w:val="000000"/>
                <w:kern w:val="0"/>
                <w:szCs w:val="21"/>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客厅双人沙发</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实木+布衣</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张</w:t>
            </w:r>
          </w:p>
        </w:tc>
        <w:tc>
          <w:tcPr>
            <w:tcW w:w="555" w:type="dxa"/>
            <w:noWrap/>
            <w:vAlign w:val="center"/>
          </w:tcPr>
          <w:p>
            <w:pPr>
              <w:keepNext w:val="0"/>
              <w:keepLines w:val="0"/>
              <w:widowControl/>
              <w:suppressLineNumbers w:val="0"/>
              <w:jc w:val="righ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客厅棉麻沙发垫</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棉麻</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righ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客厅茶几 </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木板厚度30mm，</w:t>
            </w:r>
            <w:r>
              <w:rPr>
                <w:rFonts w:hint="eastAsia" w:ascii="仿宋" w:hAnsi="仿宋" w:eastAsia="仿宋" w:cs="仿宋"/>
                <w:color w:val="231F20"/>
                <w:kern w:val="0"/>
                <w:sz w:val="24"/>
                <w:szCs w:val="24"/>
                <w:lang w:val="en-US" w:eastAsia="zh-CN" w:bidi="ar"/>
              </w:rPr>
              <w:br w:type="textWrapping"/>
            </w:r>
            <w:r>
              <w:rPr>
                <w:rFonts w:hint="eastAsia" w:ascii="仿宋" w:hAnsi="仿宋" w:eastAsia="仿宋" w:cs="仿宋"/>
                <w:color w:val="231F20"/>
                <w:kern w:val="0"/>
                <w:sz w:val="24"/>
                <w:szCs w:val="24"/>
                <w:lang w:val="en-US" w:eastAsia="zh-CN" w:bidi="ar"/>
              </w:rPr>
              <w:t xml:space="preserve">700*600*430mm </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张</w:t>
            </w:r>
          </w:p>
        </w:tc>
        <w:tc>
          <w:tcPr>
            <w:tcW w:w="555" w:type="dxa"/>
            <w:noWrap/>
            <w:vAlign w:val="center"/>
          </w:tcPr>
          <w:p>
            <w:pPr>
              <w:keepNext w:val="0"/>
              <w:keepLines w:val="0"/>
              <w:widowControl/>
              <w:suppressLineNumbers w:val="0"/>
              <w:jc w:val="righ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客厅电视柜</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实木</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highlight w:val="none"/>
                <w:lang w:val="en-US" w:eastAsia="zh-CN" w:bidi="ar"/>
              </w:rPr>
            </w:pPr>
            <w:r>
              <w:rPr>
                <w:rFonts w:hint="eastAsia" w:ascii="仿宋" w:hAnsi="仿宋" w:eastAsia="仿宋" w:cs="仿宋"/>
                <w:color w:val="231F20"/>
                <w:kern w:val="0"/>
                <w:sz w:val="24"/>
                <w:szCs w:val="24"/>
                <w:highlight w:val="none"/>
                <w:lang w:val="en-US" w:eastAsia="zh-CN" w:bidi="ar"/>
              </w:rPr>
              <w:t>电视机</w:t>
            </w:r>
          </w:p>
        </w:tc>
        <w:tc>
          <w:tcPr>
            <w:tcW w:w="4005" w:type="dxa"/>
            <w:noWrap/>
            <w:vAlign w:val="center"/>
          </w:tcPr>
          <w:p>
            <w:pPr>
              <w:keepNext w:val="0"/>
              <w:keepLines w:val="0"/>
              <w:widowControl/>
              <w:suppressLineNumbers w:val="0"/>
              <w:jc w:val="left"/>
              <w:rPr>
                <w:rFonts w:hint="default" w:ascii="仿宋" w:hAnsi="仿宋" w:eastAsia="仿宋" w:cs="仿宋"/>
                <w:color w:val="231F20"/>
                <w:kern w:val="0"/>
                <w:sz w:val="24"/>
                <w:szCs w:val="24"/>
                <w:highlight w:val="none"/>
                <w:lang w:val="en-US" w:eastAsia="zh-CN" w:bidi="ar"/>
              </w:rPr>
            </w:pPr>
            <w:r>
              <w:rPr>
                <w:rFonts w:hint="eastAsia" w:ascii="仿宋" w:hAnsi="仿宋" w:eastAsia="仿宋" w:cs="仿宋"/>
                <w:color w:val="231F20"/>
                <w:kern w:val="0"/>
                <w:sz w:val="24"/>
                <w:szCs w:val="24"/>
                <w:highlight w:val="none"/>
                <w:lang w:val="en-US" w:eastAsia="zh-CN" w:bidi="ar"/>
              </w:rPr>
              <w:t>55寸</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客厅空调</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2匹柜机</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客厅吊灯</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古典风格灯具</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33" w:type="dxa"/>
            <w:vMerge w:val="restart"/>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5.7主卧家具及电器</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单人床</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铁艺床：2000*900mm</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张</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单人床垫</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席梦思：2000*900mm</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张</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双人乳胶床垫</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乳胶床垫：2000*1800mm</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床头柜</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实木</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主卧壁灯</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古典风格灯具</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主卧台灯</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古典风格灯具</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33" w:type="dxa"/>
            <w:vMerge w:val="restart"/>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5.8干湿分离卫生间</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洗漱台</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实木</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木质镜子</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古典风格灯具</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915" w:type="dxa"/>
            <w:noWrap/>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b/>
                <w:bCs/>
                <w:color w:val="231F20"/>
                <w:kern w:val="0"/>
                <w:sz w:val="24"/>
                <w:szCs w:val="24"/>
                <w:lang w:val="en-US" w:eastAsia="zh-CN" w:bidi="ar"/>
              </w:rPr>
              <w:t>☆</w:t>
            </w:r>
            <w:r>
              <w:rPr>
                <w:rFonts w:hint="eastAsia" w:ascii="仿宋" w:hAnsi="仿宋" w:eastAsia="仿宋" w:cs="仿宋"/>
                <w:color w:val="231F20"/>
                <w:kern w:val="0"/>
                <w:sz w:val="24"/>
                <w:szCs w:val="24"/>
                <w:lang w:val="en-US" w:eastAsia="zh-CN" w:bidi="ar"/>
              </w:rPr>
              <w:t>坐便器</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带加热和清洁功能</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915" w:type="dxa"/>
            <w:noWrap/>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洗漱盆（含龙头）</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陶瓷椭圆形+龙头整套</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915" w:type="dxa"/>
            <w:noWrap/>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b/>
                <w:bCs/>
                <w:color w:val="231F20"/>
                <w:kern w:val="0"/>
                <w:sz w:val="24"/>
                <w:szCs w:val="24"/>
                <w:lang w:val="en-US" w:eastAsia="zh-CN" w:bidi="ar"/>
              </w:rPr>
              <w:t>☆</w:t>
            </w:r>
            <w:r>
              <w:rPr>
                <w:rFonts w:hint="eastAsia" w:ascii="仿宋" w:hAnsi="仿宋" w:eastAsia="仿宋" w:cs="仿宋"/>
                <w:color w:val="231F20"/>
                <w:kern w:val="0"/>
                <w:sz w:val="24"/>
                <w:szCs w:val="24"/>
                <w:lang w:val="en-US" w:eastAsia="zh-CN" w:bidi="ar"/>
              </w:rPr>
              <w:t>热水器</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热水器80升</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915" w:type="dxa"/>
            <w:noWrap/>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b/>
                <w:bCs/>
                <w:color w:val="231F20"/>
                <w:kern w:val="0"/>
                <w:sz w:val="24"/>
                <w:szCs w:val="24"/>
                <w:lang w:val="en-US" w:eastAsia="zh-CN" w:bidi="ar"/>
              </w:rPr>
              <w:t>☆</w:t>
            </w:r>
            <w:r>
              <w:rPr>
                <w:rFonts w:hint="eastAsia" w:ascii="仿宋" w:hAnsi="仿宋" w:eastAsia="仿宋" w:cs="仿宋"/>
                <w:color w:val="231F20"/>
                <w:kern w:val="0"/>
                <w:sz w:val="24"/>
                <w:szCs w:val="24"/>
                <w:lang w:val="en-US" w:eastAsia="zh-CN" w:bidi="ar"/>
              </w:rPr>
              <w:t>整体卫浴</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一体式：130*110*215cm</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915" w:type="dxa"/>
            <w:noWrap/>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5.9电地暖</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石墨烯</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纳米技术电地暖</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m²</w:t>
            </w:r>
          </w:p>
        </w:tc>
        <w:tc>
          <w:tcPr>
            <w:tcW w:w="555" w:type="dxa"/>
            <w:noWrap/>
            <w:vAlign w:val="center"/>
          </w:tcPr>
          <w:p>
            <w:pPr>
              <w:keepNext w:val="0"/>
              <w:keepLines w:val="0"/>
              <w:widowControl/>
              <w:suppressLineNumbers w:val="0"/>
              <w:jc w:val="righ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28</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restart"/>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5.10  软装</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整体窗帘</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魔术贴窗帘粘贴式</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电动窗帘</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铝合金门电动窗帘</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915" w:type="dxa"/>
            <w:noWrap/>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沙发抱枕                 </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正方形、棉</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若干</w:t>
            </w:r>
          </w:p>
        </w:tc>
        <w:tc>
          <w:tcPr>
            <w:tcW w:w="870" w:type="dxa"/>
            <w:noWrap/>
            <w:vAlign w:val="center"/>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915" w:type="dxa"/>
            <w:noWrap/>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33" w:type="dxa"/>
            <w:vMerge w:val="continue"/>
            <w:noWrap/>
            <w:vAlign w:val="center"/>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桌布</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阳台长桌+茶几</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块</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w:t>
            </w:r>
          </w:p>
        </w:tc>
        <w:tc>
          <w:tcPr>
            <w:tcW w:w="870" w:type="dxa"/>
            <w:noWrap/>
            <w:vAlign w:val="center"/>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915" w:type="dxa"/>
            <w:noWrap/>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hint="eastAsia" w:ascii="仿宋" w:hAnsi="仿宋" w:eastAsia="仿宋" w:cs="仿宋"/>
                <w:b/>
                <w:bCs/>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33" w:type="dxa"/>
            <w:vMerge w:val="restart"/>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5.11   电路系统</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整体电源线路                    </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电压220-380，满足日常使用需求</w:t>
            </w:r>
          </w:p>
        </w:tc>
        <w:tc>
          <w:tcPr>
            <w:tcW w:w="450" w:type="dxa"/>
            <w:noWrap/>
            <w:vAlign w:val="center"/>
          </w:tcPr>
          <w:p>
            <w:pPr>
              <w:keepNext w:val="0"/>
              <w:keepLines w:val="0"/>
              <w:widowControl/>
              <w:suppressLineNumbers w:val="0"/>
              <w:jc w:val="center"/>
              <w:textAlignment w:val="center"/>
              <w:rPr>
                <w:rFonts w:hint="eastAsia" w:ascii="宋体" w:hAnsi="宋体" w:cs="宋体"/>
                <w:color w:val="000000"/>
                <w:kern w:val="0"/>
                <w:szCs w:val="21"/>
              </w:rPr>
            </w:pPr>
            <w:r>
              <w:rPr>
                <w:rFonts w:hint="eastAsia" w:ascii="宋体" w:hAnsi="宋体" w:eastAsia="宋体" w:cs="宋体"/>
                <w:i w:val="0"/>
                <w:iCs w:val="0"/>
                <w:color w:val="000000"/>
                <w:kern w:val="0"/>
                <w:sz w:val="24"/>
                <w:szCs w:val="24"/>
                <w:u w:val="none"/>
                <w:lang w:val="en-US" w:eastAsia="zh-CN" w:bidi="ar"/>
              </w:rPr>
              <w:t>m²</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63</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33" w:type="dxa"/>
            <w:vMerge w:val="continue"/>
            <w:noWrap/>
            <w:vAlign w:val="center"/>
          </w:tcPr>
          <w:p>
            <w:pPr>
              <w:keepNext w:val="0"/>
              <w:keepLines w:val="0"/>
              <w:widowControl/>
              <w:suppressLineNumbers w:val="0"/>
              <w:jc w:val="left"/>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全屋电源开关插座                                 </w:t>
            </w:r>
          </w:p>
        </w:tc>
        <w:tc>
          <w:tcPr>
            <w:tcW w:w="4005"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五孔带2个USB，PC材料</w:t>
            </w:r>
          </w:p>
        </w:tc>
        <w:tc>
          <w:tcPr>
            <w:tcW w:w="450" w:type="dxa"/>
            <w:noWrap/>
            <w:vAlign w:val="center"/>
          </w:tcPr>
          <w:p>
            <w:pPr>
              <w:keepNext w:val="0"/>
              <w:keepLines w:val="0"/>
              <w:widowControl/>
              <w:suppressLineNumbers w:val="0"/>
              <w:jc w:val="center"/>
              <w:textAlignment w:val="center"/>
              <w:rPr>
                <w:rFonts w:ascii="仿宋" w:hAnsi="仿宋" w:eastAsia="仿宋" w:cs="仿宋"/>
                <w:color w:val="231F2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m²</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63</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Merge w:val="continue"/>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进屋电柜              </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满足当地设计规范要求</w:t>
            </w:r>
          </w:p>
        </w:tc>
        <w:tc>
          <w:tcPr>
            <w:tcW w:w="450" w:type="dxa"/>
            <w:noWrap/>
            <w:vAlign w:val="center"/>
          </w:tcPr>
          <w:p>
            <w:pPr>
              <w:keepNext w:val="0"/>
              <w:keepLines w:val="0"/>
              <w:widowControl/>
              <w:suppressLineNumbers w:val="0"/>
              <w:jc w:val="center"/>
              <w:textAlignment w:val="center"/>
              <w:rPr>
                <w:rFonts w:ascii="仿宋" w:hAnsi="仿宋" w:eastAsia="仿宋" w:cs="仿宋"/>
                <w:color w:val="231F20"/>
                <w:kern w:val="0"/>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915" w:type="dxa"/>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855" w:type="dxa"/>
            <w:vMerge w:val="continue"/>
            <w:noWrap/>
          </w:tcPr>
          <w:p>
            <w:pPr>
              <w:keepNext w:val="0"/>
              <w:keepLines w:val="0"/>
              <w:widowControl/>
              <w:suppressLineNumbers w:val="0"/>
              <w:jc w:val="left"/>
              <w:rPr>
                <w:rFonts w:ascii="仿宋" w:hAnsi="仿宋" w:eastAsia="仿宋" w:cs="仿宋"/>
                <w:color w:val="231F2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5.12</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消防系统</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烟雾报警器   </w:t>
            </w:r>
          </w:p>
        </w:tc>
        <w:tc>
          <w:tcPr>
            <w:tcW w:w="450" w:type="dxa"/>
            <w:noWrap/>
            <w:vAlign w:val="center"/>
          </w:tcPr>
          <w:p>
            <w:pPr>
              <w:widowControl/>
              <w:jc w:val="center"/>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个</w:t>
            </w:r>
          </w:p>
        </w:tc>
        <w:tc>
          <w:tcPr>
            <w:tcW w:w="555"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keepNext w:val="0"/>
              <w:keepLines w:val="0"/>
              <w:widowControl/>
              <w:suppressLineNumbers w:val="0"/>
              <w:jc w:val="right"/>
              <w:rPr>
                <w:rFonts w:hint="eastAsia" w:ascii="仿宋" w:hAnsi="仿宋" w:eastAsia="仿宋" w:cs="仿宋"/>
                <w:color w:val="231F20"/>
                <w:kern w:val="0"/>
                <w:sz w:val="24"/>
                <w:szCs w:val="24"/>
                <w:lang w:val="zh-CN" w:eastAsia="zh-CN" w:bidi="ar"/>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5" w:hRule="atLeast"/>
        </w:trPr>
        <w:tc>
          <w:tcPr>
            <w:tcW w:w="633" w:type="dxa"/>
            <w:noWrap/>
            <w:vAlign w:val="center"/>
          </w:tcPr>
          <w:p>
            <w:pPr>
              <w:spacing w:line="240" w:lineRule="atLeast"/>
              <w:jc w:val="center"/>
              <w:rPr>
                <w:rFonts w:ascii="宋体" w:hAnsi="宋体" w:cs="宋体"/>
                <w:b/>
                <w:bCs/>
                <w:snapToGrid w:val="0"/>
                <w:sz w:val="28"/>
                <w:szCs w:val="28"/>
              </w:rPr>
            </w:pPr>
            <w:r>
              <w:rPr>
                <w:rFonts w:hint="eastAsia" w:ascii="宋体" w:hAnsi="宋体" w:cs="宋体"/>
                <w:b/>
                <w:bCs/>
                <w:snapToGrid w:val="0"/>
                <w:sz w:val="28"/>
                <w:szCs w:val="28"/>
              </w:rPr>
              <w:t>6</w:t>
            </w:r>
          </w:p>
        </w:tc>
        <w:tc>
          <w:tcPr>
            <w:tcW w:w="5176" w:type="dxa"/>
            <w:gridSpan w:val="2"/>
            <w:noWrap/>
            <w:vAlign w:val="center"/>
          </w:tcPr>
          <w:p>
            <w:pPr>
              <w:keepNext w:val="0"/>
              <w:keepLines w:val="0"/>
              <w:widowControl/>
              <w:suppressLineNumbers w:val="0"/>
              <w:jc w:val="left"/>
              <w:rPr>
                <w:rFonts w:hint="eastAsia" w:ascii="宋体" w:hAnsi="宋体" w:cs="宋体"/>
                <w:b/>
                <w:bCs/>
                <w:color w:val="000000"/>
                <w:kern w:val="0"/>
                <w:sz w:val="28"/>
                <w:szCs w:val="28"/>
              </w:rPr>
            </w:pPr>
            <w:r>
              <w:rPr>
                <w:rFonts w:hint="eastAsia" w:ascii="宋体" w:hAnsi="宋体" w:cs="宋体"/>
                <w:b/>
                <w:bCs/>
                <w:color w:val="000000"/>
                <w:kern w:val="0"/>
                <w:sz w:val="28"/>
                <w:szCs w:val="28"/>
              </w:rPr>
              <w:t>亲子款营地房（移动民宿2）</w:t>
            </w:r>
          </w:p>
          <w:p>
            <w:pPr>
              <w:keepNext w:val="0"/>
              <w:keepLines w:val="0"/>
              <w:widowControl/>
              <w:suppressLineNumbers w:val="0"/>
              <w:jc w:val="left"/>
              <w:rPr>
                <w:rFonts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 xml:space="preserve">外轮廓尺寸：L8000mm×W2390mm×H2722mm </w:t>
            </w:r>
          </w:p>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default" w:ascii="仿宋" w:hAnsi="仿宋" w:eastAsia="仿宋" w:cs="仿宋"/>
                <w:color w:val="231F20"/>
                <w:kern w:val="0"/>
                <w:sz w:val="24"/>
                <w:szCs w:val="24"/>
                <w:lang w:val="en-US" w:eastAsia="zh-CN" w:bidi="ar"/>
              </w:rPr>
              <w:t xml:space="preserve">厢体室内尺寸：L6500mm×W2300mm×H2017mm </w:t>
            </w:r>
          </w:p>
          <w:p>
            <w:pPr>
              <w:pStyle w:val="2"/>
              <w:rPr>
                <w:rFonts w:hint="eastAsia"/>
                <w:lang w:val="en-US" w:eastAsia="zh-CN"/>
              </w:rPr>
            </w:pPr>
            <w:r>
              <w:rPr>
                <w:rFonts w:hint="eastAsia"/>
                <w:lang w:val="en-US" w:eastAsia="zh-CN"/>
              </w:rPr>
              <w:t>底盘钢结构：房车专业钢，抗压力，抗扭曲</w:t>
            </w:r>
          </w:p>
          <w:p>
            <w:pPr>
              <w:pStyle w:val="2"/>
              <w:rPr>
                <w:rFonts w:hint="eastAsia"/>
                <w:lang w:val="en-US" w:eastAsia="zh-CN"/>
              </w:rPr>
            </w:pPr>
            <w:r>
              <w:rPr>
                <w:rFonts w:hint="eastAsia"/>
                <w:lang w:val="en-US" w:eastAsia="zh-CN"/>
              </w:rPr>
              <w:t>底盘防腐：热浸锌工艺，应对恶劣环境</w:t>
            </w:r>
          </w:p>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default" w:ascii="仿宋" w:hAnsi="仿宋" w:eastAsia="仿宋" w:cs="仿宋"/>
                <w:color w:val="231F20"/>
                <w:kern w:val="0"/>
                <w:sz w:val="24"/>
                <w:szCs w:val="24"/>
                <w:lang w:val="en-US" w:eastAsia="zh-CN" w:bidi="ar"/>
              </w:rPr>
              <w:t xml:space="preserve">面积：15.5 ㎡ </w:t>
            </w:r>
            <w:r>
              <w:rPr>
                <w:rFonts w:hint="eastAsia" w:ascii="仿宋" w:hAnsi="仿宋" w:eastAsia="仿宋" w:cs="仿宋"/>
                <w:color w:val="231F20"/>
                <w:kern w:val="0"/>
                <w:sz w:val="24"/>
                <w:szCs w:val="24"/>
                <w:lang w:val="en-US" w:eastAsia="zh-CN" w:bidi="ar"/>
              </w:rPr>
              <w:t xml:space="preserve">     </w:t>
            </w:r>
            <w:r>
              <w:rPr>
                <w:rFonts w:hint="default" w:ascii="仿宋" w:hAnsi="仿宋" w:eastAsia="仿宋" w:cs="仿宋"/>
                <w:color w:val="231F20"/>
                <w:kern w:val="0"/>
                <w:sz w:val="24"/>
                <w:szCs w:val="24"/>
                <w:lang w:val="en-US" w:eastAsia="zh-CN" w:bidi="ar"/>
              </w:rPr>
              <w:t xml:space="preserve">额定居住人数：4-5 人 </w:t>
            </w:r>
          </w:p>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default" w:ascii="仿宋" w:hAnsi="仿宋" w:eastAsia="仿宋" w:cs="仿宋"/>
                <w:color w:val="231F20"/>
                <w:kern w:val="0"/>
                <w:sz w:val="24"/>
                <w:szCs w:val="24"/>
                <w:lang w:val="en-US" w:eastAsia="zh-CN" w:bidi="ar"/>
              </w:rPr>
              <w:t>离地间隙</w:t>
            </w:r>
            <w:r>
              <w:rPr>
                <w:rFonts w:hint="eastAsia" w:ascii="仿宋" w:hAnsi="仿宋" w:eastAsia="仿宋" w:cs="仿宋"/>
                <w:color w:val="231F20"/>
                <w:kern w:val="0"/>
                <w:sz w:val="24"/>
                <w:szCs w:val="24"/>
                <w:lang w:val="en-US" w:eastAsia="zh-CN" w:bidi="ar"/>
              </w:rPr>
              <w:t xml:space="preserve">：320mm   </w:t>
            </w:r>
            <w:r>
              <w:rPr>
                <w:rFonts w:hint="default" w:ascii="仿宋" w:hAnsi="仿宋" w:eastAsia="仿宋" w:cs="仿宋"/>
                <w:color w:val="231F20"/>
                <w:kern w:val="0"/>
                <w:sz w:val="24"/>
                <w:szCs w:val="24"/>
                <w:lang w:val="en-US" w:eastAsia="zh-CN" w:bidi="ar"/>
              </w:rPr>
              <w:t>驱动形式</w:t>
            </w:r>
            <w:r>
              <w:rPr>
                <w:rFonts w:hint="eastAsia" w:ascii="仿宋" w:hAnsi="仿宋" w:eastAsia="仿宋" w:cs="仿宋"/>
                <w:color w:val="231F20"/>
                <w:kern w:val="0"/>
                <w:sz w:val="24"/>
                <w:szCs w:val="24"/>
                <w:lang w:val="en-US" w:eastAsia="zh-CN" w:bidi="ar"/>
              </w:rPr>
              <w:t>：牵引式</w:t>
            </w:r>
          </w:p>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default" w:ascii="仿宋" w:hAnsi="仿宋" w:eastAsia="仿宋" w:cs="仿宋"/>
                <w:color w:val="231F20"/>
                <w:kern w:val="0"/>
                <w:sz w:val="24"/>
                <w:szCs w:val="24"/>
                <w:lang w:val="en-US" w:eastAsia="zh-CN" w:bidi="ar"/>
              </w:rPr>
              <w:t xml:space="preserve">整备质量：1900kg </w:t>
            </w:r>
          </w:p>
          <w:p>
            <w:pPr>
              <w:pStyle w:val="7"/>
              <w:jc w:val="left"/>
              <w:rPr>
                <w:b/>
                <w:bCs/>
                <w:sz w:val="28"/>
                <w:szCs w:val="28"/>
              </w:rPr>
            </w:pPr>
            <w:r>
              <w:drawing>
                <wp:inline distT="0" distB="0" distL="114300" distR="114300">
                  <wp:extent cx="2695575" cy="35337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2695575" cy="3533775"/>
                          </a:xfrm>
                          <a:prstGeom prst="rect">
                            <a:avLst/>
                          </a:prstGeom>
                          <a:noFill/>
                          <a:ln>
                            <a:noFill/>
                          </a:ln>
                        </pic:spPr>
                      </pic:pic>
                    </a:graphicData>
                  </a:graphic>
                </wp:inline>
              </w:drawing>
            </w:r>
          </w:p>
        </w:tc>
        <w:tc>
          <w:tcPr>
            <w:tcW w:w="450" w:type="dxa"/>
            <w:noWrap/>
            <w:vAlign w:val="center"/>
          </w:tcPr>
          <w:p>
            <w:pPr>
              <w:widowControl/>
              <w:jc w:val="center"/>
              <w:textAlignment w:val="center"/>
              <w:rPr>
                <w:rFonts w:ascii="宋体" w:hAnsi="宋体" w:cs="宋体"/>
                <w:b/>
                <w:bCs/>
                <w:snapToGrid w:val="0"/>
                <w:sz w:val="28"/>
                <w:szCs w:val="28"/>
                <w:lang w:val="zh-CN"/>
              </w:rPr>
            </w:pPr>
            <w:r>
              <w:rPr>
                <w:rFonts w:hint="eastAsia" w:ascii="宋体" w:hAnsi="宋体" w:cs="宋体"/>
                <w:b/>
                <w:bCs/>
                <w:color w:val="000000"/>
                <w:kern w:val="0"/>
                <w:sz w:val="28"/>
                <w:szCs w:val="28"/>
              </w:rPr>
              <w:t>套</w:t>
            </w:r>
          </w:p>
        </w:tc>
        <w:tc>
          <w:tcPr>
            <w:tcW w:w="555" w:type="dxa"/>
            <w:noWrap/>
            <w:vAlign w:val="center"/>
          </w:tcPr>
          <w:p>
            <w:pPr>
              <w:widowControl/>
              <w:jc w:val="right"/>
              <w:textAlignment w:val="center"/>
              <w:rPr>
                <w:rFonts w:ascii="宋体" w:hAnsi="宋体" w:cs="宋体"/>
                <w:b/>
                <w:bCs/>
                <w:snapToGrid w:val="0"/>
                <w:sz w:val="28"/>
                <w:szCs w:val="28"/>
                <w:lang w:val="zh-CN"/>
              </w:rPr>
            </w:pPr>
            <w:r>
              <w:rPr>
                <w:rFonts w:hint="eastAsia" w:ascii="宋体" w:hAnsi="宋体" w:cs="宋体"/>
                <w:b/>
                <w:bCs/>
                <w:color w:val="000000"/>
                <w:kern w:val="0"/>
                <w:sz w:val="28"/>
                <w:szCs w:val="28"/>
              </w:rPr>
              <w:t>4</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restart"/>
            <w:noWrap/>
          </w:tcPr>
          <w:p>
            <w:pPr>
              <w:spacing w:line="240" w:lineRule="atLeast"/>
              <w:rPr>
                <w:rFonts w:hint="eastAsia" w:ascii="宋体" w:hAnsi="宋体" w:cs="宋体"/>
                <w:snapToGrid w:val="0"/>
                <w:sz w:val="18"/>
                <w:szCs w:val="18"/>
                <w:lang w:val="zh-CN"/>
              </w:rPr>
            </w:pPr>
            <w:r>
              <w:rPr>
                <w:rFonts w:hint="eastAsia" w:ascii="宋体" w:hAnsi="宋体" w:cs="宋体"/>
                <w:snapToGrid w:val="0"/>
                <w:sz w:val="18"/>
                <w:szCs w:val="18"/>
                <w:lang w:val="zh-CN"/>
              </w:rPr>
              <w:t>相较野奢帐篷套装，亲子营地房略小，但独特的风格</w:t>
            </w:r>
          </w:p>
          <w:p>
            <w:pPr>
              <w:spacing w:line="240" w:lineRule="atLeast"/>
              <w:rPr>
                <w:rFonts w:hint="eastAsia" w:ascii="宋体" w:hAnsi="宋体" w:cs="宋体"/>
                <w:snapToGrid w:val="0"/>
                <w:sz w:val="18"/>
                <w:szCs w:val="18"/>
                <w:lang w:val="zh-CN"/>
              </w:rPr>
            </w:pPr>
            <w:r>
              <w:rPr>
                <w:rFonts w:hint="eastAsia" w:ascii="宋体" w:hAnsi="宋体" w:cs="宋体"/>
                <w:snapToGrid w:val="0"/>
                <w:sz w:val="18"/>
                <w:szCs w:val="18"/>
                <w:lang w:val="zh-CN"/>
              </w:rPr>
              <w:t>和合理的布局让这种营地房可以适应双人、三人、四人、</w:t>
            </w:r>
          </w:p>
          <w:p>
            <w:pPr>
              <w:spacing w:line="240" w:lineRule="atLeast"/>
              <w:rPr>
                <w:rFonts w:hint="eastAsia" w:ascii="宋体" w:hAnsi="宋体" w:cs="宋体"/>
                <w:snapToGrid w:val="0"/>
                <w:sz w:val="18"/>
                <w:szCs w:val="18"/>
                <w:lang w:val="zh-CN"/>
              </w:rPr>
            </w:pPr>
            <w:r>
              <w:rPr>
                <w:rFonts w:hint="eastAsia" w:ascii="宋体" w:hAnsi="宋体" w:cs="宋体"/>
                <w:snapToGrid w:val="0"/>
                <w:sz w:val="18"/>
                <w:szCs w:val="18"/>
                <w:lang w:val="zh-CN"/>
              </w:rPr>
              <w:t>亲子的多种住宿需求。并配备有完整的住宿设备和石墨烯</w:t>
            </w:r>
          </w:p>
          <w:p>
            <w:pPr>
              <w:spacing w:line="240" w:lineRule="atLeast"/>
              <w:rPr>
                <w:rFonts w:ascii="宋体" w:hAnsi="宋体" w:cs="宋体"/>
                <w:snapToGrid w:val="0"/>
                <w:sz w:val="18"/>
                <w:szCs w:val="18"/>
                <w:lang w:val="zh-CN"/>
              </w:rPr>
            </w:pPr>
            <w:r>
              <w:rPr>
                <w:rFonts w:hint="eastAsia" w:ascii="宋体" w:hAnsi="宋体" w:cs="宋体"/>
                <w:snapToGrid w:val="0"/>
                <w:sz w:val="18"/>
                <w:szCs w:val="18"/>
                <w:lang w:val="zh-CN"/>
              </w:rPr>
              <w:t>地暖，同样可以在冬季使用。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8599" w:type="dxa"/>
            <w:gridSpan w:val="7"/>
            <w:noWrap/>
            <w:vAlign w:val="center"/>
          </w:tcPr>
          <w:p>
            <w:pPr>
              <w:spacing w:line="240" w:lineRule="atLeast"/>
              <w:jc w:val="center"/>
              <w:rPr>
                <w:rFonts w:hint="default" w:ascii="宋体" w:hAnsi="宋体" w:eastAsia="宋体" w:cs="宋体"/>
                <w:b/>
                <w:bCs/>
                <w:snapToGrid w:val="0"/>
                <w:sz w:val="28"/>
                <w:szCs w:val="28"/>
                <w:lang w:val="en-US" w:eastAsia="zh-CN"/>
              </w:rPr>
            </w:pPr>
            <w:r>
              <w:rPr>
                <w:rFonts w:hint="eastAsia" w:ascii="宋体" w:hAnsi="宋体" w:cs="宋体"/>
                <w:b/>
                <w:bCs/>
                <w:snapToGrid w:val="0"/>
                <w:sz w:val="28"/>
                <w:szCs w:val="28"/>
                <w:lang w:val="en-US" w:eastAsia="zh-CN"/>
              </w:rPr>
              <w:t>每套</w:t>
            </w:r>
            <w:r>
              <w:rPr>
                <w:rFonts w:hint="eastAsia" w:ascii="宋体" w:hAnsi="宋体" w:cs="宋体"/>
                <w:b/>
                <w:bCs/>
                <w:color w:val="000000"/>
                <w:kern w:val="0"/>
                <w:sz w:val="28"/>
                <w:szCs w:val="28"/>
              </w:rPr>
              <w:t>亲子款营地房</w:t>
            </w:r>
            <w:r>
              <w:rPr>
                <w:rFonts w:hint="eastAsia" w:ascii="宋体" w:hAnsi="宋体" w:cs="宋体"/>
                <w:b/>
                <w:bCs/>
                <w:color w:val="000000"/>
                <w:kern w:val="0"/>
                <w:sz w:val="28"/>
                <w:szCs w:val="28"/>
                <w:lang w:val="en-US" w:eastAsia="zh-CN"/>
              </w:rPr>
              <w:t>包含以下配套设施</w:t>
            </w: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6.1</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轴数</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default"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6.2</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轮胎规格/数量</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default" w:ascii="仿宋" w:hAnsi="仿宋" w:eastAsia="仿宋" w:cs="仿宋"/>
                <w:color w:val="231F20"/>
                <w:kern w:val="0"/>
                <w:sz w:val="24"/>
                <w:szCs w:val="24"/>
                <w:lang w:val="en-US" w:eastAsia="zh-CN" w:bidi="ar"/>
              </w:rPr>
              <w:t xml:space="preserve">195/70R15LT </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只</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default" w:ascii="仿宋" w:hAnsi="仿宋" w:eastAsia="仿宋" w:cs="仿宋"/>
                <w:color w:val="231F20"/>
                <w:kern w:val="0"/>
                <w:sz w:val="24"/>
                <w:szCs w:val="24"/>
                <w:lang w:val="en-US" w:eastAsia="zh-CN" w:bidi="ar"/>
              </w:rPr>
              <w:t>2</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6.3</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钢圈规格</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6孔 6J×15</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6.4</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厢板</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三明治式复合厢板</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车身</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6.5</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前风窗</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亚克力材质</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6.6</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淋浴房换气天窗</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带电机</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6.7</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外推式车窗</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带纱窗、遮阳</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副</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6.8</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房车门</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带纱门</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6.9</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车身12V车用信号灯</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装饰灯</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副</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6.10</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上车踏步</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只</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6.11</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b/>
                <w:bCs/>
                <w:color w:val="231F20"/>
                <w:kern w:val="0"/>
                <w:sz w:val="24"/>
                <w:szCs w:val="24"/>
                <w:lang w:val="en-US" w:eastAsia="zh-CN" w:bidi="ar"/>
              </w:rPr>
              <w:t>☆</w:t>
            </w:r>
            <w:r>
              <w:rPr>
                <w:rFonts w:hint="eastAsia" w:ascii="仿宋" w:hAnsi="仿宋" w:eastAsia="仿宋" w:cs="仿宋"/>
                <w:color w:val="231F20"/>
                <w:kern w:val="0"/>
                <w:sz w:val="24"/>
                <w:szCs w:val="24"/>
                <w:lang w:val="en-US" w:eastAsia="zh-CN" w:bidi="ar"/>
              </w:rPr>
              <w:t>沙发</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布艺</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只</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6.12</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b/>
                <w:bCs/>
                <w:color w:val="231F20"/>
                <w:kern w:val="0"/>
                <w:sz w:val="24"/>
                <w:szCs w:val="24"/>
                <w:lang w:val="en-US" w:eastAsia="zh-CN" w:bidi="ar"/>
              </w:rPr>
              <w:t>☆</w:t>
            </w:r>
            <w:r>
              <w:rPr>
                <w:rFonts w:hint="eastAsia" w:ascii="仿宋" w:hAnsi="仿宋" w:eastAsia="仿宋" w:cs="仿宋"/>
                <w:color w:val="231F20"/>
                <w:kern w:val="0"/>
                <w:sz w:val="24"/>
                <w:szCs w:val="24"/>
                <w:lang w:val="en-US" w:eastAsia="zh-CN" w:bidi="ar"/>
              </w:rPr>
              <w:t>双人床 长×宽（mm）</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default" w:ascii="仿宋" w:hAnsi="仿宋" w:eastAsia="仿宋" w:cs="仿宋"/>
                <w:color w:val="231F20"/>
                <w:kern w:val="0"/>
                <w:sz w:val="24"/>
                <w:szCs w:val="24"/>
                <w:lang w:val="en-US" w:eastAsia="zh-CN" w:bidi="ar"/>
              </w:rPr>
              <w:t>2000×1500</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张</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6.13</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上下铺（mm）</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default" w:ascii="仿宋" w:hAnsi="仿宋" w:eastAsia="仿宋" w:cs="仿宋"/>
                <w:color w:val="231F20"/>
                <w:kern w:val="0"/>
                <w:sz w:val="24"/>
                <w:szCs w:val="24"/>
                <w:lang w:val="en-US" w:eastAsia="zh-CN" w:bidi="ar"/>
              </w:rPr>
              <w:t>2000×</w:t>
            </w:r>
            <w:r>
              <w:rPr>
                <w:rFonts w:hint="eastAsia" w:ascii="仿宋" w:hAnsi="仿宋" w:eastAsia="仿宋" w:cs="仿宋"/>
                <w:color w:val="231F20"/>
                <w:kern w:val="0"/>
                <w:sz w:val="24"/>
                <w:szCs w:val="24"/>
                <w:lang w:val="en-US" w:eastAsia="zh-CN" w:bidi="ar"/>
              </w:rPr>
              <w:t>95</w:t>
            </w:r>
            <w:r>
              <w:rPr>
                <w:rFonts w:hint="default" w:ascii="仿宋" w:hAnsi="仿宋" w:eastAsia="仿宋" w:cs="仿宋"/>
                <w:color w:val="231F20"/>
                <w:kern w:val="0"/>
                <w:sz w:val="24"/>
                <w:szCs w:val="24"/>
                <w:lang w:val="en-US" w:eastAsia="zh-CN" w:bidi="ar"/>
              </w:rPr>
              <w:t>0</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张</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6.14</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地板革</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根据规范及标准进行采购</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13.50</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6.15</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电视茶水柜</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6.16</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吊柜</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根据规范及标准进行采购</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6.17</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卫生间干湿分离</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6.18</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沐浴花洒</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不锈钢</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只</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6.19</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防滑垫</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25*50</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6.20</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洗脸台+洗面盆+镜子</w:t>
            </w:r>
          </w:p>
        </w:tc>
        <w:tc>
          <w:tcPr>
            <w:tcW w:w="4005"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木质+陶瓷+玻璃镜子</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6.21</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b/>
                <w:bCs/>
                <w:color w:val="231F20"/>
                <w:kern w:val="0"/>
                <w:sz w:val="24"/>
                <w:szCs w:val="24"/>
                <w:lang w:val="en-US" w:eastAsia="zh-CN" w:bidi="ar"/>
              </w:rPr>
              <w:t>☆</w:t>
            </w:r>
            <w:r>
              <w:rPr>
                <w:rFonts w:hint="eastAsia" w:ascii="仿宋" w:hAnsi="仿宋" w:eastAsia="仿宋" w:cs="仿宋"/>
                <w:color w:val="231F20"/>
                <w:kern w:val="0"/>
                <w:sz w:val="24"/>
                <w:szCs w:val="24"/>
                <w:lang w:val="en-US" w:eastAsia="zh-CN" w:bidi="ar"/>
              </w:rPr>
              <w:t>水龙头</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不锈钢</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6.22</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b/>
                <w:bCs/>
                <w:color w:val="231F20"/>
                <w:kern w:val="0"/>
                <w:sz w:val="24"/>
                <w:szCs w:val="24"/>
                <w:lang w:val="en-US" w:eastAsia="zh-CN" w:bidi="ar"/>
              </w:rPr>
              <w:t>☆</w:t>
            </w:r>
            <w:r>
              <w:rPr>
                <w:rFonts w:hint="eastAsia" w:ascii="仿宋" w:hAnsi="仿宋" w:eastAsia="仿宋" w:cs="仿宋"/>
                <w:color w:val="231F20"/>
                <w:kern w:val="0"/>
                <w:sz w:val="24"/>
                <w:szCs w:val="24"/>
                <w:lang w:val="en-US" w:eastAsia="zh-CN" w:bidi="ar"/>
              </w:rPr>
              <w:t>马桶</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陶瓷马桶</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只</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6.23</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市电接口</w:t>
            </w:r>
            <w:r>
              <w:rPr>
                <w:rFonts w:ascii="仿宋" w:hAnsi="仿宋" w:eastAsia="仿宋" w:cs="仿宋"/>
                <w:color w:val="231F20"/>
                <w:kern w:val="0"/>
                <w:sz w:val="24"/>
                <w:szCs w:val="24"/>
                <w:lang w:val="en-US" w:eastAsia="zh-CN" w:bidi="ar"/>
              </w:rPr>
              <w:t>/外接电缆（10米）</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16An+0.4㎡</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根</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6.24</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ascii="仿宋" w:hAnsi="仿宋" w:eastAsia="仿宋" w:cs="仿宋"/>
                <w:color w:val="231F20"/>
                <w:kern w:val="0"/>
                <w:sz w:val="24"/>
                <w:szCs w:val="24"/>
                <w:lang w:val="en-US" w:eastAsia="zh-CN" w:bidi="ar"/>
              </w:rPr>
              <w:t>插座</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220V交流电源输出插座，USB插座，PE材质，白色</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6.25</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b/>
                <w:bCs/>
                <w:color w:val="231F20"/>
                <w:kern w:val="0"/>
                <w:sz w:val="24"/>
                <w:szCs w:val="24"/>
                <w:lang w:val="en-US" w:eastAsia="zh-CN" w:bidi="ar"/>
              </w:rPr>
              <w:t>☆</w:t>
            </w:r>
            <w:r>
              <w:rPr>
                <w:rFonts w:hint="eastAsia" w:ascii="仿宋" w:hAnsi="仿宋" w:eastAsia="仿宋" w:cs="仿宋"/>
                <w:color w:val="231F20"/>
                <w:kern w:val="0"/>
                <w:sz w:val="24"/>
                <w:szCs w:val="24"/>
                <w:lang w:val="en-US" w:eastAsia="zh-CN" w:bidi="ar"/>
              </w:rPr>
              <w:t>挂壁空调</w:t>
            </w:r>
          </w:p>
        </w:tc>
        <w:tc>
          <w:tcPr>
            <w:tcW w:w="4005" w:type="dxa"/>
            <w:noWrap/>
            <w:vAlign w:val="center"/>
          </w:tcPr>
          <w:p>
            <w:pPr>
              <w:keepNext w:val="0"/>
              <w:keepLines w:val="0"/>
              <w:widowControl/>
              <w:suppressLineNumbers w:val="0"/>
              <w:jc w:val="left"/>
              <w:rPr>
                <w:rFonts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1P冷暖挂壁空调</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6.26</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电视机</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32寸电视机</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6.27</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电热水器</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60L</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6.28</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吸顶灯</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LED</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只</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6.29</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门廊灯</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LED</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只</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6.30</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阅读灯</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LED</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只</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6.31</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灯带</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LED</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副</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6.32</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灭火器</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粉质灭火器</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只</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6.33</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烟雾报警器</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PE材质</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只</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spacing w:line="240" w:lineRule="atLeast"/>
              <w:jc w:val="center"/>
              <w:rPr>
                <w:rFonts w:ascii="宋体" w:hAnsi="宋体" w:cs="宋体"/>
                <w:b/>
                <w:bCs/>
                <w:snapToGrid w:val="0"/>
                <w:sz w:val="28"/>
                <w:szCs w:val="28"/>
              </w:rPr>
            </w:pPr>
            <w:r>
              <w:rPr>
                <w:rFonts w:hint="eastAsia" w:ascii="宋体" w:hAnsi="宋体" w:cs="宋体"/>
                <w:b/>
                <w:bCs/>
                <w:snapToGrid w:val="0"/>
                <w:sz w:val="28"/>
                <w:szCs w:val="28"/>
              </w:rPr>
              <w:t>7</w:t>
            </w:r>
          </w:p>
        </w:tc>
        <w:tc>
          <w:tcPr>
            <w:tcW w:w="5176" w:type="dxa"/>
            <w:gridSpan w:val="2"/>
            <w:noWrap/>
            <w:vAlign w:val="center"/>
          </w:tcPr>
          <w:p>
            <w:pPr>
              <w:keepNext w:val="0"/>
              <w:keepLines w:val="0"/>
              <w:widowControl/>
              <w:suppressLineNumbers w:val="0"/>
              <w:jc w:val="left"/>
              <w:rPr>
                <w:rFonts w:hint="eastAsia" w:ascii="宋体" w:hAnsi="宋体" w:cs="宋体"/>
                <w:b/>
                <w:bCs/>
                <w:color w:val="000000"/>
                <w:kern w:val="0"/>
                <w:sz w:val="28"/>
                <w:szCs w:val="28"/>
              </w:rPr>
            </w:pPr>
            <w:r>
              <w:rPr>
                <w:rFonts w:hint="eastAsia" w:ascii="宋体" w:hAnsi="宋体" w:cs="宋体"/>
                <w:b/>
                <w:bCs/>
                <w:color w:val="000000"/>
                <w:kern w:val="0"/>
                <w:sz w:val="28"/>
                <w:szCs w:val="28"/>
              </w:rPr>
              <w:t>厨房帐篷</w:t>
            </w:r>
          </w:p>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 xml:space="preserve">整体面积：88 ㎡ </w:t>
            </w:r>
          </w:p>
          <w:p>
            <w:pPr>
              <w:pStyle w:val="7"/>
              <w:jc w:val="left"/>
              <w:rPr>
                <w:b/>
                <w:bCs/>
                <w:sz w:val="28"/>
                <w:szCs w:val="28"/>
              </w:rPr>
            </w:pPr>
            <w:r>
              <w:rPr>
                <w:rFonts w:hint="default" w:ascii="仿宋" w:hAnsi="仿宋" w:eastAsia="仿宋" w:cs="仿宋"/>
                <w:b w:val="0"/>
                <w:color w:val="231F20"/>
                <w:kern w:val="0"/>
                <w:sz w:val="24"/>
                <w:szCs w:val="24"/>
                <w:lang w:val="en-US" w:eastAsia="zh-CN" w:bidi="ar"/>
              </w:rPr>
              <w:t>房间面积：52 ㎡</w:t>
            </w:r>
            <w:r>
              <w:drawing>
                <wp:inline distT="0" distB="0" distL="114300" distR="114300">
                  <wp:extent cx="3086100" cy="38957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3086100" cy="3895725"/>
                          </a:xfrm>
                          <a:prstGeom prst="rect">
                            <a:avLst/>
                          </a:prstGeom>
                          <a:noFill/>
                          <a:ln>
                            <a:noFill/>
                          </a:ln>
                        </pic:spPr>
                      </pic:pic>
                    </a:graphicData>
                  </a:graphic>
                </wp:inline>
              </w:drawing>
            </w:r>
          </w:p>
        </w:tc>
        <w:tc>
          <w:tcPr>
            <w:tcW w:w="450" w:type="dxa"/>
            <w:noWrap/>
            <w:vAlign w:val="center"/>
          </w:tcPr>
          <w:p>
            <w:pPr>
              <w:widowControl/>
              <w:jc w:val="center"/>
              <w:textAlignment w:val="center"/>
              <w:rPr>
                <w:rFonts w:ascii="宋体" w:hAnsi="宋体" w:cs="宋体"/>
                <w:b/>
                <w:bCs/>
                <w:snapToGrid w:val="0"/>
                <w:sz w:val="28"/>
                <w:szCs w:val="28"/>
                <w:lang w:val="zh-CN"/>
              </w:rPr>
            </w:pPr>
            <w:r>
              <w:rPr>
                <w:rFonts w:hint="eastAsia" w:ascii="宋体" w:hAnsi="宋体" w:cs="宋体"/>
                <w:b/>
                <w:bCs/>
                <w:color w:val="000000"/>
                <w:kern w:val="0"/>
                <w:sz w:val="28"/>
                <w:szCs w:val="28"/>
              </w:rPr>
              <w:t>套</w:t>
            </w:r>
          </w:p>
        </w:tc>
        <w:tc>
          <w:tcPr>
            <w:tcW w:w="555" w:type="dxa"/>
            <w:noWrap/>
            <w:vAlign w:val="center"/>
          </w:tcPr>
          <w:p>
            <w:pPr>
              <w:widowControl/>
              <w:jc w:val="right"/>
              <w:textAlignment w:val="center"/>
              <w:rPr>
                <w:rFonts w:ascii="宋体" w:hAnsi="宋体" w:cs="宋体"/>
                <w:b/>
                <w:bCs/>
                <w:snapToGrid w:val="0"/>
                <w:sz w:val="28"/>
                <w:szCs w:val="28"/>
                <w:lang w:val="zh-CN"/>
              </w:rPr>
            </w:pPr>
            <w:r>
              <w:rPr>
                <w:rFonts w:hint="eastAsia" w:ascii="宋体" w:hAnsi="宋体" w:cs="宋体"/>
                <w:b/>
                <w:bCs/>
                <w:color w:val="000000"/>
                <w:kern w:val="0"/>
                <w:sz w:val="28"/>
                <w:szCs w:val="28"/>
              </w:rPr>
              <w:t>1</w:t>
            </w:r>
          </w:p>
        </w:tc>
        <w:tc>
          <w:tcPr>
            <w:tcW w:w="870" w:type="dxa"/>
            <w:noWrap/>
            <w:vAlign w:val="center"/>
          </w:tcPr>
          <w:p>
            <w:pPr>
              <w:spacing w:line="240" w:lineRule="atLeast"/>
              <w:jc w:val="center"/>
              <w:rPr>
                <w:rFonts w:ascii="宋体" w:hAnsi="宋体" w:cs="宋体"/>
                <w:b/>
                <w:bCs/>
                <w:snapToGrid w:val="0"/>
                <w:sz w:val="28"/>
                <w:szCs w:val="2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restart"/>
            <w:noWrap/>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zh-CN" w:eastAsia="zh-CN" w:bidi="ar"/>
              </w:rPr>
              <w:t>为了提供营地餐饮功能和配置的专业厨房帐篷套装，</w:t>
            </w:r>
          </w:p>
          <w:p>
            <w:pPr>
              <w:keepNext w:val="0"/>
              <w:keepLines w:val="0"/>
              <w:widowControl/>
              <w:suppressLineNumbers w:val="0"/>
              <w:jc w:val="left"/>
              <w:rPr>
                <w:rFonts w:ascii="宋体" w:hAnsi="宋体" w:cs="宋体"/>
                <w:snapToGrid w:val="0"/>
                <w:sz w:val="18"/>
                <w:szCs w:val="18"/>
                <w:lang w:val="zh-CN"/>
              </w:rPr>
            </w:pPr>
            <w:r>
              <w:rPr>
                <w:rFonts w:hint="eastAsia" w:ascii="仿宋" w:hAnsi="仿宋" w:eastAsia="仿宋" w:cs="仿宋"/>
                <w:color w:val="231F20"/>
                <w:kern w:val="0"/>
                <w:sz w:val="24"/>
                <w:szCs w:val="24"/>
                <w:lang w:val="zh-CN" w:eastAsia="zh-CN" w:bidi="ar"/>
              </w:rPr>
              <w:t>包含完整的炊具系统。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8599" w:type="dxa"/>
            <w:gridSpan w:val="7"/>
            <w:noWrap/>
            <w:vAlign w:val="center"/>
          </w:tcPr>
          <w:p>
            <w:pPr>
              <w:keepNext w:val="0"/>
              <w:keepLines w:val="0"/>
              <w:widowControl/>
              <w:suppressLineNumbers w:val="0"/>
              <w:jc w:val="center"/>
              <w:rPr>
                <w:rFonts w:hint="default" w:ascii="宋体" w:hAnsi="宋体" w:cs="宋体"/>
                <w:b/>
                <w:bCs/>
                <w:snapToGrid w:val="0"/>
                <w:sz w:val="28"/>
                <w:szCs w:val="28"/>
                <w:lang w:val="en-US"/>
              </w:rPr>
            </w:pPr>
            <w:r>
              <w:rPr>
                <w:rFonts w:hint="eastAsia" w:ascii="宋体" w:hAnsi="宋体" w:cs="宋体"/>
                <w:b/>
                <w:bCs/>
                <w:color w:val="000000"/>
                <w:kern w:val="0"/>
                <w:sz w:val="28"/>
                <w:szCs w:val="28"/>
                <w:lang w:val="en-US" w:eastAsia="zh-CN"/>
              </w:rPr>
              <w:t>每套</w:t>
            </w:r>
            <w:r>
              <w:rPr>
                <w:rFonts w:hint="eastAsia" w:ascii="宋体" w:hAnsi="宋体" w:cs="宋体"/>
                <w:b/>
                <w:bCs/>
                <w:color w:val="000000"/>
                <w:kern w:val="0"/>
                <w:sz w:val="28"/>
                <w:szCs w:val="28"/>
              </w:rPr>
              <w:t>厨房帐篷</w:t>
            </w:r>
            <w:r>
              <w:rPr>
                <w:rFonts w:hint="eastAsia" w:ascii="宋体" w:hAnsi="宋体" w:cs="宋体"/>
                <w:b/>
                <w:bCs/>
                <w:color w:val="000000"/>
                <w:kern w:val="0"/>
                <w:sz w:val="28"/>
                <w:szCs w:val="28"/>
                <w:lang w:val="en-US" w:eastAsia="zh-CN"/>
              </w:rPr>
              <w:t>包含以下配套设施</w:t>
            </w: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7.1</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 xml:space="preserve">帐篷外帐                                          </w:t>
            </w:r>
          </w:p>
        </w:tc>
        <w:tc>
          <w:tcPr>
            <w:tcW w:w="4005" w:type="dxa"/>
            <w:noWrap/>
            <w:vAlign w:val="top"/>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顶部带自洁功能的PVC张拉膜，PVC张拉膜，1000D ,750克/平方，阻燃、颜色为深绿色</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7.2</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帐篷内帐</w:t>
            </w:r>
          </w:p>
        </w:tc>
        <w:tc>
          <w:tcPr>
            <w:tcW w:w="4005" w:type="dxa"/>
            <w:noWrap/>
            <w:vAlign w:val="top"/>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 xml:space="preserve">350g加强棉布，防霉防水防紫外线防蚊虫，颜色为米黄色 </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7.3</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帐篷连接器</w:t>
            </w:r>
          </w:p>
        </w:tc>
        <w:tc>
          <w:tcPr>
            <w:tcW w:w="4005" w:type="dxa"/>
            <w:noWrap/>
            <w:vAlign w:val="top"/>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通过斜支撑架对帐篷顶增强支撑，同时通缩连接件直接搭建，镀锌圆通：内径1000MM，壁厚1.9MM</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7.4</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奢华帐篷底座</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钢结构，圆管 114*2.0, 方管30*50*1.5 ，5*5斜撑</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7.5</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 xml:space="preserve">帐篷实木支架                                        </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樟子松防腐木：圆木直径1000MM（上下公分差距0.5-1cm）</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7.6</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立面钢管                    </w:t>
            </w:r>
          </w:p>
        </w:tc>
        <w:tc>
          <w:tcPr>
            <w:tcW w:w="4005" w:type="dxa"/>
            <w:vMerge w:val="restart"/>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方管60*120*2.0</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7.7</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连体框架</w:t>
            </w:r>
          </w:p>
        </w:tc>
        <w:tc>
          <w:tcPr>
            <w:tcW w:w="4005" w:type="dxa"/>
            <w:vMerge w:val="continue"/>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7.8</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地螺丝</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长度1.6米，热镀镀锌管： YH89-1600</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7.9</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OSB进口LP结构板               隔潮层                     保暖层                                           SPC地板                                                        </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1.OSB进口LP结构板：  2440*1220*15.1mm            2.SPC地板：1220*180*4.0/0.3mm</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7.10</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阳台栏杆                       </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防腐木</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项</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7.11</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麻布围挡                     </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麻绳</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项</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7.12</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阳台吊灯</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定制</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项</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7.13</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阳台院门</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防腐木</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项</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7.14</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内帐门</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玻璃移门</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7.15</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客厅吊灯</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古典风格灯具</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2</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7.16</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整体电源线路                    </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聚氯乙烯绝缘电缆电线国标,插座线2.5mm2，电压450/750V，功率3KV，1.5mm2功率=2KV,电压220V</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7.17</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全屋电源开关插座                                 </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线盒：阻燃</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套</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7.18</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进屋电柜              </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管道20*2.8的PPR热水管      25*3.5的PPR热水管 ，热水管20*2.8，25*3.5 ， 32*4.4 ， 冷水管25*2.8，32*3.6</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个</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7.19</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四层格栅货架1800*500*1550</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用料说明：采用食品级 SUS 304 #1.0mm；不锈钢方通配可调重力子弹脚。</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7.20</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双层工作台1500*600*800</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材料选用国标优质不锈钢磨砂板制造；台面1.2mm,层板1.0mm,配可调节子弹脚</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7.21</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三星水池1800*600*(800+100)</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用料说明：采用食品级  SUS  304不锈钢1.2厚材质，台脚用Ф38×1.0mm不锈钢，配可调重力 子弹脚。</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7.22</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开水器带底座530*530*1300</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材质说明：</w:t>
            </w:r>
            <w:r>
              <w:rPr>
                <w:rFonts w:hint="eastAsia" w:ascii="仿宋" w:hAnsi="仿宋" w:eastAsia="仿宋" w:cs="仿宋"/>
                <w:color w:val="231F20"/>
                <w:kern w:val="0"/>
                <w:sz w:val="24"/>
                <w:szCs w:val="24"/>
                <w:lang w:val="en-US" w:eastAsia="zh-CN" w:bidi="ar"/>
              </w:rPr>
              <w:br w:type="textWrapping"/>
            </w:r>
            <w:r>
              <w:rPr>
                <w:rFonts w:hint="eastAsia" w:ascii="仿宋" w:hAnsi="仿宋" w:eastAsia="仿宋" w:cs="仿宋"/>
                <w:color w:val="231F20"/>
                <w:kern w:val="0"/>
                <w:sz w:val="24"/>
                <w:szCs w:val="24"/>
                <w:lang w:val="en-US" w:eastAsia="zh-CN" w:bidi="ar"/>
              </w:rPr>
              <w:t xml:space="preserve">1、采用自动进水断水装置，防干烧、有缺相过载保护、箱体有保温性能，配底座。   </w:t>
            </w:r>
            <w:r>
              <w:rPr>
                <w:rFonts w:hint="eastAsia" w:ascii="仿宋" w:hAnsi="仿宋" w:eastAsia="仿宋" w:cs="仿宋"/>
                <w:color w:val="231F20"/>
                <w:kern w:val="0"/>
                <w:sz w:val="24"/>
                <w:szCs w:val="24"/>
                <w:lang w:val="en-US" w:eastAsia="zh-CN" w:bidi="ar"/>
              </w:rPr>
              <w:br w:type="textWrapping"/>
            </w:r>
            <w:r>
              <w:rPr>
                <w:rFonts w:hint="eastAsia" w:ascii="仿宋" w:hAnsi="仿宋" w:eastAsia="仿宋" w:cs="仿宋"/>
                <w:color w:val="231F20"/>
                <w:kern w:val="0"/>
                <w:sz w:val="24"/>
                <w:szCs w:val="24"/>
                <w:lang w:val="en-US" w:eastAsia="zh-CN" w:bidi="ar"/>
              </w:rPr>
              <w:t xml:space="preserve">2、开水器内置溢流管.避免开水外溢烫伤；  </w:t>
            </w:r>
            <w:r>
              <w:rPr>
                <w:rFonts w:hint="eastAsia" w:ascii="仿宋" w:hAnsi="仿宋" w:eastAsia="仿宋" w:cs="仿宋"/>
                <w:color w:val="231F20"/>
                <w:kern w:val="0"/>
                <w:sz w:val="24"/>
                <w:szCs w:val="24"/>
                <w:lang w:val="en-US" w:eastAsia="zh-CN" w:bidi="ar"/>
              </w:rPr>
              <w:br w:type="textWrapping"/>
            </w:r>
            <w:r>
              <w:rPr>
                <w:rFonts w:hint="eastAsia" w:ascii="仿宋" w:hAnsi="仿宋" w:eastAsia="仿宋" w:cs="仿宋"/>
                <w:color w:val="231F20"/>
                <w:kern w:val="0"/>
                <w:sz w:val="24"/>
                <w:szCs w:val="24"/>
                <w:lang w:val="en-US" w:eastAsia="zh-CN" w:bidi="ar"/>
              </w:rPr>
              <w:t>3、采用全封闭设计优质食用级不锈钢内胆。</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7.23</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灭蝇灯</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灯外壳采用铝合金材料组合而成，灯具有平网和曲网组成高压网，在高压网的外面加一层护网隔开，电网采用静电镀镍材料制成，耗电低，无气味，无辐射。灯管：8W/T5 BL；覆盖面积：40㎡</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7.24</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4门高身冰箱1220*760*1950</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采用优质不锈钢雪花砂板                                          1、温度范围:冷藏+5～--5℃、冷冻-10～--15℃                      2、制冷剂：R12，环保R141B高密度发泡保温材料                </w:t>
            </w:r>
            <w:r>
              <w:rPr>
                <w:rFonts w:hint="eastAsia" w:ascii="仿宋" w:hAnsi="仿宋" w:eastAsia="仿宋" w:cs="仿宋"/>
                <w:color w:val="231F20"/>
                <w:kern w:val="0"/>
                <w:sz w:val="24"/>
                <w:szCs w:val="24"/>
                <w:lang w:val="en-US" w:eastAsia="zh-CN" w:bidi="ar"/>
              </w:rPr>
              <w:br w:type="textWrapping"/>
            </w:r>
            <w:r>
              <w:rPr>
                <w:rFonts w:hint="eastAsia" w:ascii="仿宋" w:hAnsi="仿宋" w:eastAsia="仿宋" w:cs="仿宋"/>
                <w:color w:val="231F20"/>
                <w:kern w:val="0"/>
                <w:sz w:val="24"/>
                <w:szCs w:val="24"/>
                <w:lang w:val="en-US" w:eastAsia="zh-CN" w:bidi="ar"/>
              </w:rPr>
              <w:t>3、制冷形式：直冷、双机双温   　　　　　　　</w:t>
            </w:r>
            <w:r>
              <w:rPr>
                <w:rFonts w:hint="eastAsia" w:ascii="仿宋" w:hAnsi="仿宋" w:eastAsia="仿宋" w:cs="仿宋"/>
                <w:color w:val="231F20"/>
                <w:kern w:val="0"/>
                <w:sz w:val="24"/>
                <w:szCs w:val="24"/>
                <w:lang w:val="en-US" w:eastAsia="zh-CN" w:bidi="ar"/>
              </w:rPr>
              <w:br w:type="textWrapping"/>
            </w:r>
            <w:r>
              <w:rPr>
                <w:rFonts w:hint="eastAsia" w:ascii="仿宋" w:hAnsi="仿宋" w:eastAsia="仿宋" w:cs="仿宋"/>
                <w:color w:val="231F20"/>
                <w:kern w:val="0"/>
                <w:sz w:val="24"/>
                <w:szCs w:val="24"/>
                <w:lang w:val="en-US" w:eastAsia="zh-CN" w:bidi="ar"/>
              </w:rPr>
              <w:t>4、整机容量1.0m3</w:t>
            </w:r>
            <w:r>
              <w:rPr>
                <w:rFonts w:hint="eastAsia" w:ascii="仿宋" w:hAnsi="仿宋" w:eastAsia="仿宋" w:cs="仿宋"/>
                <w:color w:val="231F20"/>
                <w:kern w:val="0"/>
                <w:sz w:val="24"/>
                <w:szCs w:val="24"/>
                <w:lang w:val="en-US" w:eastAsia="zh-CN" w:bidi="ar"/>
              </w:rPr>
              <w:br w:type="textWrapping"/>
            </w:r>
            <w:r>
              <w:rPr>
                <w:rFonts w:hint="eastAsia" w:ascii="仿宋" w:hAnsi="仿宋" w:eastAsia="仿宋" w:cs="仿宋"/>
                <w:color w:val="231F20"/>
                <w:kern w:val="0"/>
                <w:sz w:val="24"/>
                <w:szCs w:val="24"/>
                <w:lang w:val="en-US" w:eastAsia="zh-CN" w:bidi="ar"/>
              </w:rPr>
              <w:t>5、内夹层为聚氨基甲酸酯发泡胶隔冷，装配磁性拉门</w:t>
            </w:r>
            <w:r>
              <w:rPr>
                <w:rFonts w:hint="eastAsia" w:ascii="仿宋" w:hAnsi="仿宋" w:eastAsia="仿宋" w:cs="仿宋"/>
                <w:color w:val="231F20"/>
                <w:kern w:val="0"/>
                <w:sz w:val="24"/>
                <w:szCs w:val="24"/>
                <w:lang w:val="en-US" w:eastAsia="zh-CN" w:bidi="ar"/>
              </w:rPr>
              <w:br w:type="textWrapping"/>
            </w:r>
            <w:r>
              <w:rPr>
                <w:rFonts w:hint="eastAsia" w:ascii="仿宋" w:hAnsi="仿宋" w:eastAsia="仿宋" w:cs="仿宋"/>
                <w:color w:val="231F20"/>
                <w:kern w:val="0"/>
                <w:sz w:val="24"/>
                <w:szCs w:val="24"/>
                <w:lang w:val="en-US" w:eastAsia="zh-CN" w:bidi="ar"/>
              </w:rPr>
              <w:t xml:space="preserve">6、并四周有凝露管，防止跑冷，四周边装有一连续的磁性乙烯基门垫，活动脚轮。                              </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7.25</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双头大小组合锅灶1500*800（850+350）</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用料说明：面板为1.2mm厚304#不锈钢板；侧板为1.0mm厚，防护等级IP44，国“In fineon”IGBT，8段谐率调节确保发热德均匀和食品美味、智能数码显示，三重立体防辐射外壳屏蔽设计，超静音工作环境，双层拼绕线圈，发热快，节能环保。600锅经，</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7.26</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平冷工作台1500*600*800</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用料说明：容积：420L，全不锈钢柜体，聚氨脂整体发泡，数字控温系统，液晶数字显示温度，高效节能压缩机，子弹脚高度自由调节，蒸发器、冷凝器均用铜管，温度范围：-5℃～5℃</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7.27</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12盘蒸饭柜660*580*1470</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材质：不锈钢板SUS 201外壳；，聚氨酯发泡保温；超级保温，节能，优质温控器，不锈钢发热管，受命长，故障低，蒸饭速度快，饭香可口，可定时定温。饭盘材质304不锈钢0.8厚</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7.28</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蒸包炉800*850*（800+400）</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用料说明：面板为1.5mm厚食品级 SUS 304#不锈钢板；侧板为1.2mm厚，防护等级IP44，国“In fineon”IGBT，8段谐率调节确保发热德均匀和食品美味、智能数码显示，三重立体防辐射外壳屏蔽设计，超静音工作环境，双层拼绕线圈，发热快，节能环保。</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7.29</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双通荷台1500*600*800</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用料说明：采用食品级 SUS 304 #不锈钢板</w:t>
            </w:r>
            <w:r>
              <w:rPr>
                <w:rFonts w:hint="eastAsia" w:ascii="仿宋" w:hAnsi="仿宋" w:eastAsia="仿宋" w:cs="仿宋"/>
                <w:color w:val="231F20"/>
                <w:kern w:val="0"/>
                <w:sz w:val="24"/>
                <w:szCs w:val="24"/>
                <w:lang w:val="en-US" w:eastAsia="zh-CN" w:bidi="ar"/>
              </w:rPr>
              <w:br w:type="textWrapping"/>
            </w:r>
            <w:r>
              <w:rPr>
                <w:rFonts w:hint="eastAsia" w:ascii="仿宋" w:hAnsi="仿宋" w:eastAsia="仿宋" w:cs="仿宋"/>
                <w:color w:val="231F20"/>
                <w:kern w:val="0"/>
                <w:sz w:val="24"/>
                <w:szCs w:val="24"/>
                <w:lang w:val="en-US" w:eastAsia="zh-CN" w:bidi="ar"/>
              </w:rPr>
              <w:t>台面1.2mm不锈钢。台脚采用食品级 SUS 304 #Ф38×1.0mm不锈钢，配可调重力子弹脚。</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7.30</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三门电烤箱1221*830*1533</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三层六盘，加厚保温，电控节能加热快；全不钢外壳,400度数显表 烤盘材质304不锈钢0.8厚</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7.31</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立式冷藏柜（大二门）1200*700*1950</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采用优质不锈钢雪花砂板                                          1、温度范围:0~5℃          </w:t>
            </w:r>
            <w:r>
              <w:rPr>
                <w:rFonts w:hint="eastAsia" w:ascii="仿宋" w:hAnsi="仿宋" w:eastAsia="仿宋" w:cs="仿宋"/>
                <w:color w:val="231F20"/>
                <w:kern w:val="0"/>
                <w:sz w:val="24"/>
                <w:szCs w:val="24"/>
                <w:lang w:val="en-US" w:eastAsia="zh-CN" w:bidi="ar"/>
              </w:rPr>
              <w:br w:type="textWrapping"/>
            </w:r>
            <w:r>
              <w:rPr>
                <w:rFonts w:hint="eastAsia" w:ascii="仿宋" w:hAnsi="仿宋" w:eastAsia="仿宋" w:cs="仿宋"/>
                <w:color w:val="231F20"/>
                <w:kern w:val="0"/>
                <w:sz w:val="24"/>
                <w:szCs w:val="24"/>
                <w:lang w:val="en-US" w:eastAsia="zh-CN" w:bidi="ar"/>
              </w:rPr>
              <w:t xml:space="preserve">2、制冷剂：R12，环保R141B高密度发泡保温材料  </w:t>
            </w:r>
            <w:r>
              <w:rPr>
                <w:rFonts w:hint="eastAsia" w:ascii="仿宋" w:hAnsi="仿宋" w:eastAsia="仿宋" w:cs="仿宋"/>
                <w:color w:val="231F20"/>
                <w:kern w:val="0"/>
                <w:sz w:val="24"/>
                <w:szCs w:val="24"/>
                <w:lang w:val="en-US" w:eastAsia="zh-CN" w:bidi="ar"/>
              </w:rPr>
              <w:br w:type="textWrapping"/>
            </w:r>
            <w:r>
              <w:rPr>
                <w:rFonts w:hint="eastAsia" w:ascii="仿宋" w:hAnsi="仿宋" w:eastAsia="仿宋" w:cs="仿宋"/>
                <w:color w:val="231F20"/>
                <w:kern w:val="0"/>
                <w:sz w:val="24"/>
                <w:szCs w:val="24"/>
                <w:lang w:val="en-US" w:eastAsia="zh-CN" w:bidi="ar"/>
              </w:rPr>
              <w:t>3、制冷形式：直冷</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7.32</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多功能配餐消毒柜1160X500X1850</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用料说明：采用SUS 食品级304不锈钢机身。70度中温消毒，红外线臭氧烘干，高浓度臭氧消毒，满足不同材质餐具消毒要求，镍烙丝发热管，寿命长，360度臭氧杀菌）</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7.33</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紫外线消毒灯</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说明：含灯管灯架。</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7.34</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排烟系统5.3米不锈钢</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 xml:space="preserve">采用优质不锈钢板材制作；烟罩不锈钢；风管不锈钢，包含5.5kw风柜，净化器16000风量（净化百分之90） </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33" w:type="dxa"/>
            <w:noWrap/>
            <w:vAlign w:val="center"/>
          </w:tcPr>
          <w:p>
            <w:pPr>
              <w:keepNext w:val="0"/>
              <w:keepLines w:val="0"/>
              <w:widowControl/>
              <w:suppressLineNumbers w:val="0"/>
              <w:jc w:val="left"/>
              <w:rPr>
                <w:rFonts w:hint="default"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7.35</w:t>
            </w:r>
          </w:p>
        </w:tc>
        <w:tc>
          <w:tcPr>
            <w:tcW w:w="1171"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四层格栅货架1800*500*1550</w:t>
            </w:r>
          </w:p>
        </w:tc>
        <w:tc>
          <w:tcPr>
            <w:tcW w:w="400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zh-CN" w:eastAsia="zh-CN" w:bidi="ar"/>
              </w:rPr>
            </w:pPr>
            <w:r>
              <w:rPr>
                <w:rFonts w:hint="eastAsia" w:ascii="仿宋" w:hAnsi="仿宋" w:eastAsia="仿宋" w:cs="仿宋"/>
                <w:color w:val="231F20"/>
                <w:kern w:val="0"/>
                <w:sz w:val="24"/>
                <w:szCs w:val="24"/>
                <w:lang w:val="en-US" w:eastAsia="zh-CN" w:bidi="ar"/>
              </w:rPr>
              <w:t>用料说明：采用食品级 SUS 304 #1.0mm；不锈钢方通配可调重力子弹脚。</w:t>
            </w:r>
          </w:p>
        </w:tc>
        <w:tc>
          <w:tcPr>
            <w:tcW w:w="450"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台</w:t>
            </w:r>
          </w:p>
        </w:tc>
        <w:tc>
          <w:tcPr>
            <w:tcW w:w="555" w:type="dxa"/>
            <w:noWrap/>
            <w:vAlign w:val="center"/>
          </w:tcPr>
          <w:p>
            <w:pPr>
              <w:keepNext w:val="0"/>
              <w:keepLines w:val="0"/>
              <w:widowControl/>
              <w:suppressLineNumbers w:val="0"/>
              <w:jc w:val="left"/>
              <w:rPr>
                <w:rFonts w:hint="eastAsia" w:ascii="仿宋" w:hAnsi="仿宋" w:eastAsia="仿宋" w:cs="仿宋"/>
                <w:color w:val="231F20"/>
                <w:kern w:val="0"/>
                <w:sz w:val="24"/>
                <w:szCs w:val="24"/>
                <w:lang w:val="en-US" w:eastAsia="zh-CN" w:bidi="ar"/>
              </w:rPr>
            </w:pPr>
            <w:r>
              <w:rPr>
                <w:rFonts w:hint="eastAsia" w:ascii="仿宋" w:hAnsi="仿宋" w:eastAsia="仿宋" w:cs="仿宋"/>
                <w:color w:val="231F20"/>
                <w:kern w:val="0"/>
                <w:sz w:val="24"/>
                <w:szCs w:val="24"/>
                <w:lang w:val="en-US" w:eastAsia="zh-CN" w:bidi="ar"/>
              </w:rPr>
              <w:t>1</w:t>
            </w:r>
          </w:p>
        </w:tc>
        <w:tc>
          <w:tcPr>
            <w:tcW w:w="870" w:type="dxa"/>
            <w:noWrap/>
            <w:vAlign w:val="center"/>
          </w:tcPr>
          <w:p>
            <w:pPr>
              <w:spacing w:line="240" w:lineRule="atLeast"/>
              <w:jc w:val="center"/>
              <w:rPr>
                <w:rFonts w:ascii="宋体" w:hAnsi="宋体" w:cs="宋体"/>
                <w:snapToGrid w:val="0"/>
                <w:sz w:val="18"/>
                <w:szCs w:val="18"/>
                <w:lang w:val="zh-CN"/>
              </w:rPr>
            </w:pPr>
          </w:p>
        </w:tc>
        <w:tc>
          <w:tcPr>
            <w:tcW w:w="915" w:type="dxa"/>
            <w:noWrap/>
          </w:tcPr>
          <w:p>
            <w:pPr>
              <w:spacing w:line="240" w:lineRule="atLeast"/>
              <w:jc w:val="center"/>
              <w:rPr>
                <w:rFonts w:ascii="宋体" w:hAnsi="宋体" w:cs="宋体"/>
                <w:snapToGrid w:val="0"/>
                <w:sz w:val="18"/>
                <w:szCs w:val="18"/>
                <w:lang w:val="zh-CN"/>
              </w:rPr>
            </w:pPr>
          </w:p>
        </w:tc>
        <w:tc>
          <w:tcPr>
            <w:tcW w:w="855" w:type="dxa"/>
            <w:vMerge w:val="continue"/>
            <w:noWrap/>
          </w:tcPr>
          <w:p>
            <w:pPr>
              <w:spacing w:line="240" w:lineRule="atLeast"/>
              <w:rPr>
                <w:rFonts w:ascii="宋体" w:hAnsi="宋体" w:cs="宋体"/>
                <w:snapToGrid w:val="0"/>
                <w:sz w:val="18"/>
                <w:szCs w:val="18"/>
                <w:lang w:val="zh-CN"/>
              </w:rPr>
            </w:pPr>
          </w:p>
        </w:tc>
      </w:tr>
    </w:tbl>
    <w:p>
      <w:pPr>
        <w:widowControl/>
        <w:ind w:firstLine="481"/>
        <w:jc w:val="left"/>
        <w:textAlignment w:val="center"/>
        <w:rPr>
          <w:rFonts w:hint="eastAsia" w:ascii="楷体_GB2312" w:hAnsi="楷体_GB2312" w:eastAsia="宋体" w:cs="Arial"/>
          <w:b/>
          <w:kern w:val="2"/>
          <w:sz w:val="28"/>
          <w:szCs w:val="22"/>
          <w:lang w:val="en-US" w:eastAsia="zh-CN" w:bidi="ar-SA"/>
        </w:rPr>
      </w:pPr>
      <w:r>
        <w:rPr>
          <w:rFonts w:hint="eastAsia" w:ascii="楷体_GB2312" w:hAnsi="楷体_GB2312" w:eastAsia="宋体" w:cs="Arial"/>
          <w:b/>
          <w:kern w:val="2"/>
          <w:sz w:val="28"/>
          <w:szCs w:val="22"/>
          <w:lang w:val="en-US" w:eastAsia="zh-CN" w:bidi="ar-SA"/>
        </w:rPr>
        <w:t>注：</w:t>
      </w:r>
    </w:p>
    <w:p>
      <w:pPr>
        <w:widowControl/>
        <w:ind w:firstLine="481"/>
        <w:jc w:val="left"/>
        <w:textAlignment w:val="center"/>
        <w:rPr>
          <w:rFonts w:hint="eastAsia" w:ascii="楷体_GB2312" w:hAnsi="楷体_GB2312" w:eastAsia="宋体" w:cs="Arial"/>
          <w:b/>
          <w:kern w:val="2"/>
          <w:sz w:val="28"/>
          <w:szCs w:val="22"/>
          <w:lang w:val="en-US" w:eastAsia="zh-CN" w:bidi="ar-SA"/>
        </w:rPr>
      </w:pPr>
      <w:r>
        <w:rPr>
          <w:rFonts w:hint="eastAsia" w:ascii="楷体_GB2312" w:hAnsi="楷体_GB2312" w:eastAsia="宋体" w:cs="Arial"/>
          <w:b/>
          <w:kern w:val="2"/>
          <w:sz w:val="28"/>
          <w:szCs w:val="22"/>
          <w:lang w:val="en-US" w:eastAsia="zh-CN" w:bidi="ar-SA"/>
        </w:rPr>
        <w:t>（1）供应商报价中须综合考虑烟感、消防、避雷等相关设施的材料等，相关费用包含在报价中，不再另行计算。</w:t>
      </w:r>
    </w:p>
    <w:p>
      <w:pPr>
        <w:widowControl/>
        <w:ind w:firstLine="481"/>
        <w:jc w:val="left"/>
        <w:textAlignment w:val="center"/>
        <w:rPr>
          <w:rFonts w:hint="eastAsia" w:ascii="楷体_GB2312" w:hAnsi="楷体_GB2312" w:eastAsia="宋体" w:cs="Arial"/>
          <w:b/>
          <w:kern w:val="2"/>
          <w:sz w:val="28"/>
          <w:szCs w:val="22"/>
          <w:lang w:val="en-US" w:eastAsia="zh-CN" w:bidi="ar-SA"/>
        </w:rPr>
      </w:pPr>
      <w:r>
        <w:rPr>
          <w:rFonts w:hint="eastAsia" w:ascii="楷体_GB2312" w:hAnsi="楷体_GB2312" w:eastAsia="宋体" w:cs="Arial"/>
          <w:b/>
          <w:kern w:val="2"/>
          <w:sz w:val="28"/>
          <w:szCs w:val="22"/>
          <w:lang w:val="en-US" w:eastAsia="zh-CN" w:bidi="ar-SA"/>
        </w:rPr>
        <w:t>（2）供应商应现场踏勘，报价时应综合考虑现场场地清杂、土地平整、二次翻运、施工用电用水等一切因素，如有现场苗木绿化损毁，须负责复原，此类费用包含在本次报价中，不再另行计算。</w:t>
      </w:r>
    </w:p>
    <w:p>
      <w:pPr>
        <w:pStyle w:val="16"/>
        <w:rPr>
          <w:rFonts w:hint="eastAsia"/>
          <w:b/>
          <w:szCs w:val="22"/>
        </w:rPr>
      </w:pPr>
      <w:r>
        <w:rPr>
          <w:rFonts w:hint="eastAsia"/>
          <w:b/>
          <w:szCs w:val="22"/>
        </w:rPr>
        <w:t>（3）供应商应根据所提供的清单明细表进行核算，若对上述内容有疑问，须在答疑时间前提出，否则视为认同招标人所提供清单明细表。本次报价中包含清单明细表中要求完成的所有内容，满足招标人的使用需求，凡漏项或少计均视为已包含在本次投标报价的范围以内，招标人不再另行增加费用，竣工结算时均不调整。</w:t>
      </w:r>
    </w:p>
    <w:p>
      <w:pPr>
        <w:pStyle w:val="16"/>
        <w:rPr>
          <w:rFonts w:hint="eastAsia"/>
          <w:b/>
          <w:szCs w:val="22"/>
        </w:rPr>
      </w:pPr>
      <w:r>
        <w:rPr>
          <w:rFonts w:hint="eastAsia"/>
          <w:b/>
          <w:szCs w:val="22"/>
        </w:rPr>
        <w:t>（4）供应商根据所承诺质量保证期年限内，帐篷质量保证期内维修、修缮等所产生的费用包含在本次报价中，不再另行计算。</w:t>
      </w:r>
    </w:p>
    <w:p>
      <w:pPr>
        <w:widowControl/>
        <w:ind w:firstLine="481"/>
        <w:jc w:val="left"/>
        <w:textAlignment w:val="center"/>
        <w:rPr>
          <w:rFonts w:hint="eastAsia" w:ascii="楷体_GB2312" w:hAnsi="楷体_GB2312" w:eastAsia="宋体" w:cs="Arial"/>
          <w:b/>
          <w:kern w:val="2"/>
          <w:sz w:val="28"/>
          <w:szCs w:val="22"/>
          <w:lang w:val="en-US" w:eastAsia="zh-CN" w:bidi="ar-SA"/>
        </w:rPr>
      </w:pPr>
      <w:r>
        <w:rPr>
          <w:rFonts w:hint="eastAsia" w:ascii="楷体_GB2312" w:hAnsi="楷体_GB2312" w:eastAsia="宋体" w:cs="Arial"/>
          <w:b/>
          <w:kern w:val="2"/>
          <w:sz w:val="28"/>
          <w:szCs w:val="22"/>
          <w:lang w:val="en-US" w:eastAsia="zh-CN" w:bidi="ar-SA"/>
        </w:rPr>
        <w:t>（5）中标单位中标后可能须对清单中灯具、家具等内容二次深化设计，满足招标人的要求，经招标人确认后施工，此类费用包含在本次报价中，不再另行计算。</w:t>
      </w:r>
    </w:p>
    <w:p>
      <w:pPr>
        <w:widowControl/>
        <w:ind w:firstLine="481"/>
        <w:jc w:val="left"/>
        <w:textAlignment w:val="center"/>
        <w:rPr>
          <w:rFonts w:hint="eastAsia" w:ascii="楷体_GB2312" w:hAnsi="楷体_GB2312" w:eastAsia="宋体" w:cs="Arial"/>
          <w:b/>
          <w:kern w:val="2"/>
          <w:sz w:val="28"/>
          <w:szCs w:val="22"/>
          <w:lang w:val="en-US" w:eastAsia="zh-CN" w:bidi="ar-SA"/>
        </w:rPr>
      </w:pPr>
      <w:r>
        <w:rPr>
          <w:rFonts w:hint="eastAsia" w:ascii="楷体_GB2312" w:hAnsi="楷体_GB2312" w:eastAsia="宋体" w:cs="Arial"/>
          <w:b/>
          <w:kern w:val="2"/>
          <w:sz w:val="28"/>
          <w:szCs w:val="22"/>
          <w:lang w:val="en-US" w:eastAsia="zh-CN" w:bidi="ar-SA"/>
        </w:rPr>
        <w:t>（6）供应商必须提供所投品牌性能等方面</w:t>
      </w:r>
      <w:r>
        <w:rPr>
          <w:rFonts w:hint="eastAsia" w:ascii="楷体_GB2312" w:hAnsi="楷体_GB2312" w:cs="Arial"/>
          <w:b/>
          <w:kern w:val="2"/>
          <w:sz w:val="28"/>
          <w:szCs w:val="22"/>
          <w:lang w:val="en-US" w:eastAsia="zh-CN" w:bidi="ar-SA"/>
        </w:rPr>
        <w:t>提供</w:t>
      </w:r>
      <w:r>
        <w:rPr>
          <w:rFonts w:hint="eastAsia" w:ascii="楷体_GB2312" w:hAnsi="楷体_GB2312" w:eastAsia="宋体" w:cs="Arial"/>
          <w:b/>
          <w:kern w:val="2"/>
          <w:sz w:val="28"/>
          <w:szCs w:val="22"/>
          <w:lang w:val="en-US" w:eastAsia="zh-CN" w:bidi="ar-SA"/>
        </w:rPr>
        <w:t>证明材料，供评标委员会评审，否则投标无效。</w:t>
      </w:r>
    </w:p>
    <w:p>
      <w:pPr>
        <w:widowControl/>
        <w:ind w:firstLine="481"/>
        <w:jc w:val="left"/>
        <w:textAlignment w:val="center"/>
        <w:rPr>
          <w:rFonts w:hint="eastAsia" w:ascii="楷体_GB2312" w:hAnsi="楷体_GB2312" w:eastAsia="宋体" w:cs="Arial"/>
          <w:b/>
          <w:kern w:val="2"/>
          <w:sz w:val="28"/>
          <w:szCs w:val="22"/>
          <w:lang w:val="en-US" w:eastAsia="zh-CN" w:bidi="ar-SA"/>
        </w:rPr>
      </w:pPr>
      <w:r>
        <w:rPr>
          <w:rFonts w:hint="eastAsia" w:ascii="楷体_GB2312" w:hAnsi="楷体_GB2312" w:eastAsia="宋体" w:cs="Arial"/>
          <w:b/>
          <w:kern w:val="2"/>
          <w:sz w:val="28"/>
          <w:szCs w:val="22"/>
          <w:lang w:val="en-US" w:eastAsia="zh-CN" w:bidi="ar-SA"/>
        </w:rPr>
        <w:t>（7）污水处理系统必须安装调试到位，并按照招标人要求将排放管送到指定位置。</w:t>
      </w:r>
    </w:p>
    <w:p>
      <w:pPr>
        <w:widowControl/>
        <w:ind w:firstLine="481"/>
        <w:jc w:val="left"/>
        <w:textAlignment w:val="center"/>
        <w:rPr>
          <w:rFonts w:hint="eastAsia" w:ascii="楷体_GB2312" w:hAnsi="楷体_GB2312" w:eastAsia="宋体" w:cs="Arial"/>
          <w:b/>
          <w:kern w:val="2"/>
          <w:sz w:val="28"/>
          <w:szCs w:val="22"/>
          <w:lang w:val="en-US" w:eastAsia="zh-CN" w:bidi="ar-SA"/>
        </w:rPr>
      </w:pPr>
      <w:r>
        <w:rPr>
          <w:rFonts w:hint="eastAsia" w:ascii="楷体_GB2312" w:hAnsi="楷体_GB2312" w:eastAsia="宋体" w:cs="Arial"/>
          <w:b/>
          <w:kern w:val="2"/>
          <w:sz w:val="28"/>
          <w:szCs w:val="22"/>
          <w:lang w:val="en-US" w:eastAsia="zh-CN" w:bidi="ar-SA"/>
        </w:rPr>
        <w:t>（8）供应商应对工程现场进行踏勘，相关费用由投标人自行承担。标人在投标时应充分考虑现场实际情况，根据施工现场环境等编制施工组织方案。招标人不负担因供应商对项目现场情况考虑不周而产生的其他任何费用。</w:t>
      </w:r>
    </w:p>
    <w:p>
      <w:pPr>
        <w:pStyle w:val="5"/>
        <w:ind w:firstLine="0"/>
        <w:rPr>
          <w:rFonts w:ascii="黑体" w:eastAsia="黑体" w:cs="黑体"/>
          <w:sz w:val="24"/>
        </w:rPr>
      </w:pPr>
    </w:p>
    <w:p>
      <w:pPr>
        <w:pStyle w:val="5"/>
        <w:ind w:firstLine="0"/>
        <w:rPr>
          <w:rFonts w:ascii="黑体" w:eastAsia="黑体" w:cs="黑体"/>
          <w:sz w:val="24"/>
        </w:rPr>
      </w:pPr>
    </w:p>
    <w:p>
      <w:pPr>
        <w:pStyle w:val="5"/>
        <w:ind w:firstLine="0"/>
        <w:rPr>
          <w:rFonts w:ascii="黑体" w:eastAsia="黑体" w:cs="黑体"/>
          <w:sz w:val="24"/>
        </w:rPr>
      </w:pPr>
    </w:p>
    <w:p>
      <w:pPr>
        <w:pStyle w:val="5"/>
        <w:ind w:firstLine="0"/>
        <w:rPr>
          <w:rFonts w:ascii="黑体" w:eastAsia="黑体" w:cs="黑体"/>
          <w:sz w:val="24"/>
        </w:rPr>
      </w:pPr>
    </w:p>
    <w:p>
      <w:pPr>
        <w:pStyle w:val="5"/>
        <w:ind w:firstLine="0"/>
        <w:rPr>
          <w:rFonts w:ascii="黑体" w:eastAsia="黑体" w:cs="黑体"/>
          <w:sz w:val="24"/>
        </w:rPr>
      </w:pPr>
    </w:p>
    <w:p>
      <w:pPr>
        <w:pStyle w:val="5"/>
        <w:ind w:firstLine="0"/>
        <w:rPr>
          <w:rFonts w:ascii="黑体" w:eastAsia="黑体" w:cs="黑体"/>
          <w:sz w:val="24"/>
        </w:rPr>
      </w:pPr>
    </w:p>
    <w:p>
      <w:pPr>
        <w:pStyle w:val="5"/>
        <w:ind w:firstLine="0"/>
        <w:rPr>
          <w:rFonts w:ascii="黑体" w:eastAsia="黑体" w:cs="黑体"/>
          <w:sz w:val="24"/>
        </w:rPr>
      </w:pPr>
    </w:p>
    <w:p>
      <w:pPr>
        <w:pStyle w:val="5"/>
        <w:ind w:firstLine="0"/>
        <w:rPr>
          <w:rFonts w:ascii="黑体" w:eastAsia="黑体" w:cs="黑体"/>
          <w:sz w:val="24"/>
        </w:rPr>
      </w:pPr>
    </w:p>
    <w:p>
      <w:pPr>
        <w:pStyle w:val="5"/>
        <w:ind w:firstLine="0"/>
        <w:rPr>
          <w:rFonts w:ascii="黑体" w:eastAsia="黑体" w:cs="黑体"/>
          <w:sz w:val="24"/>
        </w:rPr>
      </w:pPr>
    </w:p>
    <w:p>
      <w:pPr>
        <w:pStyle w:val="5"/>
        <w:ind w:firstLine="0"/>
        <w:rPr>
          <w:rFonts w:ascii="黑体" w:eastAsia="黑体" w:cs="黑体"/>
          <w:sz w:val="24"/>
        </w:rPr>
      </w:pPr>
    </w:p>
    <w:p>
      <w:pPr>
        <w:pStyle w:val="5"/>
        <w:ind w:firstLine="0"/>
        <w:rPr>
          <w:rFonts w:ascii="黑体" w:eastAsia="黑体" w:cs="黑体"/>
          <w:sz w:val="24"/>
        </w:rPr>
      </w:pPr>
    </w:p>
    <w:p>
      <w:pPr>
        <w:tabs>
          <w:tab w:val="center" w:pos="4832"/>
          <w:tab w:val="left" w:pos="7140"/>
        </w:tabs>
        <w:spacing w:line="360" w:lineRule="auto"/>
        <w:ind w:firstLine="482" w:firstLineChars="200"/>
        <w:jc w:val="center"/>
        <w:outlineLvl w:val="1"/>
        <w:rPr>
          <w:rFonts w:ascii="宋体" w:cs="宋体"/>
          <w:b/>
          <w:sz w:val="24"/>
        </w:rPr>
      </w:pPr>
      <w:bookmarkStart w:id="27" w:name="_Toc240"/>
      <w:bookmarkStart w:id="28" w:name="_Toc31796"/>
      <w:r>
        <w:rPr>
          <w:rFonts w:hint="eastAsia" w:ascii="宋体" w:cs="宋体"/>
          <w:b/>
          <w:sz w:val="24"/>
        </w:rPr>
        <w:t>第一节 投标文件封面示例</w:t>
      </w:r>
      <w:bookmarkEnd w:id="27"/>
      <w:bookmarkEnd w:id="28"/>
    </w:p>
    <w:p>
      <w:pPr>
        <w:spacing w:line="480" w:lineRule="auto"/>
        <w:ind w:firstLine="482" w:firstLineChars="200"/>
        <w:jc w:val="center"/>
        <w:rPr>
          <w:rFonts w:ascii="宋体" w:cs="宋体"/>
          <w:b/>
          <w:sz w:val="24"/>
          <w:bdr w:val="single" w:color="auto" w:sz="4" w:space="0"/>
        </w:rPr>
      </w:pPr>
    </w:p>
    <w:p>
      <w:pPr>
        <w:spacing w:line="480" w:lineRule="auto"/>
        <w:ind w:firstLine="482" w:firstLineChars="200"/>
        <w:jc w:val="center"/>
        <w:rPr>
          <w:rFonts w:ascii="宋体" w:cs="宋体"/>
          <w:b/>
          <w:sz w:val="24"/>
          <w:bdr w:val="single" w:color="auto" w:sz="4" w:space="0"/>
        </w:rPr>
      </w:pPr>
    </w:p>
    <w:p>
      <w:pPr>
        <w:spacing w:line="480" w:lineRule="auto"/>
        <w:ind w:firstLine="482" w:firstLineChars="200"/>
        <w:jc w:val="center"/>
        <w:rPr>
          <w:rFonts w:ascii="宋体" w:cs="宋体"/>
          <w:b/>
          <w:bCs/>
          <w:sz w:val="24"/>
          <w:u w:val="single"/>
        </w:rPr>
      </w:pPr>
      <w:r>
        <w:rPr>
          <w:rFonts w:hint="eastAsia" w:ascii="宋体" w:cs="宋体"/>
          <w:b/>
          <w:bCs/>
          <w:sz w:val="24"/>
          <w:u w:val="single"/>
        </w:rPr>
        <w:t>（项目名称）</w:t>
      </w:r>
    </w:p>
    <w:p>
      <w:pPr>
        <w:spacing w:line="480" w:lineRule="auto"/>
        <w:ind w:firstLine="482" w:firstLineChars="200"/>
        <w:jc w:val="center"/>
        <w:rPr>
          <w:rFonts w:ascii="宋体" w:cs="宋体"/>
          <w:b/>
          <w:bCs/>
          <w:sz w:val="24"/>
          <w:u w:val="single"/>
        </w:rPr>
      </w:pPr>
      <w:r>
        <w:rPr>
          <w:rFonts w:hint="eastAsia" w:ascii="宋体" w:cs="宋体"/>
          <w:b/>
          <w:bCs/>
          <w:sz w:val="24"/>
          <w:u w:val="single"/>
        </w:rPr>
        <w:t>（项目编号）</w:t>
      </w:r>
    </w:p>
    <w:p>
      <w:pPr>
        <w:spacing w:line="300" w:lineRule="exact"/>
        <w:ind w:firstLine="482" w:firstLineChars="200"/>
        <w:jc w:val="center"/>
        <w:rPr>
          <w:rFonts w:hint="eastAsia" w:ascii="宋体" w:cs="宋体"/>
          <w:b/>
          <w:bCs/>
          <w:sz w:val="24"/>
        </w:rPr>
      </w:pPr>
      <w:r>
        <w:rPr>
          <w:rFonts w:hint="eastAsia" w:ascii="宋体" w:cs="宋体"/>
          <w:b/>
          <w:bCs/>
          <w:sz w:val="24"/>
        </w:rPr>
        <w:t>投标文件</w:t>
      </w:r>
    </w:p>
    <w:p>
      <w:pPr>
        <w:pStyle w:val="24"/>
        <w:rPr>
          <w:rFonts w:hint="eastAsia" w:ascii="宋体" w:cs="宋体"/>
          <w:b/>
          <w:bCs/>
          <w:sz w:val="24"/>
        </w:rPr>
      </w:pPr>
    </w:p>
    <w:p>
      <w:pPr>
        <w:rPr>
          <w:rFonts w:hint="eastAsia" w:ascii="宋体" w:cs="宋体"/>
          <w:b/>
          <w:bCs/>
          <w:sz w:val="24"/>
        </w:rPr>
      </w:pPr>
    </w:p>
    <w:p>
      <w:pPr>
        <w:pStyle w:val="24"/>
        <w:rPr>
          <w:rFonts w:hint="eastAsia" w:ascii="宋体" w:cs="宋体"/>
          <w:b/>
          <w:bCs/>
          <w:sz w:val="24"/>
        </w:rPr>
      </w:pPr>
    </w:p>
    <w:p>
      <w:pPr>
        <w:rPr>
          <w:rFonts w:hint="eastAsia" w:ascii="宋体" w:cs="宋体"/>
          <w:b/>
          <w:bCs/>
          <w:sz w:val="24"/>
        </w:rPr>
      </w:pPr>
    </w:p>
    <w:p>
      <w:pPr>
        <w:pStyle w:val="24"/>
        <w:rPr>
          <w:rFonts w:hint="eastAsia" w:ascii="宋体" w:cs="宋体"/>
          <w:b/>
          <w:bCs/>
          <w:sz w:val="24"/>
        </w:rPr>
      </w:pPr>
    </w:p>
    <w:p>
      <w:pPr>
        <w:rPr>
          <w:rFonts w:hint="eastAsia" w:ascii="宋体" w:cs="宋体"/>
          <w:b/>
          <w:bCs/>
          <w:sz w:val="24"/>
        </w:rPr>
      </w:pPr>
    </w:p>
    <w:p>
      <w:pPr>
        <w:pStyle w:val="24"/>
        <w:rPr>
          <w:rFonts w:hint="eastAsia" w:ascii="宋体" w:cs="宋体"/>
          <w:b/>
          <w:bCs/>
          <w:sz w:val="24"/>
        </w:rPr>
      </w:pPr>
    </w:p>
    <w:p/>
    <w:p>
      <w:pPr>
        <w:spacing w:line="360" w:lineRule="auto"/>
        <w:ind w:firstLine="480" w:firstLineChars="200"/>
        <w:rPr>
          <w:rFonts w:ascii="宋体" w:cs="宋体"/>
          <w:sz w:val="24"/>
        </w:rPr>
      </w:pPr>
      <w:r>
        <w:rPr>
          <w:rFonts w:hint="eastAsia" w:ascii="宋体" w:cs="宋体"/>
          <w:sz w:val="24"/>
        </w:rPr>
        <w:t>投标人：（盖章）</w:t>
      </w:r>
    </w:p>
    <w:p>
      <w:pPr>
        <w:spacing w:line="360" w:lineRule="auto"/>
        <w:ind w:firstLine="480" w:firstLineChars="200"/>
        <w:rPr>
          <w:rFonts w:ascii="宋体"/>
          <w:kern w:val="0"/>
          <w:sz w:val="24"/>
        </w:rPr>
      </w:pPr>
      <w:r>
        <w:rPr>
          <w:rFonts w:hint="eastAsia" w:ascii="宋体"/>
          <w:kern w:val="0"/>
          <w:sz w:val="24"/>
        </w:rPr>
        <w:t>法定代表人或委托代理人（签字）：</w:t>
      </w:r>
    </w:p>
    <w:p>
      <w:pPr>
        <w:spacing w:line="360" w:lineRule="auto"/>
        <w:ind w:firstLine="480" w:firstLineChars="200"/>
        <w:rPr>
          <w:rFonts w:ascii="宋体" w:cs="宋体"/>
          <w:sz w:val="24"/>
        </w:rPr>
      </w:pPr>
      <w:r>
        <w:rPr>
          <w:rFonts w:hint="eastAsia" w:ascii="宋体" w:cs="宋体"/>
          <w:sz w:val="24"/>
        </w:rPr>
        <w:t>单位地址：</w:t>
      </w:r>
    </w:p>
    <w:p>
      <w:pPr>
        <w:spacing w:line="360" w:lineRule="auto"/>
        <w:ind w:firstLine="480" w:firstLineChars="200"/>
        <w:rPr>
          <w:rFonts w:ascii="宋体" w:cs="宋体"/>
          <w:sz w:val="24"/>
        </w:rPr>
      </w:pPr>
      <w:r>
        <w:rPr>
          <w:rFonts w:hint="eastAsia" w:ascii="宋体" w:cs="宋体"/>
          <w:sz w:val="24"/>
        </w:rPr>
        <w:t>邮政编码：</w:t>
      </w:r>
    </w:p>
    <w:p>
      <w:pPr>
        <w:spacing w:line="360" w:lineRule="auto"/>
        <w:ind w:firstLine="480" w:firstLineChars="200"/>
        <w:rPr>
          <w:rFonts w:ascii="宋体" w:cs="宋体"/>
          <w:sz w:val="24"/>
        </w:rPr>
      </w:pPr>
      <w:r>
        <w:rPr>
          <w:rFonts w:hint="eastAsia" w:ascii="宋体" w:cs="宋体"/>
          <w:sz w:val="24"/>
        </w:rPr>
        <w:t>联系人：</w:t>
      </w:r>
    </w:p>
    <w:p>
      <w:pPr>
        <w:spacing w:line="360" w:lineRule="auto"/>
        <w:ind w:firstLine="480" w:firstLineChars="200"/>
        <w:rPr>
          <w:rFonts w:hint="eastAsia" w:ascii="宋体" w:cs="宋体"/>
          <w:sz w:val="24"/>
        </w:rPr>
      </w:pPr>
      <w:r>
        <w:rPr>
          <w:rFonts w:hint="eastAsia" w:ascii="宋体" w:cs="宋体"/>
          <w:sz w:val="24"/>
        </w:rPr>
        <w:t>联系电话：</w:t>
      </w:r>
    </w:p>
    <w:p>
      <w:pPr>
        <w:pStyle w:val="24"/>
        <w:rPr>
          <w:rFonts w:hint="eastAsia" w:ascii="宋体" w:cs="宋体"/>
          <w:sz w:val="24"/>
        </w:rPr>
      </w:pPr>
    </w:p>
    <w:p/>
    <w:p>
      <w:pPr>
        <w:spacing w:line="720" w:lineRule="auto"/>
        <w:ind w:firstLine="480" w:firstLineChars="200"/>
        <w:jc w:val="center"/>
        <w:rPr>
          <w:rFonts w:ascii="宋体" w:cs="宋体"/>
          <w:sz w:val="24"/>
        </w:rPr>
      </w:pPr>
      <w:r>
        <w:rPr>
          <w:rFonts w:hint="eastAsia" w:ascii="宋体" w:cs="宋体"/>
          <w:sz w:val="24"/>
          <w:lang w:val="en-US" w:eastAsia="zh-CN"/>
        </w:rPr>
        <w:t xml:space="preserve">                                         </w:t>
      </w:r>
      <w:r>
        <w:rPr>
          <w:rFonts w:hint="eastAsia" w:ascii="宋体" w:cs="宋体"/>
          <w:sz w:val="24"/>
        </w:rPr>
        <w:t>年</w:t>
      </w:r>
      <w:r>
        <w:rPr>
          <w:rFonts w:hint="eastAsia" w:ascii="宋体" w:cs="宋体"/>
          <w:sz w:val="24"/>
          <w:lang w:val="en-US" w:eastAsia="zh-CN"/>
        </w:rPr>
        <w:t xml:space="preserve">     </w:t>
      </w:r>
      <w:r>
        <w:rPr>
          <w:rFonts w:hint="eastAsia" w:ascii="宋体" w:cs="宋体"/>
          <w:sz w:val="24"/>
        </w:rPr>
        <w:t>月</w:t>
      </w:r>
      <w:r>
        <w:rPr>
          <w:rFonts w:hint="eastAsia" w:ascii="宋体" w:cs="宋体"/>
          <w:sz w:val="24"/>
          <w:lang w:val="en-US" w:eastAsia="zh-CN"/>
        </w:rPr>
        <w:t xml:space="preserve">      </w:t>
      </w:r>
      <w:r>
        <w:rPr>
          <w:rFonts w:hint="eastAsia" w:ascii="宋体" w:cs="宋体"/>
          <w:sz w:val="24"/>
        </w:rPr>
        <w:t>日</w:t>
      </w:r>
    </w:p>
    <w:p>
      <w:pPr>
        <w:ind w:firstLine="482" w:firstLineChars="200"/>
        <w:rPr>
          <w:rFonts w:ascii="宋体" w:cs="宋体"/>
          <w:b/>
          <w:sz w:val="24"/>
        </w:rPr>
      </w:pPr>
      <w:bookmarkStart w:id="29" w:name="_Toc5412"/>
      <w:r>
        <w:rPr>
          <w:rFonts w:hint="eastAsia" w:ascii="宋体" w:cs="宋体"/>
          <w:b/>
          <w:sz w:val="24"/>
        </w:rPr>
        <w:br w:type="page"/>
      </w:r>
    </w:p>
    <w:p>
      <w:pPr>
        <w:tabs>
          <w:tab w:val="center" w:pos="4832"/>
          <w:tab w:val="left" w:pos="7140"/>
        </w:tabs>
        <w:spacing w:line="360" w:lineRule="auto"/>
        <w:ind w:firstLine="482" w:firstLineChars="200"/>
        <w:jc w:val="center"/>
        <w:outlineLvl w:val="1"/>
        <w:rPr>
          <w:rFonts w:ascii="宋体" w:cs="宋体"/>
          <w:b/>
          <w:sz w:val="24"/>
        </w:rPr>
      </w:pPr>
      <w:bookmarkStart w:id="30" w:name="_Toc6848"/>
      <w:r>
        <w:rPr>
          <w:rFonts w:hint="eastAsia" w:ascii="宋体" w:cs="宋体"/>
          <w:b/>
          <w:sz w:val="24"/>
        </w:rPr>
        <w:t>第二节 投标文件目录示例</w:t>
      </w:r>
      <w:bookmarkEnd w:id="29"/>
      <w:bookmarkEnd w:id="30"/>
    </w:p>
    <w:p>
      <w:pPr>
        <w:spacing w:line="360" w:lineRule="auto"/>
        <w:ind w:firstLine="480" w:firstLineChars="200"/>
        <w:rPr>
          <w:rFonts w:ascii="宋体"/>
          <w:kern w:val="0"/>
          <w:sz w:val="24"/>
        </w:rPr>
      </w:pPr>
      <w:r>
        <w:rPr>
          <w:rFonts w:ascii="宋体"/>
          <w:kern w:val="0"/>
          <w:sz w:val="24"/>
        </w:rPr>
        <w:t>1</w:t>
      </w:r>
      <w:r>
        <w:rPr>
          <w:rFonts w:hint="eastAsia" w:ascii="宋体"/>
          <w:kern w:val="0"/>
          <w:sz w:val="24"/>
        </w:rPr>
        <w:t>、投标函</w:t>
      </w:r>
    </w:p>
    <w:p>
      <w:pPr>
        <w:spacing w:line="360" w:lineRule="auto"/>
        <w:ind w:firstLine="480" w:firstLineChars="200"/>
        <w:rPr>
          <w:rFonts w:hint="eastAsia" w:ascii="宋体"/>
          <w:kern w:val="0"/>
          <w:sz w:val="24"/>
        </w:rPr>
      </w:pPr>
      <w:r>
        <w:rPr>
          <w:rFonts w:ascii="宋体"/>
          <w:kern w:val="0"/>
          <w:sz w:val="24"/>
        </w:rPr>
        <w:t>2</w:t>
      </w:r>
      <w:r>
        <w:rPr>
          <w:rFonts w:hint="eastAsia" w:ascii="宋体"/>
          <w:kern w:val="0"/>
          <w:sz w:val="24"/>
        </w:rPr>
        <w:t>、开标一览表</w:t>
      </w:r>
    </w:p>
    <w:p>
      <w:pPr>
        <w:spacing w:line="360" w:lineRule="auto"/>
        <w:ind w:firstLine="480" w:firstLineChars="200"/>
        <w:rPr>
          <w:rFonts w:ascii="宋体"/>
          <w:kern w:val="0"/>
          <w:sz w:val="24"/>
        </w:rPr>
      </w:pPr>
      <w:r>
        <w:rPr>
          <w:rFonts w:hint="eastAsia" w:ascii="宋体"/>
          <w:kern w:val="0"/>
          <w:sz w:val="24"/>
          <w:lang w:val="en-US" w:eastAsia="zh-CN"/>
        </w:rPr>
        <w:t>3、</w:t>
      </w:r>
      <w:r>
        <w:rPr>
          <w:rFonts w:hint="eastAsia" w:ascii="宋体"/>
          <w:kern w:val="0"/>
          <w:sz w:val="24"/>
        </w:rPr>
        <w:t>报价</w:t>
      </w:r>
      <w:r>
        <w:rPr>
          <w:rFonts w:hint="eastAsia" w:ascii="宋体"/>
          <w:kern w:val="0"/>
          <w:sz w:val="24"/>
          <w:lang w:val="en-US" w:eastAsia="zh-CN"/>
        </w:rPr>
        <w:t>明细</w:t>
      </w:r>
      <w:r>
        <w:rPr>
          <w:rFonts w:hint="eastAsia" w:ascii="宋体"/>
          <w:kern w:val="0"/>
          <w:sz w:val="24"/>
        </w:rPr>
        <w:t>表</w:t>
      </w:r>
    </w:p>
    <w:p>
      <w:pPr>
        <w:spacing w:line="360" w:lineRule="auto"/>
        <w:ind w:firstLine="480" w:firstLineChars="200"/>
        <w:rPr>
          <w:rFonts w:ascii="宋体"/>
          <w:kern w:val="0"/>
          <w:sz w:val="24"/>
        </w:rPr>
      </w:pPr>
      <w:r>
        <w:rPr>
          <w:rFonts w:hint="eastAsia" w:ascii="宋体"/>
          <w:kern w:val="0"/>
          <w:sz w:val="24"/>
          <w:lang w:val="en-US" w:eastAsia="zh-CN"/>
        </w:rPr>
        <w:t>4</w:t>
      </w:r>
      <w:r>
        <w:rPr>
          <w:rFonts w:hint="eastAsia" w:ascii="宋体"/>
          <w:kern w:val="0"/>
          <w:sz w:val="24"/>
        </w:rPr>
        <w:t>、法定代表人身份证明书</w:t>
      </w:r>
    </w:p>
    <w:p>
      <w:pPr>
        <w:spacing w:line="360" w:lineRule="auto"/>
        <w:ind w:firstLine="480" w:firstLineChars="200"/>
        <w:rPr>
          <w:rFonts w:ascii="宋体"/>
          <w:kern w:val="0"/>
          <w:sz w:val="24"/>
        </w:rPr>
      </w:pPr>
      <w:r>
        <w:rPr>
          <w:rFonts w:hint="eastAsia" w:ascii="宋体"/>
          <w:kern w:val="0"/>
          <w:sz w:val="24"/>
          <w:lang w:val="en-US" w:eastAsia="zh-CN"/>
        </w:rPr>
        <w:t>5</w:t>
      </w:r>
      <w:r>
        <w:rPr>
          <w:rFonts w:hint="eastAsia" w:ascii="宋体"/>
          <w:kern w:val="0"/>
          <w:sz w:val="24"/>
        </w:rPr>
        <w:t>、授权委托书</w:t>
      </w:r>
    </w:p>
    <w:p>
      <w:pPr>
        <w:spacing w:line="360" w:lineRule="auto"/>
        <w:ind w:firstLine="480" w:firstLineChars="200"/>
        <w:rPr>
          <w:rFonts w:hint="eastAsia" w:ascii="宋体"/>
          <w:kern w:val="0"/>
          <w:sz w:val="24"/>
        </w:rPr>
      </w:pPr>
      <w:r>
        <w:rPr>
          <w:rFonts w:hint="eastAsia" w:ascii="宋体"/>
          <w:kern w:val="0"/>
          <w:sz w:val="24"/>
          <w:lang w:val="en-US" w:eastAsia="zh-CN"/>
        </w:rPr>
        <w:t>6</w:t>
      </w:r>
      <w:r>
        <w:rPr>
          <w:rFonts w:hint="eastAsia" w:ascii="宋体"/>
          <w:kern w:val="0"/>
          <w:sz w:val="24"/>
        </w:rPr>
        <w:t>、投标人概况</w:t>
      </w:r>
    </w:p>
    <w:p>
      <w:pPr>
        <w:pStyle w:val="24"/>
        <w:ind w:left="0" w:leftChars="0" w:firstLine="480" w:firstLineChars="200"/>
        <w:rPr>
          <w:rFonts w:hint="eastAsia" w:ascii="宋体" w:hAnsi="Calibri" w:eastAsia="宋体" w:cs="Arial"/>
          <w:kern w:val="0"/>
          <w:sz w:val="24"/>
          <w:szCs w:val="24"/>
          <w:lang w:val="en-US" w:eastAsia="zh-CN" w:bidi="ar-SA"/>
        </w:rPr>
      </w:pPr>
      <w:r>
        <w:rPr>
          <w:rFonts w:hint="eastAsia" w:hAnsi="Calibri" w:cs="Arial"/>
          <w:kern w:val="0"/>
          <w:sz w:val="24"/>
          <w:szCs w:val="24"/>
          <w:lang w:val="en-US" w:eastAsia="zh-CN" w:bidi="ar-SA"/>
        </w:rPr>
        <w:t>7</w:t>
      </w:r>
      <w:r>
        <w:rPr>
          <w:rFonts w:hint="eastAsia" w:ascii="宋体" w:hAnsi="Calibri" w:eastAsia="宋体" w:cs="Arial"/>
          <w:kern w:val="0"/>
          <w:sz w:val="24"/>
          <w:szCs w:val="24"/>
          <w:lang w:val="en-US" w:eastAsia="zh-CN" w:bidi="ar-SA"/>
        </w:rPr>
        <w:t>、项目管理人员</w:t>
      </w:r>
    </w:p>
    <w:p>
      <w:pPr>
        <w:spacing w:line="360" w:lineRule="auto"/>
        <w:ind w:firstLine="480" w:firstLineChars="200"/>
        <w:rPr>
          <w:rFonts w:ascii="宋体"/>
          <w:kern w:val="0"/>
          <w:sz w:val="24"/>
        </w:rPr>
      </w:pPr>
      <w:r>
        <w:rPr>
          <w:rFonts w:hint="eastAsia" w:ascii="宋体"/>
          <w:kern w:val="0"/>
          <w:sz w:val="24"/>
          <w:lang w:val="en-US" w:eastAsia="zh-CN"/>
        </w:rPr>
        <w:t>8</w:t>
      </w:r>
      <w:r>
        <w:rPr>
          <w:rFonts w:hint="eastAsia" w:ascii="宋体"/>
          <w:kern w:val="0"/>
          <w:sz w:val="24"/>
        </w:rPr>
        <w:t>、技术条款偏离表</w:t>
      </w:r>
    </w:p>
    <w:p>
      <w:pPr>
        <w:spacing w:line="360" w:lineRule="auto"/>
        <w:ind w:firstLine="480" w:firstLineChars="200"/>
        <w:rPr>
          <w:rFonts w:hint="eastAsia" w:ascii="宋体"/>
          <w:kern w:val="0"/>
          <w:sz w:val="24"/>
        </w:rPr>
      </w:pPr>
      <w:r>
        <w:rPr>
          <w:rFonts w:hint="eastAsia" w:ascii="宋体"/>
          <w:kern w:val="0"/>
          <w:sz w:val="24"/>
          <w:lang w:val="en-US" w:eastAsia="zh-CN"/>
        </w:rPr>
        <w:t>9</w:t>
      </w:r>
      <w:r>
        <w:rPr>
          <w:rFonts w:hint="eastAsia" w:ascii="宋体"/>
          <w:kern w:val="0"/>
          <w:sz w:val="24"/>
        </w:rPr>
        <w:t>、商务条款偏离表</w:t>
      </w:r>
    </w:p>
    <w:p>
      <w:pPr>
        <w:pStyle w:val="24"/>
        <w:keepNext w:val="0"/>
        <w:keepLines w:val="0"/>
        <w:pageBreakBefore w:val="0"/>
        <w:widowControl w:val="0"/>
        <w:kinsoku/>
        <w:wordWrap/>
        <w:overflowPunct/>
        <w:topLinePunct w:val="0"/>
        <w:autoSpaceDE/>
        <w:autoSpaceDN/>
        <w:bidi w:val="0"/>
        <w:adjustRightInd/>
        <w:snapToGrid/>
        <w:spacing w:line="360" w:lineRule="auto"/>
        <w:ind w:left="1199" w:leftChars="228" w:hanging="720" w:hangingChars="300"/>
        <w:textAlignment w:val="auto"/>
        <w:rPr>
          <w:rFonts w:hint="eastAsia" w:ascii="宋体" w:hAnsi="Calibri" w:eastAsia="宋体" w:cs="Arial"/>
          <w:kern w:val="0"/>
          <w:sz w:val="24"/>
          <w:szCs w:val="24"/>
          <w:lang w:val="en-US" w:eastAsia="zh-CN" w:bidi="ar-SA"/>
        </w:rPr>
      </w:pPr>
      <w:r>
        <w:rPr>
          <w:rFonts w:hint="eastAsia" w:ascii="宋体" w:hAnsi="Calibri" w:eastAsia="宋体" w:cs="Arial"/>
          <w:kern w:val="0"/>
          <w:sz w:val="24"/>
          <w:szCs w:val="24"/>
          <w:lang w:val="en-US" w:eastAsia="zh-CN" w:bidi="ar-SA"/>
        </w:rPr>
        <w:t>（一）具有良好的商业信誉和健全的财务会计制度（银行出具的近1年内资信证明或上年度经审计的财务报告，新成立企业无需提供）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Arial"/>
          <w:kern w:val="0"/>
          <w:sz w:val="24"/>
          <w:szCs w:val="24"/>
          <w:lang w:val="en-US" w:eastAsia="zh-CN" w:bidi="ar-SA"/>
        </w:rPr>
      </w:pPr>
      <w:r>
        <w:rPr>
          <w:rFonts w:hint="eastAsia" w:ascii="宋体" w:hAnsi="Calibri" w:eastAsia="宋体" w:cs="Arial"/>
          <w:kern w:val="0"/>
          <w:sz w:val="24"/>
          <w:szCs w:val="24"/>
          <w:lang w:val="en-US" w:eastAsia="zh-CN" w:bidi="ar-SA"/>
        </w:rPr>
        <w:t>（二）具有履行合同所必需的专业技术能力与人员队伍</w:t>
      </w:r>
    </w:p>
    <w:p>
      <w:pPr>
        <w:pStyle w:val="24"/>
        <w:keepNext w:val="0"/>
        <w:keepLines w:val="0"/>
        <w:pageBreakBefore w:val="0"/>
        <w:widowControl w:val="0"/>
        <w:kinsoku/>
        <w:wordWrap/>
        <w:overflowPunct/>
        <w:topLinePunct w:val="0"/>
        <w:autoSpaceDE/>
        <w:autoSpaceDN/>
        <w:bidi w:val="0"/>
        <w:adjustRightInd/>
        <w:snapToGrid/>
        <w:spacing w:line="360" w:lineRule="auto"/>
        <w:ind w:left="1199" w:leftChars="228" w:hanging="720" w:hangingChars="300"/>
        <w:textAlignment w:val="auto"/>
        <w:rPr>
          <w:rFonts w:hint="eastAsia" w:ascii="宋体" w:hAnsi="Calibri" w:eastAsia="宋体" w:cs="Arial"/>
          <w:kern w:val="0"/>
          <w:sz w:val="24"/>
          <w:szCs w:val="24"/>
          <w:lang w:val="en-US" w:eastAsia="zh-CN" w:bidi="ar-SA"/>
        </w:rPr>
      </w:pPr>
      <w:r>
        <w:rPr>
          <w:rFonts w:hint="eastAsia" w:ascii="宋体" w:hAnsi="Calibri" w:eastAsia="宋体" w:cs="Arial"/>
          <w:kern w:val="0"/>
          <w:sz w:val="24"/>
          <w:szCs w:val="24"/>
          <w:lang w:val="en-US" w:eastAsia="zh-CN" w:bidi="ar-SA"/>
        </w:rPr>
        <w:t>（三）有依法缴纳税收和社会保障资金的良好记录(提供近半年任意连续二个月依法缴纳税收和社会保障资金的相关材料,如依法免税或不需要缴纳社会保障资金的,应提供相应证明文件)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Arial"/>
          <w:kern w:val="0"/>
          <w:sz w:val="24"/>
          <w:szCs w:val="24"/>
          <w:lang w:val="en-US" w:eastAsia="zh-CN" w:bidi="ar-SA"/>
        </w:rPr>
      </w:pPr>
      <w:r>
        <w:rPr>
          <w:rFonts w:hint="eastAsia" w:ascii="宋体" w:hAnsi="Calibri" w:eastAsia="宋体" w:cs="Arial"/>
          <w:kern w:val="0"/>
          <w:sz w:val="24"/>
          <w:szCs w:val="24"/>
          <w:lang w:val="en-US" w:eastAsia="zh-CN" w:bidi="ar-SA"/>
        </w:rPr>
        <w:t>（四）反商业贿赂承诺书</w:t>
      </w:r>
    </w:p>
    <w:p>
      <w:pPr>
        <w:pStyle w:val="2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Calibri" w:eastAsia="宋体" w:cs="Arial"/>
          <w:kern w:val="0"/>
          <w:sz w:val="24"/>
          <w:szCs w:val="24"/>
          <w:lang w:val="en-US" w:eastAsia="zh-CN" w:bidi="ar-SA"/>
        </w:rPr>
      </w:pPr>
      <w:r>
        <w:rPr>
          <w:rFonts w:hint="eastAsia" w:ascii="宋体" w:hAnsi="Calibri" w:eastAsia="宋体" w:cs="Arial"/>
          <w:kern w:val="0"/>
          <w:sz w:val="24"/>
          <w:szCs w:val="24"/>
          <w:lang w:val="en-US" w:eastAsia="zh-CN" w:bidi="ar-SA"/>
        </w:rPr>
        <w:t>（五）参加政府采购活动前3年内在经营活动中没有重大违法记录的承诺书</w:t>
      </w:r>
    </w:p>
    <w:p>
      <w:pPr>
        <w:spacing w:line="360" w:lineRule="auto"/>
        <w:ind w:firstLine="480" w:firstLineChars="200"/>
        <w:rPr>
          <w:rFonts w:hint="eastAsia" w:ascii="宋体" w:hAnsi="Calibri" w:eastAsia="宋体" w:cs="Arial"/>
          <w:kern w:val="0"/>
          <w:sz w:val="24"/>
          <w:szCs w:val="24"/>
          <w:lang w:val="en-US" w:eastAsia="zh-CN" w:bidi="ar-SA"/>
        </w:rPr>
      </w:pPr>
      <w:r>
        <w:rPr>
          <w:rFonts w:hint="eastAsia" w:ascii="宋体"/>
          <w:kern w:val="0"/>
          <w:sz w:val="24"/>
          <w:lang w:val="en-US" w:eastAsia="zh-CN"/>
        </w:rPr>
        <w:t>10</w:t>
      </w:r>
      <w:r>
        <w:rPr>
          <w:rFonts w:hint="eastAsia" w:ascii="宋体"/>
          <w:kern w:val="0"/>
          <w:sz w:val="24"/>
        </w:rPr>
        <w:t>、</w:t>
      </w:r>
      <w:r>
        <w:rPr>
          <w:rFonts w:hint="eastAsia" w:ascii="宋体" w:hAnsi="Calibri" w:eastAsia="宋体" w:cs="Arial"/>
          <w:kern w:val="0"/>
          <w:sz w:val="24"/>
          <w:szCs w:val="24"/>
          <w:lang w:val="en-US" w:eastAsia="zh-CN" w:bidi="ar-SA"/>
        </w:rPr>
        <w:t>资格声明（制造商、代理商或经销商）</w:t>
      </w:r>
    </w:p>
    <w:p>
      <w:pPr>
        <w:pStyle w:val="24"/>
        <w:ind w:left="0" w:leftChars="0" w:firstLine="0" w:firstLineChars="0"/>
        <w:rPr>
          <w:rFonts w:hint="default"/>
          <w:lang w:val="en-US"/>
        </w:rPr>
      </w:pPr>
      <w:r>
        <w:rPr>
          <w:rFonts w:hint="eastAsia" w:hAnsi="Calibri" w:cs="Arial"/>
          <w:kern w:val="0"/>
          <w:sz w:val="24"/>
          <w:szCs w:val="24"/>
          <w:lang w:val="en-US" w:eastAsia="zh-CN" w:bidi="ar-SA"/>
        </w:rPr>
        <w:t xml:space="preserve">    11、</w:t>
      </w:r>
      <w:r>
        <w:rPr>
          <w:rFonts w:hint="eastAsia" w:ascii="宋体"/>
          <w:kern w:val="0"/>
          <w:sz w:val="24"/>
        </w:rPr>
        <w:t>项目实施方案</w:t>
      </w:r>
    </w:p>
    <w:p>
      <w:pPr>
        <w:pStyle w:val="24"/>
        <w:ind w:left="0" w:leftChars="0" w:firstLine="0" w:firstLineChars="0"/>
        <w:rPr>
          <w:rFonts w:hint="default" w:eastAsia="宋体"/>
          <w:lang w:val="en-US" w:eastAsia="zh-CN"/>
        </w:rPr>
      </w:pPr>
      <w:r>
        <w:rPr>
          <w:rFonts w:hint="eastAsia"/>
          <w:kern w:val="0"/>
          <w:sz w:val="24"/>
          <w:lang w:val="en-US" w:eastAsia="zh-CN"/>
        </w:rPr>
        <w:t xml:space="preserve">    12、</w:t>
      </w:r>
      <w:r>
        <w:rPr>
          <w:rFonts w:hint="eastAsia" w:ascii="宋体"/>
          <w:kern w:val="0"/>
          <w:sz w:val="24"/>
        </w:rPr>
        <w:t>质量保证和售后服务承诺</w:t>
      </w:r>
    </w:p>
    <w:p>
      <w:pPr>
        <w:spacing w:line="360" w:lineRule="auto"/>
        <w:ind w:firstLine="480" w:firstLineChars="200"/>
        <w:rPr>
          <w:rFonts w:ascii="宋体"/>
          <w:kern w:val="0"/>
          <w:sz w:val="24"/>
        </w:rPr>
      </w:pPr>
      <w:r>
        <w:rPr>
          <w:rFonts w:hint="eastAsia" w:ascii="宋体"/>
          <w:kern w:val="0"/>
          <w:sz w:val="24"/>
        </w:rPr>
        <w:t>1</w:t>
      </w:r>
      <w:r>
        <w:rPr>
          <w:rFonts w:hint="eastAsia" w:ascii="宋体"/>
          <w:kern w:val="0"/>
          <w:sz w:val="24"/>
          <w:lang w:val="en-US" w:eastAsia="zh-CN"/>
        </w:rPr>
        <w:t>3</w:t>
      </w:r>
      <w:r>
        <w:rPr>
          <w:rFonts w:hint="eastAsia" w:ascii="宋体"/>
          <w:kern w:val="0"/>
          <w:sz w:val="24"/>
        </w:rPr>
        <w:t>、</w:t>
      </w:r>
      <w:r>
        <w:rPr>
          <w:rFonts w:hint="eastAsia"/>
          <w:kern w:val="0"/>
          <w:sz w:val="24"/>
          <w:lang w:val="en-US" w:eastAsia="zh-CN"/>
        </w:rPr>
        <w:t>设备或产品品牌的证明材料扫描件</w:t>
      </w:r>
    </w:p>
    <w:p>
      <w:pPr>
        <w:spacing w:line="360" w:lineRule="auto"/>
        <w:ind w:firstLine="480" w:firstLineChars="200"/>
        <w:rPr>
          <w:rFonts w:hint="eastAsia" w:ascii="宋体"/>
          <w:kern w:val="0"/>
          <w:sz w:val="24"/>
        </w:rPr>
      </w:pPr>
      <w:r>
        <w:rPr>
          <w:rFonts w:hint="eastAsia" w:ascii="宋体"/>
          <w:kern w:val="0"/>
          <w:sz w:val="24"/>
        </w:rPr>
        <w:t>1</w:t>
      </w:r>
      <w:r>
        <w:rPr>
          <w:rFonts w:hint="eastAsia" w:ascii="宋体"/>
          <w:kern w:val="0"/>
          <w:sz w:val="24"/>
          <w:lang w:val="en-US" w:eastAsia="zh-CN"/>
        </w:rPr>
        <w:t>4</w:t>
      </w:r>
      <w:r>
        <w:rPr>
          <w:rFonts w:hint="eastAsia" w:ascii="宋体"/>
          <w:kern w:val="0"/>
          <w:sz w:val="24"/>
        </w:rPr>
        <w:t>、投标保证金缴纳凭证</w:t>
      </w:r>
    </w:p>
    <w:p>
      <w:pPr>
        <w:pStyle w:val="24"/>
        <w:ind w:left="0" w:leftChars="0" w:firstLine="480" w:firstLineChars="200"/>
        <w:rPr>
          <w:rFonts w:hint="eastAsia" w:eastAsia="宋体"/>
          <w:lang w:eastAsia="zh-CN"/>
        </w:rPr>
      </w:pPr>
      <w:r>
        <w:rPr>
          <w:rFonts w:hint="eastAsia"/>
          <w:kern w:val="0"/>
          <w:sz w:val="24"/>
          <w:lang w:val="en-US" w:eastAsia="zh-CN"/>
        </w:rPr>
        <w:t>15、</w:t>
      </w:r>
      <w:r>
        <w:rPr>
          <w:rFonts w:hint="eastAsia" w:ascii="宋体"/>
          <w:kern w:val="0"/>
          <w:sz w:val="24"/>
        </w:rPr>
        <w:t>中小微企业声明函</w:t>
      </w:r>
      <w:r>
        <w:rPr>
          <w:rFonts w:hint="eastAsia"/>
          <w:kern w:val="0"/>
          <w:sz w:val="24"/>
          <w:lang w:eastAsia="zh-CN"/>
        </w:rPr>
        <w:t>（</w:t>
      </w:r>
      <w:r>
        <w:rPr>
          <w:rFonts w:hint="eastAsia"/>
          <w:kern w:val="0"/>
          <w:sz w:val="24"/>
          <w:lang w:val="en-US" w:eastAsia="zh-CN"/>
        </w:rPr>
        <w:t>货物</w:t>
      </w:r>
      <w:r>
        <w:rPr>
          <w:rFonts w:hint="eastAsia"/>
          <w:kern w:val="0"/>
          <w:sz w:val="24"/>
          <w:lang w:eastAsia="zh-CN"/>
        </w:rPr>
        <w:t>）</w:t>
      </w:r>
    </w:p>
    <w:p>
      <w:pPr>
        <w:spacing w:line="360" w:lineRule="auto"/>
        <w:ind w:firstLine="480" w:firstLineChars="200"/>
        <w:rPr>
          <w:rFonts w:ascii="宋体"/>
          <w:kern w:val="0"/>
          <w:sz w:val="24"/>
        </w:rPr>
      </w:pPr>
      <w:r>
        <w:rPr>
          <w:rFonts w:hint="eastAsia" w:ascii="宋体"/>
          <w:kern w:val="0"/>
          <w:sz w:val="24"/>
        </w:rPr>
        <w:t>1</w:t>
      </w:r>
      <w:r>
        <w:rPr>
          <w:rFonts w:hint="eastAsia" w:ascii="宋体"/>
          <w:kern w:val="0"/>
          <w:sz w:val="24"/>
          <w:lang w:val="en-US" w:eastAsia="zh-CN"/>
        </w:rPr>
        <w:t>6</w:t>
      </w:r>
      <w:r>
        <w:rPr>
          <w:rFonts w:hint="eastAsia" w:ascii="宋体"/>
          <w:kern w:val="0"/>
          <w:sz w:val="24"/>
        </w:rPr>
        <w:t>、其他需要提交的资料（根据招标文件的要求和投标人认为需要提供的资料）</w:t>
      </w:r>
    </w:p>
    <w:p>
      <w:pPr>
        <w:spacing w:line="360" w:lineRule="auto"/>
        <w:ind w:firstLine="480" w:firstLineChars="200"/>
        <w:rPr>
          <w:rFonts w:ascii="宋体"/>
          <w:bCs/>
          <w:sz w:val="24"/>
        </w:rPr>
      </w:pPr>
      <w:r>
        <w:rPr>
          <w:rFonts w:hint="eastAsia" w:ascii="宋体"/>
          <w:bCs/>
          <w:sz w:val="24"/>
        </w:rPr>
        <w:t>注：为了便于查找，请按上述顺序编制投标文件内容，并在目录中标明每项内容的起始页码。</w:t>
      </w:r>
    </w:p>
    <w:p>
      <w:pPr>
        <w:ind w:firstLine="482" w:firstLineChars="200"/>
        <w:rPr>
          <w:rFonts w:ascii="宋体"/>
          <w:b/>
          <w:bCs/>
          <w:kern w:val="0"/>
          <w:sz w:val="24"/>
        </w:rPr>
      </w:pPr>
      <w:r>
        <w:rPr>
          <w:rFonts w:hint="eastAsia" w:ascii="宋体"/>
          <w:b/>
          <w:bCs/>
          <w:kern w:val="0"/>
          <w:sz w:val="24"/>
        </w:rPr>
        <w:br w:type="page"/>
      </w:r>
    </w:p>
    <w:p>
      <w:pPr>
        <w:ind w:firstLine="643" w:firstLineChars="200"/>
        <w:jc w:val="center"/>
        <w:rPr>
          <w:b/>
          <w:bCs/>
          <w:sz w:val="32"/>
          <w:szCs w:val="32"/>
        </w:rPr>
      </w:pPr>
      <w:r>
        <w:rPr>
          <w:rFonts w:hint="eastAsia"/>
          <w:b/>
          <w:bCs/>
          <w:sz w:val="32"/>
          <w:szCs w:val="32"/>
        </w:rPr>
        <w:t>投</w:t>
      </w:r>
      <w:r>
        <w:rPr>
          <w:rFonts w:hint="eastAsia"/>
          <w:b/>
          <w:bCs/>
          <w:sz w:val="32"/>
          <w:szCs w:val="32"/>
          <w:lang w:val="en-US" w:eastAsia="zh-CN"/>
        </w:rPr>
        <w:t xml:space="preserve"> </w:t>
      </w:r>
      <w:r>
        <w:rPr>
          <w:rFonts w:hint="eastAsia"/>
          <w:b/>
          <w:bCs/>
          <w:sz w:val="32"/>
          <w:szCs w:val="32"/>
        </w:rPr>
        <w:t>标</w:t>
      </w:r>
      <w:r>
        <w:rPr>
          <w:rFonts w:hint="eastAsia"/>
          <w:b/>
          <w:bCs/>
          <w:sz w:val="32"/>
          <w:szCs w:val="32"/>
          <w:lang w:val="en-US" w:eastAsia="zh-CN"/>
        </w:rPr>
        <w:t xml:space="preserve"> </w:t>
      </w:r>
      <w:r>
        <w:rPr>
          <w:rFonts w:hint="eastAsia"/>
          <w:b/>
          <w:bCs/>
          <w:sz w:val="32"/>
          <w:szCs w:val="32"/>
        </w:rPr>
        <w:t>函</w:t>
      </w:r>
    </w:p>
    <w:p>
      <w:pPr>
        <w:widowControl/>
        <w:shd w:val="clear" w:color="auto" w:fill="FFFFFF"/>
        <w:snapToGrid w:val="0"/>
        <w:spacing w:line="360" w:lineRule="auto"/>
        <w:jc w:val="left"/>
        <w:rPr>
          <w:rFonts w:hint="eastAsia" w:ascii="宋体" w:hAnsi="宋体"/>
          <w:kern w:val="0"/>
          <w:sz w:val="24"/>
        </w:rPr>
      </w:pPr>
    </w:p>
    <w:p>
      <w:pPr>
        <w:widowControl/>
        <w:shd w:val="clear" w:color="auto" w:fill="FFFFFF"/>
        <w:snapToGrid w:val="0"/>
        <w:spacing w:line="360" w:lineRule="auto"/>
        <w:jc w:val="left"/>
        <w:rPr>
          <w:rFonts w:ascii="宋体"/>
          <w:kern w:val="0"/>
          <w:sz w:val="24"/>
        </w:rPr>
      </w:pPr>
      <w:r>
        <w:rPr>
          <w:rFonts w:hint="eastAsia" w:ascii="宋体" w:hAnsi="宋体"/>
          <w:kern w:val="0"/>
          <w:sz w:val="24"/>
        </w:rPr>
        <w:t>致：（采购人名称）</w:t>
      </w:r>
    </w:p>
    <w:p>
      <w:pPr>
        <w:widowControl/>
        <w:shd w:val="clear" w:color="auto" w:fill="FFFFFF"/>
        <w:snapToGrid w:val="0"/>
        <w:spacing w:line="360" w:lineRule="auto"/>
        <w:ind w:firstLine="420"/>
        <w:jc w:val="left"/>
        <w:rPr>
          <w:rFonts w:ascii="宋体"/>
          <w:kern w:val="0"/>
          <w:sz w:val="24"/>
        </w:rPr>
      </w:pPr>
      <w:r>
        <w:rPr>
          <w:rFonts w:hint="eastAsia" w:ascii="宋体" w:hAnsi="宋体"/>
          <w:kern w:val="0"/>
          <w:sz w:val="24"/>
        </w:rPr>
        <w:t>根据已收到的招标文件，遵照</w:t>
      </w:r>
      <w:r>
        <w:rPr>
          <w:rFonts w:ascii="宋体" w:hAnsi="宋体"/>
          <w:kern w:val="0"/>
          <w:sz w:val="24"/>
        </w:rPr>
        <w:t>《中华人民共和国</w:t>
      </w:r>
      <w:r>
        <w:fldChar w:fldCharType="begin"/>
      </w:r>
      <w:r>
        <w:instrText xml:space="preserve"> HYPERLINK "https://baike.baidu.com/item/%E6%8B%9B%E6%A0%87/230370" \t "_blank" </w:instrText>
      </w:r>
      <w:r>
        <w:fldChar w:fldCharType="separate"/>
      </w:r>
      <w:r>
        <w:rPr>
          <w:rFonts w:ascii="宋体" w:hAnsi="宋体"/>
          <w:kern w:val="0"/>
          <w:sz w:val="24"/>
        </w:rPr>
        <w:t>招标</w:t>
      </w:r>
      <w:r>
        <w:rPr>
          <w:rFonts w:ascii="宋体" w:hAnsi="宋体"/>
          <w:kern w:val="0"/>
          <w:sz w:val="24"/>
        </w:rPr>
        <w:fldChar w:fldCharType="end"/>
      </w:r>
      <w:r>
        <w:rPr>
          <w:rFonts w:ascii="宋体" w:hAnsi="宋体"/>
          <w:kern w:val="0"/>
          <w:sz w:val="24"/>
        </w:rPr>
        <w:t>投标法》</w:t>
      </w:r>
      <w:r>
        <w:rPr>
          <w:rFonts w:hint="eastAsia" w:ascii="宋体" w:hAnsi="宋体"/>
          <w:kern w:val="0"/>
          <w:sz w:val="24"/>
        </w:rPr>
        <w:t>和《中华人民共和国政府采购法》等有关法律法规的规定，经考察现场和充分研究贵方的招标文件的全部内容后，我方郑重承诺如下：</w:t>
      </w:r>
    </w:p>
    <w:p>
      <w:pPr>
        <w:spacing w:line="360" w:lineRule="auto"/>
        <w:ind w:firstLine="420"/>
        <w:rPr>
          <w:rFonts w:ascii="宋体" w:hAnsi="宋体"/>
          <w:color w:val="FF0000"/>
          <w:sz w:val="24"/>
        </w:rPr>
      </w:pPr>
      <w:r>
        <w:rPr>
          <w:rFonts w:ascii="宋体" w:hAnsi="宋体"/>
          <w:color w:val="0000FF"/>
          <w:kern w:val="0"/>
          <w:sz w:val="24"/>
        </w:rPr>
        <w:t>1.</w:t>
      </w:r>
      <w:r>
        <w:rPr>
          <w:rFonts w:hint="eastAsia" w:ascii="宋体" w:hAnsi="宋体"/>
          <w:color w:val="0000FF"/>
          <w:kern w:val="0"/>
          <w:sz w:val="24"/>
        </w:rPr>
        <w:t>我方投标报价为人民币</w:t>
      </w:r>
      <w:r>
        <w:rPr>
          <w:rFonts w:hint="eastAsia" w:ascii="宋体" w:hAnsi="宋体"/>
          <w:color w:val="0000FF"/>
          <w:kern w:val="0"/>
          <w:sz w:val="24"/>
          <w:u w:val="single"/>
        </w:rPr>
        <w:t xml:space="preserve">        </w:t>
      </w:r>
      <w:r>
        <w:rPr>
          <w:rFonts w:hint="eastAsia" w:ascii="宋体" w:hAnsi="宋体"/>
          <w:color w:val="0000FF"/>
          <w:kern w:val="0"/>
          <w:sz w:val="24"/>
        </w:rPr>
        <w:t>元（大写：</w:t>
      </w:r>
      <w:r>
        <w:rPr>
          <w:rFonts w:hint="eastAsia" w:ascii="宋体" w:hAnsi="宋体"/>
          <w:color w:val="0000FF"/>
          <w:kern w:val="0"/>
          <w:sz w:val="24"/>
          <w:u w:val="single"/>
        </w:rPr>
        <w:t xml:space="preserve">       </w:t>
      </w:r>
      <w:r>
        <w:rPr>
          <w:rFonts w:hint="eastAsia" w:ascii="宋体" w:hAnsi="宋体"/>
          <w:color w:val="0000FF"/>
          <w:kern w:val="0"/>
          <w:sz w:val="24"/>
        </w:rPr>
        <w:t>），各分项报价详见投标价格明细表；服务周期：</w:t>
      </w:r>
      <w:r>
        <w:rPr>
          <w:rFonts w:hint="eastAsia" w:ascii="宋体" w:hAnsi="宋体"/>
          <w:color w:val="0000FF"/>
          <w:kern w:val="0"/>
          <w:sz w:val="24"/>
          <w:u w:val="single"/>
        </w:rPr>
        <w:t>合同签订后90日内供货及安装完成</w:t>
      </w:r>
      <w:r>
        <w:rPr>
          <w:rFonts w:hint="eastAsia" w:ascii="宋体" w:hAnsi="宋体"/>
          <w:color w:val="0000FF"/>
          <w:kern w:val="0"/>
          <w:sz w:val="24"/>
          <w:u w:val="none"/>
          <w:lang w:eastAsia="zh-CN"/>
        </w:rPr>
        <w:t>；</w:t>
      </w:r>
      <w:r>
        <w:rPr>
          <w:rFonts w:hint="eastAsia" w:ascii="宋体" w:hAnsi="宋体"/>
          <w:color w:val="0000FF"/>
          <w:kern w:val="0"/>
          <w:sz w:val="24"/>
          <w:u w:val="none"/>
          <w:lang w:val="en-US" w:eastAsia="zh-CN"/>
        </w:rPr>
        <w:t>产品质量：</w:t>
      </w:r>
      <w:r>
        <w:rPr>
          <w:rFonts w:hint="eastAsia" w:ascii="宋体" w:hAnsi="宋体"/>
          <w:color w:val="0000FF"/>
          <w:kern w:val="0"/>
          <w:sz w:val="24"/>
          <w:u w:val="single"/>
          <w:lang w:val="en-US" w:eastAsia="zh-CN"/>
        </w:rPr>
        <w:t>产品为全新未使用过的原装合格正品，安装质量应符合各项技术标准和国家强制性标准</w:t>
      </w:r>
      <w:r>
        <w:rPr>
          <w:rFonts w:hint="eastAsia" w:ascii="宋体" w:hAnsi="宋体"/>
          <w:color w:val="0000FF"/>
          <w:kern w:val="0"/>
          <w:sz w:val="24"/>
          <w:u w:val="none"/>
          <w:lang w:val="en-US" w:eastAsia="zh-CN"/>
        </w:rPr>
        <w:t>。</w:t>
      </w:r>
    </w:p>
    <w:p>
      <w:pPr>
        <w:widowControl/>
        <w:shd w:val="clear" w:color="auto" w:fill="FFFFFF"/>
        <w:snapToGrid w:val="0"/>
        <w:spacing w:line="360" w:lineRule="auto"/>
        <w:ind w:firstLine="420"/>
        <w:jc w:val="left"/>
        <w:rPr>
          <w:rFonts w:ascii="宋体"/>
          <w:kern w:val="0"/>
          <w:sz w:val="24"/>
        </w:rPr>
      </w:pPr>
      <w:r>
        <w:rPr>
          <w:rFonts w:ascii="宋体" w:hAnsi="宋体"/>
          <w:sz w:val="24"/>
        </w:rPr>
        <w:t>2</w:t>
      </w:r>
      <w:r>
        <w:rPr>
          <w:rFonts w:hint="eastAsia" w:ascii="宋体" w:hAnsi="宋体"/>
          <w:kern w:val="0"/>
          <w:sz w:val="24"/>
        </w:rPr>
        <w:t>、如果我方中标，我方将按规定履行合同责任义务。保证在合同约定的供货周期内供货，并确保我方提供货物的品种、规格、质量和数量，以及相关服务满足招标文件的要求。</w:t>
      </w:r>
    </w:p>
    <w:p>
      <w:pPr>
        <w:spacing w:line="360" w:lineRule="auto"/>
        <w:ind w:firstLine="420"/>
        <w:rPr>
          <w:rFonts w:ascii="宋体" w:hAnsi="宋体"/>
          <w:sz w:val="24"/>
        </w:rPr>
      </w:pPr>
      <w:r>
        <w:rPr>
          <w:rFonts w:hint="eastAsia" w:ascii="宋体" w:hAnsi="宋体"/>
          <w:sz w:val="24"/>
        </w:rPr>
        <w:t>3、质保期，本项目货物质保期为</w:t>
      </w:r>
      <w:r>
        <w:rPr>
          <w:rFonts w:hint="eastAsia" w:ascii="宋体" w:hAnsi="宋体"/>
          <w:sz w:val="24"/>
          <w:u w:val="single"/>
        </w:rPr>
        <w:t xml:space="preserve">    </w:t>
      </w:r>
      <w:r>
        <w:rPr>
          <w:rFonts w:hint="eastAsia" w:ascii="宋体" w:hAnsi="宋体"/>
          <w:sz w:val="24"/>
        </w:rPr>
        <w:t>年，自甲方及相关部门总体验收合格之日起计算，如果由于我方责任致使不能验收，此质保期相应顺延。</w:t>
      </w:r>
    </w:p>
    <w:p>
      <w:pPr>
        <w:spacing w:line="360" w:lineRule="auto"/>
        <w:ind w:firstLine="420"/>
        <w:rPr>
          <w:rFonts w:ascii="宋体" w:hAnsi="宋体"/>
          <w:sz w:val="24"/>
        </w:rPr>
      </w:pPr>
      <w:r>
        <w:rPr>
          <w:rFonts w:hint="eastAsia" w:ascii="宋体" w:hAnsi="宋体"/>
          <w:sz w:val="24"/>
        </w:rPr>
        <w:t>4、本投标文件在招标文件规定的投标有效期内对我方具有约束力，如果我方在投标有效期内撤销投标，其投标保证金将被规范没收。</w:t>
      </w:r>
    </w:p>
    <w:p>
      <w:pPr>
        <w:spacing w:line="360" w:lineRule="auto"/>
        <w:ind w:firstLine="420"/>
        <w:rPr>
          <w:rFonts w:ascii="宋体" w:hAnsi="宋体"/>
          <w:sz w:val="24"/>
        </w:rPr>
      </w:pPr>
      <w:r>
        <w:rPr>
          <w:rFonts w:hint="eastAsia" w:ascii="宋体" w:hAnsi="宋体"/>
          <w:sz w:val="24"/>
        </w:rPr>
        <w:t>5、我方愿意提供贵方可能要求的与投标有关的一切数据或资料，完全理解贵方不一定接受最低投标报价的投标或收到的任何投标。</w:t>
      </w:r>
    </w:p>
    <w:p>
      <w:pPr>
        <w:spacing w:line="360" w:lineRule="auto"/>
        <w:rPr>
          <w:rFonts w:ascii="宋体" w:hAnsi="宋体"/>
          <w:sz w:val="24"/>
        </w:rPr>
      </w:pPr>
      <w:r>
        <w:rPr>
          <w:rFonts w:hint="eastAsia" w:ascii="宋体" w:hAnsi="宋体"/>
          <w:sz w:val="24"/>
        </w:rPr>
        <w:t xml:space="preserve">   6、我方派法定代表人或其授权委托人作为我方代表，负责按时参加开标会并签署与投标有关的相关文件等。</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投标人：（盖章）</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法定代表人：（签字</w:t>
      </w:r>
      <w:r>
        <w:rPr>
          <w:rFonts w:hint="eastAsia" w:ascii="宋体" w:hAnsi="宋体"/>
          <w:sz w:val="24"/>
          <w:lang w:val="en-US" w:eastAsia="zh-CN"/>
        </w:rPr>
        <w:t>或</w:t>
      </w:r>
      <w:r>
        <w:rPr>
          <w:rFonts w:hint="eastAsia" w:ascii="宋体" w:hAnsi="宋体"/>
          <w:sz w:val="24"/>
        </w:rPr>
        <w:t>盖章）</w:t>
      </w:r>
    </w:p>
    <w:p>
      <w:pPr>
        <w:spacing w:line="360" w:lineRule="auto"/>
        <w:rPr>
          <w:rFonts w:ascii="宋体" w:hAnsi="宋体"/>
          <w:sz w:val="24"/>
        </w:rPr>
      </w:pPr>
    </w:p>
    <w:p>
      <w:pPr>
        <w:spacing w:line="360" w:lineRule="auto"/>
        <w:rPr>
          <w:rFonts w:ascii="宋体" w:hAnsi="宋体"/>
          <w:sz w:val="24"/>
        </w:rPr>
      </w:pPr>
    </w:p>
    <w:p>
      <w:pPr>
        <w:wordWrap w:val="0"/>
        <w:spacing w:line="360" w:lineRule="auto"/>
        <w:jc w:val="right"/>
        <w:rPr>
          <w:rFonts w:ascii="宋体" w:hAnsi="宋体"/>
          <w:sz w:val="24"/>
        </w:rPr>
        <w:sectPr>
          <w:footerReference r:id="rId4" w:type="default"/>
          <w:pgSz w:w="11906" w:h="16838"/>
          <w:pgMar w:top="1474" w:right="1134" w:bottom="1560" w:left="1134" w:header="851" w:footer="851" w:gutter="0"/>
          <w:pgNumType w:start="0"/>
          <w:cols w:space="720" w:num="1"/>
          <w:titlePg/>
          <w:docGrid w:linePitch="312" w:charSpace="0"/>
        </w:sectPr>
      </w:pPr>
      <w:r>
        <w:rPr>
          <w:rFonts w:hint="eastAsia" w:ascii="宋体" w:hAnsi="宋体"/>
          <w:sz w:val="24"/>
        </w:rPr>
        <w:t>日期：</w:t>
      </w:r>
      <w:r>
        <w:rPr>
          <w:rFonts w:hint="eastAsia" w:ascii="宋体" w:hAnsi="宋体"/>
          <w:sz w:val="24"/>
          <w:lang w:val="en-US" w:eastAsia="zh-CN"/>
        </w:rPr>
        <w:t xml:space="preserve">   </w:t>
      </w:r>
      <w:r>
        <w:rPr>
          <w:rFonts w:hint="eastAsia" w:ascii="宋体" w:hAnsi="宋体"/>
          <w:sz w:val="24"/>
        </w:rPr>
        <w:t>年</w:t>
      </w:r>
      <w:r>
        <w:rPr>
          <w:rFonts w:hint="eastAsia" w:ascii="宋体" w:hAnsi="宋体"/>
          <w:sz w:val="24"/>
          <w:lang w:val="en-US" w:eastAsia="zh-CN"/>
        </w:rPr>
        <w:t xml:space="preserve">  </w:t>
      </w:r>
      <w:r>
        <w:rPr>
          <w:rFonts w:hint="eastAsia" w:ascii="宋体" w:hAnsi="宋体"/>
          <w:sz w:val="24"/>
        </w:rPr>
        <w:t>月</w:t>
      </w:r>
      <w:r>
        <w:rPr>
          <w:rFonts w:hint="eastAsia" w:ascii="宋体" w:hAnsi="宋体"/>
          <w:sz w:val="24"/>
          <w:lang w:val="en-US" w:eastAsia="zh-CN"/>
        </w:rPr>
        <w:t xml:space="preserve">  </w:t>
      </w:r>
      <w:r>
        <w:rPr>
          <w:rFonts w:hint="eastAsia" w:ascii="宋体" w:hAnsi="宋体"/>
          <w:sz w:val="24"/>
        </w:rPr>
        <w:t>日</w:t>
      </w:r>
    </w:p>
    <w:p>
      <w:pPr>
        <w:spacing w:line="360" w:lineRule="auto"/>
        <w:ind w:firstLine="643" w:firstLineChars="200"/>
        <w:jc w:val="center"/>
        <w:rPr>
          <w:rFonts w:ascii="宋体" w:cs="宋体"/>
          <w:sz w:val="24"/>
          <w:u w:val="single"/>
        </w:rPr>
      </w:pPr>
      <w:r>
        <w:rPr>
          <w:rFonts w:hint="eastAsia"/>
          <w:b/>
          <w:bCs/>
          <w:sz w:val="32"/>
          <w:szCs w:val="32"/>
        </w:rPr>
        <w:t>开标一览表</w:t>
      </w:r>
    </w:p>
    <w:tbl>
      <w:tblPr>
        <w:tblStyle w:val="25"/>
        <w:tblW w:w="8475" w:type="dxa"/>
        <w:tblInd w:w="0" w:type="dxa"/>
        <w:tblLayout w:type="fixed"/>
        <w:tblCellMar>
          <w:top w:w="0" w:type="dxa"/>
          <w:left w:w="0" w:type="dxa"/>
          <w:bottom w:w="0" w:type="dxa"/>
          <w:right w:w="0" w:type="dxa"/>
        </w:tblCellMar>
      </w:tblPr>
      <w:tblGrid>
        <w:gridCol w:w="735"/>
        <w:gridCol w:w="2257"/>
        <w:gridCol w:w="1701"/>
        <w:gridCol w:w="709"/>
        <w:gridCol w:w="850"/>
        <w:gridCol w:w="1134"/>
        <w:gridCol w:w="1089"/>
      </w:tblGrid>
      <w:tr>
        <w:tblPrEx>
          <w:tblCellMar>
            <w:top w:w="0" w:type="dxa"/>
            <w:left w:w="0" w:type="dxa"/>
            <w:bottom w:w="0" w:type="dxa"/>
            <w:right w:w="0" w:type="dxa"/>
          </w:tblCellMar>
        </w:tblPrEx>
        <w:trPr>
          <w:trHeight w:val="597"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序号</w:t>
            </w:r>
          </w:p>
        </w:tc>
        <w:tc>
          <w:tcPr>
            <w:tcW w:w="225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产品名称</w:t>
            </w:r>
          </w:p>
        </w:tc>
        <w:tc>
          <w:tcPr>
            <w:tcW w:w="170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品牌及规格型号</w:t>
            </w:r>
          </w:p>
        </w:tc>
        <w:tc>
          <w:tcPr>
            <w:tcW w:w="70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单位</w:t>
            </w:r>
          </w:p>
        </w:tc>
        <w:tc>
          <w:tcPr>
            <w:tcW w:w="85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数量</w:t>
            </w:r>
          </w:p>
        </w:tc>
        <w:tc>
          <w:tcPr>
            <w:tcW w:w="113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单价</w:t>
            </w:r>
          </w:p>
        </w:tc>
        <w:tc>
          <w:tcPr>
            <w:tcW w:w="108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合价</w:t>
            </w:r>
          </w:p>
        </w:tc>
      </w:tr>
      <w:tr>
        <w:tblPrEx>
          <w:tblCellMar>
            <w:top w:w="0" w:type="dxa"/>
            <w:left w:w="0" w:type="dxa"/>
            <w:bottom w:w="0" w:type="dxa"/>
            <w:right w:w="0" w:type="dxa"/>
          </w:tblCellMar>
        </w:tblPrEx>
        <w:trPr>
          <w:trHeight w:val="570"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1</w:t>
            </w:r>
          </w:p>
        </w:tc>
        <w:tc>
          <w:tcPr>
            <w:tcW w:w="225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400" w:lineRule="exact"/>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厨房帐篷</w:t>
            </w:r>
          </w:p>
        </w:tc>
        <w:tc>
          <w:tcPr>
            <w:tcW w:w="170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详见报价明细分析表</w:t>
            </w:r>
          </w:p>
        </w:tc>
        <w:tc>
          <w:tcPr>
            <w:tcW w:w="70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cs="宋体"/>
                <w:kern w:val="2"/>
                <w:sz w:val="24"/>
                <w:szCs w:val="24"/>
                <w:lang w:val="en-US" w:eastAsia="zh-CN" w:bidi="ar-SA"/>
              </w:rPr>
              <w:t>套</w:t>
            </w:r>
          </w:p>
        </w:tc>
        <w:tc>
          <w:tcPr>
            <w:tcW w:w="85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1</w:t>
            </w:r>
          </w:p>
        </w:tc>
        <w:tc>
          <w:tcPr>
            <w:tcW w:w="113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p>
        </w:tc>
      </w:tr>
      <w:tr>
        <w:tblPrEx>
          <w:tblCellMar>
            <w:top w:w="0" w:type="dxa"/>
            <w:left w:w="0" w:type="dxa"/>
            <w:bottom w:w="0" w:type="dxa"/>
            <w:right w:w="0" w:type="dxa"/>
          </w:tblCellMar>
        </w:tblPrEx>
        <w:trPr>
          <w:trHeight w:val="570"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2</w:t>
            </w:r>
          </w:p>
        </w:tc>
        <w:tc>
          <w:tcPr>
            <w:tcW w:w="225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400" w:lineRule="exact"/>
              <w:jc w:val="center"/>
              <w:rPr>
                <w:rFonts w:hint="eastAsia" w:ascii="宋体" w:hAnsi="Calibri" w:eastAsia="宋体" w:cs="宋体"/>
                <w:b/>
                <w:bCs/>
                <w:kern w:val="2"/>
                <w:sz w:val="24"/>
                <w:szCs w:val="24"/>
                <w:lang w:val="en-US" w:eastAsia="zh-CN" w:bidi="ar-SA"/>
              </w:rPr>
            </w:pPr>
            <w:r>
              <w:rPr>
                <w:rFonts w:hint="eastAsia" w:ascii="宋体" w:hAnsi="Calibri" w:eastAsia="宋体" w:cs="宋体"/>
                <w:kern w:val="2"/>
                <w:sz w:val="24"/>
                <w:szCs w:val="24"/>
                <w:lang w:val="en-US" w:eastAsia="zh-CN" w:bidi="ar-SA"/>
              </w:rPr>
              <w:t>大床房野奢帐篷（移动民宿1）</w:t>
            </w:r>
          </w:p>
        </w:tc>
        <w:tc>
          <w:tcPr>
            <w:tcW w:w="170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详见报价明细分析表</w:t>
            </w:r>
          </w:p>
        </w:tc>
        <w:tc>
          <w:tcPr>
            <w:tcW w:w="70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cs="宋体"/>
                <w:kern w:val="2"/>
                <w:sz w:val="24"/>
                <w:szCs w:val="24"/>
                <w:lang w:val="en-US" w:eastAsia="zh-CN" w:bidi="ar-SA"/>
              </w:rPr>
              <w:t>套</w:t>
            </w:r>
          </w:p>
        </w:tc>
        <w:tc>
          <w:tcPr>
            <w:tcW w:w="85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cs="宋体"/>
                <w:kern w:val="2"/>
                <w:sz w:val="24"/>
                <w:szCs w:val="24"/>
                <w:lang w:val="en-US" w:eastAsia="zh-CN" w:bidi="ar-SA"/>
              </w:rPr>
              <w:t>3</w:t>
            </w:r>
          </w:p>
        </w:tc>
        <w:tc>
          <w:tcPr>
            <w:tcW w:w="113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p>
        </w:tc>
      </w:tr>
      <w:tr>
        <w:tblPrEx>
          <w:tblCellMar>
            <w:top w:w="0" w:type="dxa"/>
            <w:left w:w="0" w:type="dxa"/>
            <w:bottom w:w="0" w:type="dxa"/>
            <w:right w:w="0" w:type="dxa"/>
          </w:tblCellMar>
        </w:tblPrEx>
        <w:trPr>
          <w:trHeight w:val="570"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3</w:t>
            </w:r>
          </w:p>
        </w:tc>
        <w:tc>
          <w:tcPr>
            <w:tcW w:w="225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400" w:lineRule="exact"/>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亲子款营地房（移动民宿2）</w:t>
            </w:r>
          </w:p>
        </w:tc>
        <w:tc>
          <w:tcPr>
            <w:tcW w:w="170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详见报价明细分析表</w:t>
            </w:r>
          </w:p>
        </w:tc>
        <w:tc>
          <w:tcPr>
            <w:tcW w:w="70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cs="宋体"/>
                <w:kern w:val="2"/>
                <w:sz w:val="24"/>
                <w:szCs w:val="24"/>
                <w:lang w:val="en-US" w:eastAsia="zh-CN" w:bidi="ar-SA"/>
              </w:rPr>
              <w:t>套</w:t>
            </w:r>
          </w:p>
        </w:tc>
        <w:tc>
          <w:tcPr>
            <w:tcW w:w="85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cs="宋体"/>
                <w:kern w:val="2"/>
                <w:sz w:val="24"/>
                <w:szCs w:val="24"/>
                <w:lang w:val="en-US" w:eastAsia="zh-CN" w:bidi="ar-SA"/>
              </w:rPr>
              <w:t>4</w:t>
            </w:r>
          </w:p>
        </w:tc>
        <w:tc>
          <w:tcPr>
            <w:tcW w:w="113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p>
        </w:tc>
      </w:tr>
      <w:tr>
        <w:tblPrEx>
          <w:tblCellMar>
            <w:top w:w="0" w:type="dxa"/>
            <w:left w:w="0" w:type="dxa"/>
            <w:bottom w:w="0" w:type="dxa"/>
            <w:right w:w="0" w:type="dxa"/>
          </w:tblCellMar>
        </w:tblPrEx>
        <w:trPr>
          <w:trHeight w:val="570"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4</w:t>
            </w:r>
          </w:p>
        </w:tc>
        <w:tc>
          <w:tcPr>
            <w:tcW w:w="225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400" w:lineRule="exact"/>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印第安敞开帐-10m(星空房)</w:t>
            </w:r>
          </w:p>
        </w:tc>
        <w:tc>
          <w:tcPr>
            <w:tcW w:w="170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详见报价明细分析表</w:t>
            </w:r>
          </w:p>
        </w:tc>
        <w:tc>
          <w:tcPr>
            <w:tcW w:w="70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cs="宋体"/>
                <w:kern w:val="2"/>
                <w:sz w:val="24"/>
                <w:szCs w:val="24"/>
                <w:lang w:val="en-US" w:eastAsia="zh-CN" w:bidi="ar-SA"/>
              </w:rPr>
              <w:t>套</w:t>
            </w:r>
          </w:p>
        </w:tc>
        <w:tc>
          <w:tcPr>
            <w:tcW w:w="85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2</w:t>
            </w:r>
          </w:p>
        </w:tc>
        <w:tc>
          <w:tcPr>
            <w:tcW w:w="113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p>
        </w:tc>
      </w:tr>
      <w:tr>
        <w:tblPrEx>
          <w:tblCellMar>
            <w:top w:w="0" w:type="dxa"/>
            <w:left w:w="0" w:type="dxa"/>
            <w:bottom w:w="0" w:type="dxa"/>
            <w:right w:w="0" w:type="dxa"/>
          </w:tblCellMar>
        </w:tblPrEx>
        <w:trPr>
          <w:trHeight w:val="570"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5</w:t>
            </w:r>
          </w:p>
        </w:tc>
        <w:tc>
          <w:tcPr>
            <w:tcW w:w="225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400" w:lineRule="exact"/>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长方形L棉布天幕</w:t>
            </w:r>
          </w:p>
        </w:tc>
        <w:tc>
          <w:tcPr>
            <w:tcW w:w="170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详见报价明细分析表</w:t>
            </w:r>
          </w:p>
        </w:tc>
        <w:tc>
          <w:tcPr>
            <w:tcW w:w="70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cs="宋体"/>
                <w:kern w:val="2"/>
                <w:sz w:val="24"/>
                <w:szCs w:val="24"/>
                <w:lang w:val="en-US" w:eastAsia="zh-CN" w:bidi="ar-SA"/>
              </w:rPr>
              <w:t>套</w:t>
            </w:r>
          </w:p>
        </w:tc>
        <w:tc>
          <w:tcPr>
            <w:tcW w:w="85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cs="宋体"/>
                <w:kern w:val="2"/>
                <w:sz w:val="24"/>
                <w:szCs w:val="24"/>
                <w:lang w:val="en-US" w:eastAsia="zh-CN" w:bidi="ar-SA"/>
              </w:rPr>
              <w:t>6</w:t>
            </w:r>
          </w:p>
        </w:tc>
        <w:tc>
          <w:tcPr>
            <w:tcW w:w="113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p>
        </w:tc>
      </w:tr>
      <w:tr>
        <w:tblPrEx>
          <w:tblCellMar>
            <w:top w:w="0" w:type="dxa"/>
            <w:left w:w="0" w:type="dxa"/>
            <w:bottom w:w="0" w:type="dxa"/>
            <w:right w:w="0" w:type="dxa"/>
          </w:tblCellMar>
        </w:tblPrEx>
        <w:trPr>
          <w:trHeight w:val="570"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default" w:ascii="宋体" w:hAnsi="Calibri" w:eastAsia="宋体" w:cs="宋体"/>
                <w:kern w:val="2"/>
                <w:sz w:val="24"/>
                <w:szCs w:val="24"/>
                <w:lang w:val="en-US" w:eastAsia="zh-CN" w:bidi="ar-SA"/>
              </w:rPr>
            </w:pPr>
            <w:r>
              <w:rPr>
                <w:rFonts w:hint="eastAsia" w:ascii="宋体" w:cs="宋体"/>
                <w:kern w:val="2"/>
                <w:sz w:val="24"/>
                <w:szCs w:val="24"/>
                <w:lang w:val="en-US" w:eastAsia="zh-CN" w:bidi="ar-SA"/>
              </w:rPr>
              <w:t>6</w:t>
            </w:r>
          </w:p>
        </w:tc>
        <w:tc>
          <w:tcPr>
            <w:tcW w:w="225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400" w:lineRule="exact"/>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4m蒙古包</w:t>
            </w:r>
          </w:p>
        </w:tc>
        <w:tc>
          <w:tcPr>
            <w:tcW w:w="170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详见报价明细分析表</w:t>
            </w:r>
          </w:p>
        </w:tc>
        <w:tc>
          <w:tcPr>
            <w:tcW w:w="70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default" w:ascii="宋体" w:hAnsi="Calibri" w:eastAsia="宋体" w:cs="宋体"/>
                <w:kern w:val="2"/>
                <w:sz w:val="24"/>
                <w:szCs w:val="24"/>
                <w:lang w:val="en-US" w:eastAsia="zh-CN" w:bidi="ar-SA"/>
              </w:rPr>
            </w:pPr>
            <w:r>
              <w:rPr>
                <w:rFonts w:hint="eastAsia" w:ascii="宋体" w:cs="宋体"/>
                <w:kern w:val="2"/>
                <w:sz w:val="24"/>
                <w:szCs w:val="24"/>
                <w:lang w:val="en-US" w:eastAsia="zh-CN" w:bidi="ar-SA"/>
              </w:rPr>
              <w:t>套</w:t>
            </w:r>
          </w:p>
        </w:tc>
        <w:tc>
          <w:tcPr>
            <w:tcW w:w="85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default" w:ascii="宋体" w:cs="宋体"/>
                <w:kern w:val="2"/>
                <w:sz w:val="24"/>
                <w:szCs w:val="24"/>
                <w:lang w:val="en-US" w:eastAsia="zh-CN" w:bidi="ar-SA"/>
              </w:rPr>
            </w:pPr>
            <w:r>
              <w:rPr>
                <w:rFonts w:hint="eastAsia" w:ascii="宋体" w:cs="宋体"/>
                <w:kern w:val="2"/>
                <w:sz w:val="24"/>
                <w:szCs w:val="24"/>
                <w:lang w:val="en-US" w:eastAsia="zh-CN" w:bidi="ar-SA"/>
              </w:rPr>
              <w:t>8</w:t>
            </w:r>
          </w:p>
        </w:tc>
        <w:tc>
          <w:tcPr>
            <w:tcW w:w="113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p>
        </w:tc>
      </w:tr>
      <w:tr>
        <w:tblPrEx>
          <w:tblCellMar>
            <w:top w:w="0" w:type="dxa"/>
            <w:left w:w="0" w:type="dxa"/>
            <w:bottom w:w="0" w:type="dxa"/>
            <w:right w:w="0" w:type="dxa"/>
          </w:tblCellMar>
        </w:tblPrEx>
        <w:trPr>
          <w:trHeight w:val="570"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cs="宋体"/>
                <w:kern w:val="2"/>
                <w:sz w:val="24"/>
                <w:szCs w:val="24"/>
                <w:lang w:val="en-US" w:eastAsia="zh-CN" w:bidi="ar-SA"/>
              </w:rPr>
              <w:t>7</w:t>
            </w:r>
          </w:p>
        </w:tc>
        <w:tc>
          <w:tcPr>
            <w:tcW w:w="2257"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400" w:lineRule="exact"/>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大号A型帐套装（露营天幕1）</w:t>
            </w:r>
          </w:p>
        </w:tc>
        <w:tc>
          <w:tcPr>
            <w:tcW w:w="170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详见报价明细分析表</w:t>
            </w:r>
          </w:p>
        </w:tc>
        <w:tc>
          <w:tcPr>
            <w:tcW w:w="70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cs="宋体"/>
                <w:kern w:val="2"/>
                <w:sz w:val="24"/>
                <w:szCs w:val="24"/>
                <w:lang w:val="en-US" w:eastAsia="zh-CN" w:bidi="ar-SA"/>
              </w:rPr>
              <w:t>套</w:t>
            </w:r>
          </w:p>
        </w:tc>
        <w:tc>
          <w:tcPr>
            <w:tcW w:w="85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default"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2</w:t>
            </w:r>
            <w:r>
              <w:rPr>
                <w:rFonts w:hint="eastAsia" w:ascii="宋体" w:cs="宋体"/>
                <w:kern w:val="2"/>
                <w:sz w:val="24"/>
                <w:szCs w:val="24"/>
                <w:lang w:val="en-US" w:eastAsia="zh-CN" w:bidi="ar-SA"/>
              </w:rPr>
              <w:t>6</w:t>
            </w:r>
          </w:p>
        </w:tc>
        <w:tc>
          <w:tcPr>
            <w:tcW w:w="113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p>
        </w:tc>
      </w:tr>
      <w:tr>
        <w:tblPrEx>
          <w:tblCellMar>
            <w:top w:w="0" w:type="dxa"/>
            <w:left w:w="0" w:type="dxa"/>
            <w:bottom w:w="0" w:type="dxa"/>
            <w:right w:w="0" w:type="dxa"/>
          </w:tblCellMar>
        </w:tblPrEx>
        <w:trPr>
          <w:cantSplit/>
          <w:trHeight w:val="539" w:hRule="atLeast"/>
        </w:trPr>
        <w:tc>
          <w:tcPr>
            <w:tcW w:w="735"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Calibri" w:eastAsia="宋体" w:cs="宋体"/>
                <w:kern w:val="2"/>
                <w:sz w:val="24"/>
                <w:szCs w:val="24"/>
                <w:lang w:val="en-US" w:eastAsia="zh-CN" w:bidi="ar-SA"/>
              </w:rPr>
            </w:pPr>
            <w:r>
              <w:rPr>
                <w:rFonts w:hint="eastAsia" w:ascii="宋体" w:hAnsi="Calibri" w:eastAsia="宋体" w:cs="宋体"/>
                <w:kern w:val="2"/>
                <w:sz w:val="24"/>
                <w:szCs w:val="24"/>
                <w:lang w:val="en-US" w:eastAsia="zh-CN" w:bidi="ar-SA"/>
              </w:rPr>
              <w:t>总价</w:t>
            </w:r>
          </w:p>
        </w:tc>
        <w:tc>
          <w:tcPr>
            <w:tcW w:w="7740" w:type="dxa"/>
            <w:gridSpan w:val="6"/>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left"/>
              <w:rPr>
                <w:rFonts w:hint="default" w:ascii="宋体" w:hAnsi="Calibri" w:eastAsia="宋体" w:cs="宋体"/>
                <w:kern w:val="2"/>
                <w:sz w:val="24"/>
                <w:szCs w:val="24"/>
                <w:u w:val="single"/>
                <w:lang w:val="en-US" w:eastAsia="zh-CN" w:bidi="ar-SA"/>
              </w:rPr>
            </w:pPr>
            <w:r>
              <w:rPr>
                <w:rFonts w:hint="eastAsia" w:ascii="宋体" w:cs="宋体"/>
                <w:kern w:val="2"/>
                <w:sz w:val="24"/>
                <w:szCs w:val="24"/>
                <w:lang w:val="en-US" w:eastAsia="zh-CN" w:bidi="ar-SA"/>
              </w:rPr>
              <w:t>大写：</w:t>
            </w:r>
            <w:r>
              <w:rPr>
                <w:rFonts w:hint="eastAsia" w:ascii="宋体" w:cs="宋体"/>
                <w:kern w:val="2"/>
                <w:sz w:val="24"/>
                <w:szCs w:val="24"/>
                <w:u w:val="single"/>
                <w:lang w:val="en-US" w:eastAsia="zh-CN" w:bidi="ar-SA"/>
              </w:rPr>
              <w:t xml:space="preserve">          </w:t>
            </w:r>
            <w:r>
              <w:rPr>
                <w:rFonts w:hint="eastAsia" w:ascii="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t>￥</w:t>
            </w:r>
            <w:r>
              <w:rPr>
                <w:rFonts w:hint="eastAsia" w:ascii="宋体" w:cs="宋体"/>
                <w:kern w:val="2"/>
                <w:sz w:val="24"/>
                <w:szCs w:val="24"/>
                <w:lang w:val="en-US" w:eastAsia="zh-CN" w:bidi="ar-SA"/>
              </w:rPr>
              <w:t>：</w:t>
            </w:r>
            <w:r>
              <w:rPr>
                <w:rFonts w:hint="eastAsia" w:ascii="宋体" w:cs="宋体"/>
                <w:kern w:val="2"/>
                <w:sz w:val="24"/>
                <w:szCs w:val="24"/>
                <w:u w:val="single"/>
                <w:lang w:val="en-US" w:eastAsia="zh-CN" w:bidi="ar-SA"/>
              </w:rPr>
              <w:t xml:space="preserve">           </w:t>
            </w:r>
          </w:p>
        </w:tc>
      </w:tr>
    </w:tbl>
    <w:p>
      <w:pPr>
        <w:pStyle w:val="13"/>
        <w:tabs>
          <w:tab w:val="left" w:pos="5580"/>
        </w:tabs>
        <w:spacing w:line="360" w:lineRule="auto"/>
        <w:ind w:firstLine="480"/>
        <w:rPr>
          <w:rFonts w:cs="宋体"/>
          <w:b/>
          <w:bCs/>
          <w:sz w:val="24"/>
          <w:szCs w:val="24"/>
        </w:rPr>
      </w:pPr>
      <w:r>
        <w:rPr>
          <w:rFonts w:hint="eastAsia" w:cs="宋体"/>
          <w:b/>
          <w:bCs/>
          <w:sz w:val="24"/>
          <w:szCs w:val="24"/>
        </w:rPr>
        <w:t>注：1、上述报价表应仔细核算，投标人对所投产品报价为对应本项目需求的全部货物及所需附件购置费（货款）及相关辅助材料、包装费、运杂费（含装卸费）、安装、人工费、风险费、保险费、安装测试费、检测费（含各类特殊检测费用）、技术培训费、各种税费、利润、资料费、货到采购人指定地点的所有费用、售后服务开支及完成项目应有的全部费用。</w:t>
      </w:r>
    </w:p>
    <w:p>
      <w:pPr>
        <w:pStyle w:val="13"/>
        <w:tabs>
          <w:tab w:val="left" w:pos="5580"/>
        </w:tabs>
        <w:spacing w:line="360" w:lineRule="auto"/>
        <w:ind w:firstLine="482" w:firstLineChars="200"/>
        <w:rPr>
          <w:rFonts w:cs="宋体"/>
          <w:b w:val="0"/>
          <w:bCs w:val="0"/>
          <w:sz w:val="24"/>
          <w:szCs w:val="24"/>
        </w:rPr>
      </w:pPr>
      <w:r>
        <w:rPr>
          <w:rFonts w:hint="eastAsia" w:cs="宋体"/>
          <w:b/>
          <w:bCs/>
          <w:sz w:val="24"/>
          <w:szCs w:val="24"/>
        </w:rPr>
        <w:t xml:space="preserve"> </w:t>
      </w:r>
      <w:r>
        <w:rPr>
          <w:rFonts w:hint="eastAsia" w:cs="宋体"/>
          <w:b w:val="0"/>
          <w:bCs w:val="0"/>
          <w:sz w:val="24"/>
          <w:szCs w:val="24"/>
        </w:rPr>
        <w:t xml:space="preserve">  2、所有价格用人民币表示，保留两位小数。</w:t>
      </w:r>
    </w:p>
    <w:p>
      <w:pPr>
        <w:pStyle w:val="14"/>
        <w:ind w:left="0" w:leftChars="0"/>
        <w:rPr>
          <w:rFonts w:ascii="宋体" w:cs="宋体"/>
          <w:b w:val="0"/>
          <w:bCs w:val="0"/>
          <w:sz w:val="24"/>
          <w:szCs w:val="24"/>
        </w:rPr>
      </w:pPr>
      <w:r>
        <w:rPr>
          <w:rFonts w:hint="eastAsia" w:ascii="宋体" w:cs="宋体"/>
          <w:b w:val="0"/>
          <w:bCs w:val="0"/>
          <w:sz w:val="24"/>
          <w:szCs w:val="24"/>
        </w:rPr>
        <w:t xml:space="preserve">       3、此表中总价应与投标函中报价致。</w:t>
      </w:r>
    </w:p>
    <w:p/>
    <w:p>
      <w:pPr>
        <w:pStyle w:val="13"/>
        <w:tabs>
          <w:tab w:val="left" w:pos="5580"/>
        </w:tabs>
        <w:spacing w:line="360" w:lineRule="auto"/>
        <w:rPr>
          <w:sz w:val="24"/>
        </w:rPr>
      </w:pPr>
      <w:r>
        <w:rPr>
          <w:rFonts w:hint="eastAsia"/>
          <w:sz w:val="24"/>
        </w:rPr>
        <w:t>投标人（盖</w:t>
      </w:r>
      <w:r>
        <w:rPr>
          <w:sz w:val="24"/>
        </w:rPr>
        <w:t>章）：</w:t>
      </w:r>
    </w:p>
    <w:p>
      <w:pPr>
        <w:pStyle w:val="14"/>
      </w:pPr>
    </w:p>
    <w:p>
      <w:pPr>
        <w:pStyle w:val="13"/>
        <w:tabs>
          <w:tab w:val="left" w:pos="5580"/>
        </w:tabs>
        <w:spacing w:line="360" w:lineRule="auto"/>
        <w:rPr>
          <w:rFonts w:cs="宋体"/>
          <w:kern w:val="0"/>
          <w:sz w:val="24"/>
          <w:u w:val="single"/>
        </w:rPr>
      </w:pPr>
      <w:r>
        <w:rPr>
          <w:rFonts w:hint="eastAsia"/>
          <w:sz w:val="24"/>
        </w:rPr>
        <w:t>法定代表人或</w:t>
      </w:r>
      <w:r>
        <w:rPr>
          <w:rFonts w:hint="eastAsia" w:cs="宋体"/>
          <w:kern w:val="0"/>
          <w:sz w:val="24"/>
        </w:rPr>
        <w:t>委托代理人</w:t>
      </w:r>
      <w:r>
        <w:rPr>
          <w:rFonts w:hint="eastAsia"/>
          <w:sz w:val="24"/>
        </w:rPr>
        <w:t>（签字</w:t>
      </w:r>
      <w:r>
        <w:rPr>
          <w:rFonts w:hint="eastAsia"/>
          <w:sz w:val="24"/>
          <w:lang w:val="en-US" w:eastAsia="zh-CN"/>
        </w:rPr>
        <w:t>或盖章</w:t>
      </w:r>
      <w:r>
        <w:rPr>
          <w:rFonts w:hint="eastAsia"/>
          <w:sz w:val="24"/>
        </w:rPr>
        <w:t>）</w:t>
      </w:r>
      <w:r>
        <w:rPr>
          <w:rFonts w:hint="eastAsia" w:cs="宋体"/>
          <w:kern w:val="0"/>
          <w:sz w:val="24"/>
        </w:rPr>
        <w:t>：</w:t>
      </w:r>
    </w:p>
    <w:p>
      <w:pPr>
        <w:spacing w:line="360" w:lineRule="auto"/>
        <w:ind w:firstLine="480" w:firstLineChars="200"/>
        <w:rPr>
          <w:rFonts w:hint="eastAsia" w:ascii="宋体" w:cs="宋体"/>
          <w:sz w:val="24"/>
        </w:rPr>
      </w:pPr>
    </w:p>
    <w:p>
      <w:pPr>
        <w:spacing w:line="360" w:lineRule="auto"/>
        <w:ind w:firstLine="6480" w:firstLineChars="2700"/>
        <w:rPr>
          <w:rFonts w:ascii="宋体" w:cs="宋体"/>
          <w:sz w:val="24"/>
        </w:rPr>
      </w:pPr>
      <w:r>
        <w:rPr>
          <w:rFonts w:hint="eastAsia" w:ascii="宋体" w:cs="宋体"/>
          <w:sz w:val="24"/>
        </w:rPr>
        <w:t>日期：   年  月  日</w:t>
      </w:r>
    </w:p>
    <w:p>
      <w:pPr>
        <w:spacing w:line="360" w:lineRule="auto"/>
        <w:ind w:firstLine="643" w:firstLineChars="200"/>
        <w:jc w:val="center"/>
        <w:rPr>
          <w:rFonts w:hint="eastAsia"/>
          <w:b/>
          <w:bCs/>
          <w:sz w:val="32"/>
          <w:szCs w:val="32"/>
        </w:rPr>
      </w:pPr>
    </w:p>
    <w:p>
      <w:pPr>
        <w:spacing w:line="360" w:lineRule="auto"/>
        <w:ind w:firstLine="643" w:firstLineChars="200"/>
        <w:jc w:val="center"/>
        <w:rPr>
          <w:rFonts w:ascii="宋体" w:cs="宋体"/>
          <w:sz w:val="24"/>
          <w:u w:val="single"/>
        </w:rPr>
      </w:pPr>
      <w:r>
        <w:rPr>
          <w:rFonts w:hint="eastAsia"/>
          <w:b/>
          <w:bCs/>
          <w:sz w:val="32"/>
          <w:szCs w:val="32"/>
        </w:rPr>
        <w:t>报价明细表</w:t>
      </w:r>
    </w:p>
    <w:tbl>
      <w:tblPr>
        <w:tblStyle w:val="25"/>
        <w:tblW w:w="8940" w:type="dxa"/>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802"/>
        <w:gridCol w:w="1338"/>
        <w:gridCol w:w="1229"/>
        <w:gridCol w:w="1319"/>
        <w:gridCol w:w="675"/>
        <w:gridCol w:w="661"/>
        <w:gridCol w:w="16"/>
        <w:gridCol w:w="734"/>
        <w:gridCol w:w="1066"/>
        <w:gridCol w:w="110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88" w:hRule="atLeast"/>
        </w:trPr>
        <w:tc>
          <w:tcPr>
            <w:tcW w:w="2140" w:type="dxa"/>
            <w:gridSpan w:val="2"/>
            <w:vAlign w:val="center"/>
          </w:tcPr>
          <w:p>
            <w:pPr>
              <w:jc w:val="center"/>
              <w:rPr>
                <w:rFonts w:ascii="宋体" w:cs="宋体"/>
                <w:sz w:val="24"/>
                <w:szCs w:val="24"/>
              </w:rPr>
            </w:pPr>
            <w:r>
              <w:rPr>
                <w:rFonts w:hint="eastAsia" w:ascii="宋体" w:cs="宋体"/>
                <w:sz w:val="24"/>
                <w:szCs w:val="24"/>
              </w:rPr>
              <w:t>项目名称（标包号）</w:t>
            </w:r>
          </w:p>
        </w:tc>
        <w:tc>
          <w:tcPr>
            <w:tcW w:w="6800" w:type="dxa"/>
            <w:gridSpan w:val="8"/>
            <w:vAlign w:val="center"/>
          </w:tcPr>
          <w:p>
            <w:pPr>
              <w:rPr>
                <w:rFonts w:asci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802" w:type="dxa"/>
            <w:vAlign w:val="center"/>
          </w:tcPr>
          <w:p>
            <w:pPr>
              <w:jc w:val="center"/>
              <w:rPr>
                <w:rFonts w:ascii="宋体" w:cs="宋体"/>
                <w:sz w:val="24"/>
                <w:szCs w:val="24"/>
              </w:rPr>
            </w:pPr>
            <w:r>
              <w:rPr>
                <w:rFonts w:hint="eastAsia" w:ascii="宋体" w:cs="宋体"/>
                <w:sz w:val="24"/>
                <w:szCs w:val="24"/>
              </w:rPr>
              <w:t>序号</w:t>
            </w:r>
          </w:p>
        </w:tc>
        <w:tc>
          <w:tcPr>
            <w:tcW w:w="1338" w:type="dxa"/>
            <w:vAlign w:val="center"/>
          </w:tcPr>
          <w:p>
            <w:pPr>
              <w:jc w:val="center"/>
              <w:rPr>
                <w:rFonts w:ascii="宋体" w:cs="宋体"/>
                <w:sz w:val="24"/>
                <w:szCs w:val="24"/>
              </w:rPr>
            </w:pPr>
            <w:r>
              <w:rPr>
                <w:rFonts w:hint="eastAsia" w:ascii="宋体" w:cs="宋体"/>
                <w:sz w:val="24"/>
                <w:szCs w:val="24"/>
              </w:rPr>
              <w:t>产品名称</w:t>
            </w:r>
          </w:p>
        </w:tc>
        <w:tc>
          <w:tcPr>
            <w:tcW w:w="1229" w:type="dxa"/>
            <w:vAlign w:val="center"/>
          </w:tcPr>
          <w:p>
            <w:pPr>
              <w:pStyle w:val="10"/>
              <w:numPr>
                <w:ilvl w:val="0"/>
                <w:numId w:val="0"/>
              </w:numPr>
              <w:jc w:val="center"/>
              <w:rPr>
                <w:rFonts w:ascii="宋体" w:eastAsia="宋体" w:cs="宋体"/>
                <w:sz w:val="24"/>
                <w:szCs w:val="24"/>
              </w:rPr>
            </w:pPr>
            <w:r>
              <w:rPr>
                <w:rFonts w:hint="eastAsia" w:ascii="宋体" w:eastAsia="宋体" w:cs="宋体"/>
                <w:sz w:val="24"/>
                <w:szCs w:val="24"/>
              </w:rPr>
              <w:t>品牌</w:t>
            </w:r>
          </w:p>
        </w:tc>
        <w:tc>
          <w:tcPr>
            <w:tcW w:w="1319" w:type="dxa"/>
            <w:vAlign w:val="center"/>
          </w:tcPr>
          <w:p>
            <w:pPr>
              <w:pStyle w:val="10"/>
              <w:numPr>
                <w:ilvl w:val="0"/>
                <w:numId w:val="0"/>
              </w:numPr>
              <w:jc w:val="both"/>
              <w:rPr>
                <w:rFonts w:ascii="宋体" w:eastAsia="宋体" w:cs="宋体"/>
                <w:sz w:val="24"/>
                <w:szCs w:val="24"/>
              </w:rPr>
            </w:pPr>
            <w:r>
              <w:rPr>
                <w:rFonts w:hint="eastAsia" w:ascii="宋体" w:eastAsia="宋体" w:cs="宋体"/>
                <w:sz w:val="24"/>
                <w:szCs w:val="24"/>
              </w:rPr>
              <w:t>规格型号</w:t>
            </w:r>
          </w:p>
        </w:tc>
        <w:tc>
          <w:tcPr>
            <w:tcW w:w="675" w:type="dxa"/>
            <w:vAlign w:val="center"/>
          </w:tcPr>
          <w:p>
            <w:pPr>
              <w:pStyle w:val="10"/>
              <w:numPr>
                <w:ilvl w:val="0"/>
                <w:numId w:val="0"/>
              </w:numPr>
              <w:jc w:val="center"/>
              <w:rPr>
                <w:rFonts w:ascii="宋体" w:eastAsia="宋体" w:cs="宋体"/>
                <w:sz w:val="24"/>
                <w:szCs w:val="24"/>
              </w:rPr>
            </w:pPr>
            <w:r>
              <w:rPr>
                <w:rFonts w:hint="eastAsia" w:ascii="宋体" w:eastAsia="宋体" w:cs="宋体"/>
                <w:sz w:val="24"/>
                <w:szCs w:val="24"/>
              </w:rPr>
              <w:t>单位</w:t>
            </w:r>
          </w:p>
        </w:tc>
        <w:tc>
          <w:tcPr>
            <w:tcW w:w="661" w:type="dxa"/>
            <w:vAlign w:val="center"/>
          </w:tcPr>
          <w:p>
            <w:pPr>
              <w:pStyle w:val="10"/>
              <w:numPr>
                <w:ilvl w:val="0"/>
                <w:numId w:val="0"/>
              </w:numPr>
              <w:jc w:val="center"/>
              <w:rPr>
                <w:rFonts w:ascii="宋体" w:eastAsia="宋体" w:cs="宋体"/>
                <w:sz w:val="24"/>
                <w:szCs w:val="24"/>
              </w:rPr>
            </w:pPr>
            <w:r>
              <w:rPr>
                <w:rFonts w:hint="eastAsia" w:ascii="宋体" w:eastAsia="宋体" w:cs="宋体"/>
                <w:sz w:val="24"/>
                <w:szCs w:val="24"/>
              </w:rPr>
              <w:t>数量</w:t>
            </w:r>
          </w:p>
        </w:tc>
        <w:tc>
          <w:tcPr>
            <w:tcW w:w="750" w:type="dxa"/>
            <w:gridSpan w:val="2"/>
            <w:vAlign w:val="center"/>
          </w:tcPr>
          <w:p>
            <w:pPr>
              <w:pStyle w:val="10"/>
              <w:numPr>
                <w:ilvl w:val="0"/>
                <w:numId w:val="0"/>
              </w:numPr>
              <w:jc w:val="center"/>
              <w:rPr>
                <w:rFonts w:ascii="宋体" w:eastAsia="宋体" w:cs="宋体"/>
                <w:sz w:val="24"/>
                <w:szCs w:val="24"/>
              </w:rPr>
            </w:pPr>
            <w:r>
              <w:rPr>
                <w:rFonts w:hint="eastAsia" w:ascii="宋体" w:eastAsia="宋体" w:cs="宋体"/>
                <w:sz w:val="24"/>
                <w:szCs w:val="24"/>
              </w:rPr>
              <w:t>单价</w:t>
            </w:r>
          </w:p>
        </w:tc>
        <w:tc>
          <w:tcPr>
            <w:tcW w:w="1066" w:type="dxa"/>
            <w:vAlign w:val="center"/>
          </w:tcPr>
          <w:p>
            <w:pPr>
              <w:pStyle w:val="10"/>
              <w:numPr>
                <w:ilvl w:val="0"/>
                <w:numId w:val="0"/>
              </w:numPr>
              <w:jc w:val="center"/>
              <w:rPr>
                <w:rFonts w:ascii="宋体" w:eastAsia="宋体" w:cs="宋体"/>
                <w:sz w:val="24"/>
                <w:szCs w:val="24"/>
              </w:rPr>
            </w:pPr>
            <w:r>
              <w:rPr>
                <w:rFonts w:hint="eastAsia" w:ascii="宋体" w:eastAsia="宋体" w:cs="宋体"/>
                <w:sz w:val="24"/>
                <w:szCs w:val="24"/>
              </w:rPr>
              <w:t>合计</w:t>
            </w:r>
          </w:p>
        </w:tc>
        <w:tc>
          <w:tcPr>
            <w:tcW w:w="1100" w:type="dxa"/>
            <w:vAlign w:val="center"/>
          </w:tcPr>
          <w:p>
            <w:pPr>
              <w:pStyle w:val="10"/>
              <w:numPr>
                <w:ilvl w:val="0"/>
                <w:numId w:val="0"/>
              </w:numPr>
              <w:jc w:val="center"/>
              <w:rPr>
                <w:rFonts w:ascii="宋体" w:eastAsia="宋体" w:cs="宋体"/>
                <w:sz w:val="24"/>
                <w:szCs w:val="24"/>
              </w:rPr>
            </w:pPr>
            <w:r>
              <w:rPr>
                <w:rFonts w:hint="eastAsia" w:asci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802" w:type="dxa"/>
            <w:vAlign w:val="center"/>
          </w:tcPr>
          <w:p>
            <w:pPr>
              <w:jc w:val="center"/>
              <w:rPr>
                <w:rFonts w:ascii="宋体" w:cs="宋体"/>
                <w:szCs w:val="21"/>
              </w:rPr>
            </w:pPr>
            <w:r>
              <w:rPr>
                <w:rFonts w:hint="eastAsia" w:ascii="宋体" w:cs="宋体"/>
                <w:szCs w:val="21"/>
              </w:rPr>
              <w:t>1</w:t>
            </w:r>
          </w:p>
        </w:tc>
        <w:tc>
          <w:tcPr>
            <w:tcW w:w="1338" w:type="dxa"/>
            <w:vAlign w:val="center"/>
          </w:tcPr>
          <w:p>
            <w:pPr>
              <w:jc w:val="center"/>
              <w:rPr>
                <w:rFonts w:ascii="宋体" w:cs="宋体"/>
                <w:szCs w:val="21"/>
              </w:rPr>
            </w:pPr>
          </w:p>
        </w:tc>
        <w:tc>
          <w:tcPr>
            <w:tcW w:w="1229" w:type="dxa"/>
            <w:vAlign w:val="center"/>
          </w:tcPr>
          <w:p>
            <w:pPr>
              <w:pStyle w:val="10"/>
              <w:numPr>
                <w:ilvl w:val="0"/>
                <w:numId w:val="0"/>
              </w:numPr>
              <w:jc w:val="center"/>
              <w:rPr>
                <w:rFonts w:ascii="宋体" w:eastAsia="宋体" w:cs="宋体"/>
                <w:sz w:val="21"/>
                <w:szCs w:val="21"/>
              </w:rPr>
            </w:pPr>
          </w:p>
        </w:tc>
        <w:tc>
          <w:tcPr>
            <w:tcW w:w="1319" w:type="dxa"/>
            <w:vAlign w:val="center"/>
          </w:tcPr>
          <w:p>
            <w:pPr>
              <w:pStyle w:val="10"/>
              <w:numPr>
                <w:ilvl w:val="0"/>
                <w:numId w:val="0"/>
              </w:numPr>
              <w:jc w:val="center"/>
              <w:rPr>
                <w:rFonts w:ascii="宋体" w:eastAsia="宋体" w:cs="宋体"/>
                <w:sz w:val="21"/>
                <w:szCs w:val="21"/>
              </w:rPr>
            </w:pPr>
          </w:p>
        </w:tc>
        <w:tc>
          <w:tcPr>
            <w:tcW w:w="675" w:type="dxa"/>
            <w:vAlign w:val="center"/>
          </w:tcPr>
          <w:p>
            <w:pPr>
              <w:pStyle w:val="10"/>
              <w:numPr>
                <w:ilvl w:val="0"/>
                <w:numId w:val="0"/>
              </w:numPr>
              <w:jc w:val="center"/>
              <w:rPr>
                <w:rFonts w:ascii="宋体" w:eastAsia="宋体" w:cs="宋体"/>
                <w:sz w:val="21"/>
                <w:szCs w:val="21"/>
              </w:rPr>
            </w:pPr>
          </w:p>
        </w:tc>
        <w:tc>
          <w:tcPr>
            <w:tcW w:w="661" w:type="dxa"/>
            <w:vAlign w:val="center"/>
          </w:tcPr>
          <w:p>
            <w:pPr>
              <w:pStyle w:val="10"/>
              <w:numPr>
                <w:ilvl w:val="0"/>
                <w:numId w:val="0"/>
              </w:numPr>
              <w:jc w:val="center"/>
              <w:rPr>
                <w:rFonts w:ascii="宋体" w:eastAsia="宋体" w:cs="宋体"/>
                <w:sz w:val="21"/>
                <w:szCs w:val="21"/>
              </w:rPr>
            </w:pPr>
          </w:p>
        </w:tc>
        <w:tc>
          <w:tcPr>
            <w:tcW w:w="750" w:type="dxa"/>
            <w:gridSpan w:val="2"/>
            <w:vAlign w:val="center"/>
          </w:tcPr>
          <w:p>
            <w:pPr>
              <w:pStyle w:val="10"/>
              <w:numPr>
                <w:ilvl w:val="0"/>
                <w:numId w:val="0"/>
              </w:numPr>
              <w:jc w:val="center"/>
              <w:rPr>
                <w:rFonts w:ascii="宋体" w:eastAsia="宋体" w:cs="宋体"/>
                <w:sz w:val="21"/>
                <w:szCs w:val="21"/>
              </w:rPr>
            </w:pPr>
          </w:p>
        </w:tc>
        <w:tc>
          <w:tcPr>
            <w:tcW w:w="1066" w:type="dxa"/>
            <w:vAlign w:val="center"/>
          </w:tcPr>
          <w:p>
            <w:pPr>
              <w:pStyle w:val="10"/>
              <w:numPr>
                <w:ilvl w:val="0"/>
                <w:numId w:val="0"/>
              </w:numPr>
              <w:jc w:val="center"/>
              <w:rPr>
                <w:rFonts w:ascii="宋体" w:eastAsia="宋体" w:cs="宋体"/>
                <w:sz w:val="21"/>
                <w:szCs w:val="21"/>
              </w:rPr>
            </w:pPr>
          </w:p>
        </w:tc>
        <w:tc>
          <w:tcPr>
            <w:tcW w:w="1100" w:type="dxa"/>
            <w:vAlign w:val="center"/>
          </w:tcPr>
          <w:p>
            <w:pPr>
              <w:pStyle w:val="10"/>
              <w:numPr>
                <w:ilvl w:val="0"/>
                <w:numId w:val="0"/>
              </w:num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802" w:type="dxa"/>
            <w:vAlign w:val="center"/>
          </w:tcPr>
          <w:p>
            <w:pPr>
              <w:jc w:val="center"/>
              <w:rPr>
                <w:rFonts w:hint="default" w:ascii="宋体" w:eastAsia="宋体" w:cs="宋体"/>
                <w:szCs w:val="21"/>
                <w:lang w:val="en-US" w:eastAsia="zh-CN"/>
              </w:rPr>
            </w:pPr>
            <w:r>
              <w:rPr>
                <w:rFonts w:hint="eastAsia" w:ascii="宋体" w:cs="宋体"/>
                <w:szCs w:val="21"/>
                <w:lang w:val="en-US" w:eastAsia="zh-CN"/>
              </w:rPr>
              <w:t>1.1</w:t>
            </w:r>
          </w:p>
        </w:tc>
        <w:tc>
          <w:tcPr>
            <w:tcW w:w="1338" w:type="dxa"/>
            <w:vAlign w:val="center"/>
          </w:tcPr>
          <w:p>
            <w:pPr>
              <w:jc w:val="center"/>
              <w:rPr>
                <w:rFonts w:hint="eastAsia" w:ascii="宋体" w:hAnsi="Calibri" w:eastAsia="宋体" w:cs="宋体"/>
                <w:kern w:val="2"/>
                <w:sz w:val="24"/>
                <w:szCs w:val="24"/>
                <w:lang w:val="en-US" w:eastAsia="zh-CN" w:bidi="ar-SA"/>
              </w:rPr>
            </w:pPr>
          </w:p>
        </w:tc>
        <w:tc>
          <w:tcPr>
            <w:tcW w:w="1229" w:type="dxa"/>
            <w:vAlign w:val="center"/>
          </w:tcPr>
          <w:p>
            <w:pPr>
              <w:pStyle w:val="10"/>
              <w:numPr>
                <w:ilvl w:val="0"/>
                <w:numId w:val="0"/>
              </w:numPr>
              <w:jc w:val="center"/>
              <w:rPr>
                <w:rFonts w:ascii="宋体" w:eastAsia="宋体" w:cs="宋体"/>
                <w:sz w:val="21"/>
                <w:szCs w:val="21"/>
              </w:rPr>
            </w:pPr>
          </w:p>
        </w:tc>
        <w:tc>
          <w:tcPr>
            <w:tcW w:w="1319" w:type="dxa"/>
            <w:vAlign w:val="center"/>
          </w:tcPr>
          <w:p>
            <w:pPr>
              <w:pStyle w:val="10"/>
              <w:numPr>
                <w:ilvl w:val="0"/>
                <w:numId w:val="0"/>
              </w:numPr>
              <w:jc w:val="center"/>
              <w:rPr>
                <w:rFonts w:ascii="宋体" w:eastAsia="宋体" w:cs="宋体"/>
                <w:sz w:val="21"/>
                <w:szCs w:val="21"/>
              </w:rPr>
            </w:pPr>
          </w:p>
        </w:tc>
        <w:tc>
          <w:tcPr>
            <w:tcW w:w="675" w:type="dxa"/>
            <w:vAlign w:val="center"/>
          </w:tcPr>
          <w:p>
            <w:pPr>
              <w:pStyle w:val="10"/>
              <w:numPr>
                <w:ilvl w:val="0"/>
                <w:numId w:val="0"/>
              </w:numPr>
              <w:jc w:val="center"/>
              <w:rPr>
                <w:rFonts w:ascii="宋体" w:eastAsia="宋体" w:cs="宋体"/>
                <w:sz w:val="21"/>
                <w:szCs w:val="21"/>
              </w:rPr>
            </w:pPr>
          </w:p>
        </w:tc>
        <w:tc>
          <w:tcPr>
            <w:tcW w:w="661" w:type="dxa"/>
            <w:vAlign w:val="center"/>
          </w:tcPr>
          <w:p>
            <w:pPr>
              <w:pStyle w:val="10"/>
              <w:numPr>
                <w:ilvl w:val="0"/>
                <w:numId w:val="0"/>
              </w:numPr>
              <w:jc w:val="center"/>
              <w:rPr>
                <w:rFonts w:ascii="宋体" w:eastAsia="宋体" w:cs="宋体"/>
                <w:sz w:val="21"/>
                <w:szCs w:val="21"/>
              </w:rPr>
            </w:pPr>
          </w:p>
        </w:tc>
        <w:tc>
          <w:tcPr>
            <w:tcW w:w="750" w:type="dxa"/>
            <w:gridSpan w:val="2"/>
            <w:vAlign w:val="center"/>
          </w:tcPr>
          <w:p>
            <w:pPr>
              <w:pStyle w:val="10"/>
              <w:numPr>
                <w:ilvl w:val="0"/>
                <w:numId w:val="0"/>
              </w:numPr>
              <w:jc w:val="center"/>
              <w:rPr>
                <w:rFonts w:ascii="宋体" w:eastAsia="宋体" w:cs="宋体"/>
                <w:sz w:val="21"/>
                <w:szCs w:val="21"/>
              </w:rPr>
            </w:pPr>
          </w:p>
        </w:tc>
        <w:tc>
          <w:tcPr>
            <w:tcW w:w="1066" w:type="dxa"/>
            <w:vAlign w:val="center"/>
          </w:tcPr>
          <w:p>
            <w:pPr>
              <w:pStyle w:val="10"/>
              <w:numPr>
                <w:ilvl w:val="0"/>
                <w:numId w:val="0"/>
              </w:numPr>
              <w:jc w:val="center"/>
              <w:rPr>
                <w:rFonts w:ascii="宋体" w:eastAsia="宋体" w:cs="宋体"/>
                <w:sz w:val="21"/>
                <w:szCs w:val="21"/>
              </w:rPr>
            </w:pPr>
          </w:p>
        </w:tc>
        <w:tc>
          <w:tcPr>
            <w:tcW w:w="1100" w:type="dxa"/>
            <w:vAlign w:val="center"/>
          </w:tcPr>
          <w:p>
            <w:pPr>
              <w:pStyle w:val="10"/>
              <w:numPr>
                <w:ilvl w:val="0"/>
                <w:numId w:val="0"/>
              </w:num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802" w:type="dxa"/>
            <w:vAlign w:val="center"/>
          </w:tcPr>
          <w:p>
            <w:pPr>
              <w:jc w:val="center"/>
              <w:rPr>
                <w:rFonts w:hint="default" w:ascii="宋体" w:eastAsia="宋体" w:cs="宋体"/>
                <w:szCs w:val="21"/>
                <w:lang w:val="en-US" w:eastAsia="zh-CN"/>
              </w:rPr>
            </w:pPr>
            <w:r>
              <w:rPr>
                <w:rFonts w:hint="eastAsia" w:ascii="宋体" w:cs="宋体"/>
                <w:szCs w:val="21"/>
                <w:lang w:val="en-US" w:eastAsia="zh-CN"/>
              </w:rPr>
              <w:t>1.2</w:t>
            </w:r>
          </w:p>
        </w:tc>
        <w:tc>
          <w:tcPr>
            <w:tcW w:w="1338" w:type="dxa"/>
            <w:vAlign w:val="center"/>
          </w:tcPr>
          <w:p>
            <w:pPr>
              <w:jc w:val="center"/>
              <w:rPr>
                <w:rFonts w:hint="eastAsia" w:ascii="宋体" w:hAnsi="Calibri" w:eastAsia="宋体" w:cs="宋体"/>
                <w:kern w:val="2"/>
                <w:sz w:val="24"/>
                <w:szCs w:val="24"/>
                <w:lang w:val="en-US" w:eastAsia="zh-CN" w:bidi="ar-SA"/>
              </w:rPr>
            </w:pPr>
          </w:p>
        </w:tc>
        <w:tc>
          <w:tcPr>
            <w:tcW w:w="1229" w:type="dxa"/>
            <w:vAlign w:val="center"/>
          </w:tcPr>
          <w:p>
            <w:pPr>
              <w:pStyle w:val="10"/>
              <w:numPr>
                <w:ilvl w:val="0"/>
                <w:numId w:val="0"/>
              </w:numPr>
              <w:jc w:val="center"/>
              <w:rPr>
                <w:rFonts w:ascii="宋体" w:eastAsia="宋体" w:cs="宋体"/>
                <w:sz w:val="21"/>
                <w:szCs w:val="21"/>
              </w:rPr>
            </w:pPr>
          </w:p>
        </w:tc>
        <w:tc>
          <w:tcPr>
            <w:tcW w:w="1319" w:type="dxa"/>
            <w:vAlign w:val="center"/>
          </w:tcPr>
          <w:p>
            <w:pPr>
              <w:pStyle w:val="10"/>
              <w:numPr>
                <w:ilvl w:val="0"/>
                <w:numId w:val="0"/>
              </w:numPr>
              <w:jc w:val="center"/>
              <w:rPr>
                <w:rFonts w:ascii="宋体" w:eastAsia="宋体" w:cs="宋体"/>
                <w:sz w:val="21"/>
                <w:szCs w:val="21"/>
              </w:rPr>
            </w:pPr>
          </w:p>
        </w:tc>
        <w:tc>
          <w:tcPr>
            <w:tcW w:w="675" w:type="dxa"/>
            <w:vAlign w:val="center"/>
          </w:tcPr>
          <w:p>
            <w:pPr>
              <w:pStyle w:val="10"/>
              <w:numPr>
                <w:ilvl w:val="0"/>
                <w:numId w:val="0"/>
              </w:numPr>
              <w:jc w:val="center"/>
              <w:rPr>
                <w:rFonts w:ascii="宋体" w:eastAsia="宋体" w:cs="宋体"/>
                <w:sz w:val="21"/>
                <w:szCs w:val="21"/>
              </w:rPr>
            </w:pPr>
          </w:p>
        </w:tc>
        <w:tc>
          <w:tcPr>
            <w:tcW w:w="661" w:type="dxa"/>
            <w:vAlign w:val="center"/>
          </w:tcPr>
          <w:p>
            <w:pPr>
              <w:pStyle w:val="10"/>
              <w:numPr>
                <w:ilvl w:val="0"/>
                <w:numId w:val="0"/>
              </w:numPr>
              <w:jc w:val="center"/>
              <w:rPr>
                <w:rFonts w:ascii="宋体" w:eastAsia="宋体" w:cs="宋体"/>
                <w:sz w:val="21"/>
                <w:szCs w:val="21"/>
              </w:rPr>
            </w:pPr>
          </w:p>
        </w:tc>
        <w:tc>
          <w:tcPr>
            <w:tcW w:w="750" w:type="dxa"/>
            <w:gridSpan w:val="2"/>
            <w:vAlign w:val="center"/>
          </w:tcPr>
          <w:p>
            <w:pPr>
              <w:pStyle w:val="10"/>
              <w:numPr>
                <w:ilvl w:val="0"/>
                <w:numId w:val="0"/>
              </w:numPr>
              <w:jc w:val="center"/>
              <w:rPr>
                <w:rFonts w:ascii="宋体" w:eastAsia="宋体" w:cs="宋体"/>
                <w:sz w:val="21"/>
                <w:szCs w:val="21"/>
              </w:rPr>
            </w:pPr>
          </w:p>
        </w:tc>
        <w:tc>
          <w:tcPr>
            <w:tcW w:w="1066" w:type="dxa"/>
            <w:vAlign w:val="center"/>
          </w:tcPr>
          <w:p>
            <w:pPr>
              <w:pStyle w:val="10"/>
              <w:numPr>
                <w:ilvl w:val="0"/>
                <w:numId w:val="0"/>
              </w:numPr>
              <w:jc w:val="center"/>
              <w:rPr>
                <w:rFonts w:ascii="宋体" w:eastAsia="宋体" w:cs="宋体"/>
                <w:sz w:val="21"/>
                <w:szCs w:val="21"/>
              </w:rPr>
            </w:pPr>
          </w:p>
        </w:tc>
        <w:tc>
          <w:tcPr>
            <w:tcW w:w="1100" w:type="dxa"/>
            <w:vAlign w:val="center"/>
          </w:tcPr>
          <w:p>
            <w:pPr>
              <w:pStyle w:val="10"/>
              <w:numPr>
                <w:ilvl w:val="0"/>
                <w:numId w:val="0"/>
              </w:num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802" w:type="dxa"/>
            <w:vAlign w:val="center"/>
          </w:tcPr>
          <w:p>
            <w:pPr>
              <w:jc w:val="center"/>
              <w:rPr>
                <w:rFonts w:ascii="宋体" w:cs="宋体"/>
                <w:szCs w:val="21"/>
              </w:rPr>
            </w:pPr>
            <w:r>
              <w:rPr>
                <w:rFonts w:hint="eastAsia" w:ascii="宋体" w:cs="宋体"/>
                <w:szCs w:val="21"/>
              </w:rPr>
              <w:t>2</w:t>
            </w:r>
          </w:p>
        </w:tc>
        <w:tc>
          <w:tcPr>
            <w:tcW w:w="1338" w:type="dxa"/>
            <w:vAlign w:val="center"/>
          </w:tcPr>
          <w:p>
            <w:pPr>
              <w:jc w:val="center"/>
              <w:rPr>
                <w:rFonts w:ascii="宋体" w:cs="宋体"/>
                <w:szCs w:val="21"/>
              </w:rPr>
            </w:pPr>
          </w:p>
        </w:tc>
        <w:tc>
          <w:tcPr>
            <w:tcW w:w="1229" w:type="dxa"/>
            <w:vAlign w:val="center"/>
          </w:tcPr>
          <w:p>
            <w:pPr>
              <w:pStyle w:val="10"/>
              <w:numPr>
                <w:ilvl w:val="0"/>
                <w:numId w:val="0"/>
              </w:numPr>
              <w:jc w:val="center"/>
              <w:rPr>
                <w:rFonts w:ascii="宋体" w:eastAsia="宋体" w:cs="宋体"/>
                <w:sz w:val="21"/>
                <w:szCs w:val="21"/>
              </w:rPr>
            </w:pPr>
          </w:p>
        </w:tc>
        <w:tc>
          <w:tcPr>
            <w:tcW w:w="1319" w:type="dxa"/>
            <w:vAlign w:val="center"/>
          </w:tcPr>
          <w:p>
            <w:pPr>
              <w:pStyle w:val="10"/>
              <w:numPr>
                <w:ilvl w:val="0"/>
                <w:numId w:val="0"/>
              </w:numPr>
              <w:jc w:val="center"/>
              <w:rPr>
                <w:rFonts w:ascii="宋体" w:eastAsia="宋体" w:cs="宋体"/>
                <w:sz w:val="21"/>
                <w:szCs w:val="21"/>
              </w:rPr>
            </w:pPr>
          </w:p>
        </w:tc>
        <w:tc>
          <w:tcPr>
            <w:tcW w:w="675" w:type="dxa"/>
            <w:vAlign w:val="center"/>
          </w:tcPr>
          <w:p>
            <w:pPr>
              <w:pStyle w:val="10"/>
              <w:numPr>
                <w:ilvl w:val="0"/>
                <w:numId w:val="0"/>
              </w:numPr>
              <w:jc w:val="center"/>
              <w:rPr>
                <w:rFonts w:ascii="宋体" w:eastAsia="宋体" w:cs="宋体"/>
                <w:sz w:val="21"/>
                <w:szCs w:val="21"/>
              </w:rPr>
            </w:pPr>
          </w:p>
        </w:tc>
        <w:tc>
          <w:tcPr>
            <w:tcW w:w="661" w:type="dxa"/>
            <w:vAlign w:val="center"/>
          </w:tcPr>
          <w:p>
            <w:pPr>
              <w:pStyle w:val="10"/>
              <w:numPr>
                <w:ilvl w:val="0"/>
                <w:numId w:val="0"/>
              </w:numPr>
              <w:jc w:val="center"/>
              <w:rPr>
                <w:rFonts w:ascii="宋体" w:eastAsia="宋体" w:cs="宋体"/>
                <w:sz w:val="21"/>
                <w:szCs w:val="21"/>
              </w:rPr>
            </w:pPr>
          </w:p>
        </w:tc>
        <w:tc>
          <w:tcPr>
            <w:tcW w:w="750" w:type="dxa"/>
            <w:gridSpan w:val="2"/>
            <w:vAlign w:val="center"/>
          </w:tcPr>
          <w:p>
            <w:pPr>
              <w:pStyle w:val="10"/>
              <w:numPr>
                <w:ilvl w:val="0"/>
                <w:numId w:val="0"/>
              </w:numPr>
              <w:jc w:val="center"/>
              <w:rPr>
                <w:rFonts w:ascii="宋体" w:eastAsia="宋体" w:cs="宋体"/>
                <w:sz w:val="21"/>
                <w:szCs w:val="21"/>
              </w:rPr>
            </w:pPr>
          </w:p>
        </w:tc>
        <w:tc>
          <w:tcPr>
            <w:tcW w:w="1066" w:type="dxa"/>
            <w:vAlign w:val="center"/>
          </w:tcPr>
          <w:p>
            <w:pPr>
              <w:pStyle w:val="10"/>
              <w:numPr>
                <w:ilvl w:val="0"/>
                <w:numId w:val="0"/>
              </w:numPr>
              <w:jc w:val="center"/>
              <w:rPr>
                <w:rFonts w:ascii="宋体" w:eastAsia="宋体" w:cs="宋体"/>
                <w:sz w:val="21"/>
                <w:szCs w:val="21"/>
              </w:rPr>
            </w:pPr>
          </w:p>
        </w:tc>
        <w:tc>
          <w:tcPr>
            <w:tcW w:w="1100" w:type="dxa"/>
            <w:vAlign w:val="center"/>
          </w:tcPr>
          <w:p>
            <w:pPr>
              <w:pStyle w:val="10"/>
              <w:numPr>
                <w:ilvl w:val="0"/>
                <w:numId w:val="0"/>
              </w:num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802" w:type="dxa"/>
            <w:vAlign w:val="center"/>
          </w:tcPr>
          <w:p>
            <w:pPr>
              <w:jc w:val="center"/>
              <w:rPr>
                <w:rFonts w:ascii="宋体" w:cs="宋体"/>
                <w:szCs w:val="21"/>
              </w:rPr>
            </w:pPr>
            <w:r>
              <w:rPr>
                <w:rFonts w:hint="eastAsia" w:ascii="宋体" w:cs="宋体"/>
                <w:szCs w:val="21"/>
              </w:rPr>
              <w:t>……</w:t>
            </w:r>
          </w:p>
        </w:tc>
        <w:tc>
          <w:tcPr>
            <w:tcW w:w="1338" w:type="dxa"/>
            <w:vAlign w:val="center"/>
          </w:tcPr>
          <w:p>
            <w:pPr>
              <w:jc w:val="center"/>
              <w:rPr>
                <w:rFonts w:ascii="宋体" w:cs="宋体"/>
                <w:szCs w:val="21"/>
              </w:rPr>
            </w:pPr>
          </w:p>
        </w:tc>
        <w:tc>
          <w:tcPr>
            <w:tcW w:w="1229" w:type="dxa"/>
            <w:vAlign w:val="center"/>
          </w:tcPr>
          <w:p>
            <w:pPr>
              <w:pStyle w:val="10"/>
              <w:numPr>
                <w:ilvl w:val="0"/>
                <w:numId w:val="0"/>
              </w:numPr>
              <w:jc w:val="center"/>
              <w:rPr>
                <w:rFonts w:ascii="宋体" w:eastAsia="宋体" w:cs="宋体"/>
                <w:sz w:val="21"/>
                <w:szCs w:val="21"/>
              </w:rPr>
            </w:pPr>
          </w:p>
        </w:tc>
        <w:tc>
          <w:tcPr>
            <w:tcW w:w="1319" w:type="dxa"/>
            <w:vAlign w:val="center"/>
          </w:tcPr>
          <w:p>
            <w:pPr>
              <w:pStyle w:val="10"/>
              <w:numPr>
                <w:ilvl w:val="0"/>
                <w:numId w:val="0"/>
              </w:numPr>
              <w:jc w:val="center"/>
              <w:rPr>
                <w:rFonts w:ascii="宋体" w:eastAsia="宋体" w:cs="宋体"/>
                <w:sz w:val="21"/>
                <w:szCs w:val="21"/>
              </w:rPr>
            </w:pPr>
          </w:p>
        </w:tc>
        <w:tc>
          <w:tcPr>
            <w:tcW w:w="675" w:type="dxa"/>
            <w:vAlign w:val="center"/>
          </w:tcPr>
          <w:p>
            <w:pPr>
              <w:pStyle w:val="10"/>
              <w:numPr>
                <w:ilvl w:val="0"/>
                <w:numId w:val="0"/>
              </w:numPr>
              <w:jc w:val="center"/>
              <w:rPr>
                <w:rFonts w:ascii="宋体" w:eastAsia="宋体" w:cs="宋体"/>
                <w:sz w:val="21"/>
                <w:szCs w:val="21"/>
              </w:rPr>
            </w:pPr>
          </w:p>
        </w:tc>
        <w:tc>
          <w:tcPr>
            <w:tcW w:w="661" w:type="dxa"/>
            <w:vAlign w:val="center"/>
          </w:tcPr>
          <w:p>
            <w:pPr>
              <w:pStyle w:val="10"/>
              <w:numPr>
                <w:ilvl w:val="0"/>
                <w:numId w:val="0"/>
              </w:numPr>
              <w:jc w:val="center"/>
              <w:rPr>
                <w:rFonts w:ascii="宋体" w:eastAsia="宋体" w:cs="宋体"/>
                <w:sz w:val="21"/>
                <w:szCs w:val="21"/>
              </w:rPr>
            </w:pPr>
          </w:p>
        </w:tc>
        <w:tc>
          <w:tcPr>
            <w:tcW w:w="750" w:type="dxa"/>
            <w:gridSpan w:val="2"/>
            <w:vAlign w:val="center"/>
          </w:tcPr>
          <w:p>
            <w:pPr>
              <w:pStyle w:val="10"/>
              <w:numPr>
                <w:ilvl w:val="0"/>
                <w:numId w:val="0"/>
              </w:numPr>
              <w:jc w:val="center"/>
              <w:rPr>
                <w:rFonts w:ascii="宋体" w:eastAsia="宋体" w:cs="宋体"/>
                <w:sz w:val="21"/>
                <w:szCs w:val="21"/>
              </w:rPr>
            </w:pPr>
          </w:p>
        </w:tc>
        <w:tc>
          <w:tcPr>
            <w:tcW w:w="1066" w:type="dxa"/>
            <w:vAlign w:val="center"/>
          </w:tcPr>
          <w:p>
            <w:pPr>
              <w:pStyle w:val="10"/>
              <w:numPr>
                <w:ilvl w:val="0"/>
                <w:numId w:val="0"/>
              </w:numPr>
              <w:jc w:val="center"/>
              <w:rPr>
                <w:rFonts w:ascii="宋体" w:eastAsia="宋体" w:cs="宋体"/>
                <w:sz w:val="21"/>
                <w:szCs w:val="21"/>
              </w:rPr>
            </w:pPr>
          </w:p>
        </w:tc>
        <w:tc>
          <w:tcPr>
            <w:tcW w:w="1100" w:type="dxa"/>
            <w:vAlign w:val="center"/>
          </w:tcPr>
          <w:p>
            <w:pPr>
              <w:pStyle w:val="10"/>
              <w:numPr>
                <w:ilvl w:val="0"/>
                <w:numId w:val="0"/>
              </w:numPr>
              <w:jc w:val="center"/>
              <w:rPr>
                <w:rFonts w:asci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2140" w:type="dxa"/>
            <w:gridSpan w:val="2"/>
            <w:vAlign w:val="center"/>
          </w:tcPr>
          <w:p>
            <w:pPr>
              <w:jc w:val="center"/>
              <w:rPr>
                <w:rFonts w:hint="eastAsia" w:ascii="宋体" w:eastAsia="宋体" w:cs="宋体"/>
                <w:sz w:val="24"/>
                <w:szCs w:val="24"/>
                <w:lang w:eastAsia="zh-CN"/>
              </w:rPr>
            </w:pPr>
            <w:r>
              <w:rPr>
                <w:rFonts w:hint="eastAsia" w:ascii="宋体" w:cs="宋体"/>
                <w:sz w:val="24"/>
                <w:szCs w:val="24"/>
                <w:lang w:val="en-US" w:eastAsia="zh-CN"/>
              </w:rPr>
              <w:t>合计</w:t>
            </w:r>
          </w:p>
        </w:tc>
        <w:tc>
          <w:tcPr>
            <w:tcW w:w="3900" w:type="dxa"/>
            <w:gridSpan w:val="5"/>
            <w:vAlign w:val="center"/>
          </w:tcPr>
          <w:p>
            <w:pPr>
              <w:pStyle w:val="10"/>
              <w:numPr>
                <w:ilvl w:val="0"/>
                <w:numId w:val="0"/>
              </w:numPr>
              <w:rPr>
                <w:rFonts w:hint="eastAsia" w:ascii="宋体" w:eastAsia="宋体" w:cs="宋体"/>
                <w:sz w:val="24"/>
                <w:szCs w:val="24"/>
                <w:lang w:eastAsia="zh-CN"/>
              </w:rPr>
            </w:pPr>
            <w:r>
              <w:rPr>
                <w:rFonts w:hint="eastAsia" w:ascii="宋体" w:eastAsia="宋体" w:cs="宋体"/>
                <w:sz w:val="24"/>
                <w:szCs w:val="24"/>
              </w:rPr>
              <w:t>大写</w:t>
            </w:r>
            <w:r>
              <w:rPr>
                <w:rFonts w:hint="eastAsia" w:ascii="宋体" w:eastAsia="宋体" w:cs="宋体"/>
                <w:sz w:val="24"/>
                <w:szCs w:val="24"/>
                <w:lang w:eastAsia="zh-CN"/>
              </w:rPr>
              <w:t>：</w:t>
            </w:r>
          </w:p>
        </w:tc>
        <w:tc>
          <w:tcPr>
            <w:tcW w:w="2900" w:type="dxa"/>
            <w:gridSpan w:val="3"/>
            <w:vAlign w:val="center"/>
          </w:tcPr>
          <w:p>
            <w:pPr>
              <w:pStyle w:val="10"/>
              <w:numPr>
                <w:ilvl w:val="0"/>
                <w:numId w:val="0"/>
              </w:numPr>
              <w:rPr>
                <w:rFonts w:ascii="宋体" w:eastAsia="宋体" w:cs="宋体"/>
                <w:sz w:val="24"/>
                <w:szCs w:val="24"/>
              </w:rPr>
            </w:pPr>
            <w:r>
              <w:rPr>
                <w:rFonts w:hint="eastAsia" w:ascii="宋体" w:eastAsia="宋体" w:cs="宋体"/>
                <w:sz w:val="24"/>
                <w:szCs w:val="24"/>
              </w:rPr>
              <w:t>￥：</w:t>
            </w:r>
          </w:p>
        </w:tc>
      </w:tr>
    </w:tbl>
    <w:p>
      <w:pPr>
        <w:spacing w:line="360" w:lineRule="auto"/>
        <w:ind w:firstLine="482" w:firstLineChars="200"/>
        <w:rPr>
          <w:rFonts w:ascii="宋体" w:cs="宋体"/>
          <w:sz w:val="24"/>
          <w:szCs w:val="24"/>
        </w:rPr>
      </w:pPr>
      <w:r>
        <w:rPr>
          <w:rFonts w:hint="eastAsia" w:ascii="宋体" w:cs="宋体"/>
          <w:b/>
          <w:bCs/>
          <w:sz w:val="24"/>
          <w:szCs w:val="24"/>
        </w:rPr>
        <w:t>说明：</w:t>
      </w:r>
      <w:r>
        <w:rPr>
          <w:rFonts w:hint="eastAsia" w:ascii="宋体" w:cs="宋体"/>
          <w:sz w:val="24"/>
          <w:szCs w:val="24"/>
        </w:rPr>
        <w:t>1、投标报价均用人民币表示，单位为元。</w:t>
      </w:r>
    </w:p>
    <w:p>
      <w:pPr>
        <w:spacing w:line="360" w:lineRule="auto"/>
        <w:ind w:firstLine="480" w:firstLineChars="200"/>
        <w:rPr>
          <w:rFonts w:ascii="宋体" w:cs="宋体"/>
          <w:bCs/>
          <w:sz w:val="24"/>
          <w:szCs w:val="24"/>
        </w:rPr>
      </w:pPr>
      <w:r>
        <w:rPr>
          <w:rFonts w:hint="eastAsia" w:ascii="宋体" w:cs="宋体"/>
          <w:sz w:val="24"/>
          <w:szCs w:val="24"/>
        </w:rPr>
        <w:t>2、本项目各标包分别报价，投标人对每标包所投标产品报且只能报一个</w:t>
      </w:r>
      <w:r>
        <w:rPr>
          <w:rFonts w:hint="eastAsia" w:ascii="宋体" w:cs="宋体"/>
          <w:bCs/>
          <w:sz w:val="24"/>
          <w:szCs w:val="24"/>
        </w:rPr>
        <w:t>投标价</w:t>
      </w:r>
      <w:r>
        <w:rPr>
          <w:rFonts w:hint="eastAsia" w:ascii="宋体" w:cs="宋体"/>
          <w:sz w:val="24"/>
          <w:szCs w:val="24"/>
        </w:rPr>
        <w:t>，且所报价格不得高于预算金额。</w:t>
      </w:r>
    </w:p>
    <w:p>
      <w:pPr>
        <w:spacing w:line="360" w:lineRule="auto"/>
        <w:ind w:firstLine="480" w:firstLineChars="200"/>
        <w:rPr>
          <w:rFonts w:ascii="宋体" w:cs="宋体"/>
          <w:sz w:val="24"/>
          <w:szCs w:val="24"/>
        </w:rPr>
      </w:pPr>
      <w:r>
        <w:rPr>
          <w:rFonts w:hint="eastAsia" w:ascii="宋体" w:cs="宋体"/>
          <w:sz w:val="24"/>
          <w:szCs w:val="24"/>
        </w:rPr>
        <w:t>3、投标人对所投产品报价为对应本项目需求的全部货物及所需附件购置费（货款）及相关辅助材料、包装费、运杂费（含装卸费）、安装、人工费、风险费、保险费、安装测试费、检测费（含各类特殊检测费用）、技术培训费、各种税费、利润、资料费、货到采购人指定地点的所有费用、售后服务开支及完成项目应有的全部费用。</w:t>
      </w:r>
    </w:p>
    <w:p>
      <w:pPr>
        <w:spacing w:line="360" w:lineRule="auto"/>
        <w:ind w:firstLine="480" w:firstLineChars="200"/>
        <w:rPr>
          <w:rFonts w:hint="default" w:ascii="宋体" w:eastAsia="黑体" w:cs="宋体"/>
          <w:sz w:val="24"/>
          <w:szCs w:val="24"/>
          <w:lang w:val="en-US" w:eastAsia="zh-CN"/>
        </w:rPr>
      </w:pPr>
      <w:r>
        <w:rPr>
          <w:rFonts w:hint="eastAsia" w:ascii="宋体" w:cs="宋体"/>
          <w:sz w:val="24"/>
          <w:szCs w:val="24"/>
        </w:rPr>
        <w:t>4、</w:t>
      </w:r>
      <w:r>
        <w:rPr>
          <w:rFonts w:hint="eastAsia" w:ascii="宋体" w:cs="宋体"/>
          <w:sz w:val="24"/>
          <w:szCs w:val="24"/>
          <w:lang w:val="en-US" w:eastAsia="zh-CN"/>
        </w:rPr>
        <w:t>此报价明细表应按照招标文件</w:t>
      </w:r>
      <w:r>
        <w:rPr>
          <w:rFonts w:hint="eastAsia" w:ascii="黑体" w:eastAsia="黑体" w:cs="黑体"/>
          <w:color w:val="000000"/>
          <w:sz w:val="24"/>
        </w:rPr>
        <w:t>第五章</w:t>
      </w:r>
      <w:r>
        <w:rPr>
          <w:rFonts w:hint="eastAsia" w:ascii="黑体" w:eastAsia="黑体" w:cs="黑体"/>
          <w:sz w:val="24"/>
        </w:rPr>
        <w:t xml:space="preserve">  技术标准和要求</w:t>
      </w:r>
      <w:r>
        <w:rPr>
          <w:rFonts w:hint="eastAsia" w:ascii="黑体" w:eastAsia="黑体" w:cs="黑体"/>
          <w:sz w:val="24"/>
          <w:lang w:val="en-US" w:eastAsia="zh-CN"/>
        </w:rPr>
        <w:t>中设备采购清单格式完整提供，产品名称、单位、数量必须保持一致。</w:t>
      </w:r>
    </w:p>
    <w:p>
      <w:pPr>
        <w:spacing w:line="360" w:lineRule="auto"/>
        <w:ind w:firstLine="480" w:firstLineChars="200"/>
        <w:rPr>
          <w:rFonts w:ascii="宋体" w:cs="宋体"/>
          <w:b/>
          <w:sz w:val="24"/>
          <w:szCs w:val="24"/>
        </w:rPr>
      </w:pPr>
      <w:r>
        <w:rPr>
          <w:rFonts w:hint="eastAsia" w:ascii="宋体" w:cs="宋体"/>
          <w:sz w:val="24"/>
          <w:szCs w:val="24"/>
          <w:lang w:val="en-US" w:eastAsia="zh-CN"/>
        </w:rPr>
        <w:t>5、报价明细表中</w:t>
      </w:r>
      <w:r>
        <w:rPr>
          <w:rFonts w:hint="eastAsia" w:ascii="宋体" w:cs="宋体"/>
          <w:b/>
          <w:sz w:val="24"/>
          <w:szCs w:val="24"/>
        </w:rPr>
        <w:t>合价应与开标一览表中合价相一致。</w:t>
      </w:r>
    </w:p>
    <w:p>
      <w:pPr>
        <w:pStyle w:val="13"/>
        <w:tabs>
          <w:tab w:val="left" w:pos="5580"/>
        </w:tabs>
        <w:spacing w:line="360" w:lineRule="auto"/>
        <w:ind w:firstLine="480" w:firstLineChars="200"/>
        <w:rPr>
          <w:sz w:val="24"/>
        </w:rPr>
      </w:pPr>
    </w:p>
    <w:p>
      <w:pPr>
        <w:pStyle w:val="13"/>
        <w:tabs>
          <w:tab w:val="left" w:pos="5580"/>
        </w:tabs>
        <w:spacing w:line="360" w:lineRule="auto"/>
        <w:ind w:firstLine="480" w:firstLineChars="200"/>
        <w:rPr>
          <w:sz w:val="24"/>
        </w:rPr>
      </w:pPr>
    </w:p>
    <w:p>
      <w:pPr>
        <w:pStyle w:val="13"/>
        <w:tabs>
          <w:tab w:val="left" w:pos="5580"/>
        </w:tabs>
        <w:spacing w:line="360" w:lineRule="auto"/>
        <w:ind w:firstLine="480" w:firstLineChars="200"/>
        <w:rPr>
          <w:sz w:val="24"/>
        </w:rPr>
      </w:pPr>
      <w:r>
        <w:rPr>
          <w:rFonts w:hint="eastAsia"/>
          <w:sz w:val="24"/>
        </w:rPr>
        <w:t>投标人（盖</w:t>
      </w:r>
      <w:r>
        <w:rPr>
          <w:sz w:val="24"/>
        </w:rPr>
        <w:t>章）：</w:t>
      </w:r>
    </w:p>
    <w:p>
      <w:pPr>
        <w:pStyle w:val="14"/>
      </w:pPr>
    </w:p>
    <w:p>
      <w:pPr>
        <w:pStyle w:val="13"/>
        <w:tabs>
          <w:tab w:val="left" w:pos="5580"/>
        </w:tabs>
        <w:spacing w:line="360" w:lineRule="auto"/>
        <w:ind w:firstLine="480" w:firstLineChars="200"/>
        <w:rPr>
          <w:rFonts w:hint="eastAsia" w:cs="宋体"/>
          <w:kern w:val="0"/>
          <w:sz w:val="24"/>
        </w:rPr>
      </w:pPr>
      <w:r>
        <w:rPr>
          <w:rFonts w:hint="eastAsia"/>
          <w:sz w:val="24"/>
        </w:rPr>
        <w:t>法定代表人或</w:t>
      </w:r>
      <w:r>
        <w:rPr>
          <w:rFonts w:hint="eastAsia" w:cs="宋体"/>
          <w:kern w:val="0"/>
          <w:sz w:val="24"/>
        </w:rPr>
        <w:t>委托代理人</w:t>
      </w:r>
      <w:r>
        <w:rPr>
          <w:rFonts w:hint="eastAsia"/>
          <w:sz w:val="24"/>
        </w:rPr>
        <w:t>（签字</w:t>
      </w:r>
      <w:r>
        <w:rPr>
          <w:rFonts w:hint="eastAsia"/>
          <w:sz w:val="24"/>
          <w:lang w:val="en-US" w:eastAsia="zh-CN"/>
        </w:rPr>
        <w:t>或盖章</w:t>
      </w:r>
      <w:r>
        <w:rPr>
          <w:rFonts w:hint="eastAsia"/>
          <w:sz w:val="24"/>
        </w:rPr>
        <w:t>）</w:t>
      </w:r>
      <w:r>
        <w:rPr>
          <w:rFonts w:hint="eastAsia" w:cs="宋体"/>
          <w:kern w:val="0"/>
          <w:sz w:val="24"/>
        </w:rPr>
        <w:t>：</w:t>
      </w:r>
    </w:p>
    <w:p>
      <w:pPr>
        <w:pStyle w:val="14"/>
        <w:rPr>
          <w:rFonts w:hint="eastAsia" w:cs="宋体"/>
          <w:kern w:val="0"/>
          <w:sz w:val="24"/>
        </w:rPr>
      </w:pPr>
    </w:p>
    <w:p/>
    <w:p>
      <w:pPr>
        <w:spacing w:line="360" w:lineRule="auto"/>
        <w:ind w:firstLine="6000" w:firstLineChars="2500"/>
        <w:rPr>
          <w:rFonts w:ascii="宋体" w:cs="宋体"/>
          <w:sz w:val="24"/>
        </w:rPr>
      </w:pPr>
      <w:r>
        <w:rPr>
          <w:rFonts w:hint="eastAsia" w:ascii="宋体" w:cs="宋体"/>
          <w:sz w:val="24"/>
        </w:rPr>
        <w:t>日期：   年   月   日</w:t>
      </w:r>
    </w:p>
    <w:p>
      <w:pPr>
        <w:ind w:firstLine="420" w:firstLineChars="200"/>
      </w:pPr>
      <w:r>
        <w:rPr>
          <w:rFonts w:hint="eastAsia"/>
        </w:rPr>
        <w:br w:type="page"/>
      </w:r>
    </w:p>
    <w:p>
      <w:pPr>
        <w:ind w:firstLine="643" w:firstLineChars="200"/>
        <w:jc w:val="center"/>
        <w:rPr>
          <w:b/>
          <w:bCs/>
          <w:sz w:val="32"/>
          <w:szCs w:val="32"/>
        </w:rPr>
      </w:pPr>
      <w:r>
        <w:rPr>
          <w:rFonts w:hint="eastAsia"/>
          <w:b/>
          <w:bCs/>
          <w:sz w:val="32"/>
          <w:szCs w:val="32"/>
        </w:rPr>
        <w:t>法定代表人身份证明书</w:t>
      </w:r>
    </w:p>
    <w:p>
      <w:pPr>
        <w:spacing w:line="360" w:lineRule="auto"/>
        <w:ind w:firstLine="480" w:firstLineChars="200"/>
        <w:rPr>
          <w:rFonts w:ascii="宋体" w:cs="宋体"/>
          <w:sz w:val="24"/>
        </w:rPr>
      </w:pPr>
    </w:p>
    <w:p>
      <w:pPr>
        <w:spacing w:line="360" w:lineRule="auto"/>
        <w:ind w:firstLine="480" w:firstLineChars="200"/>
        <w:rPr>
          <w:rFonts w:ascii="宋体" w:cs="宋体"/>
          <w:sz w:val="24"/>
        </w:rPr>
      </w:pPr>
      <w:r>
        <w:rPr>
          <w:rFonts w:hint="eastAsia" w:ascii="宋体" w:cs="宋体"/>
          <w:sz w:val="24"/>
        </w:rPr>
        <w:t xml:space="preserve">单位名称：                              </w:t>
      </w:r>
    </w:p>
    <w:p>
      <w:pPr>
        <w:spacing w:line="360" w:lineRule="auto"/>
        <w:ind w:firstLine="480" w:firstLineChars="200"/>
        <w:rPr>
          <w:rFonts w:ascii="宋体" w:cs="宋体"/>
          <w:sz w:val="24"/>
        </w:rPr>
      </w:pPr>
      <w:r>
        <w:rPr>
          <w:rFonts w:hint="eastAsia" w:ascii="宋体" w:cs="宋体"/>
          <w:sz w:val="24"/>
        </w:rPr>
        <w:t xml:space="preserve">单位性质：                              </w:t>
      </w:r>
    </w:p>
    <w:p>
      <w:pPr>
        <w:spacing w:line="360" w:lineRule="auto"/>
        <w:ind w:firstLine="480" w:firstLineChars="200"/>
        <w:rPr>
          <w:rFonts w:ascii="宋体" w:cs="宋体"/>
          <w:sz w:val="24"/>
        </w:rPr>
      </w:pPr>
      <w:r>
        <w:rPr>
          <w:rFonts w:hint="eastAsia" w:ascii="宋体" w:cs="宋体"/>
          <w:sz w:val="24"/>
        </w:rPr>
        <w:t xml:space="preserve">地    址：                              </w:t>
      </w:r>
    </w:p>
    <w:p>
      <w:pPr>
        <w:spacing w:line="360" w:lineRule="auto"/>
        <w:ind w:firstLine="480" w:firstLineChars="200"/>
        <w:rPr>
          <w:rFonts w:ascii="宋体" w:cs="宋体"/>
          <w:sz w:val="24"/>
        </w:rPr>
      </w:pPr>
      <w:r>
        <w:rPr>
          <w:rFonts w:hint="eastAsia" w:ascii="宋体" w:cs="宋体"/>
          <w:sz w:val="24"/>
        </w:rPr>
        <w:t>成立时间：           年       月       日</w:t>
      </w:r>
    </w:p>
    <w:p>
      <w:pPr>
        <w:spacing w:line="360" w:lineRule="auto"/>
        <w:ind w:firstLine="480" w:firstLineChars="200"/>
        <w:rPr>
          <w:rFonts w:ascii="宋体" w:cs="宋体"/>
          <w:sz w:val="24"/>
        </w:rPr>
      </w:pPr>
      <w:r>
        <w:rPr>
          <w:rFonts w:hint="eastAsia" w:ascii="宋体" w:cs="宋体"/>
          <w:sz w:val="24"/>
        </w:rPr>
        <w:t xml:space="preserve">经营期限：                              </w:t>
      </w:r>
    </w:p>
    <w:p>
      <w:pPr>
        <w:spacing w:line="360" w:lineRule="auto"/>
        <w:ind w:firstLine="480" w:firstLineChars="200"/>
        <w:rPr>
          <w:rFonts w:ascii="宋体" w:cs="宋体"/>
          <w:sz w:val="24"/>
        </w:rPr>
      </w:pPr>
      <w:r>
        <w:rPr>
          <w:rFonts w:hint="eastAsia" w:ascii="宋体" w:cs="宋体"/>
          <w:sz w:val="24"/>
        </w:rPr>
        <w:t xml:space="preserve">姓名：   性别：   年龄：   职务：      </w:t>
      </w:r>
    </w:p>
    <w:p>
      <w:pPr>
        <w:spacing w:line="360" w:lineRule="auto"/>
        <w:ind w:firstLine="600" w:firstLineChars="250"/>
        <w:rPr>
          <w:rFonts w:ascii="宋体" w:cs="宋体"/>
          <w:sz w:val="24"/>
        </w:rPr>
      </w:pPr>
      <w:r>
        <w:rPr>
          <w:rFonts w:hint="eastAsia" w:ascii="宋体" w:cs="宋体"/>
          <w:sz w:val="24"/>
        </w:rPr>
        <w:t>系</w:t>
      </w:r>
      <w:r>
        <w:rPr>
          <w:rFonts w:hint="eastAsia" w:ascii="宋体" w:cs="宋体"/>
          <w:sz w:val="24"/>
          <w:u w:val="single"/>
        </w:rPr>
        <w:t>（投标人名称）</w:t>
      </w:r>
      <w:r>
        <w:rPr>
          <w:rFonts w:hint="eastAsia" w:ascii="宋体" w:cs="宋体"/>
          <w:sz w:val="24"/>
        </w:rPr>
        <w:t>的法定代表人。为参加本项目，签署上述的投标文件、进行合同谈判、签署合同和处理与之有关的一切事物。</w:t>
      </w:r>
    </w:p>
    <w:p>
      <w:pPr>
        <w:spacing w:line="360" w:lineRule="auto"/>
        <w:ind w:firstLine="480" w:firstLineChars="200"/>
        <w:rPr>
          <w:rFonts w:ascii="宋体" w:cs="宋体"/>
          <w:sz w:val="24"/>
        </w:rPr>
      </w:pPr>
      <w:r>
        <w:rPr>
          <w:rFonts w:hint="eastAsia" w:ascii="宋体" w:cs="宋体"/>
          <w:sz w:val="24"/>
        </w:rPr>
        <w:t>特此证明。</w:t>
      </w:r>
    </w:p>
    <w:p>
      <w:pPr>
        <w:spacing w:line="360" w:lineRule="auto"/>
        <w:ind w:firstLine="480" w:firstLineChars="200"/>
        <w:rPr>
          <w:rFonts w:hint="eastAsia" w:ascii="宋体" w:cs="宋体"/>
          <w:sz w:val="24"/>
        </w:rPr>
      </w:pPr>
      <w:r>
        <w:rPr>
          <w:rFonts w:hint="eastAsia" w:ascii="宋体" w:cs="宋体"/>
          <w:sz w:val="24"/>
        </w:rPr>
        <w:t>附：法定代表人身份证明</w:t>
      </w:r>
    </w:p>
    <w:p>
      <w:pPr>
        <w:pStyle w:val="24"/>
      </w:pPr>
    </w:p>
    <w:p>
      <w:pPr>
        <w:spacing w:line="360" w:lineRule="auto"/>
        <w:ind w:firstLine="420" w:firstLineChars="200"/>
        <w:rPr>
          <w:rFonts w:ascii="宋体" w:cs="宋体"/>
          <w:sz w:val="24"/>
        </w:rPr>
      </w:pPr>
      <w:r>
        <w:rPr>
          <w:rFonts w:ascii="仿宋" w:eastAsia="仿宋" w:cs="仿宋"/>
        </w:rPr>
        <w:pict>
          <v:roundrect id="圆角矩形 10" o:spid="_x0000_s1032" o:spt="2" style="position:absolute;left:0pt;margin-left:226.2pt;margin-top:0.2pt;height:141.25pt;width:213.4pt;z-index:251659264;v-text-anchor:middle;mso-width-relative:page;mso-height-relative:page;" filled="f" coordsize="21600,21600" arcsize="0.0403703703703704" o:gfxdata="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knV8z1QAAAAgBAAAPAAAAAAAAAAEAIAAAACIAAABkcnMvZG93&#10;bnJldi54bWxQSwECFAAUAAAACACHTuJAUkFY3TwCAABcBAAADgAAAAAAAAABACAAAAAkAQAAZHJz&#10;L2Uyb0RvYy54bWxQSwUGAAAAAAYABgBZAQAA0gUAAAAA&#10;">
            <v:path/>
            <v:fill on="f" focussize="0,0"/>
            <v:stroke weight="2pt"/>
            <v:imagedata o:title=""/>
            <o:lock v:ext="edit"/>
            <v:textbox>
              <w:txbxContent>
                <w:p>
                  <w:pPr>
                    <w:pStyle w:val="36"/>
                    <w:spacing w:line="360" w:lineRule="auto"/>
                    <w:ind w:firstLine="0" w:firstLineChars="0"/>
                    <w:jc w:val="center"/>
                    <w:rPr>
                      <w:rFonts w:ascii="仿宋" w:eastAsia="仿宋"/>
                      <w:color w:val="000000"/>
                    </w:rPr>
                  </w:pPr>
                </w:p>
                <w:p>
                  <w:pPr>
                    <w:pStyle w:val="36"/>
                    <w:spacing w:line="360" w:lineRule="auto"/>
                    <w:ind w:firstLine="0" w:firstLineChars="0"/>
                    <w:jc w:val="center"/>
                    <w:rPr>
                      <w:rFonts w:ascii="仿宋" w:eastAsia="仿宋"/>
                      <w:color w:val="000000"/>
                    </w:rPr>
                  </w:pPr>
                </w:p>
                <w:p>
                  <w:pPr>
                    <w:pStyle w:val="36"/>
                    <w:spacing w:line="360" w:lineRule="auto"/>
                    <w:ind w:firstLine="0" w:firstLineChars="0"/>
                    <w:jc w:val="center"/>
                    <w:rPr>
                      <w:rFonts w:ascii="仿宋" w:eastAsia="仿宋"/>
                      <w:color w:val="000000"/>
                    </w:rPr>
                  </w:pPr>
                  <w:r>
                    <w:rPr>
                      <w:rFonts w:hint="eastAsia" w:ascii="仿宋" w:eastAsia="仿宋"/>
                      <w:color w:val="000000"/>
                    </w:rPr>
                    <w:t>法定代表人身份证反面</w:t>
                  </w:r>
                </w:p>
                <w:p>
                  <w:pPr>
                    <w:jc w:val="center"/>
                  </w:pPr>
                </w:p>
              </w:txbxContent>
            </v:textbox>
          </v:roundrect>
        </w:pict>
      </w:r>
      <w:r>
        <w:rPr>
          <w:rFonts w:ascii="仿宋" w:eastAsia="仿宋" w:cs="仿宋"/>
        </w:rPr>
        <w:pict>
          <v:roundrect id="圆角矩形 13" o:spid="_x0000_s1031" o:spt="2" style="position:absolute;left:0pt;margin-left:5.4pt;margin-top:0.2pt;height:141.25pt;width:213.4pt;z-index:-251656192;v-text-anchor:middle;mso-width-relative:page;mso-height-relative:page;" filled="f" coordsize="21600,21600" arcsize="0.0403703703703704" o:gfxdata="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DtjT9IAAAAHAQAADwAAAAAAAAABACAAAAAiAAAAZHJzL2Rvd25y&#10;ZXYueG1sUEsBAhQAFAAAAAgAh07iQGg3w1U9AgAAXQQAAA4AAAAAAAAAAQAgAAAAIQEAAGRycy9l&#10;Mm9Eb2MueG1sUEsFBgAAAAAGAAYAWQEAANAFAAAAAA==&#10;">
            <v:path/>
            <v:fill on="f" focussize="0,0"/>
            <v:stroke weight="2pt"/>
            <v:imagedata o:title=""/>
            <o:lock v:ext="edit"/>
            <v:textbox>
              <w:txbxContent>
                <w:p>
                  <w:pPr>
                    <w:pStyle w:val="36"/>
                    <w:spacing w:line="360" w:lineRule="auto"/>
                    <w:ind w:firstLine="0" w:firstLineChars="0"/>
                    <w:jc w:val="both"/>
                    <w:rPr>
                      <w:rFonts w:ascii="仿宋" w:eastAsia="仿宋"/>
                      <w:color w:val="000000"/>
                    </w:rPr>
                  </w:pPr>
                </w:p>
                <w:p>
                  <w:pPr>
                    <w:pStyle w:val="36"/>
                    <w:spacing w:line="360" w:lineRule="auto"/>
                    <w:ind w:firstLine="0" w:firstLineChars="0"/>
                    <w:jc w:val="center"/>
                    <w:rPr>
                      <w:rFonts w:ascii="仿宋" w:eastAsia="仿宋"/>
                      <w:color w:val="000000"/>
                    </w:rPr>
                  </w:pPr>
                </w:p>
                <w:p>
                  <w:pPr>
                    <w:pStyle w:val="36"/>
                    <w:spacing w:line="360" w:lineRule="auto"/>
                    <w:ind w:firstLine="0" w:firstLineChars="0"/>
                    <w:jc w:val="center"/>
                    <w:rPr>
                      <w:rFonts w:ascii="仿宋" w:eastAsia="仿宋"/>
                      <w:color w:val="000000"/>
                    </w:rPr>
                  </w:pPr>
                  <w:r>
                    <w:rPr>
                      <w:rFonts w:hint="eastAsia" w:ascii="仿宋" w:eastAsia="仿宋"/>
                      <w:color w:val="000000"/>
                    </w:rPr>
                    <w:t>法定代表人身份证正面</w:t>
                  </w:r>
                </w:p>
                <w:p>
                  <w:pPr>
                    <w:jc w:val="center"/>
                  </w:pPr>
                </w:p>
              </w:txbxContent>
            </v:textbox>
          </v:roundrect>
        </w:pict>
      </w:r>
    </w:p>
    <w:p>
      <w:pPr>
        <w:ind w:firstLine="482" w:firstLineChars="200"/>
        <w:rPr>
          <w:rFonts w:hint="eastAsia" w:ascii="宋体"/>
          <w:b/>
          <w:bCs/>
          <w:kern w:val="0"/>
          <w:sz w:val="24"/>
        </w:rPr>
      </w:pPr>
    </w:p>
    <w:p>
      <w:pPr>
        <w:ind w:firstLine="482" w:firstLineChars="200"/>
        <w:rPr>
          <w:rFonts w:hint="eastAsia" w:ascii="宋体"/>
          <w:b/>
          <w:bCs/>
          <w:kern w:val="0"/>
          <w:sz w:val="24"/>
        </w:rPr>
      </w:pPr>
    </w:p>
    <w:p>
      <w:pPr>
        <w:ind w:firstLine="482" w:firstLineChars="200"/>
        <w:rPr>
          <w:rFonts w:hint="eastAsia" w:ascii="宋体"/>
          <w:b/>
          <w:bCs/>
          <w:kern w:val="0"/>
          <w:sz w:val="24"/>
        </w:rPr>
      </w:pPr>
    </w:p>
    <w:p>
      <w:pPr>
        <w:ind w:firstLine="482" w:firstLineChars="200"/>
        <w:rPr>
          <w:rFonts w:hint="eastAsia" w:ascii="宋体"/>
          <w:b/>
          <w:bCs/>
          <w:kern w:val="0"/>
          <w:sz w:val="24"/>
        </w:rPr>
      </w:pPr>
    </w:p>
    <w:p>
      <w:pPr>
        <w:ind w:firstLine="482" w:firstLineChars="200"/>
        <w:rPr>
          <w:rFonts w:hint="eastAsia" w:ascii="宋体"/>
          <w:b/>
          <w:bCs/>
          <w:kern w:val="0"/>
          <w:sz w:val="24"/>
        </w:rPr>
      </w:pPr>
    </w:p>
    <w:p>
      <w:pPr>
        <w:ind w:firstLine="482" w:firstLineChars="200"/>
        <w:rPr>
          <w:rFonts w:hint="eastAsia" w:ascii="宋体"/>
          <w:b/>
          <w:bCs/>
          <w:kern w:val="0"/>
          <w:sz w:val="24"/>
        </w:rPr>
      </w:pPr>
    </w:p>
    <w:p>
      <w:pPr>
        <w:ind w:firstLine="482" w:firstLineChars="200"/>
        <w:rPr>
          <w:rFonts w:hint="eastAsia" w:ascii="宋体"/>
          <w:b/>
          <w:bCs/>
          <w:kern w:val="0"/>
          <w:sz w:val="24"/>
        </w:rPr>
      </w:pPr>
    </w:p>
    <w:p>
      <w:pPr>
        <w:ind w:firstLine="482" w:firstLineChars="200"/>
        <w:rPr>
          <w:rFonts w:hint="eastAsia" w:ascii="宋体"/>
          <w:b/>
          <w:bCs/>
          <w:kern w:val="0"/>
          <w:sz w:val="24"/>
        </w:rPr>
      </w:pPr>
    </w:p>
    <w:p>
      <w:pPr>
        <w:ind w:firstLine="482" w:firstLineChars="200"/>
        <w:rPr>
          <w:rFonts w:hint="eastAsia" w:ascii="宋体"/>
          <w:b/>
          <w:bCs/>
          <w:kern w:val="0"/>
          <w:sz w:val="24"/>
        </w:rPr>
      </w:pPr>
    </w:p>
    <w:p>
      <w:pPr>
        <w:ind w:firstLine="482" w:firstLineChars="200"/>
        <w:rPr>
          <w:rFonts w:hint="eastAsia" w:ascii="宋体"/>
          <w:b/>
          <w:bCs/>
          <w:kern w:val="0"/>
          <w:sz w:val="24"/>
        </w:rPr>
      </w:pPr>
    </w:p>
    <w:p>
      <w:pPr>
        <w:ind w:firstLine="482" w:firstLineChars="200"/>
        <w:rPr>
          <w:rFonts w:hint="eastAsia" w:ascii="宋体"/>
          <w:b/>
          <w:bCs/>
          <w:kern w:val="0"/>
          <w:sz w:val="24"/>
        </w:rPr>
      </w:pPr>
    </w:p>
    <w:p>
      <w:pPr>
        <w:ind w:firstLine="482" w:firstLineChars="200"/>
        <w:rPr>
          <w:rFonts w:hint="eastAsia" w:ascii="宋体"/>
          <w:b/>
          <w:bCs/>
          <w:kern w:val="0"/>
          <w:sz w:val="24"/>
        </w:rPr>
      </w:pPr>
    </w:p>
    <w:p>
      <w:pPr>
        <w:pStyle w:val="13"/>
        <w:tabs>
          <w:tab w:val="left" w:pos="5580"/>
        </w:tabs>
        <w:spacing w:line="360" w:lineRule="auto"/>
        <w:ind w:firstLine="480" w:firstLineChars="200"/>
        <w:rPr>
          <w:sz w:val="24"/>
        </w:rPr>
      </w:pPr>
      <w:r>
        <w:rPr>
          <w:rFonts w:hint="eastAsia"/>
          <w:sz w:val="24"/>
        </w:rPr>
        <w:t>投标人（盖</w:t>
      </w:r>
      <w:r>
        <w:rPr>
          <w:sz w:val="24"/>
        </w:rPr>
        <w:t>章）：</w:t>
      </w:r>
    </w:p>
    <w:p>
      <w:pPr>
        <w:pStyle w:val="14"/>
      </w:pPr>
    </w:p>
    <w:p>
      <w:pPr>
        <w:pStyle w:val="13"/>
        <w:tabs>
          <w:tab w:val="left" w:pos="5580"/>
        </w:tabs>
        <w:spacing w:line="360" w:lineRule="auto"/>
        <w:ind w:firstLine="480" w:firstLineChars="200"/>
        <w:rPr>
          <w:rFonts w:hint="eastAsia" w:cs="宋体"/>
          <w:kern w:val="0"/>
          <w:sz w:val="24"/>
        </w:rPr>
      </w:pPr>
      <w:r>
        <w:rPr>
          <w:rFonts w:hint="eastAsia"/>
          <w:sz w:val="24"/>
        </w:rPr>
        <w:t>法定代表人或</w:t>
      </w:r>
      <w:r>
        <w:rPr>
          <w:rFonts w:hint="eastAsia" w:cs="宋体"/>
          <w:kern w:val="0"/>
          <w:sz w:val="24"/>
        </w:rPr>
        <w:t>委托代理人</w:t>
      </w:r>
      <w:r>
        <w:rPr>
          <w:rFonts w:hint="eastAsia"/>
          <w:sz w:val="24"/>
        </w:rPr>
        <w:t>（签字</w:t>
      </w:r>
      <w:r>
        <w:rPr>
          <w:rFonts w:hint="eastAsia"/>
          <w:sz w:val="24"/>
          <w:lang w:val="en-US" w:eastAsia="zh-CN"/>
        </w:rPr>
        <w:t>或盖章</w:t>
      </w:r>
      <w:r>
        <w:rPr>
          <w:rFonts w:hint="eastAsia"/>
          <w:sz w:val="24"/>
        </w:rPr>
        <w:t>）</w:t>
      </w:r>
      <w:r>
        <w:rPr>
          <w:rFonts w:hint="eastAsia" w:cs="宋体"/>
          <w:kern w:val="0"/>
          <w:sz w:val="24"/>
        </w:rPr>
        <w:t>：</w:t>
      </w:r>
    </w:p>
    <w:p>
      <w:pPr>
        <w:pStyle w:val="14"/>
        <w:rPr>
          <w:rFonts w:hint="eastAsia" w:cs="宋体"/>
          <w:kern w:val="0"/>
          <w:sz w:val="24"/>
        </w:rPr>
      </w:pPr>
    </w:p>
    <w:p/>
    <w:p>
      <w:pPr>
        <w:spacing w:line="360" w:lineRule="auto"/>
        <w:ind w:firstLine="6000" w:firstLineChars="2500"/>
        <w:rPr>
          <w:rFonts w:ascii="宋体" w:cs="宋体"/>
          <w:sz w:val="24"/>
        </w:rPr>
      </w:pPr>
      <w:r>
        <w:rPr>
          <w:rFonts w:hint="eastAsia" w:ascii="宋体" w:cs="宋体"/>
          <w:sz w:val="24"/>
        </w:rPr>
        <w:t>日期：   年   月   日</w:t>
      </w:r>
    </w:p>
    <w:p>
      <w:pPr>
        <w:ind w:firstLine="482" w:firstLineChars="200"/>
        <w:rPr>
          <w:rFonts w:ascii="宋体"/>
          <w:b/>
          <w:bCs/>
          <w:kern w:val="0"/>
          <w:sz w:val="24"/>
        </w:rPr>
      </w:pPr>
    </w:p>
    <w:p>
      <w:pPr>
        <w:ind w:firstLine="643" w:firstLineChars="200"/>
        <w:jc w:val="center"/>
        <w:rPr>
          <w:rFonts w:ascii="宋体"/>
          <w:kern w:val="0"/>
          <w:sz w:val="24"/>
        </w:rPr>
      </w:pPr>
      <w:r>
        <w:rPr>
          <w:rFonts w:hint="eastAsia"/>
          <w:b/>
          <w:bCs/>
          <w:sz w:val="32"/>
          <w:szCs w:val="32"/>
        </w:rPr>
        <w:t>授权委托书</w:t>
      </w:r>
    </w:p>
    <w:p>
      <w:pPr>
        <w:widowControl/>
        <w:shd w:val="clear" w:color="auto" w:fill="FFFFFF"/>
        <w:snapToGrid w:val="0"/>
        <w:spacing w:line="360" w:lineRule="auto"/>
        <w:ind w:firstLine="480" w:firstLineChars="200"/>
        <w:jc w:val="left"/>
        <w:rPr>
          <w:rFonts w:ascii="宋体" w:cs="宋体"/>
          <w:kern w:val="0"/>
          <w:sz w:val="24"/>
        </w:rPr>
      </w:pPr>
      <w:r>
        <w:rPr>
          <w:rFonts w:hint="eastAsia" w:ascii="宋体" w:cs="宋体"/>
          <w:kern w:val="0"/>
          <w:sz w:val="24"/>
        </w:rPr>
        <w:t>本授权委托书声明：注册于（注册地址）的（投标人名称）的在下面签字的（法定代表姓名、职务），代表我单位授权在下面签字的  （被授权人的姓名、职务）为我公司的委托代理人。委托代理人根据授权，就（招标项目名称、项目编号）的投标活动，代理人在开标、评标、合同谈判过程中所签署的一切文件和处理与之有关的事务，我公司均予以承认，其法律后果由我公司承担。</w:t>
      </w:r>
    </w:p>
    <w:p>
      <w:pPr>
        <w:pStyle w:val="10"/>
        <w:numPr>
          <w:ilvl w:val="0"/>
          <w:numId w:val="0"/>
        </w:numPr>
        <w:spacing w:line="360" w:lineRule="auto"/>
        <w:ind w:firstLine="480" w:firstLineChars="200"/>
        <w:rPr>
          <w:rFonts w:ascii="宋体" w:eastAsia="宋体" w:cs="宋体"/>
          <w:sz w:val="24"/>
        </w:rPr>
      </w:pPr>
      <w:r>
        <w:rPr>
          <w:rFonts w:hint="eastAsia" w:ascii="宋体" w:eastAsia="宋体" w:cs="宋体"/>
          <w:kern w:val="0"/>
          <w:sz w:val="24"/>
        </w:rPr>
        <w:t>代理人无转委托权，特此委托！</w:t>
      </w:r>
    </w:p>
    <w:p>
      <w:pPr>
        <w:widowControl/>
        <w:shd w:val="clear" w:color="auto" w:fill="FFFFFF"/>
        <w:snapToGrid w:val="0"/>
        <w:spacing w:line="360" w:lineRule="auto"/>
        <w:ind w:firstLine="480" w:firstLineChars="200"/>
        <w:jc w:val="left"/>
        <w:rPr>
          <w:rFonts w:ascii="宋体" w:cs="宋体"/>
          <w:kern w:val="0"/>
          <w:sz w:val="24"/>
          <w:u w:val="single"/>
        </w:rPr>
      </w:pPr>
      <w:r>
        <w:rPr>
          <w:rFonts w:hint="eastAsia" w:ascii="宋体" w:cs="宋体"/>
          <w:kern w:val="0"/>
          <w:sz w:val="24"/>
        </w:rPr>
        <w:t>代理人：</w:t>
      </w:r>
      <w:r>
        <w:rPr>
          <w:rFonts w:hint="eastAsia" w:ascii="宋体" w:cs="宋体"/>
          <w:kern w:val="0"/>
          <w:sz w:val="24"/>
          <w:lang w:val="en-US" w:eastAsia="zh-CN"/>
        </w:rPr>
        <w:t xml:space="preserve">          </w:t>
      </w:r>
      <w:r>
        <w:rPr>
          <w:rFonts w:hint="eastAsia" w:ascii="宋体" w:cs="宋体"/>
          <w:kern w:val="0"/>
          <w:sz w:val="24"/>
        </w:rPr>
        <w:t xml:space="preserve">性别： </w:t>
      </w:r>
      <w:r>
        <w:rPr>
          <w:rFonts w:hint="eastAsia" w:ascii="宋体" w:cs="宋体"/>
          <w:kern w:val="0"/>
          <w:sz w:val="24"/>
          <w:lang w:val="en-US" w:eastAsia="zh-CN"/>
        </w:rPr>
        <w:t xml:space="preserve">    </w:t>
      </w:r>
      <w:r>
        <w:rPr>
          <w:rFonts w:hint="eastAsia" w:ascii="宋体" w:cs="宋体"/>
          <w:kern w:val="0"/>
          <w:sz w:val="24"/>
        </w:rPr>
        <w:t>年龄：</w:t>
      </w:r>
    </w:p>
    <w:p>
      <w:pPr>
        <w:widowControl/>
        <w:shd w:val="clear" w:color="auto" w:fill="FFFFFF"/>
        <w:snapToGrid w:val="0"/>
        <w:spacing w:line="360" w:lineRule="auto"/>
        <w:ind w:firstLine="480" w:firstLineChars="200"/>
        <w:jc w:val="left"/>
        <w:rPr>
          <w:rFonts w:ascii="宋体"/>
          <w:kern w:val="0"/>
          <w:sz w:val="24"/>
        </w:rPr>
      </w:pPr>
      <w:r>
        <w:rPr>
          <w:rFonts w:hint="eastAsia" w:ascii="宋体" w:cs="宋体"/>
          <w:kern w:val="0"/>
          <w:sz w:val="24"/>
        </w:rPr>
        <w:t>身份证号码：</w:t>
      </w:r>
      <w:r>
        <w:rPr>
          <w:rFonts w:hint="eastAsia" w:ascii="宋体" w:cs="宋体"/>
          <w:kern w:val="0"/>
          <w:sz w:val="24"/>
          <w:lang w:val="en-US" w:eastAsia="zh-CN"/>
        </w:rPr>
        <w:t xml:space="preserve">      </w:t>
      </w:r>
      <w:r>
        <w:rPr>
          <w:rFonts w:hint="eastAsia" w:ascii="宋体" w:cs="宋体"/>
          <w:kern w:val="0"/>
          <w:sz w:val="24"/>
        </w:rPr>
        <w:t>部门：</w:t>
      </w:r>
      <w:r>
        <w:rPr>
          <w:rFonts w:hint="eastAsia" w:ascii="宋体" w:cs="宋体"/>
          <w:kern w:val="0"/>
          <w:sz w:val="24"/>
          <w:lang w:val="en-US" w:eastAsia="zh-CN"/>
        </w:rPr>
        <w:t xml:space="preserve">     </w:t>
      </w:r>
      <w:r>
        <w:rPr>
          <w:rFonts w:hint="eastAsia" w:ascii="宋体"/>
          <w:kern w:val="0"/>
          <w:sz w:val="24"/>
        </w:rPr>
        <w:t>职务：</w:t>
      </w:r>
    </w:p>
    <w:p>
      <w:pPr>
        <w:widowControl/>
        <w:shd w:val="clear" w:color="auto" w:fill="FFFFFF"/>
        <w:snapToGrid w:val="0"/>
        <w:spacing w:line="360" w:lineRule="auto"/>
        <w:ind w:firstLine="480" w:firstLineChars="200"/>
        <w:jc w:val="left"/>
        <w:rPr>
          <w:rFonts w:ascii="宋体"/>
          <w:kern w:val="0"/>
          <w:sz w:val="24"/>
        </w:rPr>
      </w:pPr>
      <w:r>
        <w:rPr>
          <w:rFonts w:hint="eastAsia" w:ascii="宋体"/>
          <w:kern w:val="0"/>
          <w:sz w:val="24"/>
        </w:rPr>
        <w:t>附：法定代表人及授权委托代理人身份证明。</w:t>
      </w:r>
    </w:p>
    <w:p>
      <w:pPr>
        <w:pStyle w:val="4"/>
        <w:rPr>
          <w:sz w:val="24"/>
        </w:rPr>
      </w:pPr>
      <w:r>
        <w:rPr>
          <w:rFonts w:ascii="仿宋" w:eastAsia="仿宋" w:cs="仿宋"/>
        </w:rPr>
        <w:pict>
          <v:roundrect id="圆角矩形 16" o:spid="_x0000_s1030" o:spt="2" style="position:absolute;left:0pt;margin-left:258.5pt;margin-top:8.8pt;height:125.1pt;width:213.4pt;z-index:251661312;v-text-anchor:middle;mso-width-relative:page;mso-height-relative:page;" filled="f" coordsize="21600,21600" arcsize="0.0239814814814815" o:gfxdata="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4LHa7YAAAACgEAAA8AAAAAAAAAAQAgAAAAIgAAAGRy&#10;cy9kb3ducmV2LnhtbFBLAQIUABQAAAAIAIdO4kAtftHVPgIAAF0EAAAOAAAAAAAAAAEAIAAAACcB&#10;AABkcnMvZTJvRG9jLnhtbFBLBQYAAAAABgAGAFkBAADXBQAAAAA=&#10;">
            <v:path/>
            <v:fill on="f" focussize="0,0"/>
            <v:stroke weight="2pt"/>
            <v:imagedata o:title=""/>
            <o:lock v:ext="edit"/>
            <v:textbox>
              <w:txbxContent>
                <w:p>
                  <w:pPr>
                    <w:pStyle w:val="36"/>
                    <w:spacing w:line="360" w:lineRule="auto"/>
                    <w:ind w:firstLine="0" w:firstLineChars="0"/>
                    <w:jc w:val="center"/>
                    <w:rPr>
                      <w:rFonts w:ascii="仿宋" w:eastAsia="仿宋"/>
                      <w:color w:val="000000"/>
                    </w:rPr>
                  </w:pPr>
                </w:p>
                <w:p>
                  <w:pPr>
                    <w:pStyle w:val="36"/>
                    <w:spacing w:line="360" w:lineRule="auto"/>
                    <w:ind w:firstLine="0" w:firstLineChars="0"/>
                    <w:jc w:val="center"/>
                    <w:rPr>
                      <w:rFonts w:ascii="仿宋" w:eastAsia="仿宋"/>
                      <w:color w:val="000000"/>
                    </w:rPr>
                  </w:pPr>
                </w:p>
                <w:p>
                  <w:pPr>
                    <w:pStyle w:val="36"/>
                    <w:spacing w:line="360" w:lineRule="auto"/>
                    <w:ind w:firstLine="0" w:firstLineChars="0"/>
                    <w:jc w:val="center"/>
                    <w:rPr>
                      <w:rFonts w:ascii="仿宋" w:eastAsia="仿宋"/>
                      <w:color w:val="000000"/>
                    </w:rPr>
                  </w:pPr>
                  <w:r>
                    <w:rPr>
                      <w:rFonts w:hint="eastAsia" w:ascii="仿宋" w:eastAsia="仿宋"/>
                      <w:color w:val="000000"/>
                    </w:rPr>
                    <w:t>法</w:t>
                  </w:r>
                  <w:r>
                    <w:rPr>
                      <w:rFonts w:hint="eastAsia" w:ascii="宋体" w:hAnsi="宋体"/>
                      <w:kern w:val="0"/>
                      <w:sz w:val="24"/>
                    </w:rPr>
                    <w:t>定代表</w:t>
                  </w:r>
                  <w:r>
                    <w:rPr>
                      <w:rFonts w:hint="eastAsia" w:ascii="仿宋" w:eastAsia="仿宋"/>
                      <w:color w:val="000000"/>
                    </w:rPr>
                    <w:t>人身份证反面</w:t>
                  </w:r>
                </w:p>
                <w:p>
                  <w:pPr>
                    <w:jc w:val="center"/>
                  </w:pPr>
                </w:p>
              </w:txbxContent>
            </v:textbox>
          </v:roundrect>
        </w:pict>
      </w:r>
      <w:r>
        <w:rPr>
          <w:rFonts w:ascii="仿宋" w:eastAsia="仿宋" w:cs="仿宋"/>
        </w:rPr>
        <w:pict>
          <v:roundrect id="圆角矩形 17" o:spid="_x0000_s1029" o:spt="2" style="position:absolute;left:0pt;margin-left:26.15pt;margin-top:4.8pt;height:125.1pt;width:213.4pt;z-index:251662336;v-text-anchor:middle;mso-width-relative:page;mso-height-relative:page;" filled="f" coordsize="21600,21600" arcsize="0.0403703703703704" o:gfxdata="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GtDsC1gAAAAgBAAAPAAAAAAAAAAEAIAAAACIAAABkcnMv&#10;ZG93bnJldi54bWxQSwECFAAUAAAACACHTuJAk1YD4D4CAABdBAAADgAAAAAAAAABACAAAAAlAQAA&#10;ZHJzL2Uyb0RvYy54bWxQSwUGAAAAAAYABgBZAQAA1QUAAAAA&#10;">
            <v:path/>
            <v:fill on="f" focussize="0,0"/>
            <v:stroke weight="2pt"/>
            <v:imagedata o:title=""/>
            <o:lock v:ext="edit"/>
            <v:textbox>
              <w:txbxContent>
                <w:p>
                  <w:pPr>
                    <w:pStyle w:val="36"/>
                    <w:spacing w:line="360" w:lineRule="auto"/>
                    <w:ind w:firstLine="0" w:firstLineChars="0"/>
                    <w:jc w:val="center"/>
                    <w:rPr>
                      <w:rFonts w:ascii="仿宋" w:eastAsia="仿宋"/>
                      <w:color w:val="000000"/>
                    </w:rPr>
                  </w:pPr>
                </w:p>
                <w:p>
                  <w:pPr>
                    <w:pStyle w:val="36"/>
                    <w:spacing w:line="360" w:lineRule="auto"/>
                    <w:ind w:firstLine="0" w:firstLineChars="0"/>
                    <w:jc w:val="center"/>
                    <w:rPr>
                      <w:rFonts w:ascii="仿宋" w:eastAsia="仿宋"/>
                      <w:color w:val="000000"/>
                    </w:rPr>
                  </w:pPr>
                </w:p>
                <w:p>
                  <w:pPr>
                    <w:pStyle w:val="36"/>
                    <w:spacing w:line="360" w:lineRule="auto"/>
                    <w:ind w:firstLine="0" w:firstLineChars="0"/>
                    <w:jc w:val="center"/>
                    <w:rPr>
                      <w:rFonts w:ascii="仿宋" w:eastAsia="仿宋"/>
                      <w:color w:val="000000"/>
                    </w:rPr>
                  </w:pPr>
                  <w:r>
                    <w:rPr>
                      <w:rFonts w:hint="eastAsia" w:ascii="仿宋" w:eastAsia="仿宋"/>
                      <w:color w:val="000000"/>
                    </w:rPr>
                    <w:t>法</w:t>
                  </w:r>
                  <w:r>
                    <w:rPr>
                      <w:rFonts w:hint="eastAsia" w:ascii="宋体" w:hAnsi="宋体"/>
                      <w:kern w:val="0"/>
                      <w:sz w:val="24"/>
                    </w:rPr>
                    <w:t>定代表</w:t>
                  </w:r>
                  <w:r>
                    <w:rPr>
                      <w:rFonts w:hint="eastAsia" w:ascii="仿宋" w:eastAsia="仿宋"/>
                      <w:color w:val="000000"/>
                    </w:rPr>
                    <w:t>人身份证正面</w:t>
                  </w:r>
                </w:p>
                <w:p>
                  <w:pPr>
                    <w:jc w:val="center"/>
                  </w:pPr>
                </w:p>
              </w:txbxContent>
            </v:textbox>
          </v:roundrect>
        </w:pict>
      </w:r>
    </w:p>
    <w:p>
      <w:pPr>
        <w:pStyle w:val="5"/>
      </w:pPr>
    </w:p>
    <w:p>
      <w:pPr>
        <w:pStyle w:val="4"/>
      </w:pPr>
    </w:p>
    <w:p>
      <w:pPr>
        <w:pStyle w:val="5"/>
      </w:pPr>
      <w:r>
        <w:rPr>
          <w:rFonts w:ascii="仿宋" w:eastAsia="仿宋" w:cs="仿宋"/>
        </w:rPr>
        <w:pict>
          <v:roundrect id="圆角矩形 18" o:spid="_x0000_s1028" o:spt="2" style="position:absolute;left:0pt;margin-left:25.55pt;margin-top:20.8pt;height:125.1pt;width:213.4pt;z-index:251663360;v-text-anchor:middle;mso-width-relative:page;mso-height-relative:page;" filled="f" coordsize="21600,21600" arcsize="0.0403703703703704" o:gfxdata="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K4RWL1gAAAAkBAAAPAAAAAAAAAAEAIAAAACIAAABkcnMv&#10;ZG93bnJldi54bWxQSwECFAAUAAAACACHTuJAg5/hbj4CAABdBAAADgAAAAAAAAABACAAAAAlAQAA&#10;ZHJzL2Uyb0RvYy54bWxQSwUGAAAAAAYABgBZAQAA1QUAAAAA&#10;">
            <v:path/>
            <v:fill on="f" focussize="0,0"/>
            <v:stroke weight="2pt"/>
            <v:imagedata o:title=""/>
            <o:lock v:ext="edit"/>
            <v:textbox>
              <w:txbxContent>
                <w:p>
                  <w:pPr>
                    <w:pStyle w:val="36"/>
                    <w:spacing w:line="360" w:lineRule="auto"/>
                    <w:ind w:firstLine="0" w:firstLineChars="0"/>
                    <w:rPr>
                      <w:rFonts w:ascii="仿宋" w:eastAsia="仿宋"/>
                      <w:color w:val="000000"/>
                    </w:rPr>
                  </w:pPr>
                </w:p>
                <w:p>
                  <w:pPr>
                    <w:pStyle w:val="36"/>
                    <w:spacing w:line="360" w:lineRule="auto"/>
                    <w:ind w:firstLine="0" w:firstLineChars="0"/>
                    <w:jc w:val="center"/>
                    <w:rPr>
                      <w:rFonts w:ascii="仿宋" w:eastAsia="仿宋"/>
                      <w:color w:val="000000"/>
                    </w:rPr>
                  </w:pPr>
                </w:p>
                <w:p>
                  <w:pPr>
                    <w:pStyle w:val="36"/>
                    <w:spacing w:line="360" w:lineRule="auto"/>
                    <w:ind w:firstLine="0" w:firstLineChars="0"/>
                    <w:jc w:val="center"/>
                    <w:rPr>
                      <w:rFonts w:ascii="仿宋" w:eastAsia="仿宋"/>
                      <w:color w:val="000000"/>
                    </w:rPr>
                  </w:pPr>
                  <w:r>
                    <w:rPr>
                      <w:rFonts w:hint="eastAsia" w:ascii="仿宋" w:eastAsia="仿宋"/>
                      <w:color w:val="000000"/>
                    </w:rPr>
                    <w:t>委托代理人身份证正面</w:t>
                  </w:r>
                </w:p>
                <w:p>
                  <w:pPr>
                    <w:jc w:val="center"/>
                  </w:pPr>
                </w:p>
              </w:txbxContent>
            </v:textbox>
          </v:roundrect>
        </w:pict>
      </w:r>
    </w:p>
    <w:p>
      <w:pPr>
        <w:pStyle w:val="5"/>
      </w:pPr>
      <w:r>
        <w:rPr>
          <w:rFonts w:ascii="仿宋" w:eastAsia="仿宋" w:cs="仿宋"/>
        </w:rPr>
        <w:pict>
          <v:roundrect id="圆角矩形 19" o:spid="_x0000_s1027" o:spt="2" style="position:absolute;left:0pt;margin-left:262.15pt;margin-top:4.8pt;height:125.1pt;width:213.4pt;z-index:251664384;v-text-anchor:middle;mso-width-relative:page;mso-height-relative:page;" filled="f" coordsize="21600,21600" arcsize="0.0403703703703704" o:gfxdata="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JvsY9cAAAAJAQAADwAAAAAAAAABACAAAAAiAAAAZHJz&#10;L2Rvd25yZXYueG1sUEsBAhQAFAAAAAgAh07iQLHBfO0+AgAAXQQAAA4AAAAAAAAAAQAgAAAAJgEA&#10;AGRycy9lMm9Eb2MueG1sUEsFBgAAAAAGAAYAWQEAANYFAAAAAA==&#10;">
            <v:path/>
            <v:fill on="f" focussize="0,0"/>
            <v:stroke weight="2pt"/>
            <v:imagedata o:title=""/>
            <o:lock v:ext="edit"/>
            <v:textbox>
              <w:txbxContent>
                <w:p>
                  <w:pPr>
                    <w:pStyle w:val="36"/>
                    <w:spacing w:line="360" w:lineRule="auto"/>
                    <w:ind w:firstLine="0" w:firstLineChars="0"/>
                    <w:jc w:val="center"/>
                    <w:rPr>
                      <w:rFonts w:ascii="仿宋" w:eastAsia="仿宋"/>
                      <w:color w:val="000000"/>
                    </w:rPr>
                  </w:pPr>
                </w:p>
                <w:p>
                  <w:pPr>
                    <w:pStyle w:val="36"/>
                    <w:spacing w:line="360" w:lineRule="auto"/>
                    <w:ind w:firstLine="0" w:firstLineChars="0"/>
                    <w:jc w:val="center"/>
                    <w:rPr>
                      <w:rFonts w:ascii="仿宋" w:eastAsia="仿宋"/>
                      <w:color w:val="000000"/>
                    </w:rPr>
                  </w:pPr>
                </w:p>
                <w:p>
                  <w:pPr>
                    <w:pStyle w:val="36"/>
                    <w:spacing w:line="360" w:lineRule="auto"/>
                    <w:ind w:firstLine="0" w:firstLineChars="0"/>
                    <w:jc w:val="center"/>
                    <w:rPr>
                      <w:rFonts w:ascii="仿宋" w:eastAsia="仿宋"/>
                      <w:color w:val="000000"/>
                    </w:rPr>
                  </w:pPr>
                  <w:r>
                    <w:rPr>
                      <w:rFonts w:hint="eastAsia" w:ascii="仿宋" w:eastAsia="仿宋"/>
                      <w:color w:val="000000"/>
                    </w:rPr>
                    <w:t>委托代理人身份证反面</w:t>
                  </w:r>
                </w:p>
                <w:p>
                  <w:pPr>
                    <w:jc w:val="center"/>
                  </w:pPr>
                </w:p>
              </w:txbxContent>
            </v:textbox>
          </v:roundrect>
        </w:pict>
      </w:r>
    </w:p>
    <w:p>
      <w:pPr>
        <w:pStyle w:val="5"/>
      </w:pPr>
    </w:p>
    <w:p>
      <w:pPr>
        <w:pStyle w:val="5"/>
      </w:pPr>
    </w:p>
    <w:p>
      <w:pPr>
        <w:widowControl/>
        <w:shd w:val="clear" w:color="auto" w:fill="FFFFFF"/>
        <w:snapToGrid w:val="0"/>
        <w:spacing w:line="360" w:lineRule="auto"/>
        <w:ind w:firstLine="480" w:firstLineChars="200"/>
        <w:jc w:val="left"/>
        <w:rPr>
          <w:rFonts w:ascii="宋体"/>
          <w:kern w:val="0"/>
          <w:sz w:val="24"/>
        </w:rPr>
      </w:pPr>
    </w:p>
    <w:p>
      <w:pPr>
        <w:pStyle w:val="13"/>
        <w:tabs>
          <w:tab w:val="left" w:pos="5580"/>
        </w:tabs>
        <w:spacing w:line="360" w:lineRule="auto"/>
        <w:ind w:firstLine="480" w:firstLineChars="200"/>
        <w:rPr>
          <w:sz w:val="24"/>
          <w:u w:val="single" w:color="FFFFFF"/>
        </w:rPr>
      </w:pPr>
    </w:p>
    <w:p>
      <w:pPr>
        <w:pStyle w:val="13"/>
        <w:tabs>
          <w:tab w:val="left" w:pos="5580"/>
        </w:tabs>
        <w:spacing w:line="360" w:lineRule="auto"/>
        <w:ind w:firstLine="480" w:firstLineChars="200"/>
        <w:rPr>
          <w:sz w:val="24"/>
          <w:u w:val="single" w:color="FFFFFF"/>
        </w:rPr>
      </w:pPr>
    </w:p>
    <w:p>
      <w:pPr>
        <w:spacing w:line="360" w:lineRule="auto"/>
        <w:ind w:firstLine="480" w:firstLineChars="200"/>
        <w:rPr>
          <w:sz w:val="24"/>
        </w:rPr>
      </w:pPr>
      <w:r>
        <w:rPr>
          <w:rFonts w:hint="eastAsia"/>
          <w:sz w:val="24"/>
        </w:rPr>
        <w:t>投标人（盖</w:t>
      </w:r>
      <w:r>
        <w:rPr>
          <w:sz w:val="24"/>
        </w:rPr>
        <w:t>章）：</w:t>
      </w:r>
    </w:p>
    <w:p>
      <w:pPr>
        <w:pStyle w:val="13"/>
        <w:tabs>
          <w:tab w:val="left" w:pos="5580"/>
        </w:tabs>
        <w:spacing w:line="360" w:lineRule="auto"/>
        <w:ind w:firstLine="480" w:firstLineChars="200"/>
        <w:rPr>
          <w:sz w:val="24"/>
          <w:u w:val="single"/>
        </w:rPr>
      </w:pPr>
      <w:r>
        <w:rPr>
          <w:rFonts w:hint="eastAsia"/>
          <w:sz w:val="24"/>
        </w:rPr>
        <w:t>法定代表人（</w:t>
      </w:r>
      <w:r>
        <w:rPr>
          <w:rFonts w:hint="eastAsia"/>
          <w:sz w:val="24"/>
          <w:lang w:val="en-US" w:eastAsia="zh-CN"/>
        </w:rPr>
        <w:t>签字或盖章</w:t>
      </w:r>
      <w:r>
        <w:rPr>
          <w:rFonts w:hint="eastAsia"/>
          <w:sz w:val="24"/>
        </w:rPr>
        <w:t>）：</w:t>
      </w:r>
    </w:p>
    <w:p>
      <w:pPr>
        <w:pStyle w:val="13"/>
        <w:tabs>
          <w:tab w:val="left" w:pos="5580"/>
        </w:tabs>
        <w:spacing w:line="360" w:lineRule="auto"/>
        <w:ind w:firstLine="480" w:firstLineChars="200"/>
        <w:rPr>
          <w:rFonts w:cs="宋体"/>
          <w:kern w:val="0"/>
          <w:sz w:val="24"/>
          <w:u w:val="single"/>
        </w:rPr>
      </w:pPr>
      <w:r>
        <w:rPr>
          <w:rFonts w:hint="eastAsia" w:cs="宋体"/>
          <w:kern w:val="0"/>
          <w:sz w:val="24"/>
        </w:rPr>
        <w:t>委托代理人</w:t>
      </w:r>
      <w:r>
        <w:rPr>
          <w:rFonts w:hint="eastAsia"/>
          <w:sz w:val="24"/>
        </w:rPr>
        <w:t>（签字）</w:t>
      </w:r>
      <w:r>
        <w:rPr>
          <w:rFonts w:hint="eastAsia" w:cs="宋体"/>
          <w:kern w:val="0"/>
          <w:sz w:val="24"/>
        </w:rPr>
        <w:t>：</w:t>
      </w:r>
    </w:p>
    <w:p>
      <w:pPr>
        <w:spacing w:line="360" w:lineRule="auto"/>
        <w:jc w:val="right"/>
        <w:rPr>
          <w:sz w:val="24"/>
          <w:u w:val="single"/>
        </w:rPr>
      </w:pPr>
      <w:r>
        <w:rPr>
          <w:rFonts w:hint="eastAsia"/>
          <w:sz w:val="24"/>
        </w:rPr>
        <w:t>日期：</w:t>
      </w:r>
      <w:r>
        <w:rPr>
          <w:rFonts w:hint="eastAsia" w:ascii="宋体" w:cs="宋体"/>
          <w:sz w:val="24"/>
        </w:rPr>
        <w:t xml:space="preserve">   年   月   日</w:t>
      </w:r>
    </w:p>
    <w:p>
      <w:pPr>
        <w:ind w:firstLine="482" w:firstLineChars="200"/>
        <w:rPr>
          <w:rFonts w:ascii="宋体" w:cs="宋体"/>
          <w:b/>
          <w:bCs/>
          <w:sz w:val="24"/>
        </w:rPr>
      </w:pPr>
      <w:r>
        <w:rPr>
          <w:rFonts w:hint="eastAsia" w:ascii="宋体" w:cs="宋体"/>
          <w:b/>
          <w:bCs/>
          <w:sz w:val="24"/>
        </w:rPr>
        <w:br w:type="page"/>
      </w:r>
    </w:p>
    <w:p>
      <w:pPr>
        <w:ind w:firstLine="643" w:firstLineChars="200"/>
        <w:jc w:val="center"/>
        <w:rPr>
          <w:b/>
          <w:bCs/>
          <w:sz w:val="32"/>
          <w:szCs w:val="32"/>
        </w:rPr>
      </w:pPr>
      <w:bookmarkStart w:id="31" w:name="_Toc505078023"/>
      <w:bookmarkStart w:id="32" w:name="_Toc11547"/>
      <w:bookmarkStart w:id="33" w:name="_Toc27766"/>
      <w:r>
        <w:rPr>
          <w:rFonts w:hint="eastAsia"/>
          <w:b/>
          <w:bCs/>
          <w:sz w:val="32"/>
          <w:szCs w:val="32"/>
        </w:rPr>
        <w:t>投标人概况</w:t>
      </w:r>
      <w:bookmarkEnd w:id="31"/>
    </w:p>
    <w:p>
      <w:pPr>
        <w:snapToGrid w:val="0"/>
        <w:spacing w:line="400" w:lineRule="exact"/>
        <w:ind w:firstLine="480" w:firstLineChars="200"/>
        <w:jc w:val="left"/>
        <w:rPr>
          <w:rFonts w:hint="eastAsia" w:ascii="宋体" w:hAnsi="宋体"/>
          <w:sz w:val="24"/>
        </w:rPr>
      </w:pPr>
      <w:r>
        <w:rPr>
          <w:rFonts w:hint="eastAsia" w:ascii="宋体" w:hAnsi="宋体"/>
          <w:sz w:val="24"/>
        </w:rPr>
        <w:t>投标人企业简介等情况说明（后附：企业法人营业执照）；投标人是供应商的还需提供厂家的授权委托书及厂家相关证明文件。</w:t>
      </w:r>
    </w:p>
    <w:tbl>
      <w:tblPr>
        <w:tblStyle w:val="25"/>
        <w:tblW w:w="9606"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677"/>
        <w:gridCol w:w="1060"/>
        <w:gridCol w:w="1362"/>
        <w:gridCol w:w="1370"/>
        <w:gridCol w:w="1458"/>
        <w:gridCol w:w="411"/>
        <w:gridCol w:w="871"/>
        <w:gridCol w:w="1397"/>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77" w:type="dxa"/>
            <w:tcBorders>
              <w:top w:val="single" w:color="auto" w:sz="4" w:space="0"/>
              <w:left w:val="single" w:color="auto" w:sz="4" w:space="0"/>
            </w:tcBorders>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供应商名称</w:t>
            </w:r>
          </w:p>
        </w:tc>
        <w:tc>
          <w:tcPr>
            <w:tcW w:w="7929" w:type="dxa"/>
            <w:gridSpan w:val="7"/>
            <w:tcBorders>
              <w:top w:val="single" w:color="auto" w:sz="4" w:space="0"/>
              <w:right w:val="single" w:color="auto" w:sz="4" w:space="0"/>
            </w:tcBorders>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77"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注册地址</w:t>
            </w:r>
          </w:p>
        </w:tc>
        <w:tc>
          <w:tcPr>
            <w:tcW w:w="3792" w:type="dxa"/>
            <w:gridSpan w:val="3"/>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1458" w:type="dxa"/>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邮政编码</w:t>
            </w:r>
          </w:p>
        </w:tc>
        <w:tc>
          <w:tcPr>
            <w:tcW w:w="2679" w:type="dxa"/>
            <w:gridSpan w:val="3"/>
            <w:tcBorders>
              <w:right w:val="single" w:color="auto" w:sz="4" w:space="0"/>
            </w:tcBorders>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vMerge w:val="restart"/>
            <w:tcBorders>
              <w:left w:val="single" w:color="auto" w:sz="4" w:space="0"/>
            </w:tcBorders>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联系方式</w:t>
            </w:r>
          </w:p>
        </w:tc>
        <w:tc>
          <w:tcPr>
            <w:tcW w:w="1060" w:type="dxa"/>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联系人</w:t>
            </w:r>
          </w:p>
        </w:tc>
        <w:tc>
          <w:tcPr>
            <w:tcW w:w="2732" w:type="dxa"/>
            <w:gridSpan w:val="2"/>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1458" w:type="dxa"/>
            <w:noWrap w:val="0"/>
            <w:vAlign w:val="center"/>
          </w:tcPr>
          <w:p>
            <w:pPr>
              <w:autoSpaceDE w:val="0"/>
              <w:autoSpaceDN w:val="0"/>
              <w:adjustRightInd w:val="0"/>
              <w:spacing w:line="400" w:lineRule="exact"/>
              <w:ind w:firstLine="480"/>
              <w:jc w:val="center"/>
              <w:rPr>
                <w:rFonts w:hint="eastAsia" w:ascii="宋体" w:hAnsi="宋体" w:cs="仿宋"/>
                <w:kern w:val="0"/>
                <w:sz w:val="24"/>
              </w:rPr>
            </w:pPr>
            <w:r>
              <w:rPr>
                <w:rFonts w:hint="eastAsia" w:ascii="宋体" w:hAnsi="宋体" w:cs="仿宋"/>
                <w:kern w:val="0"/>
                <w:sz w:val="24"/>
              </w:rPr>
              <w:t>电话</w:t>
            </w:r>
          </w:p>
        </w:tc>
        <w:tc>
          <w:tcPr>
            <w:tcW w:w="2679" w:type="dxa"/>
            <w:gridSpan w:val="3"/>
            <w:tcBorders>
              <w:right w:val="single" w:color="auto" w:sz="4" w:space="0"/>
            </w:tcBorders>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677" w:type="dxa"/>
            <w:vMerge w:val="continue"/>
            <w:tcBorders>
              <w:left w:val="single" w:color="auto" w:sz="4" w:space="0"/>
            </w:tcBorders>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1060" w:type="dxa"/>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传真</w:t>
            </w:r>
          </w:p>
        </w:tc>
        <w:tc>
          <w:tcPr>
            <w:tcW w:w="2732" w:type="dxa"/>
            <w:gridSpan w:val="2"/>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1458" w:type="dxa"/>
            <w:noWrap w:val="0"/>
            <w:vAlign w:val="center"/>
          </w:tcPr>
          <w:p>
            <w:pPr>
              <w:autoSpaceDE w:val="0"/>
              <w:autoSpaceDN w:val="0"/>
              <w:adjustRightInd w:val="0"/>
              <w:spacing w:line="400" w:lineRule="exact"/>
              <w:ind w:firstLine="480"/>
              <w:jc w:val="center"/>
              <w:rPr>
                <w:rFonts w:hint="eastAsia" w:ascii="宋体" w:hAnsi="宋体" w:cs="仿宋"/>
                <w:kern w:val="0"/>
                <w:sz w:val="24"/>
              </w:rPr>
            </w:pPr>
            <w:r>
              <w:rPr>
                <w:rFonts w:hint="eastAsia" w:ascii="宋体" w:hAnsi="宋体" w:cs="仿宋"/>
                <w:kern w:val="0"/>
                <w:sz w:val="24"/>
              </w:rPr>
              <w:t>网址</w:t>
            </w:r>
          </w:p>
        </w:tc>
        <w:tc>
          <w:tcPr>
            <w:tcW w:w="2679" w:type="dxa"/>
            <w:gridSpan w:val="3"/>
            <w:tcBorders>
              <w:right w:val="single" w:color="auto" w:sz="4" w:space="0"/>
            </w:tcBorders>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本公司所属行业</w:t>
            </w:r>
          </w:p>
        </w:tc>
        <w:tc>
          <w:tcPr>
            <w:tcW w:w="7929" w:type="dxa"/>
            <w:gridSpan w:val="7"/>
            <w:tcBorders>
              <w:right w:val="single" w:color="auto" w:sz="4" w:space="0"/>
            </w:tcBorders>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677"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法定代表人</w:t>
            </w:r>
          </w:p>
        </w:tc>
        <w:tc>
          <w:tcPr>
            <w:tcW w:w="1060" w:type="dxa"/>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姓名</w:t>
            </w:r>
          </w:p>
        </w:tc>
        <w:tc>
          <w:tcPr>
            <w:tcW w:w="1362" w:type="dxa"/>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1370" w:type="dxa"/>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技术职称</w:t>
            </w:r>
          </w:p>
        </w:tc>
        <w:tc>
          <w:tcPr>
            <w:tcW w:w="1458" w:type="dxa"/>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1282" w:type="dxa"/>
            <w:gridSpan w:val="2"/>
            <w:noWrap w:val="0"/>
            <w:vAlign w:val="center"/>
          </w:tcPr>
          <w:p>
            <w:pPr>
              <w:autoSpaceDE w:val="0"/>
              <w:autoSpaceDN w:val="0"/>
              <w:adjustRightInd w:val="0"/>
              <w:spacing w:line="400" w:lineRule="exact"/>
              <w:ind w:firstLine="480"/>
              <w:jc w:val="center"/>
              <w:rPr>
                <w:rFonts w:hint="eastAsia" w:ascii="宋体" w:hAnsi="宋体" w:cs="仿宋"/>
                <w:kern w:val="0"/>
                <w:sz w:val="24"/>
              </w:rPr>
            </w:pPr>
            <w:r>
              <w:rPr>
                <w:rFonts w:hint="eastAsia" w:ascii="宋体" w:hAnsi="宋体" w:cs="仿宋"/>
                <w:kern w:val="0"/>
                <w:sz w:val="24"/>
              </w:rPr>
              <w:t>电话</w:t>
            </w:r>
          </w:p>
        </w:tc>
        <w:tc>
          <w:tcPr>
            <w:tcW w:w="1397" w:type="dxa"/>
            <w:tcBorders>
              <w:right w:val="single" w:color="auto" w:sz="4" w:space="0"/>
            </w:tcBorders>
            <w:noWrap w:val="0"/>
            <w:vAlign w:val="center"/>
          </w:tcPr>
          <w:p>
            <w:pPr>
              <w:autoSpaceDE w:val="0"/>
              <w:autoSpaceDN w:val="0"/>
              <w:adjustRightInd w:val="0"/>
              <w:spacing w:line="400" w:lineRule="exact"/>
              <w:ind w:firstLine="482"/>
              <w:jc w:val="center"/>
              <w:rPr>
                <w:rFonts w:hint="eastAsia" w:ascii="宋体" w:hAnsi="宋体" w:cs="仿宋"/>
                <w:b/>
                <w:bCs/>
                <w:kern w:val="0"/>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677"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项目负责人</w:t>
            </w:r>
          </w:p>
        </w:tc>
        <w:tc>
          <w:tcPr>
            <w:tcW w:w="1060" w:type="dxa"/>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姓名</w:t>
            </w:r>
          </w:p>
        </w:tc>
        <w:tc>
          <w:tcPr>
            <w:tcW w:w="1362" w:type="dxa"/>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1370" w:type="dxa"/>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技术职称</w:t>
            </w:r>
          </w:p>
        </w:tc>
        <w:tc>
          <w:tcPr>
            <w:tcW w:w="1458" w:type="dxa"/>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1282" w:type="dxa"/>
            <w:gridSpan w:val="2"/>
            <w:noWrap w:val="0"/>
            <w:vAlign w:val="center"/>
          </w:tcPr>
          <w:p>
            <w:pPr>
              <w:autoSpaceDE w:val="0"/>
              <w:autoSpaceDN w:val="0"/>
              <w:adjustRightInd w:val="0"/>
              <w:spacing w:line="400" w:lineRule="exact"/>
              <w:ind w:firstLine="480"/>
              <w:jc w:val="center"/>
              <w:rPr>
                <w:rFonts w:hint="eastAsia" w:ascii="宋体" w:hAnsi="宋体" w:cs="仿宋"/>
                <w:kern w:val="0"/>
                <w:sz w:val="24"/>
              </w:rPr>
            </w:pPr>
            <w:r>
              <w:rPr>
                <w:rFonts w:hint="eastAsia" w:ascii="宋体" w:hAnsi="宋体" w:cs="仿宋"/>
                <w:kern w:val="0"/>
                <w:sz w:val="24"/>
              </w:rPr>
              <w:t>电话</w:t>
            </w:r>
          </w:p>
        </w:tc>
        <w:tc>
          <w:tcPr>
            <w:tcW w:w="1397" w:type="dxa"/>
            <w:tcBorders>
              <w:right w:val="single" w:color="auto" w:sz="4" w:space="0"/>
            </w:tcBorders>
            <w:noWrap w:val="0"/>
            <w:vAlign w:val="center"/>
          </w:tcPr>
          <w:p>
            <w:pPr>
              <w:autoSpaceDE w:val="0"/>
              <w:autoSpaceDN w:val="0"/>
              <w:adjustRightInd w:val="0"/>
              <w:spacing w:line="400" w:lineRule="exact"/>
              <w:ind w:firstLine="482"/>
              <w:jc w:val="center"/>
              <w:rPr>
                <w:rFonts w:hint="eastAsia" w:ascii="宋体" w:hAnsi="宋体" w:cs="仿宋"/>
                <w:b/>
                <w:bCs/>
                <w:kern w:val="0"/>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tcBorders>
              <w:left w:val="single" w:color="auto" w:sz="4" w:space="0"/>
              <w:bottom w:val="single" w:color="auto" w:sz="4" w:space="0"/>
            </w:tcBorders>
            <w:noWrap w:val="0"/>
            <w:vAlign w:val="center"/>
          </w:tcPr>
          <w:p>
            <w:pPr>
              <w:autoSpaceDE w:val="0"/>
              <w:autoSpaceDN w:val="0"/>
              <w:adjustRightInd w:val="0"/>
              <w:spacing w:line="400" w:lineRule="exact"/>
              <w:ind w:firstLine="480"/>
              <w:jc w:val="center"/>
              <w:rPr>
                <w:rFonts w:hint="eastAsia" w:ascii="宋体" w:hAnsi="宋体" w:cs="仿宋"/>
                <w:kern w:val="0"/>
                <w:sz w:val="24"/>
              </w:rPr>
            </w:pPr>
            <w:r>
              <w:rPr>
                <w:rFonts w:hint="eastAsia" w:ascii="宋体" w:hAnsi="宋体" w:cs="仿宋"/>
                <w:kern w:val="0"/>
                <w:sz w:val="24"/>
              </w:rPr>
              <w:t>成立时间</w:t>
            </w:r>
          </w:p>
        </w:tc>
        <w:tc>
          <w:tcPr>
            <w:tcW w:w="2422" w:type="dxa"/>
            <w:gridSpan w:val="2"/>
            <w:tcBorders>
              <w:bottom w:val="single" w:color="auto" w:sz="4" w:space="0"/>
            </w:tcBorders>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5507" w:type="dxa"/>
            <w:gridSpan w:val="5"/>
            <w:tcBorders>
              <w:bottom w:val="single" w:color="auto" w:sz="4" w:space="0"/>
              <w:right w:val="single" w:color="auto" w:sz="4" w:space="0"/>
            </w:tcBorders>
            <w:noWrap w:val="0"/>
            <w:vAlign w:val="center"/>
          </w:tcPr>
          <w:p>
            <w:pPr>
              <w:autoSpaceDE w:val="0"/>
              <w:autoSpaceDN w:val="0"/>
              <w:adjustRightInd w:val="0"/>
              <w:spacing w:line="400" w:lineRule="exact"/>
              <w:ind w:firstLine="1680" w:firstLineChars="700"/>
              <w:rPr>
                <w:rFonts w:hint="eastAsia" w:ascii="宋体" w:hAnsi="宋体" w:cs="仿宋"/>
                <w:kern w:val="0"/>
                <w:sz w:val="24"/>
              </w:rPr>
            </w:pPr>
            <w:r>
              <w:rPr>
                <w:rFonts w:hint="eastAsia" w:ascii="宋体" w:hAnsi="宋体" w:cs="仿宋"/>
                <w:kern w:val="0"/>
                <w:sz w:val="24"/>
              </w:rPr>
              <w:t>从业人员人数：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tcBorders>
              <w:top w:val="single" w:color="auto" w:sz="4" w:space="0"/>
              <w:left w:val="single" w:color="auto" w:sz="4" w:space="0"/>
            </w:tcBorders>
            <w:noWrap w:val="0"/>
            <w:vAlign w:val="center"/>
          </w:tcPr>
          <w:p>
            <w:pPr>
              <w:topLinePunct/>
              <w:spacing w:line="440" w:lineRule="exact"/>
              <w:jc w:val="center"/>
              <w:rPr>
                <w:rFonts w:hint="eastAsia" w:ascii="宋体" w:hAnsi="宋体"/>
                <w:sz w:val="24"/>
              </w:rPr>
            </w:pPr>
            <w:r>
              <w:rPr>
                <w:rFonts w:hint="eastAsia" w:ascii="宋体" w:hAnsi="宋体"/>
                <w:sz w:val="24"/>
              </w:rPr>
              <w:t>统一社会信用代码</w:t>
            </w:r>
          </w:p>
        </w:tc>
        <w:tc>
          <w:tcPr>
            <w:tcW w:w="2422" w:type="dxa"/>
            <w:gridSpan w:val="2"/>
            <w:tcBorders>
              <w:top w:val="single" w:color="auto" w:sz="4" w:space="0"/>
            </w:tcBorders>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1370" w:type="dxa"/>
            <w:vMerge w:val="restart"/>
            <w:tcBorders>
              <w:top w:val="single" w:color="auto" w:sz="4" w:space="0"/>
            </w:tcBorders>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1869" w:type="dxa"/>
            <w:gridSpan w:val="2"/>
            <w:tcBorders>
              <w:top w:val="single" w:color="auto" w:sz="4" w:space="0"/>
            </w:tcBorders>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高级职称人员</w:t>
            </w:r>
          </w:p>
        </w:tc>
        <w:tc>
          <w:tcPr>
            <w:tcW w:w="2268" w:type="dxa"/>
            <w:gridSpan w:val="2"/>
            <w:tcBorders>
              <w:top w:val="single" w:color="auto" w:sz="4" w:space="0"/>
              <w:right w:val="single" w:color="auto" w:sz="4" w:space="0"/>
            </w:tcBorders>
            <w:noWrap w:val="0"/>
            <w:vAlign w:val="center"/>
          </w:tcPr>
          <w:p>
            <w:pPr>
              <w:autoSpaceDE w:val="0"/>
              <w:autoSpaceDN w:val="0"/>
              <w:adjustRightInd w:val="0"/>
              <w:spacing w:line="400" w:lineRule="exact"/>
              <w:ind w:firstLine="482"/>
              <w:jc w:val="center"/>
              <w:rPr>
                <w:rFonts w:hint="eastAsia" w:ascii="宋体" w:hAnsi="宋体" w:cs="仿宋"/>
                <w:b/>
                <w:bCs/>
                <w:kern w:val="0"/>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注册资金</w:t>
            </w:r>
          </w:p>
        </w:tc>
        <w:tc>
          <w:tcPr>
            <w:tcW w:w="2422" w:type="dxa"/>
            <w:gridSpan w:val="2"/>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1370" w:type="dxa"/>
            <w:vMerge w:val="continue"/>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1869" w:type="dxa"/>
            <w:gridSpan w:val="2"/>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中级职称人员</w:t>
            </w:r>
          </w:p>
        </w:tc>
        <w:tc>
          <w:tcPr>
            <w:tcW w:w="2268" w:type="dxa"/>
            <w:gridSpan w:val="2"/>
            <w:tcBorders>
              <w:right w:val="single" w:color="auto" w:sz="4" w:space="0"/>
            </w:tcBorders>
            <w:noWrap w:val="0"/>
            <w:vAlign w:val="center"/>
          </w:tcPr>
          <w:p>
            <w:pPr>
              <w:autoSpaceDE w:val="0"/>
              <w:autoSpaceDN w:val="0"/>
              <w:adjustRightInd w:val="0"/>
              <w:spacing w:line="400" w:lineRule="exact"/>
              <w:ind w:firstLine="482"/>
              <w:jc w:val="center"/>
              <w:rPr>
                <w:rFonts w:hint="eastAsia" w:ascii="宋体" w:hAnsi="宋体" w:cs="仿宋"/>
                <w:b/>
                <w:bCs/>
                <w:kern w:val="0"/>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77" w:type="dxa"/>
            <w:tcBorders>
              <w:left w:val="single" w:color="auto" w:sz="4" w:space="0"/>
            </w:tcBorders>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开户银行</w:t>
            </w:r>
          </w:p>
        </w:tc>
        <w:tc>
          <w:tcPr>
            <w:tcW w:w="2422" w:type="dxa"/>
            <w:gridSpan w:val="2"/>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1370" w:type="dxa"/>
            <w:vMerge w:val="continue"/>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1869" w:type="dxa"/>
            <w:gridSpan w:val="2"/>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初级职称人员</w:t>
            </w:r>
          </w:p>
        </w:tc>
        <w:tc>
          <w:tcPr>
            <w:tcW w:w="2268" w:type="dxa"/>
            <w:gridSpan w:val="2"/>
            <w:tcBorders>
              <w:right w:val="single" w:color="auto" w:sz="4" w:space="0"/>
            </w:tcBorders>
            <w:noWrap w:val="0"/>
            <w:vAlign w:val="center"/>
          </w:tcPr>
          <w:p>
            <w:pPr>
              <w:autoSpaceDE w:val="0"/>
              <w:autoSpaceDN w:val="0"/>
              <w:adjustRightInd w:val="0"/>
              <w:spacing w:line="400" w:lineRule="exact"/>
              <w:ind w:firstLine="482"/>
              <w:jc w:val="center"/>
              <w:rPr>
                <w:rFonts w:hint="eastAsia" w:ascii="宋体" w:hAnsi="宋体" w:cs="仿宋"/>
                <w:b/>
                <w:bCs/>
                <w:kern w:val="0"/>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tcBorders>
              <w:left w:val="single" w:color="auto" w:sz="4" w:space="0"/>
              <w:bottom w:val="single" w:color="auto" w:sz="4" w:space="0"/>
            </w:tcBorders>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账号</w:t>
            </w:r>
          </w:p>
        </w:tc>
        <w:tc>
          <w:tcPr>
            <w:tcW w:w="2422" w:type="dxa"/>
            <w:gridSpan w:val="2"/>
            <w:tcBorders>
              <w:bottom w:val="single" w:color="auto" w:sz="4" w:space="0"/>
            </w:tcBorders>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1370" w:type="dxa"/>
            <w:vMerge w:val="continue"/>
            <w:tcBorders>
              <w:bottom w:val="single" w:color="auto" w:sz="4" w:space="0"/>
            </w:tcBorders>
            <w:noWrap w:val="0"/>
            <w:vAlign w:val="center"/>
          </w:tcPr>
          <w:p>
            <w:pPr>
              <w:autoSpaceDE w:val="0"/>
              <w:autoSpaceDN w:val="0"/>
              <w:adjustRightInd w:val="0"/>
              <w:spacing w:line="400" w:lineRule="exact"/>
              <w:ind w:firstLine="480"/>
              <w:jc w:val="center"/>
              <w:rPr>
                <w:rFonts w:hint="eastAsia" w:ascii="宋体" w:hAnsi="宋体" w:cs="仿宋"/>
                <w:kern w:val="0"/>
                <w:sz w:val="24"/>
              </w:rPr>
            </w:pPr>
          </w:p>
        </w:tc>
        <w:tc>
          <w:tcPr>
            <w:tcW w:w="1869" w:type="dxa"/>
            <w:gridSpan w:val="2"/>
            <w:tcBorders>
              <w:bottom w:val="single" w:color="auto" w:sz="4" w:space="0"/>
            </w:tcBorders>
            <w:noWrap w:val="0"/>
            <w:vAlign w:val="center"/>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其他</w:t>
            </w:r>
          </w:p>
        </w:tc>
        <w:tc>
          <w:tcPr>
            <w:tcW w:w="2268" w:type="dxa"/>
            <w:gridSpan w:val="2"/>
            <w:tcBorders>
              <w:bottom w:val="single" w:color="auto" w:sz="4" w:space="0"/>
              <w:right w:val="single" w:color="auto" w:sz="4" w:space="0"/>
            </w:tcBorders>
            <w:noWrap w:val="0"/>
            <w:vAlign w:val="center"/>
          </w:tcPr>
          <w:p>
            <w:pPr>
              <w:autoSpaceDE w:val="0"/>
              <w:autoSpaceDN w:val="0"/>
              <w:adjustRightInd w:val="0"/>
              <w:spacing w:line="400" w:lineRule="exact"/>
              <w:ind w:firstLine="482"/>
              <w:jc w:val="center"/>
              <w:rPr>
                <w:rFonts w:hint="eastAsia" w:ascii="宋体" w:hAnsi="宋体" w:cs="仿宋"/>
                <w:b/>
                <w:bCs/>
                <w:kern w:val="0"/>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71" w:hRule="atLeast"/>
        </w:trPr>
        <w:tc>
          <w:tcPr>
            <w:tcW w:w="1677" w:type="dxa"/>
            <w:tcBorders>
              <w:top w:val="single" w:color="auto" w:sz="4" w:space="0"/>
              <w:left w:val="single" w:color="auto" w:sz="4" w:space="0"/>
            </w:tcBorders>
            <w:noWrap w:val="0"/>
            <w:vAlign w:val="center"/>
          </w:tcPr>
          <w:p>
            <w:pPr>
              <w:autoSpaceDE w:val="0"/>
              <w:autoSpaceDN w:val="0"/>
              <w:adjustRightInd w:val="0"/>
              <w:spacing w:line="400" w:lineRule="exact"/>
              <w:ind w:firstLine="240" w:firstLineChars="100"/>
              <w:jc w:val="both"/>
              <w:rPr>
                <w:rFonts w:hint="eastAsia" w:ascii="宋体" w:hAnsi="宋体" w:cs="仿宋"/>
                <w:kern w:val="0"/>
                <w:sz w:val="24"/>
              </w:rPr>
            </w:pPr>
            <w:r>
              <w:rPr>
                <w:rFonts w:hint="eastAsia" w:ascii="宋体" w:hAnsi="宋体" w:cs="仿宋"/>
                <w:kern w:val="0"/>
                <w:sz w:val="24"/>
              </w:rPr>
              <w:t>经营范围</w:t>
            </w:r>
          </w:p>
        </w:tc>
        <w:tc>
          <w:tcPr>
            <w:tcW w:w="7929" w:type="dxa"/>
            <w:gridSpan w:val="7"/>
            <w:tcBorders>
              <w:top w:val="single" w:color="auto" w:sz="4" w:space="0"/>
              <w:right w:val="single" w:color="auto" w:sz="4" w:space="0"/>
            </w:tcBorders>
            <w:noWrap w:val="0"/>
            <w:vAlign w:val="center"/>
          </w:tcPr>
          <w:p>
            <w:pPr>
              <w:pStyle w:val="24"/>
              <w:ind w:left="0" w:leftChars="0" w:firstLine="0" w:firstLineChars="0"/>
              <w:rPr>
                <w:rFonts w:hint="eastAsia"/>
              </w:rPr>
            </w:pPr>
          </w:p>
          <w:p>
            <w:pPr>
              <w:pStyle w:val="24"/>
              <w:rPr>
                <w:rFonts w:hint="eastAsia"/>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76" w:hRule="atLeast"/>
        </w:trPr>
        <w:tc>
          <w:tcPr>
            <w:tcW w:w="1677" w:type="dxa"/>
            <w:tcBorders>
              <w:left w:val="single" w:color="auto" w:sz="4" w:space="0"/>
              <w:bottom w:val="single" w:color="auto" w:sz="4" w:space="0"/>
            </w:tcBorders>
            <w:noWrap w:val="0"/>
            <w:vAlign w:val="top"/>
          </w:tcPr>
          <w:p>
            <w:pPr>
              <w:autoSpaceDE w:val="0"/>
              <w:autoSpaceDN w:val="0"/>
              <w:adjustRightInd w:val="0"/>
              <w:spacing w:line="400" w:lineRule="exact"/>
              <w:jc w:val="center"/>
              <w:rPr>
                <w:rFonts w:hint="eastAsia" w:ascii="宋体" w:hAnsi="宋体" w:cs="仿宋"/>
                <w:kern w:val="0"/>
                <w:sz w:val="24"/>
              </w:rPr>
            </w:pPr>
            <w:r>
              <w:rPr>
                <w:rFonts w:hint="eastAsia" w:ascii="宋体" w:hAnsi="宋体" w:cs="仿宋"/>
                <w:kern w:val="0"/>
                <w:sz w:val="24"/>
              </w:rPr>
              <w:t>备注</w:t>
            </w:r>
          </w:p>
        </w:tc>
        <w:tc>
          <w:tcPr>
            <w:tcW w:w="7929" w:type="dxa"/>
            <w:gridSpan w:val="7"/>
            <w:tcBorders>
              <w:bottom w:val="single" w:color="auto" w:sz="4" w:space="0"/>
              <w:right w:val="single" w:color="auto" w:sz="4" w:space="0"/>
            </w:tcBorders>
            <w:noWrap w:val="0"/>
            <w:vAlign w:val="top"/>
          </w:tcPr>
          <w:p>
            <w:pPr>
              <w:autoSpaceDE w:val="0"/>
              <w:autoSpaceDN w:val="0"/>
              <w:adjustRightInd w:val="0"/>
              <w:spacing w:line="400" w:lineRule="exact"/>
              <w:ind w:firstLine="480"/>
              <w:jc w:val="left"/>
              <w:rPr>
                <w:rFonts w:hint="eastAsia"/>
              </w:rPr>
            </w:pPr>
          </w:p>
          <w:p>
            <w:pPr>
              <w:rPr>
                <w:rFonts w:hint="eastAsia"/>
              </w:rPr>
            </w:pPr>
          </w:p>
        </w:tc>
      </w:tr>
    </w:tbl>
    <w:p>
      <w:pPr>
        <w:keepNext w:val="0"/>
        <w:keepLines w:val="0"/>
        <w:pageBreakBefore w:val="0"/>
        <w:widowControl w:val="0"/>
        <w:kinsoku/>
        <w:wordWrap/>
        <w:overflowPunct/>
        <w:topLinePunct w:val="0"/>
        <w:autoSpaceDE w:val="0"/>
        <w:autoSpaceDN w:val="0"/>
        <w:bidi w:val="0"/>
        <w:adjustRightInd w:val="0"/>
        <w:snapToGrid/>
        <w:spacing w:line="360" w:lineRule="auto"/>
        <w:ind w:left="210" w:leftChars="100" w:firstLine="240" w:firstLineChars="100"/>
        <w:textAlignment w:val="auto"/>
        <w:rPr>
          <w:rFonts w:hint="eastAsia" w:asciiTheme="majorEastAsia" w:hAnsiTheme="majorEastAsia" w:eastAsiaTheme="majorEastAsia" w:cstheme="majorEastAsia"/>
          <w:sz w:val="24"/>
          <w:szCs w:val="24"/>
        </w:rPr>
      </w:pPr>
      <w:r>
        <w:rPr>
          <w:rFonts w:hint="eastAsia" w:ascii="宋体" w:cs="宋体"/>
          <w:sz w:val="24"/>
        </w:rPr>
        <w:t>注</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须附营业执照副本，“信用中国”网站（</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"http://www.creditchina.gov.cn/"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www.creditchina.gov.cn</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t>）截图、中国政府采购网（</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"http://www.ccgp.gov.cn/"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www.ccgp.gov.cn</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t>）截图复印件。</w:t>
      </w:r>
    </w:p>
    <w:p>
      <w:pPr>
        <w:keepNext w:val="0"/>
        <w:keepLines w:val="0"/>
        <w:pageBreakBefore w:val="0"/>
        <w:widowControl w:val="0"/>
        <w:kinsoku/>
        <w:wordWrap/>
        <w:overflowPunct/>
        <w:topLinePunct w:val="0"/>
        <w:autoSpaceDE w:val="0"/>
        <w:autoSpaceDN w:val="0"/>
        <w:bidi w:val="0"/>
        <w:adjustRightInd w:val="0"/>
        <w:snapToGrid/>
        <w:spacing w:line="360" w:lineRule="auto"/>
        <w:ind w:left="210" w:leftChars="100" w:firstLine="240" w:firstLineChars="1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 如投标人此表数据有虚假，一经查实，自行承担相关责任。</w:t>
      </w:r>
    </w:p>
    <w:p>
      <w:pPr>
        <w:keepNext w:val="0"/>
        <w:keepLines w:val="0"/>
        <w:pageBreakBefore w:val="0"/>
        <w:widowControl w:val="0"/>
        <w:kinsoku/>
        <w:wordWrap/>
        <w:overflowPunct/>
        <w:topLinePunct w:val="0"/>
        <w:autoSpaceDE w:val="0"/>
        <w:autoSpaceDN w:val="0"/>
        <w:bidi w:val="0"/>
        <w:adjustRightInd w:val="0"/>
        <w:snapToGrid/>
        <w:spacing w:line="360" w:lineRule="auto"/>
        <w:ind w:left="210" w:leftChars="100" w:firstLine="240" w:firstLineChars="100"/>
        <w:textAlignment w:val="auto"/>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）随本表格附交营业执照副本的复印件及税务登记证副本复印件各一份，均须加盖公章。（“三证合一”或“五证合一”的附交最新营业执照复印件加盖公章）。</w:t>
      </w:r>
    </w:p>
    <w:p>
      <w:pPr>
        <w:pStyle w:val="13"/>
        <w:tabs>
          <w:tab w:val="left" w:pos="5580"/>
        </w:tabs>
        <w:spacing w:line="360" w:lineRule="auto"/>
        <w:ind w:firstLine="480" w:firstLineChars="200"/>
        <w:rPr>
          <w:sz w:val="24"/>
        </w:rPr>
      </w:pPr>
      <w:r>
        <w:rPr>
          <w:rFonts w:hint="eastAsia"/>
          <w:sz w:val="24"/>
        </w:rPr>
        <w:t>投标人（盖</w:t>
      </w:r>
      <w:r>
        <w:rPr>
          <w:sz w:val="24"/>
        </w:rPr>
        <w:t>章）：</w:t>
      </w:r>
    </w:p>
    <w:p>
      <w:pPr>
        <w:pStyle w:val="13"/>
        <w:tabs>
          <w:tab w:val="left" w:pos="5580"/>
        </w:tabs>
        <w:spacing w:line="360" w:lineRule="auto"/>
        <w:ind w:firstLine="480" w:firstLineChars="200"/>
        <w:rPr>
          <w:rFonts w:hint="eastAsia" w:cs="宋体"/>
          <w:kern w:val="0"/>
          <w:sz w:val="24"/>
        </w:rPr>
      </w:pPr>
      <w:r>
        <w:rPr>
          <w:rFonts w:hint="eastAsia"/>
          <w:sz w:val="24"/>
        </w:rPr>
        <w:t>法定代表人或</w:t>
      </w:r>
      <w:r>
        <w:rPr>
          <w:rFonts w:hint="eastAsia" w:cs="宋体"/>
          <w:kern w:val="0"/>
          <w:sz w:val="24"/>
        </w:rPr>
        <w:t>委托代理人</w:t>
      </w:r>
      <w:r>
        <w:rPr>
          <w:rFonts w:hint="eastAsia"/>
          <w:sz w:val="24"/>
        </w:rPr>
        <w:t>（签字</w:t>
      </w:r>
      <w:r>
        <w:rPr>
          <w:rFonts w:hint="eastAsia"/>
          <w:sz w:val="24"/>
          <w:lang w:val="en-US" w:eastAsia="zh-CN"/>
        </w:rPr>
        <w:t>或盖章</w:t>
      </w:r>
      <w:r>
        <w:rPr>
          <w:rFonts w:hint="eastAsia"/>
          <w:sz w:val="24"/>
        </w:rPr>
        <w:t>）</w:t>
      </w:r>
      <w:r>
        <w:rPr>
          <w:rFonts w:hint="eastAsia" w:cs="宋体"/>
          <w:kern w:val="0"/>
          <w:sz w:val="24"/>
        </w:rPr>
        <w:t>：</w:t>
      </w:r>
    </w:p>
    <w:p>
      <w:pPr>
        <w:pStyle w:val="13"/>
        <w:tabs>
          <w:tab w:val="left" w:pos="5580"/>
        </w:tabs>
        <w:spacing w:line="360" w:lineRule="auto"/>
        <w:ind w:firstLine="480" w:firstLineChars="200"/>
        <w:jc w:val="right"/>
        <w:rPr>
          <w:rFonts w:hint="eastAsia" w:ascii="宋体" w:cs="宋体"/>
          <w:sz w:val="24"/>
        </w:rPr>
      </w:pPr>
      <w:r>
        <w:rPr>
          <w:rFonts w:hint="eastAsia" w:ascii="宋体" w:cs="宋体"/>
          <w:sz w:val="24"/>
        </w:rPr>
        <w:t>日期：   年   月   日</w:t>
      </w:r>
    </w:p>
    <w:p>
      <w:pPr>
        <w:pStyle w:val="7"/>
        <w:jc w:val="center"/>
        <w:rPr>
          <w:rFonts w:hint="eastAsia" w:ascii="Calibri" w:hAnsi="Calibri" w:eastAsia="宋体" w:cs="Arial"/>
          <w:b/>
          <w:bCs/>
          <w:kern w:val="2"/>
          <w:sz w:val="32"/>
          <w:szCs w:val="32"/>
          <w:lang w:val="zh-CN" w:eastAsia="zh-CN" w:bidi="ar-SA"/>
        </w:rPr>
      </w:pPr>
      <w:r>
        <w:rPr>
          <w:rFonts w:hint="eastAsia" w:ascii="Calibri" w:hAnsi="Calibri" w:eastAsia="宋体" w:cs="Arial"/>
          <w:b/>
          <w:bCs/>
          <w:kern w:val="2"/>
          <w:sz w:val="32"/>
          <w:szCs w:val="32"/>
          <w:lang w:val="zh-CN" w:eastAsia="zh-CN" w:bidi="ar-SA"/>
        </w:rPr>
        <w:t>项目管理人员</w:t>
      </w:r>
    </w:p>
    <w:tbl>
      <w:tblPr>
        <w:tblStyle w:val="25"/>
        <w:tblW w:w="9105" w:type="dxa"/>
        <w:tblInd w:w="39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67"/>
        <w:gridCol w:w="992"/>
        <w:gridCol w:w="20"/>
        <w:gridCol w:w="1256"/>
        <w:gridCol w:w="992"/>
        <w:gridCol w:w="1985"/>
        <w:gridCol w:w="1134"/>
        <w:gridCol w:w="708"/>
        <w:gridCol w:w="1451"/>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7" w:type="dxa"/>
            <w:noWrap w:val="0"/>
            <w:vAlign w:val="center"/>
          </w:tcPr>
          <w:p>
            <w:pPr>
              <w:topLinePunct/>
              <w:spacing w:line="440" w:lineRule="exact"/>
              <w:jc w:val="center"/>
              <w:rPr>
                <w:rFonts w:hint="eastAsia" w:ascii="宋体" w:hAnsi="宋体" w:cs="Arial"/>
                <w:sz w:val="24"/>
              </w:rPr>
            </w:pPr>
            <w:r>
              <w:rPr>
                <w:rFonts w:hint="eastAsia" w:ascii="宋体" w:hAnsi="宋体" w:cs="Arial"/>
                <w:sz w:val="24"/>
              </w:rPr>
              <w:t>序号</w:t>
            </w:r>
          </w:p>
        </w:tc>
        <w:tc>
          <w:tcPr>
            <w:tcW w:w="1012" w:type="dxa"/>
            <w:gridSpan w:val="2"/>
            <w:noWrap w:val="0"/>
            <w:vAlign w:val="center"/>
          </w:tcPr>
          <w:p>
            <w:pPr>
              <w:topLinePunct/>
              <w:spacing w:line="440" w:lineRule="exact"/>
              <w:jc w:val="center"/>
              <w:rPr>
                <w:rFonts w:hint="eastAsia" w:ascii="宋体" w:hAnsi="宋体" w:cs="Arial"/>
                <w:sz w:val="24"/>
              </w:rPr>
            </w:pPr>
            <w:r>
              <w:rPr>
                <w:rFonts w:hint="eastAsia" w:ascii="宋体" w:hAnsi="宋体" w:cs="Arial"/>
                <w:sz w:val="24"/>
              </w:rPr>
              <w:t>姓名</w:t>
            </w:r>
          </w:p>
        </w:tc>
        <w:tc>
          <w:tcPr>
            <w:tcW w:w="1256" w:type="dxa"/>
            <w:noWrap w:val="0"/>
            <w:vAlign w:val="center"/>
          </w:tcPr>
          <w:p>
            <w:pPr>
              <w:topLinePunct/>
              <w:spacing w:line="440" w:lineRule="exact"/>
              <w:jc w:val="center"/>
              <w:rPr>
                <w:rFonts w:hint="eastAsia" w:ascii="宋体" w:hAnsi="宋体" w:cs="Arial"/>
                <w:sz w:val="24"/>
              </w:rPr>
            </w:pPr>
            <w:r>
              <w:rPr>
                <w:rFonts w:hint="eastAsia" w:ascii="宋体" w:hAnsi="宋体" w:cs="Arial"/>
                <w:sz w:val="24"/>
              </w:rPr>
              <w:t>身份证号码</w:t>
            </w:r>
          </w:p>
        </w:tc>
        <w:tc>
          <w:tcPr>
            <w:tcW w:w="992" w:type="dxa"/>
            <w:noWrap w:val="0"/>
            <w:vAlign w:val="center"/>
          </w:tcPr>
          <w:p>
            <w:pPr>
              <w:topLinePunct/>
              <w:spacing w:line="440" w:lineRule="exact"/>
              <w:jc w:val="center"/>
              <w:rPr>
                <w:rFonts w:hint="eastAsia" w:ascii="宋体" w:hAnsi="宋体" w:cs="Arial"/>
                <w:sz w:val="24"/>
              </w:rPr>
            </w:pPr>
            <w:r>
              <w:rPr>
                <w:rFonts w:hint="eastAsia" w:ascii="宋体" w:hAnsi="宋体" w:cs="Arial"/>
                <w:sz w:val="24"/>
              </w:rPr>
              <w:t>性别</w:t>
            </w:r>
          </w:p>
        </w:tc>
        <w:tc>
          <w:tcPr>
            <w:tcW w:w="1985" w:type="dxa"/>
            <w:noWrap w:val="0"/>
            <w:vAlign w:val="center"/>
          </w:tcPr>
          <w:p>
            <w:pPr>
              <w:topLinePunct/>
              <w:spacing w:line="440" w:lineRule="exact"/>
              <w:jc w:val="center"/>
              <w:rPr>
                <w:rFonts w:hint="eastAsia" w:ascii="宋体" w:hAnsi="宋体" w:cs="Arial"/>
                <w:sz w:val="24"/>
              </w:rPr>
            </w:pPr>
            <w:r>
              <w:rPr>
                <w:rFonts w:hint="eastAsia" w:ascii="宋体" w:hAnsi="宋体" w:cs="Arial"/>
                <w:sz w:val="24"/>
              </w:rPr>
              <w:t>职称或上岗证书</w:t>
            </w:r>
          </w:p>
        </w:tc>
        <w:tc>
          <w:tcPr>
            <w:tcW w:w="1134" w:type="dxa"/>
            <w:noWrap w:val="0"/>
            <w:vAlign w:val="center"/>
          </w:tcPr>
          <w:p>
            <w:pPr>
              <w:topLinePunct/>
              <w:spacing w:line="440" w:lineRule="exact"/>
              <w:jc w:val="center"/>
              <w:rPr>
                <w:rFonts w:hint="eastAsia" w:ascii="宋体" w:hAnsi="宋体" w:cs="Arial"/>
                <w:sz w:val="24"/>
              </w:rPr>
            </w:pPr>
            <w:r>
              <w:rPr>
                <w:rFonts w:hint="eastAsia" w:ascii="宋体" w:hAnsi="宋体" w:cs="Arial"/>
                <w:sz w:val="24"/>
              </w:rPr>
              <w:t>学历</w:t>
            </w:r>
          </w:p>
        </w:tc>
        <w:tc>
          <w:tcPr>
            <w:tcW w:w="708" w:type="dxa"/>
            <w:noWrap w:val="0"/>
            <w:vAlign w:val="center"/>
          </w:tcPr>
          <w:p>
            <w:pPr>
              <w:topLinePunct/>
              <w:spacing w:line="440" w:lineRule="exact"/>
              <w:jc w:val="center"/>
              <w:rPr>
                <w:rFonts w:hint="eastAsia" w:ascii="宋体" w:hAnsi="宋体" w:cs="Arial"/>
                <w:sz w:val="24"/>
              </w:rPr>
            </w:pPr>
            <w:r>
              <w:rPr>
                <w:rFonts w:hint="eastAsia" w:ascii="宋体" w:hAnsi="宋体" w:cs="Arial"/>
                <w:sz w:val="24"/>
              </w:rPr>
              <w:t>专业</w:t>
            </w:r>
          </w:p>
        </w:tc>
        <w:tc>
          <w:tcPr>
            <w:tcW w:w="1451" w:type="dxa"/>
            <w:noWrap w:val="0"/>
            <w:vAlign w:val="center"/>
          </w:tcPr>
          <w:p>
            <w:pPr>
              <w:topLinePunct/>
              <w:spacing w:line="440" w:lineRule="exact"/>
              <w:jc w:val="center"/>
              <w:rPr>
                <w:rFonts w:hint="eastAsia" w:ascii="宋体" w:hAnsi="宋体" w:cs="Arial"/>
                <w:sz w:val="24"/>
              </w:rPr>
            </w:pPr>
            <w:r>
              <w:rPr>
                <w:rFonts w:hint="eastAsia" w:ascii="宋体" w:hAnsi="宋体" w:cs="Arial"/>
                <w:sz w:val="24"/>
              </w:rPr>
              <w:t>从事工作年限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7" w:type="dxa"/>
            <w:noWrap w:val="0"/>
            <w:vAlign w:val="top"/>
          </w:tcPr>
          <w:p>
            <w:pPr>
              <w:topLinePunct/>
              <w:spacing w:line="440" w:lineRule="exact"/>
              <w:jc w:val="center"/>
              <w:rPr>
                <w:rFonts w:hint="eastAsia" w:ascii="宋体" w:hAnsi="宋体" w:cs="Arial"/>
                <w:sz w:val="24"/>
              </w:rPr>
            </w:pPr>
          </w:p>
        </w:tc>
        <w:tc>
          <w:tcPr>
            <w:tcW w:w="992" w:type="dxa"/>
            <w:noWrap w:val="0"/>
            <w:vAlign w:val="top"/>
          </w:tcPr>
          <w:p>
            <w:pPr>
              <w:topLinePunct/>
              <w:spacing w:line="440" w:lineRule="exact"/>
              <w:jc w:val="center"/>
              <w:rPr>
                <w:rFonts w:hint="eastAsia" w:ascii="宋体" w:hAnsi="宋体" w:cs="Arial"/>
                <w:sz w:val="24"/>
              </w:rPr>
            </w:pPr>
          </w:p>
        </w:tc>
        <w:tc>
          <w:tcPr>
            <w:tcW w:w="1276" w:type="dxa"/>
            <w:gridSpan w:val="2"/>
            <w:noWrap w:val="0"/>
            <w:vAlign w:val="top"/>
          </w:tcPr>
          <w:p>
            <w:pPr>
              <w:topLinePunct/>
              <w:spacing w:line="440" w:lineRule="exact"/>
              <w:jc w:val="center"/>
              <w:rPr>
                <w:rFonts w:hint="eastAsia" w:ascii="宋体" w:hAnsi="宋体" w:cs="Arial"/>
                <w:sz w:val="24"/>
              </w:rPr>
            </w:pPr>
          </w:p>
        </w:tc>
        <w:tc>
          <w:tcPr>
            <w:tcW w:w="992" w:type="dxa"/>
            <w:noWrap w:val="0"/>
            <w:vAlign w:val="top"/>
          </w:tcPr>
          <w:p>
            <w:pPr>
              <w:topLinePunct/>
              <w:spacing w:line="440" w:lineRule="exact"/>
              <w:jc w:val="center"/>
              <w:rPr>
                <w:rFonts w:hint="eastAsia" w:ascii="宋体" w:hAnsi="宋体" w:cs="Arial"/>
                <w:sz w:val="24"/>
              </w:rPr>
            </w:pPr>
          </w:p>
        </w:tc>
        <w:tc>
          <w:tcPr>
            <w:tcW w:w="1985" w:type="dxa"/>
            <w:noWrap w:val="0"/>
            <w:vAlign w:val="top"/>
          </w:tcPr>
          <w:p>
            <w:pPr>
              <w:topLinePunct/>
              <w:spacing w:line="440" w:lineRule="exact"/>
              <w:jc w:val="center"/>
              <w:rPr>
                <w:rFonts w:hint="eastAsia" w:ascii="宋体" w:hAnsi="宋体" w:cs="Arial"/>
                <w:sz w:val="24"/>
              </w:rPr>
            </w:pPr>
          </w:p>
        </w:tc>
        <w:tc>
          <w:tcPr>
            <w:tcW w:w="1134" w:type="dxa"/>
            <w:noWrap w:val="0"/>
            <w:vAlign w:val="top"/>
          </w:tcPr>
          <w:p>
            <w:pPr>
              <w:topLinePunct/>
              <w:spacing w:line="440" w:lineRule="exact"/>
              <w:jc w:val="center"/>
              <w:rPr>
                <w:rFonts w:hint="eastAsia" w:ascii="宋体" w:hAnsi="宋体" w:cs="Arial"/>
                <w:sz w:val="24"/>
              </w:rPr>
            </w:pPr>
          </w:p>
        </w:tc>
        <w:tc>
          <w:tcPr>
            <w:tcW w:w="708" w:type="dxa"/>
            <w:noWrap w:val="0"/>
            <w:vAlign w:val="top"/>
          </w:tcPr>
          <w:p>
            <w:pPr>
              <w:topLinePunct/>
              <w:spacing w:line="440" w:lineRule="exact"/>
              <w:jc w:val="center"/>
              <w:rPr>
                <w:rFonts w:hint="eastAsia" w:ascii="宋体" w:hAnsi="宋体" w:cs="Arial"/>
                <w:sz w:val="24"/>
              </w:rPr>
            </w:pPr>
          </w:p>
        </w:tc>
        <w:tc>
          <w:tcPr>
            <w:tcW w:w="1451" w:type="dxa"/>
            <w:noWrap w:val="0"/>
            <w:vAlign w:val="top"/>
          </w:tcPr>
          <w:p>
            <w:pPr>
              <w:topLinePunct/>
              <w:spacing w:line="440" w:lineRule="exact"/>
              <w:jc w:val="center"/>
              <w:rPr>
                <w:rFonts w:hint="eastAsia" w:ascii="宋体" w:hAnsi="宋体" w:cs="Arial"/>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7" w:type="dxa"/>
            <w:noWrap w:val="0"/>
            <w:vAlign w:val="top"/>
          </w:tcPr>
          <w:p>
            <w:pPr>
              <w:topLinePunct/>
              <w:spacing w:line="440" w:lineRule="exact"/>
              <w:jc w:val="center"/>
              <w:rPr>
                <w:rFonts w:hint="eastAsia" w:ascii="宋体" w:hAnsi="宋体" w:cs="Arial"/>
                <w:sz w:val="24"/>
              </w:rPr>
            </w:pPr>
          </w:p>
        </w:tc>
        <w:tc>
          <w:tcPr>
            <w:tcW w:w="992" w:type="dxa"/>
            <w:noWrap w:val="0"/>
            <w:vAlign w:val="top"/>
          </w:tcPr>
          <w:p>
            <w:pPr>
              <w:topLinePunct/>
              <w:spacing w:line="440" w:lineRule="exact"/>
              <w:jc w:val="center"/>
              <w:rPr>
                <w:rFonts w:hint="eastAsia" w:ascii="宋体" w:hAnsi="宋体" w:cs="Arial"/>
                <w:sz w:val="24"/>
              </w:rPr>
            </w:pPr>
          </w:p>
        </w:tc>
        <w:tc>
          <w:tcPr>
            <w:tcW w:w="1276" w:type="dxa"/>
            <w:gridSpan w:val="2"/>
            <w:noWrap w:val="0"/>
            <w:vAlign w:val="top"/>
          </w:tcPr>
          <w:p>
            <w:pPr>
              <w:topLinePunct/>
              <w:spacing w:line="440" w:lineRule="exact"/>
              <w:jc w:val="center"/>
              <w:rPr>
                <w:rFonts w:hint="eastAsia" w:ascii="宋体" w:hAnsi="宋体" w:cs="Arial"/>
                <w:sz w:val="24"/>
              </w:rPr>
            </w:pPr>
          </w:p>
        </w:tc>
        <w:tc>
          <w:tcPr>
            <w:tcW w:w="992" w:type="dxa"/>
            <w:noWrap w:val="0"/>
            <w:vAlign w:val="top"/>
          </w:tcPr>
          <w:p>
            <w:pPr>
              <w:topLinePunct/>
              <w:spacing w:line="440" w:lineRule="exact"/>
              <w:jc w:val="center"/>
              <w:rPr>
                <w:rFonts w:hint="eastAsia" w:ascii="宋体" w:hAnsi="宋体" w:cs="Arial"/>
                <w:sz w:val="24"/>
              </w:rPr>
            </w:pPr>
          </w:p>
        </w:tc>
        <w:tc>
          <w:tcPr>
            <w:tcW w:w="1985" w:type="dxa"/>
            <w:noWrap w:val="0"/>
            <w:vAlign w:val="top"/>
          </w:tcPr>
          <w:p>
            <w:pPr>
              <w:topLinePunct/>
              <w:spacing w:line="440" w:lineRule="exact"/>
              <w:jc w:val="center"/>
              <w:rPr>
                <w:rFonts w:hint="eastAsia" w:ascii="宋体" w:hAnsi="宋体" w:cs="Arial"/>
                <w:sz w:val="24"/>
              </w:rPr>
            </w:pPr>
          </w:p>
        </w:tc>
        <w:tc>
          <w:tcPr>
            <w:tcW w:w="1134" w:type="dxa"/>
            <w:noWrap w:val="0"/>
            <w:vAlign w:val="top"/>
          </w:tcPr>
          <w:p>
            <w:pPr>
              <w:topLinePunct/>
              <w:spacing w:line="440" w:lineRule="exact"/>
              <w:jc w:val="center"/>
              <w:rPr>
                <w:rFonts w:hint="eastAsia" w:ascii="宋体" w:hAnsi="宋体" w:cs="Arial"/>
                <w:sz w:val="24"/>
              </w:rPr>
            </w:pPr>
          </w:p>
        </w:tc>
        <w:tc>
          <w:tcPr>
            <w:tcW w:w="708" w:type="dxa"/>
            <w:noWrap w:val="0"/>
            <w:vAlign w:val="top"/>
          </w:tcPr>
          <w:p>
            <w:pPr>
              <w:topLinePunct/>
              <w:spacing w:line="440" w:lineRule="exact"/>
              <w:jc w:val="center"/>
              <w:rPr>
                <w:rFonts w:hint="eastAsia" w:ascii="宋体" w:hAnsi="宋体" w:cs="Arial"/>
                <w:sz w:val="24"/>
              </w:rPr>
            </w:pPr>
          </w:p>
        </w:tc>
        <w:tc>
          <w:tcPr>
            <w:tcW w:w="1451" w:type="dxa"/>
            <w:noWrap w:val="0"/>
            <w:vAlign w:val="top"/>
          </w:tcPr>
          <w:p>
            <w:pPr>
              <w:topLinePunct/>
              <w:spacing w:line="440" w:lineRule="exact"/>
              <w:jc w:val="center"/>
              <w:rPr>
                <w:rFonts w:hint="eastAsia" w:ascii="宋体" w:hAnsi="宋体" w:cs="Arial"/>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7" w:type="dxa"/>
            <w:noWrap w:val="0"/>
            <w:vAlign w:val="top"/>
          </w:tcPr>
          <w:p>
            <w:pPr>
              <w:topLinePunct/>
              <w:spacing w:line="440" w:lineRule="exact"/>
              <w:jc w:val="center"/>
              <w:rPr>
                <w:rFonts w:hint="eastAsia" w:ascii="宋体" w:hAnsi="宋体" w:cs="Arial"/>
                <w:sz w:val="24"/>
              </w:rPr>
            </w:pPr>
          </w:p>
        </w:tc>
        <w:tc>
          <w:tcPr>
            <w:tcW w:w="992" w:type="dxa"/>
            <w:noWrap w:val="0"/>
            <w:vAlign w:val="top"/>
          </w:tcPr>
          <w:p>
            <w:pPr>
              <w:topLinePunct/>
              <w:spacing w:line="440" w:lineRule="exact"/>
              <w:jc w:val="center"/>
              <w:rPr>
                <w:rFonts w:hint="eastAsia" w:ascii="宋体" w:hAnsi="宋体" w:cs="Arial"/>
                <w:sz w:val="24"/>
              </w:rPr>
            </w:pPr>
          </w:p>
        </w:tc>
        <w:tc>
          <w:tcPr>
            <w:tcW w:w="1276" w:type="dxa"/>
            <w:gridSpan w:val="2"/>
            <w:noWrap w:val="0"/>
            <w:vAlign w:val="top"/>
          </w:tcPr>
          <w:p>
            <w:pPr>
              <w:topLinePunct/>
              <w:spacing w:line="440" w:lineRule="exact"/>
              <w:jc w:val="center"/>
              <w:rPr>
                <w:rFonts w:hint="eastAsia" w:ascii="宋体" w:hAnsi="宋体" w:cs="Arial"/>
                <w:sz w:val="24"/>
              </w:rPr>
            </w:pPr>
          </w:p>
        </w:tc>
        <w:tc>
          <w:tcPr>
            <w:tcW w:w="992" w:type="dxa"/>
            <w:noWrap w:val="0"/>
            <w:vAlign w:val="top"/>
          </w:tcPr>
          <w:p>
            <w:pPr>
              <w:topLinePunct/>
              <w:spacing w:line="440" w:lineRule="exact"/>
              <w:jc w:val="center"/>
              <w:rPr>
                <w:rFonts w:hint="eastAsia" w:ascii="宋体" w:hAnsi="宋体" w:cs="Arial"/>
                <w:sz w:val="24"/>
              </w:rPr>
            </w:pPr>
          </w:p>
        </w:tc>
        <w:tc>
          <w:tcPr>
            <w:tcW w:w="1985" w:type="dxa"/>
            <w:noWrap w:val="0"/>
            <w:vAlign w:val="top"/>
          </w:tcPr>
          <w:p>
            <w:pPr>
              <w:topLinePunct/>
              <w:spacing w:line="440" w:lineRule="exact"/>
              <w:jc w:val="center"/>
              <w:rPr>
                <w:rFonts w:hint="eastAsia" w:ascii="宋体" w:hAnsi="宋体" w:cs="Arial"/>
                <w:sz w:val="24"/>
              </w:rPr>
            </w:pPr>
          </w:p>
        </w:tc>
        <w:tc>
          <w:tcPr>
            <w:tcW w:w="1134" w:type="dxa"/>
            <w:noWrap w:val="0"/>
            <w:vAlign w:val="top"/>
          </w:tcPr>
          <w:p>
            <w:pPr>
              <w:topLinePunct/>
              <w:spacing w:line="440" w:lineRule="exact"/>
              <w:jc w:val="center"/>
              <w:rPr>
                <w:rFonts w:hint="eastAsia" w:ascii="宋体" w:hAnsi="宋体" w:cs="Arial"/>
                <w:sz w:val="24"/>
              </w:rPr>
            </w:pPr>
          </w:p>
        </w:tc>
        <w:tc>
          <w:tcPr>
            <w:tcW w:w="708" w:type="dxa"/>
            <w:noWrap w:val="0"/>
            <w:vAlign w:val="top"/>
          </w:tcPr>
          <w:p>
            <w:pPr>
              <w:topLinePunct/>
              <w:spacing w:line="440" w:lineRule="exact"/>
              <w:jc w:val="center"/>
              <w:rPr>
                <w:rFonts w:hint="eastAsia" w:ascii="宋体" w:hAnsi="宋体" w:cs="Arial"/>
                <w:sz w:val="24"/>
              </w:rPr>
            </w:pPr>
          </w:p>
        </w:tc>
        <w:tc>
          <w:tcPr>
            <w:tcW w:w="1451" w:type="dxa"/>
            <w:noWrap w:val="0"/>
            <w:vAlign w:val="top"/>
          </w:tcPr>
          <w:p>
            <w:pPr>
              <w:topLinePunct/>
              <w:spacing w:line="440" w:lineRule="exact"/>
              <w:jc w:val="center"/>
              <w:rPr>
                <w:rFonts w:hint="eastAsia" w:ascii="宋体" w:hAnsi="宋体" w:cs="Arial"/>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7" w:type="dxa"/>
            <w:noWrap w:val="0"/>
            <w:vAlign w:val="top"/>
          </w:tcPr>
          <w:p>
            <w:pPr>
              <w:topLinePunct/>
              <w:spacing w:line="440" w:lineRule="exact"/>
              <w:jc w:val="center"/>
              <w:rPr>
                <w:rFonts w:hint="eastAsia" w:ascii="宋体" w:hAnsi="宋体" w:cs="Arial"/>
                <w:sz w:val="24"/>
              </w:rPr>
            </w:pPr>
          </w:p>
        </w:tc>
        <w:tc>
          <w:tcPr>
            <w:tcW w:w="992" w:type="dxa"/>
            <w:noWrap w:val="0"/>
            <w:vAlign w:val="top"/>
          </w:tcPr>
          <w:p>
            <w:pPr>
              <w:topLinePunct/>
              <w:spacing w:line="440" w:lineRule="exact"/>
              <w:jc w:val="center"/>
              <w:rPr>
                <w:rFonts w:hint="eastAsia" w:ascii="宋体" w:hAnsi="宋体" w:cs="Arial"/>
                <w:sz w:val="24"/>
              </w:rPr>
            </w:pPr>
          </w:p>
        </w:tc>
        <w:tc>
          <w:tcPr>
            <w:tcW w:w="1276" w:type="dxa"/>
            <w:gridSpan w:val="2"/>
            <w:noWrap w:val="0"/>
            <w:vAlign w:val="top"/>
          </w:tcPr>
          <w:p>
            <w:pPr>
              <w:topLinePunct/>
              <w:spacing w:line="440" w:lineRule="exact"/>
              <w:jc w:val="center"/>
              <w:rPr>
                <w:rFonts w:hint="eastAsia" w:ascii="宋体" w:hAnsi="宋体" w:cs="Arial"/>
                <w:sz w:val="24"/>
              </w:rPr>
            </w:pPr>
          </w:p>
        </w:tc>
        <w:tc>
          <w:tcPr>
            <w:tcW w:w="992" w:type="dxa"/>
            <w:noWrap w:val="0"/>
            <w:vAlign w:val="top"/>
          </w:tcPr>
          <w:p>
            <w:pPr>
              <w:topLinePunct/>
              <w:spacing w:line="440" w:lineRule="exact"/>
              <w:jc w:val="center"/>
              <w:rPr>
                <w:rFonts w:hint="eastAsia" w:ascii="宋体" w:hAnsi="宋体" w:cs="Arial"/>
                <w:sz w:val="24"/>
              </w:rPr>
            </w:pPr>
          </w:p>
        </w:tc>
        <w:tc>
          <w:tcPr>
            <w:tcW w:w="1985" w:type="dxa"/>
            <w:noWrap w:val="0"/>
            <w:vAlign w:val="top"/>
          </w:tcPr>
          <w:p>
            <w:pPr>
              <w:topLinePunct/>
              <w:spacing w:line="440" w:lineRule="exact"/>
              <w:jc w:val="center"/>
              <w:rPr>
                <w:rFonts w:hint="eastAsia" w:ascii="宋体" w:hAnsi="宋体" w:cs="Arial"/>
                <w:sz w:val="24"/>
              </w:rPr>
            </w:pPr>
          </w:p>
        </w:tc>
        <w:tc>
          <w:tcPr>
            <w:tcW w:w="1134" w:type="dxa"/>
            <w:noWrap w:val="0"/>
            <w:vAlign w:val="top"/>
          </w:tcPr>
          <w:p>
            <w:pPr>
              <w:topLinePunct/>
              <w:spacing w:line="440" w:lineRule="exact"/>
              <w:jc w:val="center"/>
              <w:rPr>
                <w:rFonts w:hint="eastAsia" w:ascii="宋体" w:hAnsi="宋体" w:cs="Arial"/>
                <w:sz w:val="24"/>
              </w:rPr>
            </w:pPr>
          </w:p>
        </w:tc>
        <w:tc>
          <w:tcPr>
            <w:tcW w:w="708" w:type="dxa"/>
            <w:noWrap w:val="0"/>
            <w:vAlign w:val="top"/>
          </w:tcPr>
          <w:p>
            <w:pPr>
              <w:topLinePunct/>
              <w:spacing w:line="440" w:lineRule="exact"/>
              <w:jc w:val="center"/>
              <w:rPr>
                <w:rFonts w:hint="eastAsia" w:ascii="宋体" w:hAnsi="宋体" w:cs="Arial"/>
                <w:sz w:val="24"/>
              </w:rPr>
            </w:pPr>
          </w:p>
        </w:tc>
        <w:tc>
          <w:tcPr>
            <w:tcW w:w="1451" w:type="dxa"/>
            <w:noWrap w:val="0"/>
            <w:vAlign w:val="top"/>
          </w:tcPr>
          <w:p>
            <w:pPr>
              <w:topLinePunct/>
              <w:spacing w:line="440" w:lineRule="exact"/>
              <w:jc w:val="center"/>
              <w:rPr>
                <w:rFonts w:hint="eastAsia" w:ascii="宋体" w:hAnsi="宋体" w:cs="Arial"/>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7" w:type="dxa"/>
            <w:noWrap w:val="0"/>
            <w:vAlign w:val="top"/>
          </w:tcPr>
          <w:p>
            <w:pPr>
              <w:topLinePunct/>
              <w:spacing w:line="440" w:lineRule="exact"/>
              <w:jc w:val="center"/>
              <w:rPr>
                <w:rFonts w:hint="eastAsia" w:ascii="宋体" w:hAnsi="宋体" w:cs="Arial"/>
                <w:sz w:val="24"/>
              </w:rPr>
            </w:pPr>
          </w:p>
        </w:tc>
        <w:tc>
          <w:tcPr>
            <w:tcW w:w="992" w:type="dxa"/>
            <w:noWrap w:val="0"/>
            <w:vAlign w:val="top"/>
          </w:tcPr>
          <w:p>
            <w:pPr>
              <w:topLinePunct/>
              <w:spacing w:line="440" w:lineRule="exact"/>
              <w:jc w:val="center"/>
              <w:rPr>
                <w:rFonts w:hint="eastAsia" w:ascii="宋体" w:hAnsi="宋体" w:cs="Arial"/>
                <w:sz w:val="24"/>
              </w:rPr>
            </w:pPr>
          </w:p>
        </w:tc>
        <w:tc>
          <w:tcPr>
            <w:tcW w:w="1276" w:type="dxa"/>
            <w:gridSpan w:val="2"/>
            <w:noWrap w:val="0"/>
            <w:vAlign w:val="top"/>
          </w:tcPr>
          <w:p>
            <w:pPr>
              <w:topLinePunct/>
              <w:spacing w:line="440" w:lineRule="exact"/>
              <w:jc w:val="center"/>
              <w:rPr>
                <w:rFonts w:hint="eastAsia" w:ascii="宋体" w:hAnsi="宋体" w:cs="Arial"/>
                <w:sz w:val="24"/>
              </w:rPr>
            </w:pPr>
          </w:p>
        </w:tc>
        <w:tc>
          <w:tcPr>
            <w:tcW w:w="992" w:type="dxa"/>
            <w:noWrap w:val="0"/>
            <w:vAlign w:val="top"/>
          </w:tcPr>
          <w:p>
            <w:pPr>
              <w:topLinePunct/>
              <w:spacing w:line="440" w:lineRule="exact"/>
              <w:jc w:val="center"/>
              <w:rPr>
                <w:rFonts w:hint="eastAsia" w:ascii="宋体" w:hAnsi="宋体" w:cs="Arial"/>
                <w:sz w:val="24"/>
              </w:rPr>
            </w:pPr>
          </w:p>
        </w:tc>
        <w:tc>
          <w:tcPr>
            <w:tcW w:w="1985" w:type="dxa"/>
            <w:noWrap w:val="0"/>
            <w:vAlign w:val="top"/>
          </w:tcPr>
          <w:p>
            <w:pPr>
              <w:topLinePunct/>
              <w:spacing w:line="440" w:lineRule="exact"/>
              <w:jc w:val="center"/>
              <w:rPr>
                <w:rFonts w:hint="eastAsia" w:ascii="宋体" w:hAnsi="宋体" w:cs="Arial"/>
                <w:sz w:val="24"/>
              </w:rPr>
            </w:pPr>
          </w:p>
        </w:tc>
        <w:tc>
          <w:tcPr>
            <w:tcW w:w="1134" w:type="dxa"/>
            <w:noWrap w:val="0"/>
            <w:vAlign w:val="top"/>
          </w:tcPr>
          <w:p>
            <w:pPr>
              <w:topLinePunct/>
              <w:spacing w:line="440" w:lineRule="exact"/>
              <w:jc w:val="center"/>
              <w:rPr>
                <w:rFonts w:hint="eastAsia" w:ascii="宋体" w:hAnsi="宋体" w:cs="Arial"/>
                <w:sz w:val="24"/>
              </w:rPr>
            </w:pPr>
          </w:p>
        </w:tc>
        <w:tc>
          <w:tcPr>
            <w:tcW w:w="708" w:type="dxa"/>
            <w:noWrap w:val="0"/>
            <w:vAlign w:val="top"/>
          </w:tcPr>
          <w:p>
            <w:pPr>
              <w:topLinePunct/>
              <w:spacing w:line="440" w:lineRule="exact"/>
              <w:jc w:val="center"/>
              <w:rPr>
                <w:rFonts w:hint="eastAsia" w:ascii="宋体" w:hAnsi="宋体" w:cs="Arial"/>
                <w:sz w:val="24"/>
              </w:rPr>
            </w:pPr>
          </w:p>
        </w:tc>
        <w:tc>
          <w:tcPr>
            <w:tcW w:w="1451" w:type="dxa"/>
            <w:noWrap w:val="0"/>
            <w:vAlign w:val="top"/>
          </w:tcPr>
          <w:p>
            <w:pPr>
              <w:topLinePunct/>
              <w:spacing w:line="440" w:lineRule="exact"/>
              <w:jc w:val="center"/>
              <w:rPr>
                <w:rFonts w:hint="eastAsia" w:ascii="宋体" w:hAnsi="宋体" w:cs="Arial"/>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7" w:type="dxa"/>
            <w:noWrap w:val="0"/>
            <w:vAlign w:val="top"/>
          </w:tcPr>
          <w:p>
            <w:pPr>
              <w:topLinePunct/>
              <w:spacing w:line="440" w:lineRule="exact"/>
              <w:jc w:val="center"/>
              <w:rPr>
                <w:rFonts w:hint="eastAsia" w:ascii="宋体" w:hAnsi="宋体" w:cs="Arial"/>
                <w:sz w:val="24"/>
              </w:rPr>
            </w:pPr>
          </w:p>
        </w:tc>
        <w:tc>
          <w:tcPr>
            <w:tcW w:w="992" w:type="dxa"/>
            <w:noWrap w:val="0"/>
            <w:vAlign w:val="top"/>
          </w:tcPr>
          <w:p>
            <w:pPr>
              <w:topLinePunct/>
              <w:spacing w:line="440" w:lineRule="exact"/>
              <w:jc w:val="center"/>
              <w:rPr>
                <w:rFonts w:hint="eastAsia" w:ascii="宋体" w:hAnsi="宋体" w:cs="Arial"/>
                <w:sz w:val="24"/>
              </w:rPr>
            </w:pPr>
          </w:p>
        </w:tc>
        <w:tc>
          <w:tcPr>
            <w:tcW w:w="1276" w:type="dxa"/>
            <w:gridSpan w:val="2"/>
            <w:noWrap w:val="0"/>
            <w:vAlign w:val="top"/>
          </w:tcPr>
          <w:p>
            <w:pPr>
              <w:topLinePunct/>
              <w:spacing w:line="440" w:lineRule="exact"/>
              <w:jc w:val="center"/>
              <w:rPr>
                <w:rFonts w:hint="eastAsia" w:ascii="宋体" w:hAnsi="宋体" w:cs="Arial"/>
                <w:sz w:val="24"/>
              </w:rPr>
            </w:pPr>
          </w:p>
        </w:tc>
        <w:tc>
          <w:tcPr>
            <w:tcW w:w="992" w:type="dxa"/>
            <w:noWrap w:val="0"/>
            <w:vAlign w:val="top"/>
          </w:tcPr>
          <w:p>
            <w:pPr>
              <w:topLinePunct/>
              <w:spacing w:line="440" w:lineRule="exact"/>
              <w:jc w:val="center"/>
              <w:rPr>
                <w:rFonts w:hint="eastAsia" w:ascii="宋体" w:hAnsi="宋体" w:cs="Arial"/>
                <w:sz w:val="24"/>
              </w:rPr>
            </w:pPr>
          </w:p>
        </w:tc>
        <w:tc>
          <w:tcPr>
            <w:tcW w:w="1985" w:type="dxa"/>
            <w:noWrap w:val="0"/>
            <w:vAlign w:val="top"/>
          </w:tcPr>
          <w:p>
            <w:pPr>
              <w:topLinePunct/>
              <w:spacing w:line="440" w:lineRule="exact"/>
              <w:jc w:val="center"/>
              <w:rPr>
                <w:rFonts w:hint="eastAsia" w:ascii="宋体" w:hAnsi="宋体" w:cs="Arial"/>
                <w:sz w:val="24"/>
              </w:rPr>
            </w:pPr>
          </w:p>
        </w:tc>
        <w:tc>
          <w:tcPr>
            <w:tcW w:w="1134" w:type="dxa"/>
            <w:noWrap w:val="0"/>
            <w:vAlign w:val="top"/>
          </w:tcPr>
          <w:p>
            <w:pPr>
              <w:topLinePunct/>
              <w:spacing w:line="440" w:lineRule="exact"/>
              <w:jc w:val="center"/>
              <w:rPr>
                <w:rFonts w:hint="eastAsia" w:ascii="宋体" w:hAnsi="宋体" w:cs="Arial"/>
                <w:sz w:val="24"/>
              </w:rPr>
            </w:pPr>
          </w:p>
        </w:tc>
        <w:tc>
          <w:tcPr>
            <w:tcW w:w="708" w:type="dxa"/>
            <w:noWrap w:val="0"/>
            <w:vAlign w:val="top"/>
          </w:tcPr>
          <w:p>
            <w:pPr>
              <w:topLinePunct/>
              <w:spacing w:line="440" w:lineRule="exact"/>
              <w:jc w:val="center"/>
              <w:rPr>
                <w:rFonts w:hint="eastAsia" w:ascii="宋体" w:hAnsi="宋体" w:cs="Arial"/>
                <w:sz w:val="24"/>
              </w:rPr>
            </w:pPr>
          </w:p>
        </w:tc>
        <w:tc>
          <w:tcPr>
            <w:tcW w:w="1451" w:type="dxa"/>
            <w:noWrap w:val="0"/>
            <w:vAlign w:val="top"/>
          </w:tcPr>
          <w:p>
            <w:pPr>
              <w:topLinePunct/>
              <w:spacing w:line="440" w:lineRule="exact"/>
              <w:jc w:val="center"/>
              <w:rPr>
                <w:rFonts w:hint="eastAsia" w:ascii="宋体" w:hAnsi="宋体" w:cs="Arial"/>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7" w:type="dxa"/>
            <w:noWrap w:val="0"/>
            <w:vAlign w:val="top"/>
          </w:tcPr>
          <w:p>
            <w:pPr>
              <w:topLinePunct/>
              <w:spacing w:line="440" w:lineRule="exact"/>
              <w:jc w:val="center"/>
              <w:rPr>
                <w:rFonts w:hint="eastAsia" w:ascii="宋体" w:hAnsi="宋体" w:cs="Arial"/>
                <w:sz w:val="24"/>
              </w:rPr>
            </w:pPr>
          </w:p>
        </w:tc>
        <w:tc>
          <w:tcPr>
            <w:tcW w:w="992" w:type="dxa"/>
            <w:noWrap w:val="0"/>
            <w:vAlign w:val="top"/>
          </w:tcPr>
          <w:p>
            <w:pPr>
              <w:topLinePunct/>
              <w:spacing w:line="440" w:lineRule="exact"/>
              <w:jc w:val="center"/>
              <w:rPr>
                <w:rFonts w:hint="eastAsia" w:ascii="宋体" w:hAnsi="宋体" w:cs="Arial"/>
                <w:sz w:val="24"/>
              </w:rPr>
            </w:pPr>
          </w:p>
        </w:tc>
        <w:tc>
          <w:tcPr>
            <w:tcW w:w="1276" w:type="dxa"/>
            <w:gridSpan w:val="2"/>
            <w:noWrap w:val="0"/>
            <w:vAlign w:val="top"/>
          </w:tcPr>
          <w:p>
            <w:pPr>
              <w:topLinePunct/>
              <w:spacing w:line="440" w:lineRule="exact"/>
              <w:jc w:val="center"/>
              <w:rPr>
                <w:rFonts w:hint="eastAsia" w:ascii="宋体" w:hAnsi="宋体" w:cs="Arial"/>
                <w:sz w:val="24"/>
              </w:rPr>
            </w:pPr>
          </w:p>
        </w:tc>
        <w:tc>
          <w:tcPr>
            <w:tcW w:w="992" w:type="dxa"/>
            <w:noWrap w:val="0"/>
            <w:vAlign w:val="top"/>
          </w:tcPr>
          <w:p>
            <w:pPr>
              <w:topLinePunct/>
              <w:spacing w:line="440" w:lineRule="exact"/>
              <w:jc w:val="center"/>
              <w:rPr>
                <w:rFonts w:hint="eastAsia" w:ascii="宋体" w:hAnsi="宋体" w:cs="Arial"/>
                <w:sz w:val="24"/>
              </w:rPr>
            </w:pPr>
          </w:p>
        </w:tc>
        <w:tc>
          <w:tcPr>
            <w:tcW w:w="1985" w:type="dxa"/>
            <w:noWrap w:val="0"/>
            <w:vAlign w:val="top"/>
          </w:tcPr>
          <w:p>
            <w:pPr>
              <w:topLinePunct/>
              <w:spacing w:line="440" w:lineRule="exact"/>
              <w:jc w:val="center"/>
              <w:rPr>
                <w:rFonts w:hint="eastAsia" w:ascii="宋体" w:hAnsi="宋体" w:cs="Arial"/>
                <w:sz w:val="24"/>
              </w:rPr>
            </w:pPr>
          </w:p>
        </w:tc>
        <w:tc>
          <w:tcPr>
            <w:tcW w:w="1134" w:type="dxa"/>
            <w:noWrap w:val="0"/>
            <w:vAlign w:val="top"/>
          </w:tcPr>
          <w:p>
            <w:pPr>
              <w:topLinePunct/>
              <w:spacing w:line="440" w:lineRule="exact"/>
              <w:jc w:val="center"/>
              <w:rPr>
                <w:rFonts w:hint="eastAsia" w:ascii="宋体" w:hAnsi="宋体" w:cs="Arial"/>
                <w:sz w:val="24"/>
              </w:rPr>
            </w:pPr>
          </w:p>
        </w:tc>
        <w:tc>
          <w:tcPr>
            <w:tcW w:w="708" w:type="dxa"/>
            <w:noWrap w:val="0"/>
            <w:vAlign w:val="top"/>
          </w:tcPr>
          <w:p>
            <w:pPr>
              <w:topLinePunct/>
              <w:spacing w:line="440" w:lineRule="exact"/>
              <w:jc w:val="center"/>
              <w:rPr>
                <w:rFonts w:hint="eastAsia" w:ascii="宋体" w:hAnsi="宋体" w:cs="Arial"/>
                <w:sz w:val="24"/>
              </w:rPr>
            </w:pPr>
          </w:p>
        </w:tc>
        <w:tc>
          <w:tcPr>
            <w:tcW w:w="1451" w:type="dxa"/>
            <w:noWrap w:val="0"/>
            <w:vAlign w:val="top"/>
          </w:tcPr>
          <w:p>
            <w:pPr>
              <w:topLinePunct/>
              <w:spacing w:line="440" w:lineRule="exact"/>
              <w:jc w:val="center"/>
              <w:rPr>
                <w:rFonts w:hint="eastAsia" w:ascii="宋体" w:hAnsi="宋体" w:cs="Arial"/>
                <w:sz w:val="24"/>
              </w:rPr>
            </w:pPr>
          </w:p>
        </w:tc>
      </w:tr>
    </w:tbl>
    <w:p>
      <w:pPr>
        <w:tabs>
          <w:tab w:val="center" w:pos="4832"/>
          <w:tab w:val="left" w:pos="7140"/>
        </w:tabs>
        <w:ind w:firstLine="6840" w:firstLineChars="2850"/>
        <w:jc w:val="left"/>
        <w:outlineLvl w:val="1"/>
        <w:rPr>
          <w:rFonts w:ascii="仿宋" w:hAnsi="仿宋" w:eastAsia="仿宋" w:cs="Arial"/>
          <w:kern w:val="0"/>
          <w:sz w:val="24"/>
          <w:szCs w:val="24"/>
        </w:rPr>
      </w:pPr>
    </w:p>
    <w:p>
      <w:pPr>
        <w:keepNext w:val="0"/>
        <w:keepLines w:val="0"/>
        <w:pageBreakBefore w:val="0"/>
        <w:widowControl w:val="0"/>
        <w:kinsoku/>
        <w:wordWrap/>
        <w:overflowPunct/>
        <w:topLinePunct w:val="0"/>
        <w:autoSpaceDE w:val="0"/>
        <w:autoSpaceDN w:val="0"/>
        <w:bidi w:val="0"/>
        <w:adjustRightInd w:val="0"/>
        <w:snapToGrid/>
        <w:spacing w:line="360" w:lineRule="auto"/>
        <w:ind w:left="210" w:leftChars="100" w:firstLine="240" w:firstLineChars="1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后附：1、其他现场专业人员应包括：项目负责人认为需要配备的其他人员。</w:t>
      </w:r>
    </w:p>
    <w:p>
      <w:pPr>
        <w:keepNext w:val="0"/>
        <w:keepLines w:val="0"/>
        <w:pageBreakBefore w:val="0"/>
        <w:widowControl w:val="0"/>
        <w:kinsoku/>
        <w:wordWrap/>
        <w:overflowPunct/>
        <w:topLinePunct w:val="0"/>
        <w:autoSpaceDE w:val="0"/>
        <w:autoSpaceDN w:val="0"/>
        <w:bidi w:val="0"/>
        <w:adjustRightInd w:val="0"/>
        <w:snapToGrid/>
        <w:spacing w:line="360" w:lineRule="auto"/>
        <w:ind w:left="210" w:leftChars="100" w:firstLine="960" w:firstLineChars="4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2、上述人员介绍应包括姓名、主要资历等基本信息。</w:t>
      </w:r>
    </w:p>
    <w:p>
      <w:pPr>
        <w:keepNext w:val="0"/>
        <w:keepLines w:val="0"/>
        <w:pageBreakBefore w:val="0"/>
        <w:widowControl w:val="0"/>
        <w:kinsoku/>
        <w:wordWrap/>
        <w:overflowPunct/>
        <w:topLinePunct w:val="0"/>
        <w:autoSpaceDE w:val="0"/>
        <w:autoSpaceDN w:val="0"/>
        <w:bidi w:val="0"/>
        <w:adjustRightInd w:val="0"/>
        <w:snapToGrid/>
        <w:spacing w:line="360" w:lineRule="auto"/>
        <w:ind w:left="210" w:leftChars="100" w:firstLine="240" w:firstLineChars="1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3、现场工作人员应附相关证件复印件及依法缴纳社保的证明材料复印件。</w:t>
      </w:r>
    </w:p>
    <w:p>
      <w:pPr>
        <w:pStyle w:val="24"/>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rPr>
      </w:pPr>
    </w:p>
    <w:p>
      <w:pPr>
        <w:pStyle w:val="24"/>
        <w:rPr>
          <w:rFonts w:hint="eastAsia"/>
        </w:rPr>
      </w:pPr>
    </w:p>
    <w:p>
      <w:pPr>
        <w:pStyle w:val="13"/>
        <w:tabs>
          <w:tab w:val="left" w:pos="5580"/>
        </w:tabs>
        <w:spacing w:line="360" w:lineRule="auto"/>
        <w:ind w:firstLine="480" w:firstLineChars="200"/>
        <w:rPr>
          <w:sz w:val="24"/>
        </w:rPr>
      </w:pPr>
      <w:r>
        <w:rPr>
          <w:rFonts w:hint="eastAsia"/>
          <w:sz w:val="24"/>
        </w:rPr>
        <w:t>投标人（盖</w:t>
      </w:r>
      <w:r>
        <w:rPr>
          <w:sz w:val="24"/>
        </w:rPr>
        <w:t>章）：</w:t>
      </w:r>
    </w:p>
    <w:p>
      <w:pPr>
        <w:pStyle w:val="14"/>
      </w:pPr>
    </w:p>
    <w:p>
      <w:pPr>
        <w:pStyle w:val="13"/>
        <w:tabs>
          <w:tab w:val="left" w:pos="5580"/>
        </w:tabs>
        <w:spacing w:line="360" w:lineRule="auto"/>
        <w:ind w:firstLine="480" w:firstLineChars="200"/>
        <w:rPr>
          <w:rFonts w:hint="eastAsia" w:cs="宋体"/>
          <w:kern w:val="0"/>
          <w:sz w:val="24"/>
        </w:rPr>
      </w:pPr>
      <w:r>
        <w:rPr>
          <w:rFonts w:hint="eastAsia"/>
          <w:sz w:val="24"/>
        </w:rPr>
        <w:t>法定代表人或</w:t>
      </w:r>
      <w:r>
        <w:rPr>
          <w:rFonts w:hint="eastAsia" w:cs="宋体"/>
          <w:kern w:val="0"/>
          <w:sz w:val="24"/>
        </w:rPr>
        <w:t>委托代理人</w:t>
      </w:r>
      <w:r>
        <w:rPr>
          <w:rFonts w:hint="eastAsia"/>
          <w:sz w:val="24"/>
        </w:rPr>
        <w:t>（签字</w:t>
      </w:r>
      <w:r>
        <w:rPr>
          <w:rFonts w:hint="eastAsia"/>
          <w:sz w:val="24"/>
          <w:lang w:val="en-US" w:eastAsia="zh-CN"/>
        </w:rPr>
        <w:t>或盖章</w:t>
      </w:r>
      <w:r>
        <w:rPr>
          <w:rFonts w:hint="eastAsia"/>
          <w:sz w:val="24"/>
        </w:rPr>
        <w:t>）</w:t>
      </w:r>
      <w:r>
        <w:rPr>
          <w:rFonts w:hint="eastAsia" w:cs="宋体"/>
          <w:kern w:val="0"/>
          <w:sz w:val="24"/>
        </w:rPr>
        <w:t>：</w:t>
      </w:r>
    </w:p>
    <w:p>
      <w:pPr>
        <w:pStyle w:val="14"/>
        <w:rPr>
          <w:rFonts w:hint="eastAsia"/>
        </w:rPr>
      </w:pPr>
    </w:p>
    <w:p>
      <w:pPr>
        <w:pStyle w:val="13"/>
        <w:tabs>
          <w:tab w:val="left" w:pos="5580"/>
        </w:tabs>
        <w:spacing w:line="360" w:lineRule="auto"/>
        <w:ind w:firstLine="480" w:firstLineChars="200"/>
        <w:jc w:val="right"/>
        <w:rPr>
          <w:rFonts w:hint="eastAsia" w:ascii="宋体" w:cs="宋体"/>
          <w:sz w:val="24"/>
        </w:rPr>
      </w:pPr>
      <w:r>
        <w:rPr>
          <w:rFonts w:hint="eastAsia" w:ascii="宋体" w:cs="宋体"/>
          <w:sz w:val="24"/>
        </w:rPr>
        <w:t>日期：   年   月   日</w:t>
      </w:r>
    </w:p>
    <w:p>
      <w:pPr>
        <w:pStyle w:val="14"/>
      </w:pPr>
    </w:p>
    <w:p>
      <w:pPr>
        <w:tabs>
          <w:tab w:val="center" w:pos="4832"/>
          <w:tab w:val="left" w:pos="7140"/>
        </w:tabs>
        <w:ind w:firstLine="480" w:firstLineChars="200"/>
        <w:jc w:val="center"/>
        <w:outlineLvl w:val="1"/>
        <w:rPr>
          <w:rFonts w:ascii="宋体"/>
          <w:sz w:val="24"/>
        </w:rPr>
      </w:pPr>
      <w:r>
        <w:rPr>
          <w:rFonts w:ascii="宋体"/>
          <w:kern w:val="0"/>
          <w:sz w:val="24"/>
        </w:rPr>
        <w:br w:type="page"/>
      </w:r>
    </w:p>
    <w:p>
      <w:pPr>
        <w:spacing w:line="360" w:lineRule="auto"/>
        <w:ind w:firstLine="643" w:firstLineChars="200"/>
        <w:jc w:val="center"/>
        <w:rPr>
          <w:rFonts w:ascii="宋体"/>
          <w:b/>
          <w:bCs/>
          <w:sz w:val="32"/>
          <w:szCs w:val="32"/>
        </w:rPr>
      </w:pPr>
      <w:bookmarkStart w:id="34" w:name="_Toc568"/>
      <w:bookmarkStart w:id="35" w:name="_Toc16454"/>
      <w:r>
        <w:rPr>
          <w:rFonts w:hint="eastAsia" w:ascii="宋体"/>
          <w:b/>
          <w:bCs/>
          <w:sz w:val="32"/>
          <w:szCs w:val="32"/>
        </w:rPr>
        <w:t>技术条款偏离表</w:t>
      </w:r>
    </w:p>
    <w:tbl>
      <w:tblPr>
        <w:tblStyle w:val="25"/>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5"/>
        <w:gridCol w:w="1357"/>
        <w:gridCol w:w="1326"/>
        <w:gridCol w:w="1326"/>
        <w:gridCol w:w="1326"/>
        <w:gridCol w:w="1327"/>
        <w:gridCol w:w="13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noWrap/>
            <w:vAlign w:val="center"/>
          </w:tcPr>
          <w:p>
            <w:pPr>
              <w:jc w:val="center"/>
              <w:rPr>
                <w:rFonts w:ascii="宋体" w:cs="宋体"/>
                <w:bCs/>
                <w:sz w:val="24"/>
              </w:rPr>
            </w:pPr>
            <w:r>
              <w:rPr>
                <w:rFonts w:hint="eastAsia" w:ascii="宋体" w:cs="宋体"/>
                <w:bCs/>
                <w:sz w:val="24"/>
              </w:rPr>
              <w:t>序号</w:t>
            </w:r>
          </w:p>
        </w:tc>
        <w:tc>
          <w:tcPr>
            <w:tcW w:w="1357" w:type="dxa"/>
            <w:noWrap/>
            <w:vAlign w:val="center"/>
          </w:tcPr>
          <w:p>
            <w:pPr>
              <w:jc w:val="center"/>
              <w:rPr>
                <w:rFonts w:ascii="宋体" w:cs="宋体"/>
                <w:bCs/>
                <w:sz w:val="24"/>
              </w:rPr>
            </w:pPr>
            <w:r>
              <w:rPr>
                <w:rFonts w:hint="eastAsia" w:ascii="宋体" w:cs="宋体"/>
                <w:bCs/>
                <w:sz w:val="24"/>
              </w:rPr>
              <w:t>货物名称</w:t>
            </w:r>
          </w:p>
        </w:tc>
        <w:tc>
          <w:tcPr>
            <w:tcW w:w="1326" w:type="dxa"/>
            <w:noWrap/>
            <w:vAlign w:val="center"/>
          </w:tcPr>
          <w:p>
            <w:pPr>
              <w:jc w:val="center"/>
              <w:rPr>
                <w:rFonts w:ascii="宋体" w:cs="宋体"/>
                <w:bCs/>
                <w:sz w:val="24"/>
              </w:rPr>
            </w:pPr>
            <w:r>
              <w:rPr>
                <w:rFonts w:hint="eastAsia" w:ascii="宋体" w:cs="宋体"/>
                <w:bCs/>
                <w:sz w:val="24"/>
              </w:rPr>
              <w:t>招标文件条目号</w:t>
            </w:r>
          </w:p>
        </w:tc>
        <w:tc>
          <w:tcPr>
            <w:tcW w:w="1326" w:type="dxa"/>
            <w:noWrap/>
            <w:vAlign w:val="center"/>
          </w:tcPr>
          <w:p>
            <w:pPr>
              <w:jc w:val="center"/>
              <w:rPr>
                <w:rFonts w:ascii="宋体" w:cs="宋体"/>
                <w:bCs/>
                <w:sz w:val="24"/>
              </w:rPr>
            </w:pPr>
            <w:r>
              <w:rPr>
                <w:rFonts w:hint="eastAsia" w:ascii="宋体" w:cs="宋体"/>
                <w:bCs/>
                <w:sz w:val="24"/>
              </w:rPr>
              <w:t>招标文件要求规格</w:t>
            </w:r>
          </w:p>
        </w:tc>
        <w:tc>
          <w:tcPr>
            <w:tcW w:w="1326" w:type="dxa"/>
            <w:noWrap/>
            <w:vAlign w:val="center"/>
          </w:tcPr>
          <w:p>
            <w:pPr>
              <w:jc w:val="center"/>
              <w:rPr>
                <w:rFonts w:ascii="宋体" w:cs="宋体"/>
                <w:bCs/>
                <w:sz w:val="24"/>
              </w:rPr>
            </w:pPr>
            <w:r>
              <w:rPr>
                <w:rFonts w:hint="eastAsia" w:ascii="宋体" w:cs="宋体"/>
                <w:bCs/>
                <w:sz w:val="24"/>
              </w:rPr>
              <w:t>投标规格</w:t>
            </w:r>
          </w:p>
        </w:tc>
        <w:tc>
          <w:tcPr>
            <w:tcW w:w="1327" w:type="dxa"/>
            <w:noWrap/>
            <w:vAlign w:val="center"/>
          </w:tcPr>
          <w:p>
            <w:pPr>
              <w:jc w:val="center"/>
              <w:rPr>
                <w:rFonts w:ascii="宋体" w:cs="宋体"/>
                <w:bCs/>
                <w:sz w:val="24"/>
              </w:rPr>
            </w:pPr>
            <w:r>
              <w:rPr>
                <w:rFonts w:hint="eastAsia" w:ascii="宋体" w:cs="宋体"/>
                <w:bCs/>
                <w:sz w:val="24"/>
              </w:rPr>
              <w:t>偏离</w:t>
            </w:r>
          </w:p>
        </w:tc>
        <w:tc>
          <w:tcPr>
            <w:tcW w:w="1327" w:type="dxa"/>
            <w:noWrap/>
            <w:vAlign w:val="center"/>
          </w:tcPr>
          <w:p>
            <w:pPr>
              <w:jc w:val="center"/>
              <w:rPr>
                <w:rFonts w:ascii="宋体" w:cs="宋体"/>
                <w:bCs/>
                <w:sz w:val="24"/>
              </w:rPr>
            </w:pPr>
            <w:r>
              <w:rPr>
                <w:rFonts w:hint="eastAsia" w:ascii="宋体" w:cs="宋体"/>
                <w:bCs/>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noWrap/>
          </w:tcPr>
          <w:p>
            <w:pPr>
              <w:jc w:val="center"/>
              <w:rPr>
                <w:rFonts w:ascii="宋体" w:cs="宋体"/>
                <w:b/>
                <w:bCs/>
                <w:sz w:val="24"/>
              </w:rPr>
            </w:pPr>
          </w:p>
        </w:tc>
        <w:tc>
          <w:tcPr>
            <w:tcW w:w="1357" w:type="dxa"/>
            <w:noWrap/>
          </w:tcPr>
          <w:p>
            <w:pPr>
              <w:jc w:val="center"/>
              <w:rPr>
                <w:rFonts w:ascii="宋体" w:cs="宋体"/>
                <w:b/>
                <w:bCs/>
                <w:sz w:val="24"/>
              </w:rPr>
            </w:pPr>
          </w:p>
        </w:tc>
        <w:tc>
          <w:tcPr>
            <w:tcW w:w="1326" w:type="dxa"/>
            <w:noWrap/>
          </w:tcPr>
          <w:p>
            <w:pPr>
              <w:jc w:val="center"/>
              <w:rPr>
                <w:rFonts w:ascii="宋体" w:cs="宋体"/>
                <w:b/>
                <w:bCs/>
                <w:sz w:val="24"/>
              </w:rPr>
            </w:pPr>
          </w:p>
        </w:tc>
        <w:tc>
          <w:tcPr>
            <w:tcW w:w="1326" w:type="dxa"/>
            <w:noWrap/>
          </w:tcPr>
          <w:p>
            <w:pPr>
              <w:jc w:val="center"/>
              <w:rPr>
                <w:rFonts w:ascii="宋体" w:cs="宋体"/>
                <w:b/>
                <w:bCs/>
                <w:sz w:val="24"/>
              </w:rPr>
            </w:pPr>
          </w:p>
        </w:tc>
        <w:tc>
          <w:tcPr>
            <w:tcW w:w="1326" w:type="dxa"/>
            <w:noWrap/>
          </w:tcPr>
          <w:p>
            <w:pPr>
              <w:jc w:val="center"/>
              <w:rPr>
                <w:rFonts w:ascii="宋体" w:cs="宋体"/>
                <w:b/>
                <w:bCs/>
                <w:sz w:val="24"/>
              </w:rPr>
            </w:pPr>
          </w:p>
        </w:tc>
        <w:tc>
          <w:tcPr>
            <w:tcW w:w="1327" w:type="dxa"/>
            <w:noWrap/>
          </w:tcPr>
          <w:p>
            <w:pPr>
              <w:jc w:val="center"/>
              <w:rPr>
                <w:rFonts w:ascii="宋体" w:cs="宋体"/>
                <w:b/>
                <w:bCs/>
                <w:sz w:val="24"/>
              </w:rPr>
            </w:pPr>
          </w:p>
        </w:tc>
        <w:tc>
          <w:tcPr>
            <w:tcW w:w="1327" w:type="dxa"/>
            <w:noWrap/>
          </w:tcPr>
          <w:p>
            <w:pPr>
              <w:jc w:val="center"/>
              <w:rPr>
                <w:rFonts w:ascii="宋体" w:cs="宋体"/>
                <w:b/>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noWrap/>
          </w:tcPr>
          <w:p>
            <w:pPr>
              <w:jc w:val="center"/>
              <w:rPr>
                <w:rFonts w:ascii="宋体" w:cs="宋体"/>
                <w:b/>
                <w:bCs/>
                <w:sz w:val="24"/>
              </w:rPr>
            </w:pPr>
          </w:p>
        </w:tc>
        <w:tc>
          <w:tcPr>
            <w:tcW w:w="1357" w:type="dxa"/>
            <w:noWrap/>
          </w:tcPr>
          <w:p>
            <w:pPr>
              <w:jc w:val="center"/>
              <w:rPr>
                <w:rFonts w:ascii="宋体" w:cs="宋体"/>
                <w:b/>
                <w:bCs/>
                <w:sz w:val="24"/>
              </w:rPr>
            </w:pPr>
          </w:p>
        </w:tc>
        <w:tc>
          <w:tcPr>
            <w:tcW w:w="1326" w:type="dxa"/>
            <w:noWrap/>
          </w:tcPr>
          <w:p>
            <w:pPr>
              <w:jc w:val="center"/>
              <w:rPr>
                <w:rFonts w:ascii="宋体" w:cs="宋体"/>
                <w:b/>
                <w:bCs/>
                <w:sz w:val="24"/>
              </w:rPr>
            </w:pPr>
          </w:p>
        </w:tc>
        <w:tc>
          <w:tcPr>
            <w:tcW w:w="1326" w:type="dxa"/>
            <w:noWrap/>
          </w:tcPr>
          <w:p>
            <w:pPr>
              <w:jc w:val="center"/>
              <w:rPr>
                <w:rFonts w:ascii="宋体" w:cs="宋体"/>
                <w:b/>
                <w:bCs/>
                <w:sz w:val="24"/>
              </w:rPr>
            </w:pPr>
          </w:p>
        </w:tc>
        <w:tc>
          <w:tcPr>
            <w:tcW w:w="1326" w:type="dxa"/>
            <w:noWrap/>
          </w:tcPr>
          <w:p>
            <w:pPr>
              <w:jc w:val="center"/>
              <w:rPr>
                <w:rFonts w:ascii="宋体" w:cs="宋体"/>
                <w:b/>
                <w:bCs/>
                <w:sz w:val="24"/>
              </w:rPr>
            </w:pPr>
          </w:p>
        </w:tc>
        <w:tc>
          <w:tcPr>
            <w:tcW w:w="1327" w:type="dxa"/>
            <w:noWrap/>
          </w:tcPr>
          <w:p>
            <w:pPr>
              <w:jc w:val="center"/>
              <w:rPr>
                <w:rFonts w:ascii="宋体" w:cs="宋体"/>
                <w:b/>
                <w:bCs/>
                <w:sz w:val="24"/>
              </w:rPr>
            </w:pPr>
          </w:p>
        </w:tc>
        <w:tc>
          <w:tcPr>
            <w:tcW w:w="1327" w:type="dxa"/>
            <w:noWrap/>
          </w:tcPr>
          <w:p>
            <w:pPr>
              <w:jc w:val="center"/>
              <w:rPr>
                <w:rFonts w:ascii="宋体" w:cs="宋体"/>
                <w:b/>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noWrap/>
          </w:tcPr>
          <w:p>
            <w:pPr>
              <w:jc w:val="center"/>
              <w:rPr>
                <w:rFonts w:ascii="宋体" w:cs="宋体"/>
                <w:b/>
                <w:bCs/>
                <w:sz w:val="24"/>
              </w:rPr>
            </w:pPr>
          </w:p>
        </w:tc>
        <w:tc>
          <w:tcPr>
            <w:tcW w:w="1357" w:type="dxa"/>
            <w:noWrap/>
          </w:tcPr>
          <w:p>
            <w:pPr>
              <w:jc w:val="center"/>
              <w:rPr>
                <w:rFonts w:ascii="宋体" w:cs="宋体"/>
                <w:b/>
                <w:bCs/>
                <w:sz w:val="24"/>
              </w:rPr>
            </w:pPr>
          </w:p>
        </w:tc>
        <w:tc>
          <w:tcPr>
            <w:tcW w:w="1326" w:type="dxa"/>
            <w:noWrap/>
          </w:tcPr>
          <w:p>
            <w:pPr>
              <w:jc w:val="center"/>
              <w:rPr>
                <w:rFonts w:ascii="宋体" w:cs="宋体"/>
                <w:b/>
                <w:bCs/>
                <w:sz w:val="24"/>
              </w:rPr>
            </w:pPr>
          </w:p>
        </w:tc>
        <w:tc>
          <w:tcPr>
            <w:tcW w:w="1326" w:type="dxa"/>
            <w:noWrap/>
          </w:tcPr>
          <w:p>
            <w:pPr>
              <w:jc w:val="center"/>
              <w:rPr>
                <w:rFonts w:ascii="宋体" w:cs="宋体"/>
                <w:b/>
                <w:bCs/>
                <w:sz w:val="24"/>
              </w:rPr>
            </w:pPr>
          </w:p>
        </w:tc>
        <w:tc>
          <w:tcPr>
            <w:tcW w:w="1326" w:type="dxa"/>
            <w:noWrap/>
          </w:tcPr>
          <w:p>
            <w:pPr>
              <w:jc w:val="center"/>
              <w:rPr>
                <w:rFonts w:ascii="宋体" w:cs="宋体"/>
                <w:b/>
                <w:bCs/>
                <w:sz w:val="24"/>
              </w:rPr>
            </w:pPr>
          </w:p>
        </w:tc>
        <w:tc>
          <w:tcPr>
            <w:tcW w:w="1327" w:type="dxa"/>
            <w:noWrap/>
          </w:tcPr>
          <w:p>
            <w:pPr>
              <w:jc w:val="center"/>
              <w:rPr>
                <w:rFonts w:ascii="宋体" w:cs="宋体"/>
                <w:b/>
                <w:bCs/>
                <w:sz w:val="24"/>
              </w:rPr>
            </w:pPr>
          </w:p>
        </w:tc>
        <w:tc>
          <w:tcPr>
            <w:tcW w:w="1327" w:type="dxa"/>
            <w:noWrap/>
          </w:tcPr>
          <w:p>
            <w:pPr>
              <w:jc w:val="center"/>
              <w:rPr>
                <w:rFonts w:ascii="宋体" w:cs="宋体"/>
                <w:b/>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noWrap/>
          </w:tcPr>
          <w:p>
            <w:pPr>
              <w:jc w:val="center"/>
              <w:rPr>
                <w:rFonts w:ascii="宋体" w:cs="宋体"/>
                <w:b/>
                <w:bCs/>
                <w:sz w:val="24"/>
              </w:rPr>
            </w:pPr>
          </w:p>
        </w:tc>
        <w:tc>
          <w:tcPr>
            <w:tcW w:w="1357" w:type="dxa"/>
            <w:noWrap/>
          </w:tcPr>
          <w:p>
            <w:pPr>
              <w:jc w:val="center"/>
              <w:rPr>
                <w:rFonts w:ascii="宋体" w:cs="宋体"/>
                <w:b/>
                <w:bCs/>
                <w:sz w:val="24"/>
              </w:rPr>
            </w:pPr>
          </w:p>
        </w:tc>
        <w:tc>
          <w:tcPr>
            <w:tcW w:w="1326" w:type="dxa"/>
            <w:noWrap/>
          </w:tcPr>
          <w:p>
            <w:pPr>
              <w:jc w:val="center"/>
              <w:rPr>
                <w:rFonts w:ascii="宋体" w:cs="宋体"/>
                <w:b/>
                <w:bCs/>
                <w:sz w:val="24"/>
              </w:rPr>
            </w:pPr>
          </w:p>
        </w:tc>
        <w:tc>
          <w:tcPr>
            <w:tcW w:w="1326" w:type="dxa"/>
            <w:noWrap/>
          </w:tcPr>
          <w:p>
            <w:pPr>
              <w:jc w:val="center"/>
              <w:rPr>
                <w:rFonts w:ascii="宋体" w:cs="宋体"/>
                <w:b/>
                <w:bCs/>
                <w:sz w:val="24"/>
              </w:rPr>
            </w:pPr>
          </w:p>
        </w:tc>
        <w:tc>
          <w:tcPr>
            <w:tcW w:w="1326" w:type="dxa"/>
            <w:noWrap/>
          </w:tcPr>
          <w:p>
            <w:pPr>
              <w:jc w:val="center"/>
              <w:rPr>
                <w:rFonts w:ascii="宋体" w:cs="宋体"/>
                <w:b/>
                <w:bCs/>
                <w:sz w:val="24"/>
              </w:rPr>
            </w:pPr>
          </w:p>
        </w:tc>
        <w:tc>
          <w:tcPr>
            <w:tcW w:w="1327" w:type="dxa"/>
            <w:noWrap/>
          </w:tcPr>
          <w:p>
            <w:pPr>
              <w:jc w:val="center"/>
              <w:rPr>
                <w:rFonts w:ascii="宋体" w:cs="宋体"/>
                <w:b/>
                <w:bCs/>
                <w:sz w:val="24"/>
              </w:rPr>
            </w:pPr>
          </w:p>
        </w:tc>
        <w:tc>
          <w:tcPr>
            <w:tcW w:w="1327" w:type="dxa"/>
            <w:noWrap/>
          </w:tcPr>
          <w:p>
            <w:pPr>
              <w:jc w:val="center"/>
              <w:rPr>
                <w:rFonts w:ascii="宋体" w:cs="宋体"/>
                <w:b/>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noWrap/>
          </w:tcPr>
          <w:p>
            <w:pPr>
              <w:jc w:val="center"/>
              <w:rPr>
                <w:rFonts w:ascii="宋体" w:cs="宋体"/>
                <w:b/>
                <w:bCs/>
                <w:sz w:val="24"/>
              </w:rPr>
            </w:pPr>
          </w:p>
        </w:tc>
        <w:tc>
          <w:tcPr>
            <w:tcW w:w="1357" w:type="dxa"/>
            <w:noWrap/>
          </w:tcPr>
          <w:p>
            <w:pPr>
              <w:jc w:val="center"/>
              <w:rPr>
                <w:rFonts w:ascii="宋体" w:cs="宋体"/>
                <w:b/>
                <w:bCs/>
                <w:sz w:val="24"/>
              </w:rPr>
            </w:pPr>
          </w:p>
        </w:tc>
        <w:tc>
          <w:tcPr>
            <w:tcW w:w="1326" w:type="dxa"/>
            <w:noWrap/>
          </w:tcPr>
          <w:p>
            <w:pPr>
              <w:jc w:val="center"/>
              <w:rPr>
                <w:rFonts w:ascii="宋体" w:cs="宋体"/>
                <w:b/>
                <w:bCs/>
                <w:sz w:val="24"/>
              </w:rPr>
            </w:pPr>
          </w:p>
        </w:tc>
        <w:tc>
          <w:tcPr>
            <w:tcW w:w="1326" w:type="dxa"/>
            <w:noWrap/>
          </w:tcPr>
          <w:p>
            <w:pPr>
              <w:jc w:val="center"/>
              <w:rPr>
                <w:rFonts w:ascii="宋体" w:cs="宋体"/>
                <w:b/>
                <w:bCs/>
                <w:sz w:val="24"/>
              </w:rPr>
            </w:pPr>
          </w:p>
        </w:tc>
        <w:tc>
          <w:tcPr>
            <w:tcW w:w="1326" w:type="dxa"/>
            <w:noWrap/>
          </w:tcPr>
          <w:p>
            <w:pPr>
              <w:jc w:val="center"/>
              <w:rPr>
                <w:rFonts w:ascii="宋体" w:cs="宋体"/>
                <w:b/>
                <w:bCs/>
                <w:sz w:val="24"/>
              </w:rPr>
            </w:pPr>
          </w:p>
        </w:tc>
        <w:tc>
          <w:tcPr>
            <w:tcW w:w="1327" w:type="dxa"/>
            <w:noWrap/>
          </w:tcPr>
          <w:p>
            <w:pPr>
              <w:jc w:val="center"/>
              <w:rPr>
                <w:rFonts w:ascii="宋体" w:cs="宋体"/>
                <w:b/>
                <w:bCs/>
                <w:sz w:val="24"/>
              </w:rPr>
            </w:pPr>
          </w:p>
        </w:tc>
        <w:tc>
          <w:tcPr>
            <w:tcW w:w="1327" w:type="dxa"/>
            <w:noWrap/>
          </w:tcPr>
          <w:p>
            <w:pPr>
              <w:jc w:val="center"/>
              <w:rPr>
                <w:rFonts w:ascii="宋体" w:cs="宋体"/>
                <w:b/>
                <w:bCs/>
                <w:sz w:val="24"/>
              </w:rPr>
            </w:pPr>
          </w:p>
        </w:tc>
      </w:tr>
    </w:tbl>
    <w:p>
      <w:pPr>
        <w:spacing w:line="360" w:lineRule="auto"/>
        <w:ind w:firstLine="480" w:firstLineChars="200"/>
        <w:jc w:val="left"/>
        <w:rPr>
          <w:rFonts w:ascii="宋体"/>
          <w:sz w:val="24"/>
        </w:rPr>
      </w:pPr>
      <w:r>
        <w:rPr>
          <w:rFonts w:hint="eastAsia" w:ascii="宋体"/>
          <w:sz w:val="24"/>
        </w:rPr>
        <w:t>备注：投标人应根据其提供的货物，对照招标文件“技术标准和要求”中的要求，有差异的，则在此表中列明实际响应的内容提要并加以说明，以便查对。本表包括所有的技术响应及差异。无差异说明表示完全响应。</w:t>
      </w:r>
    </w:p>
    <w:p>
      <w:pPr>
        <w:pStyle w:val="13"/>
        <w:tabs>
          <w:tab w:val="left" w:pos="5580"/>
        </w:tabs>
        <w:spacing w:line="360" w:lineRule="auto"/>
        <w:ind w:firstLine="480" w:firstLineChars="200"/>
        <w:rPr>
          <w:rFonts w:hint="eastAsia"/>
          <w:sz w:val="24"/>
        </w:rPr>
      </w:pPr>
    </w:p>
    <w:p>
      <w:pPr>
        <w:pStyle w:val="24"/>
        <w:rPr>
          <w:rFonts w:hint="eastAsia"/>
        </w:rPr>
      </w:pPr>
    </w:p>
    <w:p>
      <w:pPr>
        <w:pStyle w:val="13"/>
        <w:tabs>
          <w:tab w:val="left" w:pos="5580"/>
        </w:tabs>
        <w:spacing w:line="360" w:lineRule="auto"/>
        <w:ind w:firstLine="480" w:firstLineChars="200"/>
        <w:rPr>
          <w:sz w:val="24"/>
        </w:rPr>
      </w:pPr>
      <w:r>
        <w:rPr>
          <w:rFonts w:hint="eastAsia"/>
          <w:sz w:val="24"/>
        </w:rPr>
        <w:t>投标人（盖</w:t>
      </w:r>
      <w:r>
        <w:rPr>
          <w:sz w:val="24"/>
        </w:rPr>
        <w:t>章）：</w:t>
      </w:r>
    </w:p>
    <w:p>
      <w:pPr>
        <w:pStyle w:val="14"/>
      </w:pPr>
    </w:p>
    <w:p>
      <w:pPr>
        <w:pStyle w:val="13"/>
        <w:tabs>
          <w:tab w:val="left" w:pos="5580"/>
        </w:tabs>
        <w:spacing w:line="360" w:lineRule="auto"/>
        <w:ind w:firstLine="480" w:firstLineChars="200"/>
        <w:rPr>
          <w:rFonts w:hint="eastAsia" w:cs="宋体"/>
          <w:kern w:val="0"/>
          <w:sz w:val="24"/>
        </w:rPr>
      </w:pPr>
      <w:r>
        <w:rPr>
          <w:rFonts w:hint="eastAsia"/>
          <w:sz w:val="24"/>
        </w:rPr>
        <w:t>法定代表人或</w:t>
      </w:r>
      <w:r>
        <w:rPr>
          <w:rFonts w:hint="eastAsia" w:cs="宋体"/>
          <w:kern w:val="0"/>
          <w:sz w:val="24"/>
        </w:rPr>
        <w:t>委托代理人</w:t>
      </w:r>
      <w:r>
        <w:rPr>
          <w:rFonts w:hint="eastAsia"/>
          <w:sz w:val="24"/>
        </w:rPr>
        <w:t>（签字</w:t>
      </w:r>
      <w:r>
        <w:rPr>
          <w:rFonts w:hint="eastAsia"/>
          <w:sz w:val="24"/>
          <w:lang w:val="en-US" w:eastAsia="zh-CN"/>
        </w:rPr>
        <w:t>或盖章</w:t>
      </w:r>
      <w:r>
        <w:rPr>
          <w:rFonts w:hint="eastAsia"/>
          <w:sz w:val="24"/>
        </w:rPr>
        <w:t>）</w:t>
      </w:r>
      <w:r>
        <w:rPr>
          <w:rFonts w:hint="eastAsia" w:cs="宋体"/>
          <w:kern w:val="0"/>
          <w:sz w:val="24"/>
        </w:rPr>
        <w:t>：</w:t>
      </w:r>
    </w:p>
    <w:p>
      <w:pPr>
        <w:pStyle w:val="14"/>
        <w:rPr>
          <w:rFonts w:hint="eastAsia"/>
        </w:rPr>
      </w:pPr>
    </w:p>
    <w:p>
      <w:pPr>
        <w:pStyle w:val="13"/>
        <w:tabs>
          <w:tab w:val="left" w:pos="5580"/>
        </w:tabs>
        <w:spacing w:line="360" w:lineRule="auto"/>
        <w:ind w:firstLine="480" w:firstLineChars="200"/>
        <w:jc w:val="right"/>
        <w:rPr>
          <w:rFonts w:hint="eastAsia" w:ascii="宋体" w:cs="宋体"/>
          <w:sz w:val="24"/>
        </w:rPr>
      </w:pPr>
      <w:r>
        <w:rPr>
          <w:rFonts w:hint="eastAsia" w:ascii="宋体" w:cs="宋体"/>
          <w:sz w:val="24"/>
        </w:rPr>
        <w:t>日期：   年   月   日</w:t>
      </w:r>
    </w:p>
    <w:p>
      <w:pPr>
        <w:ind w:firstLine="482" w:firstLineChars="200"/>
        <w:rPr>
          <w:rFonts w:ascii="宋体"/>
          <w:b/>
          <w:bCs/>
          <w:kern w:val="0"/>
          <w:sz w:val="24"/>
        </w:rPr>
      </w:pPr>
      <w:r>
        <w:rPr>
          <w:rFonts w:hint="eastAsia" w:ascii="宋体"/>
          <w:b/>
          <w:bCs/>
          <w:kern w:val="0"/>
          <w:sz w:val="24"/>
        </w:rPr>
        <w:br w:type="page"/>
      </w:r>
    </w:p>
    <w:p>
      <w:pPr>
        <w:spacing w:line="360" w:lineRule="auto"/>
        <w:ind w:firstLine="643" w:firstLineChars="200"/>
        <w:jc w:val="center"/>
        <w:rPr>
          <w:rFonts w:ascii="宋体"/>
          <w:b/>
          <w:bCs/>
          <w:sz w:val="32"/>
          <w:szCs w:val="32"/>
        </w:rPr>
      </w:pPr>
      <w:r>
        <w:rPr>
          <w:rFonts w:hint="eastAsia" w:ascii="宋体"/>
          <w:b/>
          <w:bCs/>
          <w:sz w:val="32"/>
          <w:szCs w:val="32"/>
        </w:rPr>
        <w:t>商务条款偏离表</w:t>
      </w:r>
    </w:p>
    <w:bookmarkEnd w:id="34"/>
    <w:bookmarkEnd w:id="35"/>
    <w:tbl>
      <w:tblPr>
        <w:tblStyle w:val="25"/>
        <w:tblW w:w="90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6"/>
        <w:gridCol w:w="2070"/>
        <w:gridCol w:w="2052"/>
        <w:gridCol w:w="2126"/>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806" w:type="dxa"/>
            <w:noWrap/>
            <w:vAlign w:val="center"/>
          </w:tcPr>
          <w:p>
            <w:pPr>
              <w:jc w:val="center"/>
              <w:rPr>
                <w:rFonts w:ascii="宋体" w:cs="宋体"/>
                <w:bCs/>
                <w:sz w:val="24"/>
              </w:rPr>
            </w:pPr>
            <w:r>
              <w:rPr>
                <w:rFonts w:hint="eastAsia" w:ascii="宋体" w:cs="宋体"/>
                <w:bCs/>
                <w:sz w:val="24"/>
              </w:rPr>
              <w:t>序号</w:t>
            </w:r>
          </w:p>
        </w:tc>
        <w:tc>
          <w:tcPr>
            <w:tcW w:w="2070" w:type="dxa"/>
            <w:noWrap/>
            <w:vAlign w:val="center"/>
          </w:tcPr>
          <w:p>
            <w:pPr>
              <w:jc w:val="center"/>
              <w:rPr>
                <w:rFonts w:ascii="宋体" w:cs="宋体"/>
                <w:bCs/>
                <w:sz w:val="24"/>
              </w:rPr>
            </w:pPr>
            <w:r>
              <w:rPr>
                <w:rFonts w:hint="eastAsia" w:ascii="宋体" w:cs="宋体"/>
                <w:bCs/>
                <w:sz w:val="24"/>
              </w:rPr>
              <w:t>招标文件条目号</w:t>
            </w:r>
          </w:p>
        </w:tc>
        <w:tc>
          <w:tcPr>
            <w:tcW w:w="2052" w:type="dxa"/>
            <w:noWrap/>
            <w:vAlign w:val="center"/>
          </w:tcPr>
          <w:p>
            <w:pPr>
              <w:jc w:val="center"/>
              <w:rPr>
                <w:rFonts w:ascii="宋体" w:cs="宋体"/>
                <w:bCs/>
                <w:sz w:val="24"/>
              </w:rPr>
            </w:pPr>
            <w:r>
              <w:rPr>
                <w:rFonts w:hint="eastAsia" w:ascii="宋体" w:cs="宋体"/>
                <w:bCs/>
                <w:sz w:val="24"/>
              </w:rPr>
              <w:t>招标文件的商务条款</w:t>
            </w:r>
          </w:p>
        </w:tc>
        <w:tc>
          <w:tcPr>
            <w:tcW w:w="2126" w:type="dxa"/>
            <w:noWrap/>
            <w:vAlign w:val="center"/>
          </w:tcPr>
          <w:p>
            <w:pPr>
              <w:jc w:val="center"/>
              <w:rPr>
                <w:rFonts w:ascii="宋体" w:cs="宋体"/>
                <w:bCs/>
                <w:sz w:val="24"/>
              </w:rPr>
            </w:pPr>
            <w:r>
              <w:rPr>
                <w:rFonts w:hint="eastAsia" w:ascii="宋体" w:cs="宋体"/>
                <w:bCs/>
                <w:sz w:val="24"/>
              </w:rPr>
              <w:t>投标文件的商务条款</w:t>
            </w:r>
          </w:p>
        </w:tc>
        <w:tc>
          <w:tcPr>
            <w:tcW w:w="1985" w:type="dxa"/>
            <w:noWrap/>
            <w:vAlign w:val="center"/>
          </w:tcPr>
          <w:p>
            <w:pPr>
              <w:jc w:val="center"/>
              <w:rPr>
                <w:rFonts w:ascii="宋体" w:cs="宋体"/>
                <w:bCs/>
                <w:sz w:val="24"/>
              </w:rPr>
            </w:pPr>
            <w:r>
              <w:rPr>
                <w:rFonts w:hint="eastAsia" w:ascii="宋体" w:cs="宋体"/>
                <w:bCs/>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806" w:type="dxa"/>
            <w:noWrap/>
          </w:tcPr>
          <w:p>
            <w:pPr>
              <w:jc w:val="center"/>
              <w:rPr>
                <w:rFonts w:ascii="宋体" w:cs="宋体"/>
                <w:b/>
                <w:bCs/>
                <w:sz w:val="24"/>
              </w:rPr>
            </w:pPr>
          </w:p>
        </w:tc>
        <w:tc>
          <w:tcPr>
            <w:tcW w:w="2070" w:type="dxa"/>
            <w:noWrap/>
          </w:tcPr>
          <w:p>
            <w:pPr>
              <w:jc w:val="center"/>
              <w:rPr>
                <w:rFonts w:ascii="宋体" w:cs="宋体"/>
                <w:b/>
                <w:bCs/>
                <w:sz w:val="24"/>
              </w:rPr>
            </w:pPr>
          </w:p>
        </w:tc>
        <w:tc>
          <w:tcPr>
            <w:tcW w:w="2052" w:type="dxa"/>
            <w:noWrap/>
          </w:tcPr>
          <w:p>
            <w:pPr>
              <w:jc w:val="center"/>
              <w:rPr>
                <w:rFonts w:ascii="宋体" w:cs="宋体"/>
                <w:b/>
                <w:bCs/>
                <w:sz w:val="24"/>
              </w:rPr>
            </w:pPr>
          </w:p>
        </w:tc>
        <w:tc>
          <w:tcPr>
            <w:tcW w:w="2126" w:type="dxa"/>
            <w:noWrap/>
          </w:tcPr>
          <w:p>
            <w:pPr>
              <w:jc w:val="center"/>
              <w:rPr>
                <w:rFonts w:ascii="宋体" w:cs="宋体"/>
                <w:b/>
                <w:bCs/>
                <w:sz w:val="24"/>
              </w:rPr>
            </w:pPr>
          </w:p>
        </w:tc>
        <w:tc>
          <w:tcPr>
            <w:tcW w:w="1985" w:type="dxa"/>
            <w:noWrap/>
          </w:tcPr>
          <w:p>
            <w:pPr>
              <w:jc w:val="center"/>
              <w:rPr>
                <w:rFonts w:ascii="宋体" w:cs="宋体"/>
                <w:b/>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806" w:type="dxa"/>
            <w:noWrap/>
          </w:tcPr>
          <w:p>
            <w:pPr>
              <w:jc w:val="center"/>
              <w:rPr>
                <w:rFonts w:ascii="宋体" w:cs="宋体"/>
                <w:b/>
                <w:bCs/>
                <w:sz w:val="24"/>
              </w:rPr>
            </w:pPr>
          </w:p>
        </w:tc>
        <w:tc>
          <w:tcPr>
            <w:tcW w:w="2070" w:type="dxa"/>
            <w:noWrap/>
          </w:tcPr>
          <w:p>
            <w:pPr>
              <w:jc w:val="center"/>
              <w:rPr>
                <w:rFonts w:ascii="宋体" w:cs="宋体"/>
                <w:b/>
                <w:bCs/>
                <w:sz w:val="24"/>
              </w:rPr>
            </w:pPr>
          </w:p>
        </w:tc>
        <w:tc>
          <w:tcPr>
            <w:tcW w:w="2052" w:type="dxa"/>
            <w:noWrap/>
          </w:tcPr>
          <w:p>
            <w:pPr>
              <w:jc w:val="center"/>
              <w:rPr>
                <w:rFonts w:ascii="宋体" w:cs="宋体"/>
                <w:b/>
                <w:bCs/>
                <w:sz w:val="24"/>
              </w:rPr>
            </w:pPr>
          </w:p>
        </w:tc>
        <w:tc>
          <w:tcPr>
            <w:tcW w:w="2126" w:type="dxa"/>
            <w:noWrap/>
          </w:tcPr>
          <w:p>
            <w:pPr>
              <w:jc w:val="center"/>
              <w:rPr>
                <w:rFonts w:ascii="宋体" w:cs="宋体"/>
                <w:b/>
                <w:bCs/>
                <w:sz w:val="24"/>
              </w:rPr>
            </w:pPr>
          </w:p>
        </w:tc>
        <w:tc>
          <w:tcPr>
            <w:tcW w:w="1985" w:type="dxa"/>
            <w:noWrap/>
          </w:tcPr>
          <w:p>
            <w:pPr>
              <w:jc w:val="center"/>
              <w:rPr>
                <w:rFonts w:ascii="宋体" w:cs="宋体"/>
                <w:b/>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806" w:type="dxa"/>
            <w:noWrap/>
          </w:tcPr>
          <w:p>
            <w:pPr>
              <w:jc w:val="center"/>
              <w:rPr>
                <w:rFonts w:ascii="宋体" w:cs="宋体"/>
                <w:b/>
                <w:bCs/>
                <w:sz w:val="24"/>
              </w:rPr>
            </w:pPr>
          </w:p>
        </w:tc>
        <w:tc>
          <w:tcPr>
            <w:tcW w:w="2070" w:type="dxa"/>
            <w:noWrap/>
          </w:tcPr>
          <w:p>
            <w:pPr>
              <w:jc w:val="center"/>
              <w:rPr>
                <w:rFonts w:ascii="宋体" w:cs="宋体"/>
                <w:b/>
                <w:bCs/>
                <w:sz w:val="24"/>
              </w:rPr>
            </w:pPr>
          </w:p>
        </w:tc>
        <w:tc>
          <w:tcPr>
            <w:tcW w:w="2052" w:type="dxa"/>
            <w:noWrap/>
          </w:tcPr>
          <w:p>
            <w:pPr>
              <w:jc w:val="center"/>
              <w:rPr>
                <w:rFonts w:ascii="宋体" w:cs="宋体"/>
                <w:b/>
                <w:bCs/>
                <w:sz w:val="24"/>
              </w:rPr>
            </w:pPr>
          </w:p>
        </w:tc>
        <w:tc>
          <w:tcPr>
            <w:tcW w:w="2126" w:type="dxa"/>
            <w:noWrap/>
          </w:tcPr>
          <w:p>
            <w:pPr>
              <w:jc w:val="center"/>
              <w:rPr>
                <w:rFonts w:ascii="宋体" w:cs="宋体"/>
                <w:b/>
                <w:bCs/>
                <w:sz w:val="24"/>
              </w:rPr>
            </w:pPr>
          </w:p>
        </w:tc>
        <w:tc>
          <w:tcPr>
            <w:tcW w:w="1985" w:type="dxa"/>
            <w:noWrap/>
          </w:tcPr>
          <w:p>
            <w:pPr>
              <w:jc w:val="center"/>
              <w:rPr>
                <w:rFonts w:ascii="宋体" w:cs="宋体"/>
                <w:b/>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806" w:type="dxa"/>
            <w:noWrap/>
          </w:tcPr>
          <w:p>
            <w:pPr>
              <w:jc w:val="center"/>
              <w:rPr>
                <w:rFonts w:ascii="宋体" w:cs="宋体"/>
                <w:b/>
                <w:bCs/>
                <w:sz w:val="24"/>
              </w:rPr>
            </w:pPr>
          </w:p>
        </w:tc>
        <w:tc>
          <w:tcPr>
            <w:tcW w:w="2070" w:type="dxa"/>
            <w:noWrap/>
          </w:tcPr>
          <w:p>
            <w:pPr>
              <w:jc w:val="center"/>
              <w:rPr>
                <w:rFonts w:ascii="宋体" w:cs="宋体"/>
                <w:b/>
                <w:bCs/>
                <w:sz w:val="24"/>
              </w:rPr>
            </w:pPr>
          </w:p>
        </w:tc>
        <w:tc>
          <w:tcPr>
            <w:tcW w:w="2052" w:type="dxa"/>
            <w:noWrap/>
          </w:tcPr>
          <w:p>
            <w:pPr>
              <w:jc w:val="center"/>
              <w:rPr>
                <w:rFonts w:ascii="宋体" w:cs="宋体"/>
                <w:b/>
                <w:bCs/>
                <w:sz w:val="24"/>
              </w:rPr>
            </w:pPr>
          </w:p>
        </w:tc>
        <w:tc>
          <w:tcPr>
            <w:tcW w:w="2126" w:type="dxa"/>
            <w:noWrap/>
          </w:tcPr>
          <w:p>
            <w:pPr>
              <w:jc w:val="center"/>
              <w:rPr>
                <w:rFonts w:ascii="宋体" w:cs="宋体"/>
                <w:b/>
                <w:bCs/>
                <w:sz w:val="24"/>
              </w:rPr>
            </w:pPr>
          </w:p>
        </w:tc>
        <w:tc>
          <w:tcPr>
            <w:tcW w:w="1985" w:type="dxa"/>
            <w:noWrap/>
          </w:tcPr>
          <w:p>
            <w:pPr>
              <w:jc w:val="center"/>
              <w:rPr>
                <w:rFonts w:ascii="宋体" w:cs="宋体"/>
                <w:b/>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806" w:type="dxa"/>
            <w:noWrap/>
          </w:tcPr>
          <w:p>
            <w:pPr>
              <w:jc w:val="center"/>
              <w:rPr>
                <w:rFonts w:ascii="宋体" w:cs="宋体"/>
                <w:b/>
                <w:bCs/>
                <w:sz w:val="24"/>
              </w:rPr>
            </w:pPr>
          </w:p>
        </w:tc>
        <w:tc>
          <w:tcPr>
            <w:tcW w:w="2070" w:type="dxa"/>
            <w:noWrap/>
          </w:tcPr>
          <w:p>
            <w:pPr>
              <w:jc w:val="center"/>
              <w:rPr>
                <w:rFonts w:ascii="宋体" w:cs="宋体"/>
                <w:b/>
                <w:bCs/>
                <w:sz w:val="24"/>
              </w:rPr>
            </w:pPr>
          </w:p>
        </w:tc>
        <w:tc>
          <w:tcPr>
            <w:tcW w:w="2052" w:type="dxa"/>
            <w:noWrap/>
          </w:tcPr>
          <w:p>
            <w:pPr>
              <w:jc w:val="center"/>
              <w:rPr>
                <w:rFonts w:ascii="宋体" w:cs="宋体"/>
                <w:b/>
                <w:bCs/>
                <w:sz w:val="24"/>
              </w:rPr>
            </w:pPr>
          </w:p>
        </w:tc>
        <w:tc>
          <w:tcPr>
            <w:tcW w:w="2126" w:type="dxa"/>
            <w:noWrap/>
          </w:tcPr>
          <w:p>
            <w:pPr>
              <w:jc w:val="center"/>
              <w:rPr>
                <w:rFonts w:ascii="宋体" w:cs="宋体"/>
                <w:b/>
                <w:bCs/>
                <w:sz w:val="24"/>
              </w:rPr>
            </w:pPr>
          </w:p>
        </w:tc>
        <w:tc>
          <w:tcPr>
            <w:tcW w:w="1985" w:type="dxa"/>
            <w:noWrap/>
          </w:tcPr>
          <w:p>
            <w:pPr>
              <w:jc w:val="center"/>
              <w:rPr>
                <w:rFonts w:ascii="宋体" w:cs="宋体"/>
                <w:b/>
                <w:bCs/>
                <w:sz w:val="24"/>
              </w:rPr>
            </w:pPr>
          </w:p>
        </w:tc>
      </w:tr>
    </w:tbl>
    <w:p>
      <w:pPr>
        <w:spacing w:line="360" w:lineRule="auto"/>
        <w:ind w:firstLine="480" w:firstLineChars="200"/>
        <w:jc w:val="left"/>
        <w:rPr>
          <w:rFonts w:ascii="宋体"/>
          <w:sz w:val="24"/>
        </w:rPr>
      </w:pPr>
      <w:r>
        <w:rPr>
          <w:rFonts w:hint="eastAsia" w:ascii="宋体"/>
          <w:sz w:val="24"/>
        </w:rPr>
        <w:t>备注：投标人商务条款有差异的，则在此表中列明实际响应的内容提要并加以说明，以便查对。无差异说明表示完全响应。</w:t>
      </w:r>
    </w:p>
    <w:p>
      <w:pPr>
        <w:pStyle w:val="13"/>
        <w:tabs>
          <w:tab w:val="left" w:pos="5580"/>
        </w:tabs>
        <w:spacing w:line="360" w:lineRule="auto"/>
        <w:ind w:firstLine="480" w:firstLineChars="200"/>
        <w:rPr>
          <w:rFonts w:hint="eastAsia"/>
          <w:sz w:val="24"/>
        </w:rPr>
      </w:pPr>
    </w:p>
    <w:p>
      <w:pPr>
        <w:pStyle w:val="13"/>
        <w:tabs>
          <w:tab w:val="left" w:pos="5580"/>
        </w:tabs>
        <w:spacing w:line="360" w:lineRule="auto"/>
        <w:ind w:firstLine="480" w:firstLineChars="200"/>
        <w:rPr>
          <w:rFonts w:hint="eastAsia"/>
          <w:sz w:val="24"/>
        </w:rPr>
      </w:pPr>
    </w:p>
    <w:p>
      <w:pPr>
        <w:pStyle w:val="13"/>
        <w:tabs>
          <w:tab w:val="left" w:pos="5580"/>
        </w:tabs>
        <w:spacing w:line="360" w:lineRule="auto"/>
        <w:ind w:firstLine="480" w:firstLineChars="200"/>
        <w:rPr>
          <w:rFonts w:hint="eastAsia"/>
          <w:sz w:val="24"/>
        </w:rPr>
      </w:pPr>
    </w:p>
    <w:p>
      <w:pPr>
        <w:pStyle w:val="13"/>
        <w:tabs>
          <w:tab w:val="left" w:pos="5580"/>
        </w:tabs>
        <w:spacing w:line="360" w:lineRule="auto"/>
        <w:ind w:firstLine="480" w:firstLineChars="200"/>
        <w:rPr>
          <w:sz w:val="24"/>
        </w:rPr>
      </w:pPr>
      <w:r>
        <w:rPr>
          <w:rFonts w:hint="eastAsia"/>
          <w:sz w:val="24"/>
        </w:rPr>
        <w:t>投标人（盖</w:t>
      </w:r>
      <w:r>
        <w:rPr>
          <w:sz w:val="24"/>
        </w:rPr>
        <w:t>章）：</w:t>
      </w:r>
    </w:p>
    <w:p>
      <w:pPr>
        <w:pStyle w:val="14"/>
      </w:pPr>
    </w:p>
    <w:p>
      <w:pPr>
        <w:pStyle w:val="13"/>
        <w:tabs>
          <w:tab w:val="left" w:pos="5580"/>
        </w:tabs>
        <w:spacing w:line="360" w:lineRule="auto"/>
        <w:ind w:firstLine="480" w:firstLineChars="200"/>
        <w:rPr>
          <w:rFonts w:hint="eastAsia" w:cs="宋体"/>
          <w:kern w:val="0"/>
          <w:sz w:val="24"/>
        </w:rPr>
      </w:pPr>
      <w:r>
        <w:rPr>
          <w:rFonts w:hint="eastAsia"/>
          <w:sz w:val="24"/>
        </w:rPr>
        <w:t>法定代表人或</w:t>
      </w:r>
      <w:r>
        <w:rPr>
          <w:rFonts w:hint="eastAsia" w:cs="宋体"/>
          <w:kern w:val="0"/>
          <w:sz w:val="24"/>
        </w:rPr>
        <w:t>委托代理人</w:t>
      </w:r>
      <w:r>
        <w:rPr>
          <w:rFonts w:hint="eastAsia"/>
          <w:sz w:val="24"/>
        </w:rPr>
        <w:t>（签字</w:t>
      </w:r>
      <w:r>
        <w:rPr>
          <w:rFonts w:hint="eastAsia"/>
          <w:sz w:val="24"/>
          <w:lang w:val="en-US" w:eastAsia="zh-CN"/>
        </w:rPr>
        <w:t>或盖章</w:t>
      </w:r>
      <w:r>
        <w:rPr>
          <w:rFonts w:hint="eastAsia"/>
          <w:sz w:val="24"/>
        </w:rPr>
        <w:t>）</w:t>
      </w:r>
      <w:r>
        <w:rPr>
          <w:rFonts w:hint="eastAsia" w:cs="宋体"/>
          <w:kern w:val="0"/>
          <w:sz w:val="24"/>
        </w:rPr>
        <w:t>：</w:t>
      </w:r>
    </w:p>
    <w:p>
      <w:pPr>
        <w:pStyle w:val="14"/>
        <w:rPr>
          <w:rFonts w:hint="eastAsia"/>
        </w:rPr>
      </w:pPr>
    </w:p>
    <w:p>
      <w:pPr>
        <w:pStyle w:val="13"/>
        <w:tabs>
          <w:tab w:val="left" w:pos="5580"/>
        </w:tabs>
        <w:spacing w:line="360" w:lineRule="auto"/>
        <w:ind w:firstLine="480" w:firstLineChars="200"/>
        <w:jc w:val="right"/>
        <w:rPr>
          <w:rFonts w:hint="eastAsia" w:ascii="宋体" w:cs="宋体"/>
          <w:sz w:val="24"/>
        </w:rPr>
      </w:pPr>
      <w:r>
        <w:rPr>
          <w:rFonts w:hint="eastAsia" w:ascii="宋体" w:cs="宋体"/>
          <w:sz w:val="24"/>
        </w:rPr>
        <w:t>日期：   年   月   日</w:t>
      </w:r>
    </w:p>
    <w:p>
      <w:pPr>
        <w:ind w:firstLine="482" w:firstLineChars="200"/>
        <w:rPr>
          <w:rFonts w:ascii="宋体"/>
          <w:b/>
          <w:bCs/>
          <w:kern w:val="0"/>
          <w:sz w:val="24"/>
        </w:rPr>
      </w:pPr>
      <w:r>
        <w:rPr>
          <w:rFonts w:hint="eastAsia" w:ascii="宋体"/>
          <w:b/>
          <w:bCs/>
          <w:kern w:val="0"/>
          <w:sz w:val="24"/>
        </w:rPr>
        <w:br w:type="page"/>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0" w:firstLineChars="0"/>
        <w:jc w:val="left"/>
        <w:textAlignment w:val="auto"/>
        <w:rPr>
          <w:rFonts w:hint="eastAsia" w:ascii="宋体"/>
          <w:b/>
          <w:bCs/>
          <w:sz w:val="32"/>
          <w:szCs w:val="32"/>
        </w:rPr>
      </w:pPr>
      <w:r>
        <w:rPr>
          <w:rFonts w:hint="eastAsia" w:ascii="宋体"/>
          <w:b/>
          <w:bCs/>
          <w:sz w:val="32"/>
          <w:szCs w:val="32"/>
          <w:lang w:eastAsia="zh-CN"/>
        </w:rPr>
        <w:t>（</w:t>
      </w:r>
      <w:r>
        <w:rPr>
          <w:rFonts w:hint="eastAsia" w:ascii="宋体"/>
          <w:b/>
          <w:bCs/>
          <w:sz w:val="32"/>
          <w:szCs w:val="32"/>
          <w:lang w:val="en-US" w:eastAsia="zh-CN"/>
        </w:rPr>
        <w:t>一</w:t>
      </w:r>
      <w:r>
        <w:rPr>
          <w:rFonts w:hint="eastAsia" w:ascii="宋体"/>
          <w:b/>
          <w:bCs/>
          <w:sz w:val="32"/>
          <w:szCs w:val="32"/>
          <w:lang w:eastAsia="zh-CN"/>
        </w:rPr>
        <w:t>）</w:t>
      </w:r>
      <w:r>
        <w:rPr>
          <w:rFonts w:hint="eastAsia" w:ascii="宋体"/>
          <w:b/>
          <w:bCs/>
          <w:sz w:val="32"/>
          <w:szCs w:val="32"/>
        </w:rPr>
        <w:t>具有良好的商业信誉和健全的财务会计制度（银行出具的近1年内资信证明或上年度经审计的财务报告，新成立企业无需提供）。</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0" w:firstLineChars="0"/>
        <w:jc w:val="left"/>
        <w:textAlignment w:val="auto"/>
        <w:rPr>
          <w:rFonts w:hint="eastAsia" w:ascii="宋体"/>
          <w:b/>
          <w:bCs/>
          <w:sz w:val="32"/>
          <w:szCs w:val="32"/>
        </w:rPr>
      </w:pPr>
      <w:r>
        <w:rPr>
          <w:rFonts w:hint="eastAsia" w:ascii="宋体"/>
          <w:b/>
          <w:bCs/>
          <w:sz w:val="32"/>
          <w:szCs w:val="32"/>
          <w:lang w:eastAsia="zh-CN"/>
        </w:rPr>
        <w:t>（</w:t>
      </w:r>
      <w:r>
        <w:rPr>
          <w:rFonts w:hint="eastAsia" w:ascii="宋体"/>
          <w:b/>
          <w:bCs/>
          <w:sz w:val="32"/>
          <w:szCs w:val="32"/>
          <w:lang w:val="en-US" w:eastAsia="zh-CN"/>
        </w:rPr>
        <w:t>二</w:t>
      </w:r>
      <w:r>
        <w:rPr>
          <w:rFonts w:hint="eastAsia" w:ascii="宋体"/>
          <w:b/>
          <w:bCs/>
          <w:sz w:val="32"/>
          <w:szCs w:val="32"/>
          <w:lang w:eastAsia="zh-CN"/>
        </w:rPr>
        <w:t>）</w:t>
      </w:r>
      <w:r>
        <w:rPr>
          <w:rFonts w:hint="eastAsia" w:ascii="宋体"/>
          <w:b/>
          <w:bCs/>
          <w:sz w:val="32"/>
          <w:szCs w:val="32"/>
        </w:rPr>
        <w:t>具有履行合同所必需的专业技术能力与人员队伍。</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0" w:firstLineChars="0"/>
        <w:jc w:val="left"/>
        <w:textAlignment w:val="auto"/>
        <w:rPr>
          <w:rFonts w:hint="eastAsia" w:ascii="宋体"/>
          <w:b/>
          <w:bCs/>
          <w:sz w:val="32"/>
          <w:szCs w:val="32"/>
        </w:rPr>
      </w:pPr>
      <w:r>
        <w:rPr>
          <w:rFonts w:hint="eastAsia" w:ascii="宋体"/>
          <w:b/>
          <w:bCs/>
          <w:sz w:val="32"/>
          <w:szCs w:val="32"/>
          <w:lang w:eastAsia="zh-CN"/>
        </w:rPr>
        <w:t>（</w:t>
      </w:r>
      <w:r>
        <w:rPr>
          <w:rFonts w:hint="eastAsia" w:ascii="宋体"/>
          <w:b/>
          <w:bCs/>
          <w:sz w:val="32"/>
          <w:szCs w:val="32"/>
          <w:lang w:val="en-US" w:eastAsia="zh-CN"/>
        </w:rPr>
        <w:t>三</w:t>
      </w:r>
      <w:r>
        <w:rPr>
          <w:rFonts w:hint="eastAsia" w:ascii="宋体"/>
          <w:b/>
          <w:bCs/>
          <w:sz w:val="32"/>
          <w:szCs w:val="32"/>
          <w:lang w:eastAsia="zh-CN"/>
        </w:rPr>
        <w:t>）</w:t>
      </w:r>
      <w:r>
        <w:rPr>
          <w:rFonts w:hint="eastAsia" w:ascii="宋体"/>
          <w:b/>
          <w:bCs/>
          <w:sz w:val="32"/>
          <w:szCs w:val="32"/>
        </w:rPr>
        <w:t>有依法缴纳税收和社会保障资金的良好记录(提供近半年任意连续二个月依法缴纳税收和社会保障资金的相关材料,如依法免税或不需要缴纳社会保障资金的,应提供相应证明文件)。</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0" w:firstLineChars="0"/>
        <w:jc w:val="center"/>
        <w:textAlignment w:val="auto"/>
        <w:rPr>
          <w:rFonts w:ascii="宋体" w:cs="宋体"/>
          <w:b/>
          <w:bCs/>
          <w:sz w:val="32"/>
          <w:szCs w:val="32"/>
        </w:rPr>
      </w:pPr>
      <w:r>
        <w:rPr>
          <w:rFonts w:hint="eastAsia" w:ascii="宋体"/>
          <w:b/>
          <w:bCs/>
          <w:sz w:val="32"/>
          <w:szCs w:val="32"/>
        </w:rPr>
        <w:t>（</w:t>
      </w:r>
      <w:r>
        <w:rPr>
          <w:rFonts w:hint="eastAsia" w:ascii="宋体"/>
          <w:b/>
          <w:bCs/>
          <w:sz w:val="32"/>
          <w:szCs w:val="32"/>
          <w:lang w:val="en-US" w:eastAsia="zh-CN"/>
        </w:rPr>
        <w:t>四</w:t>
      </w:r>
      <w:r>
        <w:rPr>
          <w:rFonts w:hint="eastAsia" w:ascii="宋体"/>
          <w:b/>
          <w:bCs/>
          <w:sz w:val="32"/>
          <w:szCs w:val="32"/>
        </w:rPr>
        <w:t>）反商业</w:t>
      </w:r>
      <w:r>
        <w:rPr>
          <w:rFonts w:hint="eastAsia" w:ascii="宋体" w:cs="宋体"/>
          <w:b/>
          <w:bCs/>
          <w:sz w:val="32"/>
          <w:szCs w:val="32"/>
        </w:rPr>
        <w:t>贿赂承诺书</w:t>
      </w:r>
    </w:p>
    <w:p>
      <w:pPr>
        <w:widowControl/>
        <w:spacing w:before="100" w:beforeAutospacing="1" w:after="100" w:afterAutospacing="1" w:line="360" w:lineRule="auto"/>
        <w:ind w:firstLine="480" w:firstLineChars="200"/>
        <w:jc w:val="left"/>
        <w:rPr>
          <w:rFonts w:hint="eastAsia" w:ascii="宋体" w:cs="宋体"/>
          <w:sz w:val="24"/>
        </w:rPr>
      </w:pPr>
      <w:r>
        <w:rPr>
          <w:rFonts w:hint="eastAsia" w:ascii="宋体" w:cs="宋体"/>
          <w:sz w:val="24"/>
        </w:rPr>
        <w:t>我公司承诺在</w:t>
      </w:r>
      <w:r>
        <w:rPr>
          <w:rFonts w:hint="eastAsia" w:ascii="宋体" w:cs="宋体"/>
          <w:sz w:val="24"/>
          <w:u w:val="single"/>
        </w:rPr>
        <w:t xml:space="preserve">  （项目编号、项目名称）  </w:t>
      </w:r>
      <w:r>
        <w:rPr>
          <w:rFonts w:hint="eastAsia" w:ascii="宋体" w:cs="宋体"/>
          <w:sz w:val="24"/>
        </w:rPr>
        <w:t>招标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w:t>
      </w:r>
    </w:p>
    <w:p>
      <w:pPr>
        <w:pStyle w:val="24"/>
      </w:pPr>
    </w:p>
    <w:p>
      <w:pPr>
        <w:pStyle w:val="13"/>
        <w:tabs>
          <w:tab w:val="left" w:pos="5580"/>
        </w:tabs>
        <w:spacing w:line="360" w:lineRule="auto"/>
        <w:ind w:firstLine="480" w:firstLineChars="200"/>
        <w:rPr>
          <w:sz w:val="24"/>
        </w:rPr>
      </w:pPr>
      <w:r>
        <w:rPr>
          <w:rFonts w:hint="eastAsia"/>
          <w:sz w:val="24"/>
        </w:rPr>
        <w:t>投标人（盖</w:t>
      </w:r>
      <w:r>
        <w:rPr>
          <w:sz w:val="24"/>
        </w:rPr>
        <w:t>章）：</w:t>
      </w:r>
    </w:p>
    <w:p>
      <w:pPr>
        <w:pStyle w:val="14"/>
      </w:pPr>
    </w:p>
    <w:p>
      <w:pPr>
        <w:pStyle w:val="13"/>
        <w:tabs>
          <w:tab w:val="left" w:pos="5580"/>
        </w:tabs>
        <w:spacing w:line="360" w:lineRule="auto"/>
        <w:ind w:firstLine="480" w:firstLineChars="200"/>
        <w:rPr>
          <w:rFonts w:hint="eastAsia" w:cs="宋体"/>
          <w:kern w:val="0"/>
          <w:sz w:val="24"/>
        </w:rPr>
      </w:pPr>
      <w:r>
        <w:rPr>
          <w:rFonts w:hint="eastAsia"/>
          <w:sz w:val="24"/>
        </w:rPr>
        <w:t>法定代表人或</w:t>
      </w:r>
      <w:r>
        <w:rPr>
          <w:rFonts w:hint="eastAsia" w:cs="宋体"/>
          <w:kern w:val="0"/>
          <w:sz w:val="24"/>
        </w:rPr>
        <w:t>委托代理人</w:t>
      </w:r>
      <w:r>
        <w:rPr>
          <w:rFonts w:hint="eastAsia"/>
          <w:sz w:val="24"/>
        </w:rPr>
        <w:t>（签字</w:t>
      </w:r>
      <w:r>
        <w:rPr>
          <w:rFonts w:hint="eastAsia"/>
          <w:sz w:val="24"/>
          <w:lang w:val="en-US" w:eastAsia="zh-CN"/>
        </w:rPr>
        <w:t>或盖章</w:t>
      </w:r>
      <w:r>
        <w:rPr>
          <w:rFonts w:hint="eastAsia"/>
          <w:sz w:val="24"/>
        </w:rPr>
        <w:t>）</w:t>
      </w:r>
      <w:r>
        <w:rPr>
          <w:rFonts w:hint="eastAsia" w:cs="宋体"/>
          <w:kern w:val="0"/>
          <w:sz w:val="24"/>
        </w:rPr>
        <w:t>：</w:t>
      </w:r>
    </w:p>
    <w:p>
      <w:pPr>
        <w:pStyle w:val="14"/>
        <w:rPr>
          <w:rFonts w:hint="eastAsia"/>
        </w:rPr>
      </w:pPr>
    </w:p>
    <w:p>
      <w:pPr>
        <w:rPr>
          <w:rFonts w:hint="eastAsia"/>
        </w:rPr>
      </w:pPr>
    </w:p>
    <w:p>
      <w:pPr>
        <w:pStyle w:val="13"/>
        <w:tabs>
          <w:tab w:val="left" w:pos="5580"/>
        </w:tabs>
        <w:spacing w:line="360" w:lineRule="auto"/>
        <w:ind w:firstLine="480" w:firstLineChars="200"/>
        <w:jc w:val="right"/>
        <w:rPr>
          <w:rFonts w:hint="eastAsia" w:ascii="宋体" w:cs="宋体"/>
          <w:sz w:val="24"/>
        </w:rPr>
      </w:pPr>
      <w:r>
        <w:rPr>
          <w:rFonts w:hint="eastAsia" w:ascii="宋体" w:cs="宋体"/>
          <w:sz w:val="24"/>
        </w:rPr>
        <w:t>日期：   年   月   日</w:t>
      </w:r>
    </w:p>
    <w:p>
      <w:pPr>
        <w:pStyle w:val="14"/>
        <w:rPr>
          <w:rFonts w:hint="eastAsia" w:ascii="宋体" w:cs="宋体"/>
          <w:sz w:val="24"/>
        </w:rPr>
      </w:pPr>
    </w:p>
    <w:p>
      <w:pPr>
        <w:rPr>
          <w:rFonts w:hint="eastAsia" w:ascii="宋体" w:cs="宋体"/>
          <w:sz w:val="24"/>
        </w:rPr>
      </w:pPr>
    </w:p>
    <w:p>
      <w:pPr>
        <w:pStyle w:val="24"/>
        <w:rPr>
          <w:rFonts w:hint="eastAsia" w:ascii="宋体" w:cs="宋体"/>
          <w:sz w:val="24"/>
        </w:rPr>
      </w:pPr>
    </w:p>
    <w:p>
      <w:pPr>
        <w:rPr>
          <w:rFonts w:hint="eastAsia"/>
        </w:rPr>
      </w:pPr>
    </w:p>
    <w:p>
      <w:pPr>
        <w:spacing w:line="360" w:lineRule="auto"/>
        <w:ind w:firstLine="643" w:firstLineChars="200"/>
        <w:jc w:val="center"/>
        <w:rPr>
          <w:rFonts w:ascii="宋体" w:cs="宋体"/>
          <w:sz w:val="32"/>
          <w:szCs w:val="32"/>
        </w:rPr>
      </w:pPr>
      <w:r>
        <w:rPr>
          <w:rFonts w:hint="eastAsia" w:ascii="宋体" w:cs="宋体"/>
          <w:b/>
          <w:bCs/>
          <w:sz w:val="32"/>
          <w:szCs w:val="32"/>
        </w:rPr>
        <w:t>（</w:t>
      </w:r>
      <w:r>
        <w:rPr>
          <w:rFonts w:hint="eastAsia" w:ascii="宋体" w:cs="宋体"/>
          <w:b/>
          <w:bCs/>
          <w:sz w:val="32"/>
          <w:szCs w:val="32"/>
          <w:lang w:val="en-US" w:eastAsia="zh-CN"/>
        </w:rPr>
        <w:t>五</w:t>
      </w:r>
      <w:r>
        <w:rPr>
          <w:rFonts w:hint="eastAsia" w:ascii="宋体" w:cs="宋体"/>
          <w:b/>
          <w:bCs/>
          <w:sz w:val="32"/>
          <w:szCs w:val="32"/>
        </w:rPr>
        <w:t>）参加政府采购活动前3年内</w:t>
      </w:r>
      <w:bookmarkStart w:id="36" w:name="_Toc518923113"/>
      <w:r>
        <w:rPr>
          <w:rFonts w:hint="eastAsia" w:ascii="宋体" w:cs="宋体"/>
          <w:b/>
          <w:bCs/>
          <w:sz w:val="32"/>
          <w:szCs w:val="32"/>
        </w:rPr>
        <w:t>在经营活动中没有重大违法记录的承诺书</w:t>
      </w:r>
      <w:bookmarkEnd w:id="36"/>
    </w:p>
    <w:p>
      <w:pPr>
        <w:spacing w:line="360" w:lineRule="auto"/>
        <w:ind w:firstLine="480" w:firstLineChars="200"/>
        <w:rPr>
          <w:rFonts w:ascii="宋体" w:cs="宋体"/>
          <w:sz w:val="24"/>
        </w:rPr>
      </w:pPr>
      <w:r>
        <w:rPr>
          <w:rFonts w:hint="eastAsia" w:ascii="宋体" w:cs="宋体"/>
          <w:sz w:val="24"/>
        </w:rPr>
        <w:t>致：（采购人）         ：</w:t>
      </w:r>
    </w:p>
    <w:p>
      <w:pPr>
        <w:spacing w:line="360" w:lineRule="auto"/>
        <w:ind w:firstLine="480" w:firstLineChars="200"/>
        <w:rPr>
          <w:rFonts w:ascii="宋体" w:cs="宋体"/>
          <w:sz w:val="24"/>
        </w:rPr>
      </w:pPr>
      <w:r>
        <w:rPr>
          <w:rFonts w:hint="eastAsia" w:ascii="宋体" w:cs="宋体"/>
          <w:sz w:val="24"/>
        </w:rPr>
        <w:t>我公司参与（项目名称标包号、项目编号）投标，本公司郑重声明，我方参加本项目政府采购活动前三年内无重大违法记录，符合《政府采购法》规定的投标人条件。若贵方在本项目采购过程中发现我方政府采购活动前三年内有重大违法记录，我公司将无条件退出本项目的投标，并承担因此引起的一切后果。我方对此声明负全部法律责任。</w:t>
      </w:r>
    </w:p>
    <w:p>
      <w:pPr>
        <w:spacing w:line="360" w:lineRule="auto"/>
        <w:ind w:firstLine="480" w:firstLineChars="200"/>
        <w:rPr>
          <w:rFonts w:hint="eastAsia" w:ascii="宋体" w:cs="宋体"/>
          <w:sz w:val="24"/>
        </w:rPr>
      </w:pPr>
      <w:r>
        <w:rPr>
          <w:rFonts w:hint="eastAsia" w:ascii="宋体" w:cs="宋体"/>
          <w:sz w:val="24"/>
        </w:rPr>
        <w:t xml:space="preserve">特此声明  </w:t>
      </w:r>
    </w:p>
    <w:p>
      <w:pPr>
        <w:pStyle w:val="24"/>
        <w:rPr>
          <w:rFonts w:hint="eastAsia" w:ascii="宋体" w:cs="宋体"/>
          <w:sz w:val="24"/>
        </w:rPr>
      </w:pPr>
    </w:p>
    <w:p>
      <w:pPr>
        <w:rPr>
          <w:rFonts w:hint="eastAsia" w:ascii="宋体" w:cs="宋体"/>
          <w:sz w:val="24"/>
        </w:rPr>
      </w:pPr>
    </w:p>
    <w:p>
      <w:pPr>
        <w:pStyle w:val="24"/>
      </w:pPr>
    </w:p>
    <w:p>
      <w:pPr>
        <w:pStyle w:val="13"/>
        <w:tabs>
          <w:tab w:val="left" w:pos="5580"/>
        </w:tabs>
        <w:spacing w:line="360" w:lineRule="auto"/>
        <w:ind w:firstLine="480" w:firstLineChars="200"/>
        <w:rPr>
          <w:sz w:val="24"/>
        </w:rPr>
      </w:pPr>
      <w:r>
        <w:rPr>
          <w:rFonts w:hint="eastAsia"/>
          <w:sz w:val="24"/>
        </w:rPr>
        <w:t>投标人（盖</w:t>
      </w:r>
      <w:r>
        <w:rPr>
          <w:sz w:val="24"/>
        </w:rPr>
        <w:t>章）：</w:t>
      </w:r>
    </w:p>
    <w:p>
      <w:pPr>
        <w:pStyle w:val="14"/>
      </w:pPr>
    </w:p>
    <w:p>
      <w:pPr>
        <w:pStyle w:val="13"/>
        <w:tabs>
          <w:tab w:val="left" w:pos="5580"/>
        </w:tabs>
        <w:spacing w:line="360" w:lineRule="auto"/>
        <w:ind w:firstLine="480" w:firstLineChars="200"/>
        <w:rPr>
          <w:rFonts w:hint="eastAsia" w:cs="宋体"/>
          <w:kern w:val="0"/>
          <w:sz w:val="24"/>
        </w:rPr>
      </w:pPr>
      <w:r>
        <w:rPr>
          <w:rFonts w:hint="eastAsia"/>
          <w:sz w:val="24"/>
        </w:rPr>
        <w:t>法定代表人或</w:t>
      </w:r>
      <w:r>
        <w:rPr>
          <w:rFonts w:hint="eastAsia" w:cs="宋体"/>
          <w:kern w:val="0"/>
          <w:sz w:val="24"/>
        </w:rPr>
        <w:t>委托代理人</w:t>
      </w:r>
      <w:r>
        <w:rPr>
          <w:rFonts w:hint="eastAsia"/>
          <w:sz w:val="24"/>
        </w:rPr>
        <w:t>（签字</w:t>
      </w:r>
      <w:r>
        <w:rPr>
          <w:rFonts w:hint="eastAsia"/>
          <w:sz w:val="24"/>
          <w:lang w:val="en-US" w:eastAsia="zh-CN"/>
        </w:rPr>
        <w:t>或盖章</w:t>
      </w:r>
      <w:r>
        <w:rPr>
          <w:rFonts w:hint="eastAsia"/>
          <w:sz w:val="24"/>
        </w:rPr>
        <w:t>）</w:t>
      </w:r>
      <w:r>
        <w:rPr>
          <w:rFonts w:hint="eastAsia" w:cs="宋体"/>
          <w:kern w:val="0"/>
          <w:sz w:val="24"/>
        </w:rPr>
        <w:t>：</w:t>
      </w:r>
    </w:p>
    <w:p>
      <w:pPr>
        <w:pStyle w:val="14"/>
        <w:rPr>
          <w:rFonts w:hint="eastAsia"/>
        </w:rPr>
      </w:pPr>
    </w:p>
    <w:p>
      <w:pPr>
        <w:pStyle w:val="14"/>
        <w:rPr>
          <w:rFonts w:hint="eastAsia"/>
        </w:rPr>
      </w:pPr>
    </w:p>
    <w:p>
      <w:pPr>
        <w:pStyle w:val="13"/>
        <w:tabs>
          <w:tab w:val="left" w:pos="5580"/>
        </w:tabs>
        <w:spacing w:line="360" w:lineRule="auto"/>
        <w:ind w:firstLine="480" w:firstLineChars="200"/>
        <w:jc w:val="right"/>
        <w:rPr>
          <w:rFonts w:hint="eastAsia" w:ascii="宋体" w:cs="宋体"/>
          <w:sz w:val="24"/>
        </w:rPr>
      </w:pPr>
      <w:r>
        <w:rPr>
          <w:rFonts w:hint="eastAsia" w:ascii="宋体" w:cs="宋体"/>
          <w:sz w:val="24"/>
        </w:rPr>
        <w:t>日期：   年   月   日</w:t>
      </w:r>
    </w:p>
    <w:p>
      <w:pPr>
        <w:pStyle w:val="14"/>
        <w:rPr>
          <w:rFonts w:hint="eastAsia" w:ascii="宋体" w:cs="宋体"/>
          <w:sz w:val="24"/>
        </w:rPr>
      </w:pPr>
    </w:p>
    <w:p>
      <w:pPr>
        <w:rPr>
          <w:rFonts w:hint="eastAsia" w:ascii="宋体" w:cs="宋体"/>
          <w:sz w:val="24"/>
        </w:rPr>
      </w:pPr>
    </w:p>
    <w:p>
      <w:pPr>
        <w:pStyle w:val="24"/>
        <w:rPr>
          <w:rFonts w:hint="eastAsia" w:ascii="宋体" w:cs="宋体"/>
          <w:sz w:val="24"/>
        </w:rPr>
      </w:pPr>
    </w:p>
    <w:p>
      <w:pPr>
        <w:rPr>
          <w:rFonts w:hint="eastAsia" w:ascii="宋体" w:cs="宋体"/>
          <w:sz w:val="24"/>
        </w:rPr>
      </w:pPr>
    </w:p>
    <w:p>
      <w:pPr>
        <w:pStyle w:val="24"/>
        <w:rPr>
          <w:rFonts w:hint="eastAsia" w:ascii="宋体" w:cs="宋体"/>
          <w:sz w:val="24"/>
        </w:rPr>
      </w:pPr>
    </w:p>
    <w:p>
      <w:pPr>
        <w:rPr>
          <w:rFonts w:hint="eastAsia" w:ascii="宋体" w:cs="宋体"/>
          <w:sz w:val="24"/>
        </w:rPr>
      </w:pPr>
    </w:p>
    <w:p>
      <w:pPr>
        <w:pStyle w:val="24"/>
        <w:rPr>
          <w:rFonts w:hint="eastAsia" w:ascii="宋体" w:cs="宋体"/>
          <w:sz w:val="24"/>
        </w:rPr>
      </w:pPr>
    </w:p>
    <w:p>
      <w:pPr>
        <w:rPr>
          <w:rFonts w:hint="eastAsia"/>
        </w:rPr>
      </w:pPr>
    </w:p>
    <w:p>
      <w:pPr>
        <w:spacing w:line="360" w:lineRule="auto"/>
        <w:ind w:firstLine="480" w:firstLineChars="200"/>
        <w:rPr>
          <w:rFonts w:ascii="宋体" w:cs="宋体"/>
          <w:sz w:val="24"/>
        </w:rPr>
      </w:pPr>
      <w:r>
        <w:rPr>
          <w:rFonts w:hint="eastAsia" w:ascii="宋体" w:cs="宋体"/>
          <w:sz w:val="24"/>
        </w:rPr>
        <w:t>说明：1.投标人应按照相关法规规定如实作出说明。</w:t>
      </w:r>
    </w:p>
    <w:p>
      <w:pPr>
        <w:spacing w:line="360" w:lineRule="auto"/>
        <w:ind w:firstLine="480" w:firstLineChars="200"/>
        <w:rPr>
          <w:rFonts w:ascii="宋体" w:cs="宋体"/>
          <w:sz w:val="24"/>
        </w:rPr>
      </w:pPr>
      <w:r>
        <w:rPr>
          <w:rFonts w:hint="eastAsia" w:ascii="宋体" w:cs="宋体"/>
          <w:sz w:val="24"/>
        </w:rPr>
        <w:t>2．按照招标文件的规定盖章（自然人投标的无需盖章，需要签字）。</w:t>
      </w:r>
    </w:p>
    <w:p>
      <w:pPr>
        <w:spacing w:line="360" w:lineRule="auto"/>
        <w:ind w:firstLine="480" w:firstLineChars="200"/>
        <w:rPr>
          <w:rFonts w:hint="eastAsia" w:ascii="宋体" w:cs="宋体"/>
          <w:sz w:val="24"/>
        </w:rPr>
      </w:pPr>
      <w:r>
        <w:rPr>
          <w:rFonts w:hint="eastAsia" w:ascii="宋体" w:cs="宋体"/>
          <w:sz w:val="24"/>
        </w:rPr>
        <w:t>3.如果是联合体投标，联合体各方均需提供上述证明。</w:t>
      </w:r>
    </w:p>
    <w:p>
      <w:pPr>
        <w:pStyle w:val="24"/>
      </w:pPr>
    </w:p>
    <w:p>
      <w:pPr>
        <w:rPr>
          <w:b/>
          <w:bCs/>
          <w:sz w:val="32"/>
          <w:szCs w:val="32"/>
        </w:rPr>
      </w:pPr>
      <w:bookmarkStart w:id="37" w:name="_Toc37868813"/>
      <w:bookmarkStart w:id="38" w:name="_Toc37868812"/>
    </w:p>
    <w:p>
      <w:pPr>
        <w:shd w:val="clear" w:color="auto" w:fill="FFFFFF"/>
        <w:snapToGrid w:val="0"/>
        <w:spacing w:line="384" w:lineRule="auto"/>
        <w:ind w:firstLine="643" w:firstLineChars="200"/>
        <w:jc w:val="center"/>
        <w:rPr>
          <w:rFonts w:hint="eastAsia" w:ascii="宋体" w:cs="Arial"/>
          <w:b/>
          <w:bCs/>
          <w:sz w:val="32"/>
          <w:szCs w:val="32"/>
        </w:rPr>
      </w:pPr>
      <w:r>
        <w:rPr>
          <w:rFonts w:hint="eastAsia" w:ascii="宋体" w:cs="Arial"/>
          <w:b/>
          <w:bCs/>
          <w:sz w:val="32"/>
          <w:szCs w:val="32"/>
        </w:rPr>
        <w:t>资格声明（制造商、代理商或经销商）</w:t>
      </w:r>
    </w:p>
    <w:p>
      <w:pPr>
        <w:shd w:val="clear" w:color="auto" w:fill="FFFFFF"/>
        <w:snapToGrid w:val="0"/>
        <w:spacing w:line="384" w:lineRule="auto"/>
        <w:ind w:firstLine="480" w:firstLineChars="200"/>
        <w:rPr>
          <w:rFonts w:ascii="宋体"/>
          <w:sz w:val="24"/>
        </w:rPr>
      </w:pPr>
      <w:r>
        <w:rPr>
          <w:rFonts w:hint="eastAsia" w:ascii="宋体"/>
          <w:sz w:val="24"/>
        </w:rPr>
        <w:t>致：（采购人名称）</w:t>
      </w:r>
    </w:p>
    <w:p>
      <w:pPr>
        <w:shd w:val="clear" w:color="auto" w:fill="FFFFFF"/>
        <w:snapToGrid w:val="0"/>
        <w:spacing w:line="384" w:lineRule="auto"/>
        <w:ind w:firstLine="480" w:firstLineChars="200"/>
        <w:rPr>
          <w:rFonts w:ascii="宋体"/>
          <w:sz w:val="24"/>
        </w:rPr>
      </w:pPr>
      <w:r>
        <w:rPr>
          <w:rFonts w:hint="eastAsia" w:ascii="宋体"/>
          <w:sz w:val="24"/>
        </w:rPr>
        <w:t>为响应（招标项目标段名称）招标文件的要求，我方作为本次投标货物的</w:t>
      </w:r>
      <w:r>
        <w:rPr>
          <w:rFonts w:hint="eastAsia" w:ascii="宋体"/>
          <w:b/>
          <w:sz w:val="24"/>
          <w:u w:val="single"/>
        </w:rPr>
        <w:t>（制造商、代理商或经销商）</w:t>
      </w:r>
      <w:r>
        <w:rPr>
          <w:rFonts w:hint="eastAsia" w:ascii="宋体"/>
          <w:sz w:val="24"/>
        </w:rPr>
        <w:t>，提交如下资料和信息，并声明下述全部资料和信息是真实和准确的。</w:t>
      </w:r>
    </w:p>
    <w:p>
      <w:pPr>
        <w:shd w:val="clear" w:color="auto" w:fill="FFFFFF"/>
        <w:snapToGrid w:val="0"/>
        <w:spacing w:line="384" w:lineRule="auto"/>
        <w:ind w:firstLine="480" w:firstLineChars="200"/>
        <w:rPr>
          <w:rFonts w:ascii="宋体"/>
          <w:sz w:val="24"/>
        </w:rPr>
      </w:pPr>
      <w:r>
        <w:rPr>
          <w:rFonts w:hint="eastAsia" w:ascii="宋体"/>
          <w:sz w:val="24"/>
        </w:rPr>
        <w:t>1、投标人基本情况表</w:t>
      </w:r>
    </w:p>
    <w:p>
      <w:pPr>
        <w:shd w:val="clear" w:color="auto" w:fill="FFFFFF"/>
        <w:snapToGrid w:val="0"/>
        <w:spacing w:line="384" w:lineRule="auto"/>
        <w:ind w:firstLine="480" w:firstLineChars="200"/>
        <w:rPr>
          <w:rFonts w:ascii="宋体"/>
          <w:sz w:val="24"/>
        </w:rPr>
      </w:pPr>
      <w:r>
        <w:rPr>
          <w:rFonts w:hint="eastAsia" w:ascii="宋体"/>
          <w:sz w:val="24"/>
        </w:rPr>
        <w:t>2、投标货物生产能力说明（如有时，制造商提供）</w:t>
      </w:r>
    </w:p>
    <w:p>
      <w:pPr>
        <w:shd w:val="clear" w:color="auto" w:fill="FFFFFF"/>
        <w:snapToGrid w:val="0"/>
        <w:spacing w:line="384" w:lineRule="auto"/>
        <w:ind w:firstLine="480" w:firstLineChars="200"/>
        <w:rPr>
          <w:rFonts w:ascii="宋体"/>
          <w:sz w:val="24"/>
        </w:rPr>
      </w:pPr>
      <w:r>
        <w:rPr>
          <w:rFonts w:hint="eastAsia" w:ascii="宋体"/>
          <w:sz w:val="24"/>
        </w:rPr>
        <w:t>3、制造商授权书（如有时，代理商或经销商提供）</w:t>
      </w:r>
    </w:p>
    <w:p>
      <w:pPr>
        <w:shd w:val="clear" w:color="auto" w:fill="FFFFFF"/>
        <w:snapToGrid w:val="0"/>
        <w:spacing w:line="384" w:lineRule="auto"/>
        <w:ind w:firstLine="480" w:firstLineChars="200"/>
        <w:rPr>
          <w:rFonts w:ascii="宋体"/>
          <w:sz w:val="24"/>
        </w:rPr>
      </w:pPr>
      <w:r>
        <w:rPr>
          <w:rFonts w:hint="eastAsia" w:ascii="宋体"/>
          <w:sz w:val="24"/>
        </w:rPr>
        <w:t>4、</w:t>
      </w:r>
      <w:r>
        <w:rPr>
          <w:rFonts w:hint="eastAsia" w:ascii="宋体"/>
          <w:kern w:val="0"/>
          <w:sz w:val="24"/>
        </w:rPr>
        <w:t>设备配置品牌性能</w:t>
      </w:r>
      <w:r>
        <w:rPr>
          <w:rFonts w:hint="eastAsia" w:ascii="宋体"/>
          <w:bCs/>
          <w:kern w:val="0"/>
          <w:sz w:val="24"/>
        </w:rPr>
        <w:t>的证明材料扫描件</w:t>
      </w:r>
    </w:p>
    <w:p>
      <w:pPr>
        <w:spacing w:line="360" w:lineRule="auto"/>
        <w:ind w:firstLine="482" w:firstLineChars="200"/>
        <w:jc w:val="center"/>
        <w:rPr>
          <w:b/>
          <w:bCs/>
          <w:sz w:val="24"/>
        </w:rPr>
      </w:pPr>
    </w:p>
    <w:p>
      <w:pPr>
        <w:shd w:val="clear" w:color="auto" w:fill="FFFFFF"/>
        <w:snapToGrid w:val="0"/>
        <w:spacing w:line="384" w:lineRule="auto"/>
        <w:ind w:firstLine="643" w:firstLineChars="200"/>
        <w:jc w:val="center"/>
        <w:rPr>
          <w:rFonts w:hint="eastAsia" w:ascii="宋体" w:cs="Arial"/>
          <w:b/>
          <w:bCs/>
          <w:sz w:val="32"/>
          <w:szCs w:val="32"/>
        </w:rPr>
      </w:pPr>
      <w:r>
        <w:rPr>
          <w:rFonts w:hint="eastAsia" w:ascii="宋体" w:cs="Arial"/>
          <w:b/>
          <w:bCs/>
          <w:sz w:val="32"/>
          <w:szCs w:val="32"/>
        </w:rPr>
        <w:t>项目实施方案</w:t>
      </w:r>
    </w:p>
    <w:p>
      <w:pPr>
        <w:pStyle w:val="13"/>
        <w:ind w:firstLine="480" w:firstLineChars="200"/>
        <w:rPr>
          <w:rFonts w:cs="宋体"/>
          <w:sz w:val="24"/>
        </w:rPr>
      </w:pPr>
      <w:r>
        <w:rPr>
          <w:rFonts w:hint="eastAsia" w:cs="宋体"/>
          <w:bCs/>
          <w:sz w:val="24"/>
        </w:rPr>
        <w:t>投标人根据此次项目实际需求，制定具体的</w:t>
      </w:r>
      <w:r>
        <w:rPr>
          <w:rFonts w:hint="eastAsia" w:cs="宋体"/>
          <w:b/>
          <w:bCs/>
          <w:sz w:val="24"/>
        </w:rPr>
        <w:t>项目实施</w:t>
      </w:r>
      <w:r>
        <w:rPr>
          <w:rFonts w:hint="eastAsia" w:cs="宋体"/>
          <w:bCs/>
          <w:sz w:val="24"/>
        </w:rPr>
        <w:t>方案。</w:t>
      </w:r>
    </w:p>
    <w:p>
      <w:pPr>
        <w:spacing w:line="360" w:lineRule="auto"/>
        <w:ind w:firstLine="482" w:firstLineChars="200"/>
        <w:rPr>
          <w:rFonts w:ascii="宋体" w:cs="宋体"/>
          <w:b/>
          <w:sz w:val="24"/>
        </w:rPr>
      </w:pPr>
    </w:p>
    <w:p>
      <w:pPr>
        <w:pStyle w:val="13"/>
        <w:ind w:firstLine="482" w:firstLineChars="200"/>
        <w:jc w:val="center"/>
        <w:rPr>
          <w:b/>
          <w:bCs/>
          <w:sz w:val="24"/>
        </w:rPr>
      </w:pPr>
    </w:p>
    <w:p>
      <w:pPr>
        <w:pStyle w:val="13"/>
        <w:ind w:firstLine="482" w:firstLineChars="200"/>
        <w:jc w:val="center"/>
        <w:rPr>
          <w:b/>
          <w:bCs/>
          <w:sz w:val="24"/>
        </w:rPr>
      </w:pPr>
    </w:p>
    <w:p>
      <w:pPr>
        <w:pStyle w:val="13"/>
        <w:ind w:firstLine="643" w:firstLineChars="200"/>
        <w:jc w:val="center"/>
        <w:rPr>
          <w:sz w:val="24"/>
        </w:rPr>
      </w:pPr>
      <w:r>
        <w:rPr>
          <w:rFonts w:hint="eastAsia" w:ascii="宋体" w:hAnsi="Calibri" w:eastAsia="宋体" w:cs="Arial"/>
          <w:b/>
          <w:bCs/>
          <w:kern w:val="2"/>
          <w:sz w:val="32"/>
          <w:szCs w:val="32"/>
          <w:lang w:val="en-US" w:eastAsia="zh-CN" w:bidi="ar-SA"/>
        </w:rPr>
        <w:t>质量保证和售后服务承诺</w:t>
      </w:r>
    </w:p>
    <w:p>
      <w:pPr>
        <w:pStyle w:val="13"/>
        <w:ind w:firstLine="480" w:firstLineChars="200"/>
        <w:rPr>
          <w:rFonts w:cs="宋体"/>
          <w:bCs/>
          <w:sz w:val="24"/>
        </w:rPr>
      </w:pPr>
    </w:p>
    <w:p>
      <w:pPr>
        <w:pStyle w:val="13"/>
        <w:ind w:firstLine="480" w:firstLineChars="200"/>
        <w:rPr>
          <w:rFonts w:cs="宋体"/>
          <w:sz w:val="24"/>
        </w:rPr>
      </w:pPr>
      <w:r>
        <w:rPr>
          <w:rFonts w:hint="eastAsia" w:cs="宋体"/>
          <w:bCs/>
          <w:sz w:val="24"/>
        </w:rPr>
        <w:t>投标人根据此次项目实际情况，制定具体的</w:t>
      </w:r>
      <w:r>
        <w:rPr>
          <w:rFonts w:hint="eastAsia" w:cs="宋体"/>
          <w:b/>
          <w:bCs/>
          <w:sz w:val="24"/>
        </w:rPr>
        <w:t>服务承诺</w:t>
      </w:r>
      <w:r>
        <w:rPr>
          <w:rFonts w:hint="eastAsia" w:cs="宋体"/>
          <w:bCs/>
          <w:sz w:val="24"/>
        </w:rPr>
        <w:t>。</w:t>
      </w:r>
    </w:p>
    <w:p>
      <w:pPr>
        <w:ind w:firstLine="482" w:firstLineChars="200"/>
        <w:jc w:val="center"/>
        <w:rPr>
          <w:b/>
          <w:bCs/>
          <w:sz w:val="24"/>
        </w:rPr>
      </w:pPr>
    </w:p>
    <w:p>
      <w:pPr>
        <w:ind w:firstLine="482" w:firstLineChars="200"/>
        <w:jc w:val="center"/>
        <w:rPr>
          <w:b/>
          <w:bCs/>
          <w:sz w:val="24"/>
        </w:rPr>
      </w:pPr>
    </w:p>
    <w:p>
      <w:pPr>
        <w:ind w:firstLine="482" w:firstLineChars="200"/>
        <w:jc w:val="center"/>
        <w:rPr>
          <w:b/>
          <w:bCs/>
          <w:sz w:val="24"/>
        </w:rPr>
      </w:pPr>
    </w:p>
    <w:p>
      <w:pPr>
        <w:pStyle w:val="7"/>
      </w:pPr>
    </w:p>
    <w:p>
      <w:pPr>
        <w:jc w:val="center"/>
        <w:rPr>
          <w:rFonts w:hint="eastAsia" w:ascii="宋体" w:hAnsi="Calibri" w:eastAsia="宋体" w:cs="Arial"/>
          <w:b/>
          <w:bCs/>
          <w:kern w:val="2"/>
          <w:sz w:val="32"/>
          <w:szCs w:val="32"/>
          <w:lang w:val="en-US" w:eastAsia="zh-CN" w:bidi="ar-SA"/>
        </w:rPr>
      </w:pPr>
      <w:r>
        <w:rPr>
          <w:rFonts w:hint="eastAsia" w:ascii="宋体" w:hAnsi="Calibri" w:eastAsia="宋体" w:cs="Arial"/>
          <w:b/>
          <w:bCs/>
          <w:kern w:val="2"/>
          <w:sz w:val="32"/>
          <w:szCs w:val="32"/>
          <w:lang w:val="en-US" w:eastAsia="zh-CN" w:bidi="ar-SA"/>
        </w:rPr>
        <w:t>设备或产品品牌的证明材料扫描件</w:t>
      </w:r>
    </w:p>
    <w:p>
      <w:pPr>
        <w:pStyle w:val="7"/>
        <w:rPr>
          <w:rFonts w:hint="default" w:eastAsia="宋体"/>
          <w:lang w:val="en-US" w:eastAsia="zh-CN"/>
        </w:rPr>
      </w:pPr>
      <w:r>
        <w:rPr>
          <w:rFonts w:hint="eastAsia" w:cs="宋体"/>
          <w:b w:val="0"/>
          <w:bCs w:val="0"/>
          <w:sz w:val="24"/>
        </w:rPr>
        <w:t>投标人根据此次项目实际情况，制定具体的</w:t>
      </w:r>
      <w:r>
        <w:rPr>
          <w:rFonts w:hint="eastAsia" w:cs="宋体"/>
          <w:b/>
          <w:bCs/>
          <w:sz w:val="24"/>
          <w:lang w:val="en-US" w:eastAsia="zh-CN"/>
        </w:rPr>
        <w:t>证明材料扫描件。</w:t>
      </w:r>
    </w:p>
    <w:p/>
    <w:p>
      <w:pPr>
        <w:pStyle w:val="7"/>
      </w:pPr>
    </w:p>
    <w:p/>
    <w:p>
      <w:pPr>
        <w:pStyle w:val="7"/>
      </w:pPr>
    </w:p>
    <w:p/>
    <w:p/>
    <w:p>
      <w:pPr>
        <w:pStyle w:val="24"/>
        <w:ind w:left="0" w:leftChars="0" w:firstLine="0" w:firstLineChars="0"/>
      </w:pPr>
    </w:p>
    <w:p>
      <w:pPr>
        <w:pStyle w:val="7"/>
      </w:pPr>
    </w:p>
    <w:bookmarkEnd w:id="37"/>
    <w:bookmarkEnd w:id="38"/>
    <w:p>
      <w:pPr>
        <w:pStyle w:val="13"/>
        <w:ind w:firstLine="643" w:firstLineChars="200"/>
        <w:jc w:val="center"/>
        <w:rPr>
          <w:rFonts w:hint="eastAsia" w:ascii="宋体" w:hAnsi="Calibri" w:eastAsia="宋体" w:cs="Arial"/>
          <w:b/>
          <w:bCs/>
          <w:kern w:val="2"/>
          <w:sz w:val="32"/>
          <w:szCs w:val="32"/>
          <w:lang w:val="zh-CN" w:eastAsia="zh-CN" w:bidi="ar-SA"/>
        </w:rPr>
      </w:pPr>
      <w:r>
        <w:rPr>
          <w:rFonts w:hint="eastAsia" w:ascii="宋体" w:hAnsi="Calibri" w:eastAsia="宋体" w:cs="Arial"/>
          <w:b/>
          <w:bCs/>
          <w:kern w:val="2"/>
          <w:sz w:val="32"/>
          <w:szCs w:val="32"/>
          <w:lang w:val="zh-CN" w:eastAsia="zh-CN" w:bidi="ar-SA"/>
        </w:rPr>
        <w:t>投标保证金缴纳凭证</w:t>
      </w:r>
    </w:p>
    <w:p>
      <w:pPr>
        <w:ind w:firstLine="482" w:firstLineChars="200"/>
        <w:rPr>
          <w:rFonts w:ascii="宋体"/>
          <w:b/>
          <w:bCs/>
          <w:kern w:val="0"/>
          <w:sz w:val="24"/>
          <w:lang w:val="zh-CN"/>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1" w:hRule="atLeast"/>
        </w:trPr>
        <w:tc>
          <w:tcPr>
            <w:tcW w:w="9963" w:type="dxa"/>
          </w:tcPr>
          <w:p>
            <w:pPr>
              <w:ind w:firstLine="482" w:firstLineChars="200"/>
              <w:rPr>
                <w:rFonts w:ascii="宋体"/>
                <w:b/>
                <w:bCs/>
                <w:kern w:val="0"/>
                <w:sz w:val="24"/>
              </w:rPr>
            </w:pPr>
          </w:p>
        </w:tc>
      </w:tr>
    </w:tbl>
    <w:p>
      <w:pPr>
        <w:ind w:firstLine="482" w:firstLineChars="200"/>
        <w:rPr>
          <w:rFonts w:ascii="宋体"/>
          <w:b/>
          <w:bCs/>
          <w:kern w:val="0"/>
          <w:sz w:val="24"/>
        </w:rPr>
      </w:pPr>
    </w:p>
    <w:p>
      <w:pPr>
        <w:ind w:firstLine="482" w:firstLineChars="200"/>
        <w:rPr>
          <w:rFonts w:ascii="宋体"/>
          <w:b/>
          <w:bCs/>
          <w:kern w:val="0"/>
          <w:sz w:val="24"/>
        </w:rPr>
      </w:pPr>
    </w:p>
    <w:p>
      <w:pPr>
        <w:pStyle w:val="13"/>
        <w:tabs>
          <w:tab w:val="left" w:pos="5580"/>
        </w:tabs>
        <w:spacing w:line="360" w:lineRule="auto"/>
        <w:ind w:firstLine="480" w:firstLineChars="200"/>
        <w:rPr>
          <w:sz w:val="24"/>
        </w:rPr>
      </w:pPr>
      <w:r>
        <w:rPr>
          <w:rFonts w:hint="eastAsia"/>
          <w:sz w:val="24"/>
        </w:rPr>
        <w:t>投标人（盖</w:t>
      </w:r>
      <w:r>
        <w:rPr>
          <w:sz w:val="24"/>
        </w:rPr>
        <w:t>章）：</w:t>
      </w:r>
    </w:p>
    <w:p>
      <w:pPr>
        <w:pStyle w:val="14"/>
      </w:pPr>
    </w:p>
    <w:p>
      <w:pPr>
        <w:pStyle w:val="13"/>
        <w:tabs>
          <w:tab w:val="left" w:pos="5580"/>
        </w:tabs>
        <w:spacing w:line="360" w:lineRule="auto"/>
        <w:ind w:firstLine="480" w:firstLineChars="200"/>
        <w:rPr>
          <w:rFonts w:hint="eastAsia" w:cs="宋体"/>
          <w:kern w:val="0"/>
          <w:sz w:val="24"/>
        </w:rPr>
      </w:pPr>
      <w:r>
        <w:rPr>
          <w:rFonts w:hint="eastAsia"/>
          <w:sz w:val="24"/>
        </w:rPr>
        <w:t>法定代表人或</w:t>
      </w:r>
      <w:r>
        <w:rPr>
          <w:rFonts w:hint="eastAsia" w:cs="宋体"/>
          <w:kern w:val="0"/>
          <w:sz w:val="24"/>
        </w:rPr>
        <w:t>委托代理人</w:t>
      </w:r>
      <w:r>
        <w:rPr>
          <w:rFonts w:hint="eastAsia"/>
          <w:sz w:val="24"/>
        </w:rPr>
        <w:t>（签字</w:t>
      </w:r>
      <w:r>
        <w:rPr>
          <w:rFonts w:hint="eastAsia"/>
          <w:sz w:val="24"/>
          <w:lang w:val="en-US" w:eastAsia="zh-CN"/>
        </w:rPr>
        <w:t>或盖章</w:t>
      </w:r>
      <w:r>
        <w:rPr>
          <w:rFonts w:hint="eastAsia"/>
          <w:sz w:val="24"/>
        </w:rPr>
        <w:t>）</w:t>
      </w:r>
      <w:r>
        <w:rPr>
          <w:rFonts w:hint="eastAsia" w:cs="宋体"/>
          <w:kern w:val="0"/>
          <w:sz w:val="24"/>
        </w:rPr>
        <w:t>：</w:t>
      </w:r>
    </w:p>
    <w:p>
      <w:pPr>
        <w:pStyle w:val="14"/>
        <w:rPr>
          <w:rFonts w:hint="eastAsia"/>
        </w:rPr>
      </w:pPr>
    </w:p>
    <w:p>
      <w:pPr>
        <w:pStyle w:val="13"/>
        <w:tabs>
          <w:tab w:val="left" w:pos="5580"/>
        </w:tabs>
        <w:spacing w:line="360" w:lineRule="auto"/>
        <w:ind w:firstLine="480" w:firstLineChars="200"/>
        <w:jc w:val="right"/>
        <w:rPr>
          <w:rFonts w:hint="eastAsia" w:ascii="宋体" w:cs="宋体"/>
          <w:sz w:val="24"/>
        </w:rPr>
      </w:pPr>
      <w:r>
        <w:rPr>
          <w:rFonts w:hint="eastAsia" w:ascii="宋体" w:cs="宋体"/>
          <w:sz w:val="24"/>
        </w:rPr>
        <w:t>日期：   年   月   日</w:t>
      </w:r>
    </w:p>
    <w:p>
      <w:pPr>
        <w:pStyle w:val="14"/>
        <w:rPr>
          <w:rFonts w:hint="eastAsia" w:ascii="宋体" w:cs="宋体"/>
          <w:sz w:val="24"/>
        </w:rPr>
      </w:pPr>
    </w:p>
    <w:p>
      <w:pPr>
        <w:rPr>
          <w:rFonts w:hint="eastAsia" w:ascii="宋体" w:cs="宋体"/>
          <w:sz w:val="24"/>
        </w:rPr>
      </w:pPr>
    </w:p>
    <w:p>
      <w:pPr>
        <w:pStyle w:val="24"/>
        <w:rPr>
          <w:rFonts w:hint="eastAsia" w:ascii="宋体" w:cs="宋体"/>
          <w:sz w:val="24"/>
        </w:rPr>
      </w:pPr>
    </w:p>
    <w:p>
      <w:pPr>
        <w:rPr>
          <w:rFonts w:hint="eastAsia" w:ascii="宋体" w:cs="宋体"/>
          <w:sz w:val="24"/>
        </w:rPr>
      </w:pPr>
    </w:p>
    <w:p>
      <w:pPr>
        <w:pStyle w:val="24"/>
        <w:rPr>
          <w:rFonts w:hint="eastAsia" w:ascii="宋体" w:cs="宋体"/>
          <w:sz w:val="24"/>
        </w:rPr>
      </w:pPr>
    </w:p>
    <w:p>
      <w:pPr>
        <w:rPr>
          <w:rFonts w:hint="eastAsia" w:ascii="宋体" w:cs="宋体"/>
          <w:sz w:val="24"/>
        </w:rPr>
      </w:pPr>
    </w:p>
    <w:p>
      <w:pPr>
        <w:pStyle w:val="24"/>
        <w:rPr>
          <w:rFonts w:hint="eastAsia" w:ascii="宋体" w:cs="宋体"/>
          <w:sz w:val="24"/>
        </w:rPr>
      </w:pPr>
    </w:p>
    <w:p>
      <w:pPr>
        <w:rPr>
          <w:rFonts w:hint="eastAsia" w:ascii="宋体" w:cs="宋体"/>
          <w:sz w:val="24"/>
        </w:rPr>
      </w:pPr>
    </w:p>
    <w:p>
      <w:pPr>
        <w:pStyle w:val="24"/>
        <w:rPr>
          <w:rFonts w:hint="eastAsia" w:ascii="宋体" w:cs="宋体"/>
          <w:sz w:val="24"/>
        </w:rPr>
      </w:pPr>
    </w:p>
    <w:p>
      <w:pPr>
        <w:rPr>
          <w:rFonts w:hint="eastAsia" w:ascii="宋体" w:cs="宋体"/>
          <w:sz w:val="24"/>
        </w:rPr>
      </w:pPr>
    </w:p>
    <w:p>
      <w:pPr>
        <w:pStyle w:val="24"/>
        <w:rPr>
          <w:rFonts w:hint="eastAsia" w:ascii="宋体" w:cs="宋体"/>
          <w:sz w:val="24"/>
        </w:rPr>
      </w:pPr>
    </w:p>
    <w:p>
      <w:pPr>
        <w:rPr>
          <w:rFonts w:hint="eastAsia" w:ascii="宋体" w:cs="宋体"/>
          <w:sz w:val="24"/>
        </w:rPr>
      </w:pPr>
    </w:p>
    <w:p>
      <w:pPr>
        <w:pStyle w:val="24"/>
        <w:rPr>
          <w:rFonts w:hint="eastAsia"/>
        </w:rPr>
      </w:pPr>
    </w:p>
    <w:p>
      <w:pPr>
        <w:pStyle w:val="24"/>
        <w:rPr>
          <w:rFonts w:hint="eastAsia" w:ascii="宋体" w:cs="宋体"/>
          <w:sz w:val="24"/>
        </w:rPr>
      </w:pPr>
    </w:p>
    <w:p>
      <w:pPr>
        <w:widowControl/>
        <w:spacing w:line="400" w:lineRule="exact"/>
        <w:rPr>
          <w:lang w:val="zh-CN"/>
        </w:rPr>
      </w:pPr>
      <w:r>
        <w:rPr>
          <w:rFonts w:hint="eastAsia" w:ascii="宋体" w:hAnsi="宋体"/>
          <w:b/>
          <w:bCs/>
          <w:szCs w:val="21"/>
          <w:lang w:val="zh-CN"/>
        </w:rPr>
        <w:t>附表：中小企业声明函</w:t>
      </w:r>
    </w:p>
    <w:p>
      <w:pPr>
        <w:jc w:val="center"/>
        <w:rPr>
          <w:b/>
          <w:sz w:val="30"/>
          <w:szCs w:val="30"/>
        </w:rPr>
      </w:pPr>
    </w:p>
    <w:p>
      <w:pPr>
        <w:ind w:firstLine="422" w:firstLineChars="140"/>
        <w:jc w:val="center"/>
        <w:rPr>
          <w:b/>
          <w:sz w:val="30"/>
          <w:szCs w:val="30"/>
        </w:rPr>
      </w:pPr>
      <w:r>
        <w:rPr>
          <w:b/>
          <w:sz w:val="30"/>
          <w:szCs w:val="30"/>
        </w:rPr>
        <w:t>中小企业声明函（货物）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sz w:val="24"/>
          <w:szCs w:val="24"/>
        </w:rPr>
      </w:pPr>
      <w:r>
        <w:rPr>
          <w:sz w:val="24"/>
          <w:szCs w:val="24"/>
        </w:rPr>
        <w:t>本公司（联合体）郑重声明，根据《政府采购促进中小企业发展管理办法》（财库（2020）46号）的规定，本公司（联合体）参加（</w:t>
      </w:r>
      <w:r>
        <w:rPr>
          <w:sz w:val="24"/>
          <w:szCs w:val="24"/>
          <w:u w:val="single"/>
        </w:rPr>
        <w:t>单位名称</w:t>
      </w:r>
      <w:r>
        <w:rPr>
          <w:sz w:val="24"/>
          <w:szCs w:val="24"/>
        </w:rPr>
        <w:t>）的（</w:t>
      </w:r>
      <w:r>
        <w:rPr>
          <w:sz w:val="24"/>
          <w:szCs w:val="24"/>
          <w:u w:val="single"/>
        </w:rPr>
        <w:t>项目名称</w:t>
      </w:r>
      <w:r>
        <w:rPr>
          <w:sz w:val="24"/>
          <w:szCs w:val="24"/>
        </w:rPr>
        <w:t>）采购活动，提供的货物全部由符合政策要求的中小企业制造。相关企业(含联合体中的中小企业、签订分包意向协议的中小企业)的具体情况如下：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spacing w:line="480" w:lineRule="auto"/>
        <w:ind w:firstLine="720" w:firstLineChars="300"/>
        <w:textAlignment w:val="auto"/>
        <w:rPr>
          <w:sz w:val="24"/>
          <w:szCs w:val="24"/>
        </w:rPr>
      </w:pPr>
      <w:r>
        <w:rPr>
          <w:sz w:val="24"/>
          <w:szCs w:val="24"/>
        </w:rPr>
        <w:t>1.</w:t>
      </w:r>
      <w:r>
        <w:rPr>
          <w:sz w:val="24"/>
          <w:szCs w:val="24"/>
          <w:u w:val="single"/>
        </w:rPr>
        <w:t>（标的名称）</w:t>
      </w:r>
      <w:r>
        <w:rPr>
          <w:sz w:val="24"/>
          <w:szCs w:val="24"/>
        </w:rPr>
        <w:t>，属于</w:t>
      </w:r>
      <w:r>
        <w:rPr>
          <w:sz w:val="24"/>
          <w:szCs w:val="24"/>
          <w:u w:val="single"/>
        </w:rPr>
        <w:t>（采购文件中明确的所属行业）行业</w:t>
      </w:r>
      <w:r>
        <w:rPr>
          <w:sz w:val="24"/>
          <w:szCs w:val="24"/>
        </w:rPr>
        <w:t>；制造商为</w:t>
      </w:r>
      <w:r>
        <w:rPr>
          <w:sz w:val="24"/>
          <w:szCs w:val="24"/>
          <w:u w:val="single"/>
        </w:rPr>
        <w:t>（企业名称</w:t>
      </w:r>
      <w:r>
        <w:rPr>
          <w:sz w:val="24"/>
          <w:szCs w:val="24"/>
        </w:rPr>
        <w:t>），从业人员_人，营业收入为万元，资产总额为万元，属于</w:t>
      </w:r>
      <w:r>
        <w:rPr>
          <w:sz w:val="24"/>
          <w:szCs w:val="24"/>
          <w:u w:val="single"/>
        </w:rPr>
        <w:t>（中型企业、小型企业、微型企业）</w:t>
      </w:r>
      <w:r>
        <w:rPr>
          <w:sz w:val="24"/>
          <w:szCs w:val="24"/>
        </w:rPr>
        <w:t>；</w:t>
      </w:r>
    </w:p>
    <w:p>
      <w:pPr>
        <w:keepNext w:val="0"/>
        <w:keepLines w:val="0"/>
        <w:pageBreakBefore w:val="0"/>
        <w:widowControl w:val="0"/>
        <w:kinsoku/>
        <w:wordWrap/>
        <w:overflowPunct/>
        <w:topLinePunct w:val="0"/>
        <w:autoSpaceDE/>
        <w:autoSpaceDN/>
        <w:bidi w:val="0"/>
        <w:adjustRightInd/>
        <w:snapToGrid/>
        <w:spacing w:line="480" w:lineRule="auto"/>
        <w:ind w:firstLine="720" w:firstLineChars="300"/>
        <w:textAlignment w:val="auto"/>
        <w:rPr>
          <w:sz w:val="24"/>
          <w:szCs w:val="24"/>
        </w:rPr>
      </w:pPr>
      <w:r>
        <w:rPr>
          <w:sz w:val="24"/>
          <w:szCs w:val="24"/>
        </w:rPr>
        <w:t>2.（</w:t>
      </w:r>
      <w:r>
        <w:rPr>
          <w:sz w:val="24"/>
          <w:szCs w:val="24"/>
          <w:u w:val="single"/>
        </w:rPr>
        <w:t>标的名称</w:t>
      </w:r>
      <w:r>
        <w:rPr>
          <w:sz w:val="24"/>
          <w:szCs w:val="24"/>
        </w:rPr>
        <w:t>），属于</w:t>
      </w:r>
      <w:r>
        <w:rPr>
          <w:sz w:val="24"/>
          <w:szCs w:val="24"/>
          <w:u w:val="single"/>
        </w:rPr>
        <w:t>（采购文件中明确的所属行业）行业</w:t>
      </w:r>
      <w:r>
        <w:rPr>
          <w:sz w:val="24"/>
          <w:szCs w:val="24"/>
        </w:rPr>
        <w:t>；制造商为</w:t>
      </w:r>
      <w:r>
        <w:rPr>
          <w:sz w:val="24"/>
          <w:szCs w:val="24"/>
          <w:u w:val="single"/>
        </w:rPr>
        <w:t>（企业</w:t>
      </w:r>
      <w:r>
        <w:rPr>
          <w:sz w:val="24"/>
          <w:szCs w:val="24"/>
        </w:rPr>
        <w:t>名称），从业人员__人，营业收入为_万元，资产总额为_万元，属于</w:t>
      </w:r>
      <w:r>
        <w:rPr>
          <w:sz w:val="24"/>
          <w:szCs w:val="24"/>
          <w:u w:val="single"/>
        </w:rPr>
        <w:t>（中型企业、小型企业、微型企业）</w:t>
      </w:r>
      <w:r>
        <w:rPr>
          <w:sz w:val="24"/>
          <w:szCs w:val="24"/>
        </w:rPr>
        <w:t>；</w:t>
      </w:r>
    </w:p>
    <w:p>
      <w:pPr>
        <w:keepNext w:val="0"/>
        <w:keepLines w:val="0"/>
        <w:pageBreakBefore w:val="0"/>
        <w:widowControl w:val="0"/>
        <w:kinsoku/>
        <w:wordWrap/>
        <w:overflowPunct/>
        <w:topLinePunct w:val="0"/>
        <w:autoSpaceDE/>
        <w:autoSpaceDN/>
        <w:bidi w:val="0"/>
        <w:adjustRightInd/>
        <w:snapToGrid/>
        <w:spacing w:line="480" w:lineRule="auto"/>
        <w:ind w:firstLine="720" w:firstLineChars="300"/>
        <w:textAlignment w:val="auto"/>
        <w:rPr>
          <w:sz w:val="24"/>
          <w:szCs w:val="24"/>
        </w:rPr>
      </w:pPr>
      <w:r>
        <w:rPr>
          <w:sz w:val="24"/>
          <w:szCs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sz w:val="24"/>
          <w:szCs w:val="24"/>
        </w:rPr>
      </w:pPr>
      <w:r>
        <w:rPr>
          <w:sz w:val="24"/>
          <w:szCs w:val="24"/>
        </w:rPr>
        <w:t>本企业对上述声明内容的真实性负责。如有虚假，将依法承担相应责任。</w:t>
      </w:r>
    </w:p>
    <w:p>
      <w:pPr>
        <w:ind w:firstLine="6180" w:firstLineChars="2575"/>
        <w:rPr>
          <w:sz w:val="24"/>
          <w:szCs w:val="24"/>
        </w:rPr>
      </w:pPr>
    </w:p>
    <w:p>
      <w:pPr>
        <w:ind w:firstLine="6180" w:firstLineChars="2575"/>
        <w:rPr>
          <w:sz w:val="24"/>
          <w:szCs w:val="24"/>
        </w:rPr>
      </w:pPr>
    </w:p>
    <w:p>
      <w:pPr>
        <w:ind w:firstLine="6180" w:firstLineChars="2575"/>
        <w:rPr>
          <w:sz w:val="24"/>
          <w:szCs w:val="24"/>
        </w:rPr>
      </w:pPr>
    </w:p>
    <w:p>
      <w:pPr>
        <w:ind w:firstLine="6180" w:firstLineChars="2575"/>
        <w:rPr>
          <w:sz w:val="24"/>
          <w:szCs w:val="24"/>
        </w:rPr>
      </w:pPr>
      <w:r>
        <w:rPr>
          <w:sz w:val="24"/>
          <w:szCs w:val="24"/>
        </w:rPr>
        <w:t>企业名称（盖章)：</w:t>
      </w:r>
    </w:p>
    <w:p>
      <w:pPr>
        <w:ind w:firstLine="6180" w:firstLineChars="2575"/>
        <w:rPr>
          <w:sz w:val="24"/>
          <w:szCs w:val="24"/>
        </w:rPr>
      </w:pPr>
    </w:p>
    <w:p>
      <w:pPr>
        <w:ind w:firstLine="6180" w:firstLineChars="2575"/>
        <w:rPr>
          <w:sz w:val="24"/>
          <w:szCs w:val="24"/>
        </w:rPr>
      </w:pPr>
    </w:p>
    <w:p>
      <w:pPr>
        <w:ind w:firstLine="6180" w:firstLineChars="2575"/>
        <w:rPr>
          <w:sz w:val="24"/>
          <w:szCs w:val="24"/>
        </w:rPr>
      </w:pPr>
      <w:r>
        <w:rPr>
          <w:sz w:val="24"/>
          <w:szCs w:val="24"/>
        </w:rPr>
        <w:t>日期：</w:t>
      </w:r>
    </w:p>
    <w:p>
      <w:pPr>
        <w:rPr>
          <w:sz w:val="24"/>
          <w:szCs w:val="24"/>
        </w:rPr>
      </w:pPr>
    </w:p>
    <w:p/>
    <w:p>
      <w:pPr>
        <w:rPr>
          <w:rFonts w:ascii="宋体"/>
          <w:b/>
          <w:bCs/>
          <w:sz w:val="32"/>
          <w:szCs w:val="32"/>
        </w:rPr>
      </w:pPr>
      <w:r>
        <w:rPr>
          <w:rFonts w:hint="eastAsia"/>
        </w:rPr>
        <w:t>注：</w:t>
      </w:r>
      <w:r>
        <w:t>从业人员、营业收入、资产总额填报上一年度数据，无上一年度数据的新成立企业可不填报。</w:t>
      </w:r>
      <w:bookmarkEnd w:id="32"/>
      <w:bookmarkEnd w:id="33"/>
    </w:p>
    <w:sectPr>
      <w:footerReference r:id="rId5" w:type="default"/>
      <w:pgSz w:w="11906" w:h="16838"/>
      <w:pgMar w:top="1701" w:right="1417" w:bottom="1701" w:left="1701"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fldChar w:fldCharType="begin"/>
    </w:r>
    <w:r>
      <w:instrText xml:space="preserve">PAGE   \* MERGEFORMAT</w:instrText>
    </w:r>
    <w:r>
      <w:fldChar w:fldCharType="separate"/>
    </w:r>
    <w:r>
      <w:rPr>
        <w:lang w:val="zh-CN"/>
      </w:rPr>
      <w:t>53</w:t>
    </w:r>
    <w:r>
      <w:rPr>
        <w:lang w:val="zh-CN"/>
      </w:rP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rect id="文本框 3" o:spid="_x0000_s2049" o:spt="1" style="position:absolute;left:0pt;margin-top:0pt;height:11pt;width:18.7pt;mso-position-horizontal:right;mso-position-horizontal-relative:margin;mso-wrap-style:none;z-index:251664384;mso-width-relative:page;mso-height-relative:page;" filled="f" stroked="f" coordsize="21600,21600" o:gfxdata="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ej3n1wAAAAMBAAAPAAAAAAAAAAEAIAAAACIAAABkcnMvZG93bnJl&#10;di54bWxQSwECFAAUAAAACACHTuJAknF/GP4BAADoAwAADgAAAAAAAAABACAAAAAmAQAAZHJzL2Uy&#10;b0RvYy54bWxQSwUGAAAAAAYABgBZAQAAlgUAAAAA&#10;">
          <v:path/>
          <v:fill on="f" focussize="0,0"/>
          <v:stroke on="f" weight="0.5pt" joinstyle="round"/>
          <v:imagedata o:title=""/>
          <o:lock v:ext="edit"/>
          <v:textbox inset="0mm,0mm,0mm,0mm" style="mso-fit-shape-to-text:t;">
            <w:txbxContent>
              <w:p>
                <w:pPr>
                  <w:pStyle w:val="18"/>
                </w:pPr>
                <w:r>
                  <w:fldChar w:fldCharType="begin"/>
                </w:r>
                <w:r>
                  <w:instrText xml:space="preserve"> PAGE  \* MERGEFORMAT </w:instrText>
                </w:r>
                <w:r>
                  <w:fldChar w:fldCharType="separate"/>
                </w:r>
                <w:r>
                  <w:t>- 9 -</w:t>
                </w:r>
                <w:r>
                  <w:fldChar w:fldCharType="end"/>
                </w:r>
              </w:p>
            </w:txbxContent>
          </v:textbox>
        </v:rect>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6E6B83"/>
    <w:multiLevelType w:val="singleLevel"/>
    <w:tmpl w:val="D46E6B83"/>
    <w:lvl w:ilvl="0" w:tentative="0">
      <w:start w:val="1"/>
      <w:numFmt w:val="decimal"/>
      <w:suff w:val="space"/>
      <w:lvlText w:val="%1."/>
      <w:lvlJc w:val="left"/>
    </w:lvl>
  </w:abstractNum>
  <w:abstractNum w:abstractNumId="1">
    <w:nsid w:val="FFCD3149"/>
    <w:multiLevelType w:val="singleLevel"/>
    <w:tmpl w:val="FFCD3149"/>
    <w:lvl w:ilvl="0" w:tentative="0">
      <w:start w:val="1"/>
      <w:numFmt w:val="chineseCounting"/>
      <w:suff w:val="space"/>
      <w:lvlText w:val="第%1章"/>
      <w:lvlJc w:val="left"/>
      <w:rPr>
        <w:rFonts w:hint="eastAsia"/>
      </w:rPr>
    </w:lvl>
  </w:abstractNum>
  <w:abstractNum w:abstractNumId="2">
    <w:nsid w:val="0000000D"/>
    <w:multiLevelType w:val="multilevel"/>
    <w:tmpl w:val="0000000D"/>
    <w:lvl w:ilvl="0" w:tentative="0">
      <w:start w:val="1"/>
      <w:numFmt w:val="decimal"/>
      <w:pStyle w:val="10"/>
      <w:lvlText w:val="%1."/>
      <w:lvlJc w:val="left"/>
      <w:pPr>
        <w:tabs>
          <w:tab w:val="left" w:pos="0"/>
        </w:tabs>
        <w:ind w:left="790" w:hanging="430"/>
      </w:pPr>
      <w:rPr>
        <w:rFonts w:hint="eastAsia"/>
      </w:rPr>
    </w:lvl>
    <w:lvl w:ilvl="1" w:tentative="0">
      <w:start w:val="1"/>
      <w:numFmt w:val="decimal"/>
      <w:lvlText w:val="%1.%2"/>
      <w:lvlJc w:val="left"/>
      <w:pPr>
        <w:tabs>
          <w:tab w:val="left" w:pos="0"/>
        </w:tabs>
        <w:ind w:left="880" w:hanging="700"/>
      </w:pPr>
      <w:rPr>
        <w:rFonts w:ascii="宋体" w:hAnsi="宋体" w:eastAsia="宋体" w:cs="Times New Roman"/>
      </w:rPr>
    </w:lvl>
    <w:lvl w:ilvl="2" w:tentative="0">
      <w:start w:val="1"/>
      <w:numFmt w:val="decimal"/>
      <w:lvlText w:val="%1.%2.%3"/>
      <w:lvlJc w:val="left"/>
      <w:pPr>
        <w:tabs>
          <w:tab w:val="left" w:pos="0"/>
        </w:tabs>
        <w:ind w:left="1360" w:hanging="1000"/>
      </w:pPr>
      <w:rPr>
        <w:rFonts w:hint="eastAsia"/>
      </w:rPr>
    </w:lvl>
    <w:lvl w:ilvl="3" w:tentative="0">
      <w:start w:val="1"/>
      <w:numFmt w:val="decimal"/>
      <w:lvlText w:val="%1.%2.%3.%4"/>
      <w:lvlJc w:val="left"/>
      <w:pPr>
        <w:tabs>
          <w:tab w:val="left" w:pos="0"/>
        </w:tabs>
        <w:ind w:left="2344" w:hanging="1984"/>
      </w:pPr>
      <w:rPr>
        <w:rFonts w:hint="eastAsia"/>
      </w:rPr>
    </w:lvl>
    <w:lvl w:ilvl="4" w:tentative="0">
      <w:start w:val="1"/>
      <w:numFmt w:val="decimal"/>
      <w:lvlText w:val="%1.%2.%3.%4.%5"/>
      <w:lvlJc w:val="left"/>
      <w:pPr>
        <w:tabs>
          <w:tab w:val="left" w:pos="0"/>
        </w:tabs>
        <w:ind w:left="2911" w:hanging="850"/>
      </w:pPr>
      <w:rPr>
        <w:rFonts w:hint="eastAsia"/>
      </w:rPr>
    </w:lvl>
    <w:lvl w:ilvl="5" w:tentative="0">
      <w:start w:val="1"/>
      <w:numFmt w:val="decimal"/>
      <w:lvlText w:val="%1.%2.%3.%4.%5.%6"/>
      <w:lvlJc w:val="left"/>
      <w:pPr>
        <w:tabs>
          <w:tab w:val="left" w:pos="0"/>
        </w:tabs>
        <w:ind w:left="3620" w:hanging="1134"/>
      </w:pPr>
      <w:rPr>
        <w:rFonts w:hint="eastAsia"/>
      </w:rPr>
    </w:lvl>
    <w:lvl w:ilvl="6" w:tentative="0">
      <w:start w:val="1"/>
      <w:numFmt w:val="decimal"/>
      <w:lvlText w:val="%1.%2.%3.%4.%5.%6.%7"/>
      <w:lvlJc w:val="left"/>
      <w:pPr>
        <w:tabs>
          <w:tab w:val="left" w:pos="0"/>
        </w:tabs>
        <w:ind w:left="4187" w:hanging="1276"/>
      </w:pPr>
      <w:rPr>
        <w:rFonts w:hint="eastAsia"/>
      </w:rPr>
    </w:lvl>
    <w:lvl w:ilvl="7" w:tentative="0">
      <w:start w:val="1"/>
      <w:numFmt w:val="decimal"/>
      <w:lvlText w:val="%1.%2.%3.%4.%5.%6.%7.%8"/>
      <w:lvlJc w:val="left"/>
      <w:pPr>
        <w:tabs>
          <w:tab w:val="left" w:pos="0"/>
        </w:tabs>
        <w:ind w:left="4754" w:hanging="1418"/>
      </w:pPr>
      <w:rPr>
        <w:rFonts w:hint="eastAsia"/>
      </w:rPr>
    </w:lvl>
    <w:lvl w:ilvl="8" w:tentative="0">
      <w:start w:val="1"/>
      <w:numFmt w:val="decimal"/>
      <w:lvlText w:val="%1.%2.%3.%4.%5.%6.%7.%8.%9"/>
      <w:lvlJc w:val="left"/>
      <w:pPr>
        <w:tabs>
          <w:tab w:val="left" w:pos="0"/>
        </w:tabs>
        <w:ind w:left="5462" w:hanging="1700"/>
      </w:pPr>
      <w:rPr>
        <w:rFonts w:hint="eastAsia"/>
      </w:rPr>
    </w:lvl>
  </w:abstractNum>
  <w:abstractNum w:abstractNumId="3">
    <w:nsid w:val="3CCB9046"/>
    <w:multiLevelType w:val="singleLevel"/>
    <w:tmpl w:val="3CCB9046"/>
    <w:lvl w:ilvl="0" w:tentative="0">
      <w:start w:val="6"/>
      <w:numFmt w:val="chineseCounting"/>
      <w:suff w:val="nothing"/>
      <w:lvlText w:val="%1、"/>
      <w:lvlJc w:val="left"/>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ulTrailSpace/>
    <w:doNotExpandShiftReturn/>
    <w:adjustLineHeightInTable/>
    <w:doNotWrapTextWithPunct/>
    <w:doNotUseEastAsianBreakRules/>
    <w:growAutofit/>
    <w:useFELayout/>
    <w:doNotUseIndentAsNumberingTabStop/>
    <w:useAltKinsokuLineBreakRules/>
    <w:compatSetting w:name="compatibilityMode" w:uri="http://schemas.microsoft.com/office/word" w:val="12"/>
  </w:compat>
  <w:docVars>
    <w:docVar w:name="commondata" w:val="eyJoZGlkIjoiNGU0ODFjYzkxN2I0NjUxM2M0YzNiMjI3MDk4MzI1NWEifQ=="/>
  </w:docVars>
  <w:rsids>
    <w:rsidRoot w:val="00DE2F82"/>
    <w:rsid w:val="00000731"/>
    <w:rsid w:val="000561CB"/>
    <w:rsid w:val="00073C8D"/>
    <w:rsid w:val="000A0463"/>
    <w:rsid w:val="000C4A98"/>
    <w:rsid w:val="001A1261"/>
    <w:rsid w:val="0021069E"/>
    <w:rsid w:val="00233C71"/>
    <w:rsid w:val="002A7AE5"/>
    <w:rsid w:val="002F0E88"/>
    <w:rsid w:val="00305DF9"/>
    <w:rsid w:val="00311D25"/>
    <w:rsid w:val="00312CDF"/>
    <w:rsid w:val="00360CD6"/>
    <w:rsid w:val="0039062F"/>
    <w:rsid w:val="003A4676"/>
    <w:rsid w:val="003F6414"/>
    <w:rsid w:val="00445594"/>
    <w:rsid w:val="00464FD5"/>
    <w:rsid w:val="00486E5F"/>
    <w:rsid w:val="004A2A8D"/>
    <w:rsid w:val="004C63EC"/>
    <w:rsid w:val="0054203D"/>
    <w:rsid w:val="005E31AA"/>
    <w:rsid w:val="00604A5B"/>
    <w:rsid w:val="0061133F"/>
    <w:rsid w:val="00655F44"/>
    <w:rsid w:val="00675B55"/>
    <w:rsid w:val="006977F4"/>
    <w:rsid w:val="006F7CDB"/>
    <w:rsid w:val="007609A0"/>
    <w:rsid w:val="007B047D"/>
    <w:rsid w:val="007C62BC"/>
    <w:rsid w:val="00815655"/>
    <w:rsid w:val="008C1E14"/>
    <w:rsid w:val="009F34C1"/>
    <w:rsid w:val="00A14F5B"/>
    <w:rsid w:val="00A166FC"/>
    <w:rsid w:val="00A20A15"/>
    <w:rsid w:val="00A637D7"/>
    <w:rsid w:val="00B425A4"/>
    <w:rsid w:val="00B66EA5"/>
    <w:rsid w:val="00BB2DD1"/>
    <w:rsid w:val="00BE39C8"/>
    <w:rsid w:val="00BE4C75"/>
    <w:rsid w:val="00C70E00"/>
    <w:rsid w:val="00CF0B79"/>
    <w:rsid w:val="00D4136B"/>
    <w:rsid w:val="00D544CD"/>
    <w:rsid w:val="00D66822"/>
    <w:rsid w:val="00D8736C"/>
    <w:rsid w:val="00D946C3"/>
    <w:rsid w:val="00D9637F"/>
    <w:rsid w:val="00DD1BF1"/>
    <w:rsid w:val="00DE2F82"/>
    <w:rsid w:val="00DF627E"/>
    <w:rsid w:val="00EF415E"/>
    <w:rsid w:val="00EF5F59"/>
    <w:rsid w:val="00F34261"/>
    <w:rsid w:val="00F5714A"/>
    <w:rsid w:val="00F915CE"/>
    <w:rsid w:val="00F927D2"/>
    <w:rsid w:val="00FA1C3C"/>
    <w:rsid w:val="00FB6155"/>
    <w:rsid w:val="00FF154B"/>
    <w:rsid w:val="010C22A2"/>
    <w:rsid w:val="01742BDE"/>
    <w:rsid w:val="018C33F1"/>
    <w:rsid w:val="01991837"/>
    <w:rsid w:val="01D042DA"/>
    <w:rsid w:val="01F66ABD"/>
    <w:rsid w:val="023F2212"/>
    <w:rsid w:val="02B7449E"/>
    <w:rsid w:val="02DF67BE"/>
    <w:rsid w:val="031F19C3"/>
    <w:rsid w:val="03916B66"/>
    <w:rsid w:val="0467567A"/>
    <w:rsid w:val="049B4605"/>
    <w:rsid w:val="049D3D2D"/>
    <w:rsid w:val="04F512AE"/>
    <w:rsid w:val="05BA341C"/>
    <w:rsid w:val="05E644C1"/>
    <w:rsid w:val="06AC5B7D"/>
    <w:rsid w:val="06B36B70"/>
    <w:rsid w:val="06B71DFB"/>
    <w:rsid w:val="06F3033E"/>
    <w:rsid w:val="07067990"/>
    <w:rsid w:val="074601E7"/>
    <w:rsid w:val="07D50C06"/>
    <w:rsid w:val="080041F1"/>
    <w:rsid w:val="08021565"/>
    <w:rsid w:val="08750D53"/>
    <w:rsid w:val="087B4742"/>
    <w:rsid w:val="087D36F0"/>
    <w:rsid w:val="08AD757C"/>
    <w:rsid w:val="08CE5744"/>
    <w:rsid w:val="092E6436"/>
    <w:rsid w:val="0930602A"/>
    <w:rsid w:val="094B0283"/>
    <w:rsid w:val="095D0FD0"/>
    <w:rsid w:val="098B71D6"/>
    <w:rsid w:val="09AE634D"/>
    <w:rsid w:val="09CD5F73"/>
    <w:rsid w:val="0A232121"/>
    <w:rsid w:val="0A3129F8"/>
    <w:rsid w:val="0AC11D92"/>
    <w:rsid w:val="0AC57F55"/>
    <w:rsid w:val="0B7356D7"/>
    <w:rsid w:val="0B7A0B14"/>
    <w:rsid w:val="0C3734F9"/>
    <w:rsid w:val="0C3A10CD"/>
    <w:rsid w:val="0C831895"/>
    <w:rsid w:val="0CC07278"/>
    <w:rsid w:val="0CCC4A13"/>
    <w:rsid w:val="0D0150F2"/>
    <w:rsid w:val="0D5A6EB9"/>
    <w:rsid w:val="0D6276FC"/>
    <w:rsid w:val="0D8B6C53"/>
    <w:rsid w:val="0DAC5A79"/>
    <w:rsid w:val="0DD179C0"/>
    <w:rsid w:val="0DFC545B"/>
    <w:rsid w:val="0DFD622D"/>
    <w:rsid w:val="0E0B2B42"/>
    <w:rsid w:val="0E175646"/>
    <w:rsid w:val="0E5200CF"/>
    <w:rsid w:val="0E906FC9"/>
    <w:rsid w:val="0ED2520B"/>
    <w:rsid w:val="0F0A4535"/>
    <w:rsid w:val="10545A22"/>
    <w:rsid w:val="112649DA"/>
    <w:rsid w:val="11801926"/>
    <w:rsid w:val="11BF66B3"/>
    <w:rsid w:val="11F052D6"/>
    <w:rsid w:val="143D1BD6"/>
    <w:rsid w:val="151818F6"/>
    <w:rsid w:val="156B438C"/>
    <w:rsid w:val="159804CA"/>
    <w:rsid w:val="168923B7"/>
    <w:rsid w:val="17367C2F"/>
    <w:rsid w:val="17401B2D"/>
    <w:rsid w:val="17527ACF"/>
    <w:rsid w:val="175470E6"/>
    <w:rsid w:val="187B5218"/>
    <w:rsid w:val="18CE5B47"/>
    <w:rsid w:val="1931340A"/>
    <w:rsid w:val="19F51051"/>
    <w:rsid w:val="1A1205B2"/>
    <w:rsid w:val="1B455BFF"/>
    <w:rsid w:val="1BBE6445"/>
    <w:rsid w:val="1BCA1245"/>
    <w:rsid w:val="1C35387B"/>
    <w:rsid w:val="1D1B18F9"/>
    <w:rsid w:val="1D292B87"/>
    <w:rsid w:val="1E2C7EFA"/>
    <w:rsid w:val="1F12786B"/>
    <w:rsid w:val="1F611F4A"/>
    <w:rsid w:val="207D7AFE"/>
    <w:rsid w:val="20AD5C80"/>
    <w:rsid w:val="21290BD0"/>
    <w:rsid w:val="21344D92"/>
    <w:rsid w:val="214514E7"/>
    <w:rsid w:val="216040E9"/>
    <w:rsid w:val="21814AC3"/>
    <w:rsid w:val="21BA196D"/>
    <w:rsid w:val="238F5BA2"/>
    <w:rsid w:val="23EC6C64"/>
    <w:rsid w:val="241200BF"/>
    <w:rsid w:val="24B72D71"/>
    <w:rsid w:val="25D96E02"/>
    <w:rsid w:val="27431628"/>
    <w:rsid w:val="277D0F63"/>
    <w:rsid w:val="27DD40F7"/>
    <w:rsid w:val="281E6E18"/>
    <w:rsid w:val="281F6CAF"/>
    <w:rsid w:val="28812CD5"/>
    <w:rsid w:val="29A328DA"/>
    <w:rsid w:val="2A3C1BF9"/>
    <w:rsid w:val="2A6922B9"/>
    <w:rsid w:val="2A88123F"/>
    <w:rsid w:val="2AA9206F"/>
    <w:rsid w:val="2B022BD1"/>
    <w:rsid w:val="2B277BDE"/>
    <w:rsid w:val="2B770CE2"/>
    <w:rsid w:val="2B942A1A"/>
    <w:rsid w:val="2C5807EC"/>
    <w:rsid w:val="2C7760B6"/>
    <w:rsid w:val="2C8E15B2"/>
    <w:rsid w:val="2CF3621E"/>
    <w:rsid w:val="2D0A7CC9"/>
    <w:rsid w:val="2D7B1C69"/>
    <w:rsid w:val="2D855B88"/>
    <w:rsid w:val="2D932EEE"/>
    <w:rsid w:val="2DF81343"/>
    <w:rsid w:val="2E300B86"/>
    <w:rsid w:val="2E8D0988"/>
    <w:rsid w:val="2ED10AFD"/>
    <w:rsid w:val="2F25400F"/>
    <w:rsid w:val="2F613C0C"/>
    <w:rsid w:val="2F7F74C5"/>
    <w:rsid w:val="2F806852"/>
    <w:rsid w:val="2F8A2A38"/>
    <w:rsid w:val="2FCE2B20"/>
    <w:rsid w:val="2FEC45E8"/>
    <w:rsid w:val="302C3148"/>
    <w:rsid w:val="302D0B3C"/>
    <w:rsid w:val="30AF590C"/>
    <w:rsid w:val="30E93D43"/>
    <w:rsid w:val="316B0E63"/>
    <w:rsid w:val="316D3DF6"/>
    <w:rsid w:val="31AE3204"/>
    <w:rsid w:val="31C34244"/>
    <w:rsid w:val="32F02B12"/>
    <w:rsid w:val="33117B45"/>
    <w:rsid w:val="33665155"/>
    <w:rsid w:val="340F0A54"/>
    <w:rsid w:val="344F06F3"/>
    <w:rsid w:val="34FC6219"/>
    <w:rsid w:val="351D7170"/>
    <w:rsid w:val="359B267E"/>
    <w:rsid w:val="360135ED"/>
    <w:rsid w:val="362032B6"/>
    <w:rsid w:val="362102F7"/>
    <w:rsid w:val="36CC65E9"/>
    <w:rsid w:val="374C2700"/>
    <w:rsid w:val="37C64260"/>
    <w:rsid w:val="37D42E21"/>
    <w:rsid w:val="39066531"/>
    <w:rsid w:val="395B0F54"/>
    <w:rsid w:val="39BC30C3"/>
    <w:rsid w:val="3A3A2CE3"/>
    <w:rsid w:val="3A59585F"/>
    <w:rsid w:val="3B253993"/>
    <w:rsid w:val="3B657F1A"/>
    <w:rsid w:val="3B8938BF"/>
    <w:rsid w:val="3BD24ADA"/>
    <w:rsid w:val="3BE24C5E"/>
    <w:rsid w:val="3C4A6498"/>
    <w:rsid w:val="3C597D99"/>
    <w:rsid w:val="3CA77022"/>
    <w:rsid w:val="3CDC1760"/>
    <w:rsid w:val="3CF662B0"/>
    <w:rsid w:val="3D561FE1"/>
    <w:rsid w:val="3DBA2447"/>
    <w:rsid w:val="3DD551FD"/>
    <w:rsid w:val="3DD8263D"/>
    <w:rsid w:val="3E314CDA"/>
    <w:rsid w:val="3F086430"/>
    <w:rsid w:val="3F2E6562"/>
    <w:rsid w:val="3F8B2381"/>
    <w:rsid w:val="407F7B7A"/>
    <w:rsid w:val="408A2F1C"/>
    <w:rsid w:val="40B70EA5"/>
    <w:rsid w:val="4108388B"/>
    <w:rsid w:val="410A1B6E"/>
    <w:rsid w:val="417E204F"/>
    <w:rsid w:val="41A1603F"/>
    <w:rsid w:val="41A74052"/>
    <w:rsid w:val="41AD4A7B"/>
    <w:rsid w:val="41C175F4"/>
    <w:rsid w:val="41C3460F"/>
    <w:rsid w:val="41DF515D"/>
    <w:rsid w:val="41EF494F"/>
    <w:rsid w:val="42137C50"/>
    <w:rsid w:val="42982BD3"/>
    <w:rsid w:val="42AC7EEA"/>
    <w:rsid w:val="42B35CA5"/>
    <w:rsid w:val="437216E8"/>
    <w:rsid w:val="43747266"/>
    <w:rsid w:val="43F473D5"/>
    <w:rsid w:val="45230613"/>
    <w:rsid w:val="45573124"/>
    <w:rsid w:val="45715C1B"/>
    <w:rsid w:val="467C5126"/>
    <w:rsid w:val="46E05BF1"/>
    <w:rsid w:val="471C2733"/>
    <w:rsid w:val="4754210C"/>
    <w:rsid w:val="477160BA"/>
    <w:rsid w:val="4828123E"/>
    <w:rsid w:val="482F6B80"/>
    <w:rsid w:val="48EB1D78"/>
    <w:rsid w:val="48FE07EC"/>
    <w:rsid w:val="4959362F"/>
    <w:rsid w:val="49A61735"/>
    <w:rsid w:val="4A852AAC"/>
    <w:rsid w:val="4A9C4D9C"/>
    <w:rsid w:val="4B181301"/>
    <w:rsid w:val="4B453D6A"/>
    <w:rsid w:val="4B7A375B"/>
    <w:rsid w:val="4BCB4AA4"/>
    <w:rsid w:val="4C7327B1"/>
    <w:rsid w:val="4CC10294"/>
    <w:rsid w:val="4D6E1755"/>
    <w:rsid w:val="4E1C7D87"/>
    <w:rsid w:val="4EF83441"/>
    <w:rsid w:val="4F0838BF"/>
    <w:rsid w:val="4F38383D"/>
    <w:rsid w:val="4F4D59BD"/>
    <w:rsid w:val="4F8B41A9"/>
    <w:rsid w:val="4FE2740B"/>
    <w:rsid w:val="4FF72AA1"/>
    <w:rsid w:val="50157CB8"/>
    <w:rsid w:val="50223EA7"/>
    <w:rsid w:val="50443212"/>
    <w:rsid w:val="504E0F6E"/>
    <w:rsid w:val="509640F4"/>
    <w:rsid w:val="50A20476"/>
    <w:rsid w:val="50FC2C42"/>
    <w:rsid w:val="51047BB3"/>
    <w:rsid w:val="51B10470"/>
    <w:rsid w:val="52021EE1"/>
    <w:rsid w:val="53120065"/>
    <w:rsid w:val="531A4092"/>
    <w:rsid w:val="53890CA0"/>
    <w:rsid w:val="53B05B15"/>
    <w:rsid w:val="53C51418"/>
    <w:rsid w:val="541A4E77"/>
    <w:rsid w:val="541B4A0D"/>
    <w:rsid w:val="547E50C0"/>
    <w:rsid w:val="553700F3"/>
    <w:rsid w:val="55833339"/>
    <w:rsid w:val="567B66DF"/>
    <w:rsid w:val="56EC4083"/>
    <w:rsid w:val="57E91B79"/>
    <w:rsid w:val="58820F50"/>
    <w:rsid w:val="58E15ADF"/>
    <w:rsid w:val="597D28F2"/>
    <w:rsid w:val="597E09E7"/>
    <w:rsid w:val="59F51775"/>
    <w:rsid w:val="5A5879A4"/>
    <w:rsid w:val="5A753BEA"/>
    <w:rsid w:val="5A906F1E"/>
    <w:rsid w:val="5B847D9E"/>
    <w:rsid w:val="5C0125AD"/>
    <w:rsid w:val="5C4726A4"/>
    <w:rsid w:val="5C751C5C"/>
    <w:rsid w:val="5CEE4FCB"/>
    <w:rsid w:val="5D2E002E"/>
    <w:rsid w:val="5DB4602B"/>
    <w:rsid w:val="5E17239A"/>
    <w:rsid w:val="5F313E05"/>
    <w:rsid w:val="5F4367EF"/>
    <w:rsid w:val="5FBB6718"/>
    <w:rsid w:val="60801229"/>
    <w:rsid w:val="608A5EC3"/>
    <w:rsid w:val="610C2E0A"/>
    <w:rsid w:val="618446C0"/>
    <w:rsid w:val="61A22D98"/>
    <w:rsid w:val="620055FA"/>
    <w:rsid w:val="6273630F"/>
    <w:rsid w:val="628D54C3"/>
    <w:rsid w:val="62D3622F"/>
    <w:rsid w:val="62FB2F80"/>
    <w:rsid w:val="63AC176D"/>
    <w:rsid w:val="63CE7319"/>
    <w:rsid w:val="642D1B36"/>
    <w:rsid w:val="652F1636"/>
    <w:rsid w:val="657F5770"/>
    <w:rsid w:val="65915F4E"/>
    <w:rsid w:val="65CD6016"/>
    <w:rsid w:val="65DF0A5F"/>
    <w:rsid w:val="660D3093"/>
    <w:rsid w:val="67587648"/>
    <w:rsid w:val="67615FFD"/>
    <w:rsid w:val="68354AD7"/>
    <w:rsid w:val="68640577"/>
    <w:rsid w:val="68A81C04"/>
    <w:rsid w:val="68AC05A2"/>
    <w:rsid w:val="69775443"/>
    <w:rsid w:val="697863E4"/>
    <w:rsid w:val="6A1567FD"/>
    <w:rsid w:val="6A440E91"/>
    <w:rsid w:val="6AD327BD"/>
    <w:rsid w:val="6AE40710"/>
    <w:rsid w:val="6B1B3EBE"/>
    <w:rsid w:val="6BFA09A6"/>
    <w:rsid w:val="6CC53D21"/>
    <w:rsid w:val="6D6261FE"/>
    <w:rsid w:val="6EAB266D"/>
    <w:rsid w:val="6F176B74"/>
    <w:rsid w:val="6F2D4063"/>
    <w:rsid w:val="707510DD"/>
    <w:rsid w:val="708604EF"/>
    <w:rsid w:val="70A768E2"/>
    <w:rsid w:val="70B630C2"/>
    <w:rsid w:val="70BC6B59"/>
    <w:rsid w:val="71744751"/>
    <w:rsid w:val="71C130F2"/>
    <w:rsid w:val="720521C9"/>
    <w:rsid w:val="72536433"/>
    <w:rsid w:val="72751179"/>
    <w:rsid w:val="727662A7"/>
    <w:rsid w:val="72BD5C84"/>
    <w:rsid w:val="74BA0868"/>
    <w:rsid w:val="74FC6F38"/>
    <w:rsid w:val="75566BDA"/>
    <w:rsid w:val="755A7804"/>
    <w:rsid w:val="760360A4"/>
    <w:rsid w:val="763B3514"/>
    <w:rsid w:val="76816FC9"/>
    <w:rsid w:val="77C2209B"/>
    <w:rsid w:val="783E0EE3"/>
    <w:rsid w:val="78DF7C5A"/>
    <w:rsid w:val="799F74F3"/>
    <w:rsid w:val="79C4741E"/>
    <w:rsid w:val="79F77CCE"/>
    <w:rsid w:val="7A1D402F"/>
    <w:rsid w:val="7A3B30B3"/>
    <w:rsid w:val="7A5214CB"/>
    <w:rsid w:val="7A5F3C3F"/>
    <w:rsid w:val="7AD97E81"/>
    <w:rsid w:val="7B3F3676"/>
    <w:rsid w:val="7B520C59"/>
    <w:rsid w:val="7BC36BCB"/>
    <w:rsid w:val="7BF26386"/>
    <w:rsid w:val="7C09744D"/>
    <w:rsid w:val="7C6B2A93"/>
    <w:rsid w:val="7C6C2FC9"/>
    <w:rsid w:val="7D637428"/>
    <w:rsid w:val="7DDA74B8"/>
    <w:rsid w:val="7E546BC4"/>
    <w:rsid w:val="7E7C2E97"/>
    <w:rsid w:val="7F111831"/>
    <w:rsid w:val="7F2F7F82"/>
    <w:rsid w:val="7FE508C6"/>
    <w:rsid w:val="7FF2363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Arial"/>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kern w:val="44"/>
      <w:sz w:val="44"/>
    </w:rPr>
  </w:style>
  <w:style w:type="paragraph" w:styleId="4">
    <w:name w:val="heading 2"/>
    <w:basedOn w:val="1"/>
    <w:next w:val="5"/>
    <w:qFormat/>
    <w:uiPriority w:val="0"/>
    <w:pPr>
      <w:spacing w:beforeAutospacing="1" w:afterAutospacing="1"/>
      <w:jc w:val="left"/>
      <w:outlineLvl w:val="1"/>
    </w:pPr>
    <w:rPr>
      <w:rFonts w:ascii="宋体" w:cs="Times New Roman"/>
      <w:b/>
      <w:kern w:val="0"/>
      <w:sz w:val="36"/>
      <w:szCs w:val="36"/>
    </w:rPr>
  </w:style>
  <w:style w:type="paragraph" w:styleId="7">
    <w:name w:val="heading 3"/>
    <w:basedOn w:val="1"/>
    <w:next w:val="1"/>
    <w:qFormat/>
    <w:uiPriority w:val="0"/>
    <w:pPr>
      <w:keepNext/>
      <w:keepLines/>
      <w:spacing w:line="413" w:lineRule="auto"/>
      <w:outlineLvl w:val="2"/>
    </w:pPr>
    <w:rPr>
      <w:b/>
      <w:sz w:val="32"/>
    </w:rPr>
  </w:style>
  <w:style w:type="character" w:default="1" w:styleId="26">
    <w:name w:val="Default Paragraph Font"/>
    <w:semiHidden/>
    <w:unhideWhenUsed/>
    <w:qFormat/>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customStyle="1" w:styleId="2">
    <w:name w:val="Default"/>
    <w:unhideWhenUsed/>
    <w:qFormat/>
    <w:uiPriority w:val="99"/>
    <w:pPr>
      <w:widowControl w:val="0"/>
      <w:autoSpaceDE w:val="0"/>
      <w:autoSpaceDN w:val="0"/>
      <w:adjustRightInd w:val="0"/>
    </w:pPr>
    <w:rPr>
      <w:rFonts w:hint="eastAsia" w:ascii="仿宋_GB2312" w:hAnsi="仿宋_GB2312" w:eastAsia="仿宋_GB2312" w:cs="Times New Roman"/>
      <w:color w:val="000000"/>
      <w:sz w:val="24"/>
      <w:lang w:val="en-US" w:eastAsia="zh-CN" w:bidi="ar-SA"/>
    </w:rPr>
  </w:style>
  <w:style w:type="paragraph" w:customStyle="1" w:styleId="5">
    <w:name w:val="文档正文"/>
    <w:basedOn w:val="6"/>
    <w:qFormat/>
    <w:uiPriority w:val="0"/>
    <w:pPr>
      <w:spacing w:line="360" w:lineRule="auto"/>
    </w:pPr>
    <w:rPr>
      <w:rFonts w:ascii="宋体"/>
      <w:b/>
      <w:bCs/>
    </w:rPr>
  </w:style>
  <w:style w:type="paragraph" w:styleId="6">
    <w:name w:val="Normal Indent"/>
    <w:basedOn w:val="1"/>
    <w:next w:val="1"/>
    <w:qFormat/>
    <w:uiPriority w:val="0"/>
    <w:pPr>
      <w:ind w:firstLine="420"/>
    </w:pPr>
  </w:style>
  <w:style w:type="paragraph" w:styleId="8">
    <w:name w:val="index 8"/>
    <w:basedOn w:val="1"/>
    <w:next w:val="1"/>
    <w:qFormat/>
    <w:uiPriority w:val="0"/>
    <w:pPr>
      <w:ind w:left="1400" w:leftChars="1400"/>
    </w:pPr>
  </w:style>
  <w:style w:type="paragraph" w:styleId="9">
    <w:name w:val="annotation text"/>
    <w:basedOn w:val="1"/>
    <w:qFormat/>
    <w:uiPriority w:val="0"/>
    <w:pPr>
      <w:jc w:val="left"/>
    </w:pPr>
  </w:style>
  <w:style w:type="paragraph" w:styleId="10">
    <w:name w:val="Body Text"/>
    <w:basedOn w:val="1"/>
    <w:qFormat/>
    <w:uiPriority w:val="0"/>
    <w:pPr>
      <w:numPr>
        <w:ilvl w:val="0"/>
        <w:numId w:val="1"/>
      </w:numPr>
      <w:ind w:left="0" w:firstLine="0"/>
    </w:pPr>
    <w:rPr>
      <w:rFonts w:ascii="黑体" w:eastAsia="黑体"/>
      <w:sz w:val="22"/>
    </w:rPr>
  </w:style>
  <w:style w:type="paragraph" w:styleId="11">
    <w:name w:val="Body Text Indent"/>
    <w:basedOn w:val="1"/>
    <w:qFormat/>
    <w:uiPriority w:val="0"/>
    <w:pPr>
      <w:ind w:firstLine="480"/>
    </w:pPr>
    <w:rPr>
      <w:rFonts w:ascii="宋体" w:hAnsi="宋体"/>
      <w:sz w:val="24"/>
    </w:rPr>
  </w:style>
  <w:style w:type="paragraph" w:styleId="12">
    <w:name w:val="toc 3"/>
    <w:basedOn w:val="1"/>
    <w:next w:val="1"/>
    <w:qFormat/>
    <w:uiPriority w:val="0"/>
    <w:pPr>
      <w:ind w:left="400" w:leftChars="400"/>
    </w:pPr>
  </w:style>
  <w:style w:type="paragraph" w:styleId="13">
    <w:name w:val="Plain Text"/>
    <w:basedOn w:val="1"/>
    <w:next w:val="14"/>
    <w:qFormat/>
    <w:uiPriority w:val="0"/>
    <w:rPr>
      <w:rFonts w:ascii="宋体"/>
    </w:rPr>
  </w:style>
  <w:style w:type="paragraph" w:styleId="14">
    <w:name w:val="index 7"/>
    <w:basedOn w:val="1"/>
    <w:next w:val="1"/>
    <w:qFormat/>
    <w:uiPriority w:val="0"/>
    <w:pPr>
      <w:ind w:left="1200" w:leftChars="1200"/>
    </w:pPr>
  </w:style>
  <w:style w:type="paragraph" w:styleId="15">
    <w:name w:val="Date"/>
    <w:basedOn w:val="1"/>
    <w:next w:val="1"/>
    <w:qFormat/>
    <w:uiPriority w:val="0"/>
    <w:rPr>
      <w:szCs w:val="20"/>
    </w:rPr>
  </w:style>
  <w:style w:type="paragraph" w:styleId="16">
    <w:name w:val="Body Text Indent 2"/>
    <w:basedOn w:val="1"/>
    <w:qFormat/>
    <w:uiPriority w:val="0"/>
    <w:pPr>
      <w:spacing w:line="360" w:lineRule="auto"/>
      <w:ind w:firstLine="607"/>
    </w:pPr>
    <w:rPr>
      <w:rFonts w:ascii="楷体_GB2312" w:hAnsi="楷体_GB2312"/>
      <w:sz w:val="28"/>
      <w:szCs w:val="28"/>
    </w:rPr>
  </w:style>
  <w:style w:type="paragraph" w:styleId="17">
    <w:name w:val="Balloon Text"/>
    <w:basedOn w:val="1"/>
    <w:qFormat/>
    <w:uiPriority w:val="0"/>
    <w:rPr>
      <w:sz w:val="18"/>
      <w:szCs w:val="18"/>
    </w:rPr>
  </w:style>
  <w:style w:type="paragraph" w:styleId="18">
    <w:name w:val="footer"/>
    <w:basedOn w:val="1"/>
    <w:link w:val="47"/>
    <w:qFormat/>
    <w:uiPriority w:val="99"/>
    <w:pPr>
      <w:tabs>
        <w:tab w:val="center" w:pos="4153"/>
        <w:tab w:val="right" w:pos="8306"/>
      </w:tabs>
      <w:snapToGrid w:val="0"/>
      <w:jc w:val="left"/>
    </w:pPr>
    <w:rPr>
      <w:sz w:val="18"/>
    </w:rPr>
  </w:style>
  <w:style w:type="paragraph" w:styleId="19">
    <w:name w:val="header"/>
    <w:basedOn w:val="1"/>
    <w:link w:val="48"/>
    <w:qFormat/>
    <w:uiPriority w:val="99"/>
    <w:pPr>
      <w:tabs>
        <w:tab w:val="center" w:pos="4153"/>
        <w:tab w:val="right" w:pos="8306"/>
      </w:tabs>
      <w:snapToGrid w:val="0"/>
    </w:pPr>
    <w:rPr>
      <w:sz w:val="18"/>
    </w:rPr>
  </w:style>
  <w:style w:type="paragraph" w:styleId="20">
    <w:name w:val="toc 1"/>
    <w:basedOn w:val="1"/>
    <w:next w:val="1"/>
    <w:qFormat/>
    <w:uiPriority w:val="0"/>
  </w:style>
  <w:style w:type="paragraph" w:styleId="21">
    <w:name w:val="footnote text"/>
    <w:basedOn w:val="1"/>
    <w:qFormat/>
    <w:uiPriority w:val="0"/>
    <w:pPr>
      <w:snapToGrid w:val="0"/>
      <w:jc w:val="left"/>
    </w:pPr>
    <w:rPr>
      <w:sz w:val="18"/>
    </w:rPr>
  </w:style>
  <w:style w:type="paragraph" w:styleId="22">
    <w:name w:val="toc 2"/>
    <w:basedOn w:val="1"/>
    <w:next w:val="1"/>
    <w:qFormat/>
    <w:uiPriority w:val="0"/>
    <w:pPr>
      <w:ind w:left="200" w:leftChars="200"/>
    </w:pPr>
  </w:style>
  <w:style w:type="paragraph" w:styleId="23">
    <w:name w:val="Normal (Web)"/>
    <w:basedOn w:val="1"/>
    <w:qFormat/>
    <w:uiPriority w:val="0"/>
    <w:pPr>
      <w:widowControl/>
      <w:spacing w:before="100" w:beforeAutospacing="1" w:after="100" w:afterAutospacing="1"/>
      <w:jc w:val="left"/>
    </w:pPr>
    <w:rPr>
      <w:rFonts w:ascii="宋体" w:cs="宋体"/>
      <w:kern w:val="0"/>
      <w:sz w:val="24"/>
    </w:rPr>
  </w:style>
  <w:style w:type="paragraph" w:styleId="24">
    <w:name w:val="Body Text First Indent 2"/>
    <w:basedOn w:val="11"/>
    <w:next w:val="1"/>
    <w:qFormat/>
    <w:uiPriority w:val="99"/>
    <w:pPr>
      <w:spacing w:after="120"/>
      <w:ind w:left="420" w:leftChars="200" w:firstLine="420" w:firstLineChars="200"/>
    </w:pPr>
    <w:rPr>
      <w:sz w:val="21"/>
      <w:szCs w:val="22"/>
    </w:rPr>
  </w:style>
  <w:style w:type="character" w:styleId="27">
    <w:name w:val="Strong"/>
    <w:basedOn w:val="26"/>
    <w:qFormat/>
    <w:uiPriority w:val="0"/>
    <w:rPr>
      <w:rFonts w:cs="Times New Roman"/>
      <w:b/>
    </w:rPr>
  </w:style>
  <w:style w:type="character" w:styleId="28">
    <w:name w:val="Hyperlink"/>
    <w:basedOn w:val="26"/>
    <w:qFormat/>
    <w:uiPriority w:val="0"/>
    <w:rPr>
      <w:rFonts w:cs="Times New Roman"/>
      <w:color w:val="555555"/>
      <w:u w:val="none"/>
    </w:rPr>
  </w:style>
  <w:style w:type="character" w:styleId="29">
    <w:name w:val="footnote reference"/>
    <w:basedOn w:val="26"/>
    <w:semiHidden/>
    <w:unhideWhenUsed/>
    <w:qFormat/>
    <w:uiPriority w:val="99"/>
    <w:rPr>
      <w:vertAlign w:val="superscript"/>
    </w:rPr>
  </w:style>
  <w:style w:type="paragraph" w:customStyle="1" w:styleId="30">
    <w:name w:val="UserStyle_0"/>
    <w:basedOn w:val="1"/>
    <w:next w:val="31"/>
    <w:qFormat/>
    <w:uiPriority w:val="0"/>
    <w:pPr>
      <w:spacing w:line="560" w:lineRule="exact"/>
      <w:ind w:firstLine="200" w:firstLineChars="200"/>
      <w:jc w:val="left"/>
      <w:textAlignment w:val="baseline"/>
    </w:pPr>
    <w:rPr>
      <w:rFonts w:ascii="仿宋_GB2312" w:hAnsi="仿宋_GB2312" w:eastAsia="仿宋_GB2312"/>
      <w:color w:val="000000"/>
      <w:kern w:val="0"/>
      <w:sz w:val="22"/>
      <w:szCs w:val="22"/>
      <w:lang w:val="zh-CN" w:bidi="zh-CN"/>
    </w:rPr>
  </w:style>
  <w:style w:type="paragraph" w:customStyle="1" w:styleId="31">
    <w:name w:val="HtmlNormal"/>
    <w:basedOn w:val="1"/>
    <w:qFormat/>
    <w:uiPriority w:val="0"/>
    <w:pPr>
      <w:widowControl/>
      <w:spacing w:before="100" w:beforeAutospacing="1" w:after="100" w:afterAutospacing="1" w:line="560" w:lineRule="exact"/>
      <w:ind w:firstLine="1687" w:firstLineChars="200"/>
      <w:jc w:val="left"/>
      <w:textAlignment w:val="baseline"/>
    </w:pPr>
    <w:rPr>
      <w:rFonts w:ascii="宋体" w:hAnsi="宋体" w:eastAsia="仿宋_GB2312"/>
      <w:kern w:val="0"/>
      <w:sz w:val="24"/>
    </w:rPr>
  </w:style>
  <w:style w:type="paragraph" w:customStyle="1" w:styleId="32">
    <w:name w:val="WPSOffice手动目录 1"/>
    <w:qFormat/>
    <w:uiPriority w:val="0"/>
    <w:rPr>
      <w:rFonts w:ascii="Times New Roman" w:hAnsi="Times New Roman" w:eastAsia="宋体" w:cs="Times New Roman"/>
      <w:lang w:val="en-US" w:eastAsia="zh-CN" w:bidi="ar-SA"/>
    </w:rPr>
  </w:style>
  <w:style w:type="paragraph" w:customStyle="1" w:styleId="3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5">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6">
    <w:name w:val="5）标书正文 首行缩进2字符"/>
    <w:basedOn w:val="1"/>
    <w:qFormat/>
    <w:uiPriority w:val="0"/>
    <w:pPr>
      <w:spacing w:line="480" w:lineRule="exact"/>
      <w:ind w:firstLine="200" w:firstLineChars="200"/>
    </w:pPr>
    <w:rPr>
      <w:rFonts w:ascii="仿宋_GB2312" w:eastAsia="仿宋_GB2312"/>
      <w:sz w:val="28"/>
    </w:rPr>
  </w:style>
  <w:style w:type="character" w:customStyle="1" w:styleId="37">
    <w:name w:val="font21"/>
    <w:basedOn w:val="26"/>
    <w:qFormat/>
    <w:uiPriority w:val="0"/>
    <w:rPr>
      <w:rFonts w:ascii="宋体" w:eastAsia="宋体" w:cs="宋体"/>
      <w:color w:val="FF0000"/>
      <w:sz w:val="18"/>
      <w:szCs w:val="18"/>
      <w:u w:val="none"/>
    </w:rPr>
  </w:style>
  <w:style w:type="character" w:customStyle="1" w:styleId="38">
    <w:name w:val="font101"/>
    <w:basedOn w:val="26"/>
    <w:qFormat/>
    <w:uiPriority w:val="0"/>
    <w:rPr>
      <w:rFonts w:ascii="Calibri" w:hAnsi="Calibri" w:cs="Calibri"/>
      <w:color w:val="FF0000"/>
      <w:sz w:val="18"/>
      <w:szCs w:val="18"/>
      <w:u w:val="none"/>
    </w:rPr>
  </w:style>
  <w:style w:type="character" w:customStyle="1" w:styleId="39">
    <w:name w:val="font121"/>
    <w:basedOn w:val="26"/>
    <w:qFormat/>
    <w:uiPriority w:val="0"/>
    <w:rPr>
      <w:rFonts w:ascii="宋体" w:eastAsia="宋体" w:cs="宋体"/>
      <w:color w:val="FF0000"/>
      <w:sz w:val="22"/>
      <w:szCs w:val="22"/>
      <w:u w:val="none"/>
    </w:rPr>
  </w:style>
  <w:style w:type="character" w:customStyle="1" w:styleId="40">
    <w:name w:val="font11"/>
    <w:basedOn w:val="26"/>
    <w:qFormat/>
    <w:uiPriority w:val="0"/>
    <w:rPr>
      <w:rFonts w:ascii="Times New Roman" w:hAnsi="Times New Roman" w:cs="Times New Roman"/>
      <w:color w:val="FF0000"/>
      <w:sz w:val="22"/>
      <w:szCs w:val="22"/>
      <w:u w:val="none"/>
    </w:rPr>
  </w:style>
  <w:style w:type="character" w:customStyle="1" w:styleId="41">
    <w:name w:val="font41"/>
    <w:basedOn w:val="26"/>
    <w:qFormat/>
    <w:uiPriority w:val="0"/>
    <w:rPr>
      <w:rFonts w:ascii="宋体" w:eastAsia="宋体" w:cs="宋体"/>
      <w:color w:val="000000"/>
      <w:sz w:val="22"/>
      <w:szCs w:val="22"/>
      <w:u w:val="none"/>
    </w:rPr>
  </w:style>
  <w:style w:type="character" w:customStyle="1" w:styleId="42">
    <w:name w:val="font91"/>
    <w:basedOn w:val="26"/>
    <w:qFormat/>
    <w:uiPriority w:val="0"/>
    <w:rPr>
      <w:rFonts w:ascii="Times New Roman" w:hAnsi="Times New Roman" w:cs="Times New Roman"/>
      <w:color w:val="000000"/>
      <w:sz w:val="22"/>
      <w:szCs w:val="22"/>
      <w:u w:val="none"/>
    </w:rPr>
  </w:style>
  <w:style w:type="character" w:customStyle="1" w:styleId="43">
    <w:name w:val="font51"/>
    <w:basedOn w:val="26"/>
    <w:qFormat/>
    <w:uiPriority w:val="0"/>
    <w:rPr>
      <w:rFonts w:ascii="宋体" w:eastAsia="宋体" w:cs="宋体"/>
      <w:color w:val="000000"/>
      <w:sz w:val="18"/>
      <w:szCs w:val="18"/>
      <w:u w:val="none"/>
    </w:rPr>
  </w:style>
  <w:style w:type="character" w:customStyle="1" w:styleId="44">
    <w:name w:val="font01"/>
    <w:basedOn w:val="26"/>
    <w:qFormat/>
    <w:uiPriority w:val="0"/>
    <w:rPr>
      <w:rFonts w:ascii="宋体" w:eastAsia="宋体" w:cs="宋体"/>
      <w:b/>
      <w:color w:val="FF0000"/>
      <w:sz w:val="22"/>
      <w:szCs w:val="22"/>
      <w:u w:val="none"/>
    </w:rPr>
  </w:style>
  <w:style w:type="character" w:customStyle="1" w:styleId="45">
    <w:name w:val="font71"/>
    <w:basedOn w:val="26"/>
    <w:qFormat/>
    <w:uiPriority w:val="0"/>
    <w:rPr>
      <w:rFonts w:ascii="宋体" w:eastAsia="宋体" w:cs="宋体"/>
      <w:color w:val="000000"/>
      <w:sz w:val="18"/>
      <w:szCs w:val="18"/>
      <w:u w:val="none"/>
    </w:rPr>
  </w:style>
  <w:style w:type="character" w:customStyle="1" w:styleId="46">
    <w:name w:val="font31"/>
    <w:basedOn w:val="26"/>
    <w:qFormat/>
    <w:uiPriority w:val="0"/>
    <w:rPr>
      <w:rFonts w:hint="eastAsia" w:ascii="宋体" w:hAnsi="宋体" w:eastAsia="宋体" w:cs="宋体"/>
      <w:color w:val="FF0000"/>
      <w:sz w:val="22"/>
      <w:szCs w:val="22"/>
      <w:u w:val="none"/>
    </w:rPr>
  </w:style>
  <w:style w:type="character" w:customStyle="1" w:styleId="47">
    <w:name w:val="页脚 Char"/>
    <w:link w:val="18"/>
    <w:qFormat/>
    <w:uiPriority w:val="99"/>
    <w:rPr>
      <w:rFonts w:ascii="Calibri" w:hAnsi="Calibri" w:cs="Arial"/>
      <w:kern w:val="2"/>
      <w:sz w:val="18"/>
      <w:szCs w:val="24"/>
    </w:rPr>
  </w:style>
  <w:style w:type="character" w:customStyle="1" w:styleId="48">
    <w:name w:val="页眉 Char"/>
    <w:basedOn w:val="26"/>
    <w:link w:val="19"/>
    <w:qFormat/>
    <w:uiPriority w:val="99"/>
    <w:rPr>
      <w:rFonts w:ascii="Calibri" w:hAnsi="Calibri" w:cs="Arial"/>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26"/>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81</Pages>
  <Words>41177</Words>
  <Characters>45584</Characters>
  <Lines>335</Lines>
  <Paragraphs>94</Paragraphs>
  <TotalTime>39</TotalTime>
  <ScaleCrop>false</ScaleCrop>
  <LinksUpToDate>false</LinksUpToDate>
  <CharactersWithSpaces>48278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2023-04-28T10:56:00Z</dcterms:created>
  <dc:creator>Administrator</dc:creator>
  <cp:lastModifiedBy>李帅</cp:lastModifiedBy>
  <cp:lastPrinted>2022-06-08T04:58:00Z</cp:lastPrinted>
  <dcterms:modified xsi:type="dcterms:W3CDTF">2023-06-01T02:59:02Z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CA7BC0F8EC1846CE92C8D89790417121</vt:lpwstr>
  </property>
</Properties>
</file>