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ind w:left="-850" w:leftChars="-405" w:right="-625"/>
        <w:jc w:val="center"/>
        <w:rPr>
          <w:rFonts w:ascii="宋体"/>
          <w:bCs/>
          <w:sz w:val="28"/>
          <w:szCs w:val="28"/>
        </w:rPr>
      </w:pPr>
      <w:r>
        <w:rPr>
          <w:rFonts w:ascii="微软雅黑" w:hAnsi="微软雅黑" w:eastAsia="微软雅黑" w:cs="微软雅黑"/>
          <w:color w:val="000000"/>
          <w:sz w:val="44"/>
          <w:szCs w:val="44"/>
        </w:rPr>
        <w:t>克州国土空间规划信息化建设项目（克州国土基础信息平台和国土空间规划“一张图”实施监督信息系统</w:t>
      </w:r>
      <w:r>
        <w:rPr>
          <w:rFonts w:hint="eastAsia" w:ascii="微软雅黑" w:hAnsi="微软雅黑" w:eastAsia="微软雅黑" w:cs="微软雅黑"/>
          <w:color w:val="000000"/>
          <w:sz w:val="44"/>
          <w:szCs w:val="44"/>
        </w:rPr>
        <w:t>、国土空间数据整理、测试运行、运维）</w:t>
      </w:r>
    </w:p>
    <w:p>
      <w:pPr>
        <w:pStyle w:val="39"/>
        <w:ind w:firstLine="2520" w:firstLineChars="900"/>
        <w:rPr>
          <w:rFonts w:asciiTheme="minorEastAsia" w:hAnsiTheme="minorEastAsia" w:eastAsiaTheme="minorEastAsia" w:cstheme="minorEastAsia"/>
          <w:b/>
          <w:color w:val="FF0000"/>
          <w:sz w:val="100"/>
          <w:szCs w:val="100"/>
        </w:rPr>
      </w:pPr>
      <w:r>
        <w:rPr>
          <w:rFonts w:hint="eastAsia" w:cs="Times New Roman"/>
          <w:bCs/>
          <w:color w:val="auto"/>
          <w:sz w:val="28"/>
          <w:szCs w:val="28"/>
        </w:rPr>
        <w:t>项目编号：</w:t>
      </w:r>
      <w:r>
        <w:rPr>
          <w:rFonts w:hint="eastAsia" w:cs="Times New Roman"/>
          <w:bCs/>
          <w:color w:val="auto"/>
          <w:sz w:val="28"/>
          <w:szCs w:val="28"/>
          <w:lang w:val="en-US" w:eastAsia="zh-CN"/>
        </w:rPr>
        <w:t>KZZB-2023058</w:t>
      </w:r>
      <w:r>
        <w:rPr>
          <w:rFonts w:hint="eastAsia" w:cs="Times New Roman"/>
          <w:bCs/>
          <w:color w:val="FF0000"/>
          <w:sz w:val="28"/>
          <w:szCs w:val="28"/>
        </w:rPr>
        <w:t xml:space="preserve">    </w:t>
      </w:r>
    </w:p>
    <w:p>
      <w:pPr>
        <w:jc w:val="center"/>
        <w:rPr>
          <w:rFonts w:asciiTheme="minorEastAsia" w:hAnsiTheme="minorEastAsia" w:eastAsiaTheme="minorEastAsia" w:cstheme="minorEastAsia"/>
          <w:b/>
          <w:sz w:val="100"/>
          <w:szCs w:val="100"/>
        </w:rPr>
      </w:pPr>
      <w:r>
        <w:rPr>
          <w:rFonts w:hint="eastAsia" w:asciiTheme="minorEastAsia" w:hAnsiTheme="minorEastAsia" w:eastAsiaTheme="minorEastAsia" w:cstheme="minorEastAsia"/>
          <w:b/>
          <w:sz w:val="100"/>
          <w:szCs w:val="100"/>
        </w:rPr>
        <w:t>招</w:t>
      </w:r>
    </w:p>
    <w:p>
      <w:pPr>
        <w:jc w:val="center"/>
        <w:rPr>
          <w:rFonts w:asciiTheme="minorEastAsia" w:hAnsiTheme="minorEastAsia" w:eastAsiaTheme="minorEastAsia" w:cstheme="minorEastAsia"/>
          <w:b/>
          <w:sz w:val="100"/>
          <w:szCs w:val="100"/>
        </w:rPr>
      </w:pPr>
      <w:r>
        <w:rPr>
          <w:rFonts w:hint="eastAsia" w:asciiTheme="minorEastAsia" w:hAnsiTheme="minorEastAsia" w:eastAsiaTheme="minorEastAsia" w:cstheme="minorEastAsia"/>
          <w:b/>
          <w:sz w:val="100"/>
          <w:szCs w:val="100"/>
        </w:rPr>
        <w:t>标</w:t>
      </w:r>
    </w:p>
    <w:p>
      <w:pPr>
        <w:jc w:val="center"/>
        <w:rPr>
          <w:rFonts w:asciiTheme="minorEastAsia" w:hAnsiTheme="minorEastAsia" w:eastAsiaTheme="minorEastAsia" w:cstheme="minorEastAsia"/>
          <w:b/>
          <w:sz w:val="100"/>
          <w:szCs w:val="100"/>
        </w:rPr>
      </w:pPr>
      <w:r>
        <w:rPr>
          <w:rFonts w:hint="eastAsia" w:asciiTheme="minorEastAsia" w:hAnsiTheme="minorEastAsia" w:eastAsiaTheme="minorEastAsia" w:cstheme="minorEastAsia"/>
          <w:b/>
          <w:sz w:val="100"/>
          <w:szCs w:val="100"/>
        </w:rPr>
        <w:t>文</w:t>
      </w:r>
    </w:p>
    <w:p>
      <w:pPr>
        <w:jc w:val="center"/>
        <w:rPr>
          <w:rFonts w:hAnsi="宋体" w:cs="宋体"/>
          <w:b/>
          <w:sz w:val="36"/>
          <w:szCs w:val="36"/>
        </w:rPr>
      </w:pPr>
      <w:r>
        <w:rPr>
          <w:rFonts w:hint="eastAsia" w:asciiTheme="minorEastAsia" w:hAnsiTheme="minorEastAsia" w:eastAsiaTheme="minorEastAsia" w:cstheme="minorEastAsia"/>
          <w:b/>
          <w:sz w:val="100"/>
          <w:szCs w:val="100"/>
        </w:rPr>
        <w:t>件</w:t>
      </w:r>
    </w:p>
    <w:p>
      <w:pPr>
        <w:pStyle w:val="41"/>
      </w:pPr>
    </w:p>
    <w:p>
      <w:pPr>
        <w:spacing w:line="700" w:lineRule="exact"/>
        <w:ind w:firstLine="640" w:firstLineChars="200"/>
        <w:rPr>
          <w:rFonts w:ascii="宋体"/>
          <w:b/>
          <w:sz w:val="32"/>
          <w:szCs w:val="32"/>
        </w:rPr>
      </w:pPr>
    </w:p>
    <w:p>
      <w:pPr>
        <w:keepNext w:val="0"/>
        <w:keepLines w:val="0"/>
        <w:pageBreakBefore w:val="0"/>
        <w:kinsoku/>
        <w:wordWrap/>
        <w:overflowPunct/>
        <w:topLinePunct w:val="0"/>
        <w:bidi w:val="0"/>
        <w:adjustRightInd/>
        <w:snapToGrid/>
        <w:spacing w:line="600" w:lineRule="exact"/>
        <w:ind w:firstLine="640" w:firstLineChars="200"/>
        <w:rPr>
          <w:rFonts w:ascii="宋体"/>
          <w:b/>
          <w:sz w:val="32"/>
          <w:szCs w:val="32"/>
        </w:rPr>
      </w:pPr>
      <w:r>
        <w:rPr>
          <w:rFonts w:hint="eastAsia" w:ascii="宋体"/>
          <w:b/>
          <w:sz w:val="32"/>
          <w:szCs w:val="32"/>
        </w:rPr>
        <w:t xml:space="preserve">招 标 人：克州自然资源局 </w:t>
      </w:r>
    </w:p>
    <w:p>
      <w:pPr>
        <w:keepNext w:val="0"/>
        <w:keepLines w:val="0"/>
        <w:pageBreakBefore w:val="0"/>
        <w:kinsoku/>
        <w:wordWrap/>
        <w:overflowPunct/>
        <w:topLinePunct w:val="0"/>
        <w:bidi w:val="0"/>
        <w:adjustRightInd/>
        <w:snapToGrid/>
        <w:spacing w:line="600" w:lineRule="exact"/>
        <w:ind w:firstLine="640" w:firstLineChars="200"/>
        <w:rPr>
          <w:rFonts w:ascii="宋体"/>
          <w:b/>
          <w:sz w:val="32"/>
          <w:szCs w:val="32"/>
        </w:rPr>
      </w:pPr>
      <w:r>
        <w:rPr>
          <w:rFonts w:hint="eastAsia" w:ascii="宋体"/>
          <w:b/>
          <w:sz w:val="32"/>
          <w:szCs w:val="32"/>
        </w:rPr>
        <w:t>代理机构：克州政务服务和公共资源交易中心政府采购与产权交易科</w:t>
      </w:r>
    </w:p>
    <w:p>
      <w:pPr>
        <w:keepNext w:val="0"/>
        <w:keepLines w:val="0"/>
        <w:pageBreakBefore w:val="0"/>
        <w:widowControl/>
        <w:kinsoku/>
        <w:wordWrap/>
        <w:overflowPunct/>
        <w:topLinePunct w:val="0"/>
        <w:autoSpaceDE w:val="0"/>
        <w:autoSpaceDN w:val="0"/>
        <w:bidi w:val="0"/>
        <w:adjustRightInd/>
        <w:snapToGrid/>
        <w:spacing w:line="600" w:lineRule="exact"/>
        <w:ind w:right="893" w:firstLine="640" w:firstLineChars="200"/>
        <w:textAlignment w:val="bottom"/>
        <w:rPr>
          <w:rFonts w:hint="eastAsia" w:ascii="宋体" w:hAnsi="宋体" w:eastAsia="宋体" w:cs="宋体"/>
          <w:b/>
          <w:sz w:val="32"/>
          <w:szCs w:val="32"/>
          <w:lang w:eastAsia="zh-CN"/>
        </w:rPr>
      </w:pPr>
      <w:r>
        <w:rPr>
          <w:rFonts w:hint="eastAsia" w:ascii="宋体" w:hAnsi="宋体" w:cs="宋体"/>
          <w:b/>
          <w:sz w:val="32"/>
          <w:szCs w:val="32"/>
        </w:rPr>
        <w:t>联 系 人：</w:t>
      </w:r>
      <w:r>
        <w:rPr>
          <w:rFonts w:hint="eastAsia" w:ascii="宋体" w:hAnsi="宋体" w:cs="宋体"/>
          <w:b/>
          <w:sz w:val="32"/>
          <w:szCs w:val="32"/>
          <w:lang w:eastAsia="zh-CN"/>
        </w:rPr>
        <w:t>贾先生</w:t>
      </w:r>
    </w:p>
    <w:p>
      <w:pPr>
        <w:keepNext w:val="0"/>
        <w:keepLines w:val="0"/>
        <w:pageBreakBefore w:val="0"/>
        <w:widowControl/>
        <w:kinsoku/>
        <w:wordWrap/>
        <w:overflowPunct/>
        <w:topLinePunct w:val="0"/>
        <w:autoSpaceDE w:val="0"/>
        <w:autoSpaceDN w:val="0"/>
        <w:bidi w:val="0"/>
        <w:adjustRightInd/>
        <w:snapToGrid/>
        <w:spacing w:line="600" w:lineRule="exact"/>
        <w:ind w:right="-26" w:firstLine="640" w:firstLineChars="200"/>
        <w:textAlignment w:val="bottom"/>
        <w:rPr>
          <w:b/>
          <w:sz w:val="36"/>
        </w:rPr>
      </w:pPr>
      <w:r>
        <w:rPr>
          <w:rFonts w:hint="eastAsia" w:ascii="宋体" w:hAnsi="宋体" w:cs="宋体"/>
          <w:b/>
          <w:sz w:val="32"/>
          <w:szCs w:val="32"/>
        </w:rPr>
        <w:t>联系电话：</w:t>
      </w:r>
      <w:r>
        <w:rPr>
          <w:rFonts w:hint="eastAsia" w:ascii="宋体" w:hAnsi="宋体" w:cs="宋体"/>
          <w:b/>
          <w:sz w:val="32"/>
          <w:szCs w:val="32"/>
          <w:lang w:val="en-US" w:eastAsia="zh-CN"/>
        </w:rPr>
        <w:t>0908-4233034</w:t>
      </w:r>
    </w:p>
    <w:p>
      <w:pPr>
        <w:jc w:val="center"/>
        <w:rPr>
          <w:b/>
          <w:sz w:val="36"/>
        </w:rPr>
      </w:pPr>
      <w:r>
        <w:rPr>
          <w:rFonts w:hint="eastAsia"/>
          <w:b/>
          <w:sz w:val="36"/>
        </w:rPr>
        <w:t>目  录</w:t>
      </w:r>
    </w:p>
    <w:p>
      <w:pPr>
        <w:spacing w:line="360" w:lineRule="exact"/>
        <w:jc w:val="center"/>
        <w:rPr>
          <w:b/>
          <w:sz w:val="36"/>
        </w:rPr>
      </w:pPr>
    </w:p>
    <w:p>
      <w:pPr>
        <w:pStyle w:val="17"/>
        <w:tabs>
          <w:tab w:val="left" w:pos="1050"/>
          <w:tab w:val="right" w:leader="dot" w:pos="9736"/>
        </w:tabs>
        <w:spacing w:line="360" w:lineRule="auto"/>
        <w:rPr>
          <w:rFonts w:asciiTheme="minorEastAsia" w:hAnsiTheme="minorEastAsia" w:eastAsiaTheme="minorEastAsia" w:cstheme="minorBidi"/>
          <w:sz w:val="24"/>
        </w:rPr>
      </w:pPr>
      <w:r>
        <w:rPr>
          <w:rFonts w:hint="eastAsia" w:cs="宋体" w:asciiTheme="minorEastAsia" w:hAnsiTheme="minorEastAsia" w:eastAsiaTheme="minorEastAsia"/>
          <w:color w:val="FF0000"/>
          <w:sz w:val="24"/>
        </w:rPr>
        <w:fldChar w:fldCharType="begin"/>
      </w:r>
      <w:r>
        <w:rPr>
          <w:rFonts w:hint="eastAsia" w:cs="宋体" w:asciiTheme="minorEastAsia" w:hAnsiTheme="minorEastAsia" w:eastAsiaTheme="minorEastAsia"/>
          <w:color w:val="FF0000"/>
          <w:sz w:val="24"/>
        </w:rPr>
        <w:instrText xml:space="preserve"> TOC \o "1-3" \h \z \u </w:instrText>
      </w:r>
      <w:r>
        <w:rPr>
          <w:rFonts w:hint="eastAsia" w:cs="宋体" w:asciiTheme="minorEastAsia" w:hAnsiTheme="minorEastAsia" w:eastAsiaTheme="minorEastAsia"/>
          <w:color w:val="FF0000"/>
          <w:sz w:val="24"/>
        </w:rPr>
        <w:fldChar w:fldCharType="separate"/>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TOC \o "1-3" \h \z \u </w:instrText>
      </w:r>
      <w:r>
        <w:rPr>
          <w:rFonts w:hint="eastAsia" w:cs="宋体" w:asciiTheme="minorEastAsia" w:hAnsiTheme="minorEastAsia" w:eastAsiaTheme="minorEastAsia"/>
          <w:sz w:val="24"/>
        </w:rPr>
        <w:fldChar w:fldCharType="separate"/>
      </w:r>
      <w:r>
        <w:fldChar w:fldCharType="begin"/>
      </w:r>
      <w:r>
        <w:instrText xml:space="preserve"> HYPERLINK \l "_Toc111210728" </w:instrText>
      </w:r>
      <w:r>
        <w:fldChar w:fldCharType="separate"/>
      </w:r>
      <w:r>
        <w:rPr>
          <w:rStyle w:val="33"/>
          <w:rFonts w:asciiTheme="minorEastAsia" w:hAnsiTheme="minorEastAsia" w:eastAsiaTheme="minorEastAsia"/>
          <w:color w:val="auto"/>
          <w:sz w:val="24"/>
        </w:rPr>
        <w:t>第一章</w:t>
      </w:r>
      <w:r>
        <w:rPr>
          <w:rFonts w:asciiTheme="minorEastAsia" w:hAnsiTheme="minorEastAsia" w:eastAsiaTheme="minorEastAsia" w:cstheme="minorBidi"/>
          <w:sz w:val="24"/>
        </w:rPr>
        <w:tab/>
      </w:r>
      <w:r>
        <w:rPr>
          <w:rStyle w:val="33"/>
          <w:rFonts w:asciiTheme="minorEastAsia" w:hAnsiTheme="minorEastAsia" w:eastAsiaTheme="minorEastAsia"/>
          <w:color w:val="auto"/>
          <w:sz w:val="24"/>
        </w:rPr>
        <w:t>招标公告</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_Toc111210728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"_Toc111210729" </w:instrText>
      </w:r>
      <w:r>
        <w:fldChar w:fldCharType="separate"/>
      </w:r>
      <w:r>
        <w:rPr>
          <w:rStyle w:val="33"/>
          <w:rFonts w:cs="宋体" w:asciiTheme="minorEastAsia" w:hAnsiTheme="minorEastAsia" w:eastAsiaTheme="minorEastAsia"/>
          <w:color w:val="auto"/>
          <w:sz w:val="24"/>
        </w:rPr>
        <w:t>一、项目基本情况</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_Toc111210729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"_Toc111210730" </w:instrText>
      </w:r>
      <w:r>
        <w:fldChar w:fldCharType="separate"/>
      </w:r>
      <w:r>
        <w:rPr>
          <w:rStyle w:val="33"/>
          <w:rFonts w:cs="宋体" w:asciiTheme="minorEastAsia" w:hAnsiTheme="minorEastAsia" w:eastAsiaTheme="minorEastAsia"/>
          <w:color w:val="auto"/>
          <w:sz w:val="24"/>
        </w:rPr>
        <w:t>三、获取招标文件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_Toc111210730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"_Toc111210731" </w:instrText>
      </w:r>
      <w:r>
        <w:fldChar w:fldCharType="separate"/>
      </w:r>
      <w:r>
        <w:rPr>
          <w:rStyle w:val="33"/>
          <w:rFonts w:cs="宋体" w:asciiTheme="minorEastAsia" w:hAnsiTheme="minorEastAsia" w:eastAsiaTheme="minorEastAsia"/>
          <w:color w:val="auto"/>
          <w:sz w:val="24"/>
        </w:rPr>
        <w:t>四、提交投标文件截止时间、开标时间和地点</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_Toc111210731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"_Toc111210732" </w:instrText>
      </w:r>
      <w:r>
        <w:fldChar w:fldCharType="separate"/>
      </w:r>
      <w:r>
        <w:rPr>
          <w:rStyle w:val="33"/>
          <w:rFonts w:cs="宋体" w:asciiTheme="minorEastAsia" w:hAnsiTheme="minorEastAsia" w:eastAsiaTheme="minorEastAsia"/>
          <w:color w:val="auto"/>
          <w:sz w:val="24"/>
        </w:rPr>
        <w:t>五、公告期限</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_Toc111210732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"_Toc111210733" </w:instrText>
      </w:r>
      <w:r>
        <w:fldChar w:fldCharType="separate"/>
      </w:r>
      <w:r>
        <w:rPr>
          <w:rStyle w:val="33"/>
          <w:rFonts w:cs="宋体" w:asciiTheme="minorEastAsia" w:hAnsiTheme="minorEastAsia" w:eastAsiaTheme="minorEastAsia"/>
          <w:color w:val="auto"/>
          <w:sz w:val="24"/>
        </w:rPr>
        <w:t>六、其他补充事宜</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_Toc111210733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7"/>
        <w:tabs>
          <w:tab w:val="right" w:leader="dot" w:pos="9736"/>
        </w:tabs>
        <w:spacing w:line="360" w:lineRule="auto"/>
        <w:rPr>
          <w:rFonts w:asciiTheme="minorEastAsia" w:hAnsiTheme="minorEastAsia" w:eastAsiaTheme="minorEastAsia" w:cstheme="minorBidi"/>
          <w:sz w:val="24"/>
        </w:rPr>
      </w:pPr>
      <w:r>
        <w:fldChar w:fldCharType="begin"/>
      </w:r>
      <w:r>
        <w:instrText xml:space="preserve"> HYPERLINK \l "_Toc111210734" </w:instrText>
      </w:r>
      <w:r>
        <w:fldChar w:fldCharType="separate"/>
      </w:r>
      <w:r>
        <w:rPr>
          <w:rStyle w:val="33"/>
          <w:rFonts w:asciiTheme="minorEastAsia" w:hAnsiTheme="minorEastAsia" w:eastAsiaTheme="minorEastAsia"/>
          <w:color w:val="auto"/>
          <w:sz w:val="24"/>
        </w:rPr>
        <w:t>第二章 投标人须知</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_Toc111210734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"_Toc111210735" </w:instrText>
      </w:r>
      <w:r>
        <w:fldChar w:fldCharType="separate"/>
      </w:r>
      <w:r>
        <w:rPr>
          <w:rStyle w:val="33"/>
          <w:rFonts w:asciiTheme="minorEastAsia" w:hAnsiTheme="minorEastAsia" w:eastAsiaTheme="minorEastAsia"/>
          <w:color w:val="auto"/>
          <w:sz w:val="24"/>
        </w:rPr>
        <w:t>一、投标人须知前附表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_Toc111210735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"_Toc111210736" </w:instrText>
      </w:r>
      <w:r>
        <w:fldChar w:fldCharType="separate"/>
      </w:r>
      <w:r>
        <w:rPr>
          <w:rStyle w:val="33"/>
          <w:rFonts w:asciiTheme="minorEastAsia" w:hAnsiTheme="minorEastAsia" w:eastAsiaTheme="minorEastAsia"/>
          <w:color w:val="auto"/>
          <w:sz w:val="24"/>
        </w:rPr>
        <w:t>二、投标人须知</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_Toc111210736 \h </w:instrText>
      </w:r>
      <w:r>
        <w:rPr>
          <w:rFonts w:asciiTheme="minorEastAsia" w:hAnsiTheme="minorEastAsia" w:eastAsiaTheme="minorEastAsia"/>
          <w:sz w:val="24"/>
        </w:rPr>
        <w:fldChar w:fldCharType="separate"/>
      </w:r>
      <w:r>
        <w:rPr>
          <w:rFonts w:asciiTheme="minorEastAsia" w:hAnsiTheme="minorEastAsia" w:eastAsiaTheme="minorEastAsia"/>
          <w:sz w:val="24"/>
        </w:rPr>
        <w:t>13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7"/>
        <w:tabs>
          <w:tab w:val="right" w:leader="dot" w:pos="9736"/>
        </w:tabs>
        <w:spacing w:line="360" w:lineRule="auto"/>
        <w:rPr>
          <w:rFonts w:asciiTheme="minorEastAsia" w:hAnsiTheme="minorEastAsia" w:eastAsiaTheme="minorEastAsia" w:cstheme="minorBidi"/>
          <w:sz w:val="24"/>
        </w:rPr>
      </w:pPr>
      <w:r>
        <w:fldChar w:fldCharType="begin"/>
      </w:r>
      <w:r>
        <w:instrText xml:space="preserve"> HYPERLINK \l "_Toc111210754" </w:instrText>
      </w:r>
      <w:r>
        <w:fldChar w:fldCharType="separate"/>
      </w:r>
      <w:r>
        <w:rPr>
          <w:rStyle w:val="33"/>
          <w:rFonts w:asciiTheme="minorEastAsia" w:hAnsiTheme="minorEastAsia" w:eastAsiaTheme="minorEastAsia"/>
          <w:color w:val="auto"/>
          <w:sz w:val="24"/>
        </w:rPr>
        <w:t>第三章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_Toc111210754 \h </w:instrText>
      </w:r>
      <w:r>
        <w:rPr>
          <w:rFonts w:asciiTheme="minorEastAsia" w:hAnsiTheme="minorEastAsia" w:eastAsiaTheme="minorEastAsia"/>
          <w:sz w:val="24"/>
        </w:rPr>
        <w:fldChar w:fldCharType="separate"/>
      </w:r>
      <w:r>
        <w:rPr>
          <w:rFonts w:asciiTheme="minorEastAsia" w:hAnsiTheme="minorEastAsia" w:eastAsiaTheme="minorEastAsia"/>
          <w:sz w:val="24"/>
        </w:rPr>
        <w:t>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"_Toc111210755" </w:instrText>
      </w:r>
      <w:r>
        <w:fldChar w:fldCharType="separate"/>
      </w:r>
      <w:r>
        <w:rPr>
          <w:rStyle w:val="33"/>
          <w:rFonts w:asciiTheme="minorEastAsia" w:hAnsiTheme="minorEastAsia" w:eastAsiaTheme="minorEastAsia"/>
          <w:color w:val="auto"/>
          <w:sz w:val="24"/>
        </w:rPr>
        <w:t>一  总  则</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_Toc111210755 \h </w:instrText>
      </w:r>
      <w:r>
        <w:rPr>
          <w:rFonts w:asciiTheme="minorEastAsia" w:hAnsiTheme="minorEastAsia" w:eastAsiaTheme="minorEastAsia"/>
          <w:sz w:val="24"/>
        </w:rPr>
        <w:fldChar w:fldCharType="separate"/>
      </w:r>
      <w:r>
        <w:rPr>
          <w:rFonts w:asciiTheme="minorEastAsia" w:hAnsiTheme="minorEastAsia" w:eastAsiaTheme="minorEastAsia"/>
          <w:sz w:val="24"/>
        </w:rPr>
        <w:t>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"_Toc111210756" </w:instrText>
      </w:r>
      <w:r>
        <w:fldChar w:fldCharType="separate"/>
      </w:r>
      <w:r>
        <w:rPr>
          <w:rStyle w:val="33"/>
          <w:rFonts w:asciiTheme="minorEastAsia" w:hAnsiTheme="minorEastAsia" w:eastAsiaTheme="minorEastAsia"/>
          <w:color w:val="auto"/>
          <w:sz w:val="24"/>
        </w:rPr>
        <w:t>二  投标文件初审</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_Toc111210756 \h </w:instrText>
      </w:r>
      <w:r>
        <w:rPr>
          <w:rFonts w:asciiTheme="minorEastAsia" w:hAnsiTheme="minorEastAsia" w:eastAsiaTheme="minorEastAsia"/>
          <w:sz w:val="24"/>
        </w:rPr>
        <w:fldChar w:fldCharType="separate"/>
      </w:r>
      <w:r>
        <w:rPr>
          <w:rFonts w:asciiTheme="minorEastAsia" w:hAnsiTheme="minorEastAsia" w:eastAsiaTheme="minorEastAsia"/>
          <w:sz w:val="24"/>
        </w:rPr>
        <w:t>35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"_Toc111210757" </w:instrText>
      </w:r>
      <w:r>
        <w:fldChar w:fldCharType="separate"/>
      </w:r>
      <w:r>
        <w:rPr>
          <w:rStyle w:val="33"/>
          <w:rFonts w:asciiTheme="minorEastAsia" w:hAnsiTheme="minorEastAsia" w:eastAsiaTheme="minorEastAsia"/>
          <w:color w:val="auto"/>
          <w:sz w:val="24"/>
        </w:rPr>
        <w:t>三  投标文件的澄清和补正</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_Toc111210757 \h </w:instrText>
      </w:r>
      <w:r>
        <w:rPr>
          <w:rFonts w:asciiTheme="minorEastAsia" w:hAnsiTheme="minorEastAsia" w:eastAsiaTheme="minorEastAsia"/>
          <w:sz w:val="24"/>
        </w:rPr>
        <w:fldChar w:fldCharType="separate"/>
      </w:r>
      <w:r>
        <w:rPr>
          <w:rFonts w:asciiTheme="minorEastAsia" w:hAnsiTheme="minorEastAsia" w:eastAsiaTheme="minorEastAsia"/>
          <w:sz w:val="24"/>
        </w:rPr>
        <w:t>36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"_Toc111210758" </w:instrText>
      </w:r>
      <w:r>
        <w:fldChar w:fldCharType="separate"/>
      </w:r>
      <w:r>
        <w:rPr>
          <w:rStyle w:val="33"/>
          <w:rFonts w:asciiTheme="minorEastAsia" w:hAnsiTheme="minorEastAsia" w:eastAsiaTheme="minorEastAsia"/>
          <w:color w:val="auto"/>
          <w:sz w:val="24"/>
        </w:rPr>
        <w:t>四 比较与评价</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_Toc111210758 \h </w:instrText>
      </w:r>
      <w:r>
        <w:rPr>
          <w:rFonts w:asciiTheme="minorEastAsia" w:hAnsiTheme="minorEastAsia" w:eastAsiaTheme="minorEastAsia"/>
          <w:sz w:val="24"/>
        </w:rPr>
        <w:fldChar w:fldCharType="separate"/>
      </w:r>
      <w:r>
        <w:rPr>
          <w:rFonts w:asciiTheme="minorEastAsia" w:hAnsiTheme="minorEastAsia" w:eastAsiaTheme="minorEastAsia"/>
          <w:sz w:val="24"/>
        </w:rPr>
        <w:t>37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"_Toc111210759" </w:instrText>
      </w:r>
      <w:r>
        <w:fldChar w:fldCharType="separate"/>
      </w:r>
      <w:r>
        <w:rPr>
          <w:rStyle w:val="33"/>
          <w:rFonts w:asciiTheme="minorEastAsia" w:hAnsiTheme="minorEastAsia" w:eastAsiaTheme="minorEastAsia"/>
          <w:color w:val="auto"/>
          <w:sz w:val="24"/>
        </w:rPr>
        <w:t>五  推荐中标候选人</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_Toc111210759 \h </w:instrText>
      </w:r>
      <w:r>
        <w:rPr>
          <w:rFonts w:asciiTheme="minorEastAsia" w:hAnsiTheme="minorEastAsia" w:eastAsiaTheme="minorEastAsia"/>
          <w:sz w:val="24"/>
        </w:rPr>
        <w:fldChar w:fldCharType="separate"/>
      </w:r>
      <w:r>
        <w:rPr>
          <w:rFonts w:asciiTheme="minorEastAsia" w:hAnsiTheme="minorEastAsia" w:eastAsiaTheme="minorEastAsia"/>
          <w:sz w:val="24"/>
        </w:rPr>
        <w:t>40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7"/>
        <w:tabs>
          <w:tab w:val="right" w:leader="dot" w:pos="9736"/>
        </w:tabs>
        <w:spacing w:line="360" w:lineRule="auto"/>
        <w:rPr>
          <w:rFonts w:asciiTheme="minorEastAsia" w:hAnsiTheme="minorEastAsia" w:eastAsiaTheme="minorEastAsia" w:cstheme="minorBidi"/>
          <w:sz w:val="24"/>
        </w:rPr>
      </w:pPr>
      <w:r>
        <w:fldChar w:fldCharType="begin"/>
      </w:r>
      <w:r>
        <w:instrText xml:space="preserve"> HYPERLINK \l "_Toc111210760" </w:instrText>
      </w:r>
      <w:r>
        <w:fldChar w:fldCharType="separate"/>
      </w:r>
      <w:r>
        <w:rPr>
          <w:rStyle w:val="33"/>
          <w:rFonts w:asciiTheme="minorEastAsia" w:hAnsiTheme="minorEastAsia" w:eastAsiaTheme="minorEastAsia"/>
          <w:color w:val="auto"/>
          <w:sz w:val="24"/>
        </w:rPr>
        <w:t>第四章  采购需求（实质性要求）及技术成果提交要求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_Toc111210760 \h </w:instrText>
      </w:r>
      <w:r>
        <w:rPr>
          <w:rFonts w:asciiTheme="minorEastAsia" w:hAnsiTheme="minorEastAsia" w:eastAsiaTheme="minorEastAsia"/>
          <w:sz w:val="24"/>
        </w:rPr>
        <w:fldChar w:fldCharType="separate"/>
      </w:r>
      <w:r>
        <w:rPr>
          <w:rFonts w:asciiTheme="minorEastAsia" w:hAnsiTheme="minorEastAsia" w:eastAsiaTheme="minorEastAsia"/>
          <w:sz w:val="24"/>
        </w:rPr>
        <w:t>44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7"/>
        <w:tabs>
          <w:tab w:val="right" w:leader="dot" w:pos="9736"/>
        </w:tabs>
        <w:spacing w:line="360" w:lineRule="auto"/>
        <w:rPr>
          <w:rFonts w:asciiTheme="minorEastAsia" w:hAnsiTheme="minorEastAsia" w:eastAsiaTheme="minorEastAsia" w:cstheme="minorBidi"/>
          <w:sz w:val="24"/>
        </w:rPr>
      </w:pPr>
      <w:r>
        <w:fldChar w:fldCharType="begin"/>
      </w:r>
      <w:r>
        <w:instrText xml:space="preserve"> HYPERLINK \l "_Toc111210761" </w:instrText>
      </w:r>
      <w:r>
        <w:fldChar w:fldCharType="separate"/>
      </w:r>
      <w:r>
        <w:rPr>
          <w:rStyle w:val="33"/>
          <w:rFonts w:asciiTheme="minorEastAsia" w:hAnsiTheme="minorEastAsia" w:eastAsiaTheme="minorEastAsia"/>
          <w:color w:val="auto"/>
          <w:sz w:val="24"/>
        </w:rPr>
        <w:t>第五章 合同条款及格式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_Toc111210761 \h </w:instrText>
      </w:r>
      <w:r>
        <w:rPr>
          <w:rFonts w:asciiTheme="minorEastAsia" w:hAnsiTheme="minorEastAsia" w:eastAsiaTheme="minorEastAsia"/>
          <w:sz w:val="24"/>
        </w:rPr>
        <w:fldChar w:fldCharType="separate"/>
      </w:r>
      <w:r>
        <w:rPr>
          <w:rFonts w:asciiTheme="minorEastAsia" w:hAnsiTheme="minorEastAsia" w:eastAsiaTheme="minorEastAsia"/>
          <w:sz w:val="24"/>
        </w:rPr>
        <w:t>44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7"/>
        <w:tabs>
          <w:tab w:val="right" w:leader="dot" w:pos="9736"/>
        </w:tabs>
        <w:spacing w:line="360" w:lineRule="auto"/>
        <w:rPr>
          <w:rFonts w:asciiTheme="minorEastAsia" w:hAnsiTheme="minorEastAsia" w:eastAsiaTheme="minorEastAsia" w:cstheme="minorBidi"/>
          <w:sz w:val="24"/>
        </w:rPr>
      </w:pPr>
      <w:r>
        <w:fldChar w:fldCharType="begin"/>
      </w:r>
      <w:r>
        <w:instrText xml:space="preserve"> HYPERLINK \l "_Toc111210765" </w:instrText>
      </w:r>
      <w:r>
        <w:fldChar w:fldCharType="separate"/>
      </w:r>
      <w:r>
        <w:rPr>
          <w:rStyle w:val="33"/>
          <w:rFonts w:asciiTheme="minorEastAsia" w:hAnsiTheme="minorEastAsia" w:eastAsiaTheme="minorEastAsia"/>
          <w:color w:val="auto"/>
          <w:sz w:val="24"/>
        </w:rPr>
        <w:t>第六章  投标文件格式</w:t>
      </w:r>
      <w:r>
        <w:rPr>
          <w:rFonts w:asciiTheme="minorEastAsia" w:hAnsiTheme="minorEastAsia" w:eastAsiaTheme="minorEastAsia"/>
          <w:sz w:val="24"/>
        </w:rPr>
        <w:tab/>
      </w:r>
      <w:r>
        <w:rPr>
          <w:rFonts w:hint="eastAsia" w:asciiTheme="minorEastAsia" w:hAnsiTheme="minorEastAsia" w:eastAsiaTheme="minorEastAsia"/>
          <w:sz w:val="24"/>
        </w:rPr>
        <w:t>5</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7</w:t>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"_Toc111210766" </w:instrText>
      </w:r>
      <w:r>
        <w:fldChar w:fldCharType="separate"/>
      </w:r>
      <w:r>
        <w:rPr>
          <w:rStyle w:val="33"/>
          <w:rFonts w:asciiTheme="minorEastAsia" w:hAnsiTheme="minorEastAsia" w:eastAsiaTheme="minorEastAsia"/>
          <w:color w:val="auto"/>
          <w:sz w:val="24"/>
        </w:rPr>
        <w:t>第一部分 开标一览表及资格证明文件</w:t>
      </w:r>
      <w:r>
        <w:rPr>
          <w:rFonts w:asciiTheme="minorEastAsia" w:hAnsiTheme="minorEastAsia" w:eastAsiaTheme="minorEastAsia"/>
          <w:sz w:val="24"/>
        </w:rPr>
        <w:tab/>
      </w:r>
      <w:r>
        <w:rPr>
          <w:rFonts w:hint="eastAsia" w:asciiTheme="minorEastAsia" w:hAnsiTheme="minorEastAsia" w:eastAsiaTheme="minorEastAsia"/>
          <w:sz w:val="24"/>
        </w:rPr>
        <w:t>5</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7</w:t>
      </w:r>
    </w:p>
    <w:p>
      <w:pPr>
        <w:pStyle w:val="18"/>
        <w:tabs>
          <w:tab w:val="right" w:leader="dot" w:pos="9736"/>
        </w:tabs>
        <w:spacing w:line="360" w:lineRule="auto"/>
        <w:ind w:left="420"/>
        <w:rPr>
          <w:rFonts w:asciiTheme="minorEastAsia" w:hAnsiTheme="minorEastAsia" w:eastAsiaTheme="minorEastAsia" w:cstheme="minorBidi"/>
          <w:sz w:val="24"/>
        </w:rPr>
      </w:pPr>
      <w:r>
        <w:fldChar w:fldCharType="begin"/>
      </w:r>
      <w:r>
        <w:instrText xml:space="preserve"> HYPERLINK \l "_Toc111210776" </w:instrText>
      </w:r>
      <w:r>
        <w:fldChar w:fldCharType="separate"/>
      </w:r>
      <w:r>
        <w:rPr>
          <w:rStyle w:val="33"/>
          <w:rFonts w:asciiTheme="minorEastAsia" w:hAnsiTheme="minorEastAsia" w:eastAsiaTheme="minorEastAsia"/>
          <w:color w:val="auto"/>
          <w:sz w:val="24"/>
        </w:rPr>
        <w:t>第二部分  商务及技术文件</w:t>
      </w:r>
      <w:r>
        <w:rPr>
          <w:rFonts w:asciiTheme="minorEastAsia" w:hAnsiTheme="minorEastAsia" w:eastAsiaTheme="minorEastAsia"/>
          <w:sz w:val="24"/>
        </w:rPr>
        <w:tab/>
      </w:r>
      <w:r>
        <w:rPr>
          <w:rFonts w:hint="eastAsia" w:asciiTheme="minorEastAsia" w:hAnsiTheme="minorEastAsia" w:eastAsiaTheme="minorEastAsia"/>
          <w:sz w:val="24"/>
        </w:rPr>
        <w:t>6</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6</w:t>
      </w:r>
    </w:p>
    <w:p>
      <w:pPr>
        <w:spacing w:line="360" w:lineRule="auto"/>
        <w:jc w:val="center"/>
        <w:rPr>
          <w:b/>
          <w:color w:val="FF0000"/>
          <w:sz w:val="36"/>
        </w:rPr>
      </w:pPr>
      <w:r>
        <w:rPr>
          <w:rFonts w:hint="eastAsia" w:cs="宋体" w:asciiTheme="minorEastAsia" w:hAnsiTheme="minorEastAsia" w:eastAsiaTheme="minorEastAsia"/>
          <w:sz w:val="24"/>
        </w:rPr>
        <w:fldChar w:fldCharType="end"/>
      </w:r>
    </w:p>
    <w:p/>
    <w:p>
      <w:pPr>
        <w:pStyle w:val="18"/>
        <w:tabs>
          <w:tab w:val="right" w:leader="dot" w:pos="9736"/>
        </w:tabs>
        <w:spacing w:line="360" w:lineRule="auto"/>
        <w:ind w:left="420"/>
        <w:rPr>
          <w:rFonts w:asciiTheme="minorEastAsia" w:hAnsiTheme="minorEastAsia" w:eastAsiaTheme="minorEastAsia" w:cstheme="minorBidi"/>
          <w:color w:val="FF0000"/>
          <w:sz w:val="24"/>
        </w:rPr>
      </w:pPr>
    </w:p>
    <w:p>
      <w:pPr>
        <w:spacing w:line="360" w:lineRule="auto"/>
        <w:jc w:val="center"/>
        <w:rPr>
          <w:b/>
          <w:color w:val="FF0000"/>
          <w:sz w:val="36"/>
        </w:rPr>
      </w:pPr>
      <w:r>
        <w:rPr>
          <w:rFonts w:hint="eastAsia" w:cs="宋体" w:asciiTheme="minorEastAsia" w:hAnsiTheme="minorEastAsia" w:eastAsiaTheme="minorEastAsia"/>
          <w:color w:val="FF0000"/>
          <w:sz w:val="24"/>
        </w:rPr>
        <w:fldChar w:fldCharType="end"/>
      </w:r>
    </w:p>
    <w:p>
      <w:pPr>
        <w:spacing w:line="440" w:lineRule="exact"/>
        <w:ind w:firstLine="480" w:firstLineChars="200"/>
        <w:jc w:val="distribute"/>
        <w:rPr>
          <w:rFonts w:ascii="宋体" w:hAnsi="宋体" w:cs="宋体"/>
          <w:color w:val="FF0000"/>
          <w:sz w:val="24"/>
        </w:rPr>
      </w:pPr>
    </w:p>
    <w:p>
      <w:pPr>
        <w:pStyle w:val="22"/>
        <w:rPr>
          <w:rFonts w:ascii="宋体" w:hAnsi="宋体" w:cs="宋体"/>
          <w:color w:val="FF0000"/>
          <w:sz w:val="24"/>
        </w:rPr>
      </w:pPr>
    </w:p>
    <w:p>
      <w:pPr>
        <w:pStyle w:val="6"/>
      </w:pPr>
    </w:p>
    <w:p>
      <w:pPr>
        <w:spacing w:line="420" w:lineRule="exact"/>
        <w:ind w:firstLine="3840" w:firstLineChars="1200"/>
        <w:outlineLvl w:val="0"/>
        <w:rPr>
          <w:rFonts w:ascii="宋体"/>
          <w:b/>
          <w:bCs/>
          <w:sz w:val="32"/>
          <w:szCs w:val="32"/>
        </w:rPr>
      </w:pPr>
      <w:bookmarkStart w:id="0" w:name="_Toc111210728"/>
      <w:r>
        <w:rPr>
          <w:rFonts w:hint="eastAsia" w:ascii="宋体"/>
          <w:b/>
          <w:bCs/>
          <w:sz w:val="32"/>
          <w:szCs w:val="32"/>
        </w:rPr>
        <w:t>第一章   招标公告</w:t>
      </w:r>
      <w:bookmarkEnd w:id="0"/>
    </w:p>
    <w:p>
      <w:pPr>
        <w:adjustRightInd w:val="0"/>
        <w:spacing w:line="600" w:lineRule="exact"/>
        <w:jc w:val="center"/>
        <w:rPr>
          <w:rFonts w:ascii="宋体" w:hAnsi="宋体" w:cs="宋体"/>
          <w:b/>
          <w:sz w:val="32"/>
          <w:szCs w:val="32"/>
          <w:shd w:val="clear" w:color="auto" w:fill="FFFFFF"/>
        </w:rPr>
      </w:pPr>
      <w:bookmarkStart w:id="1" w:name="_Toc35393789"/>
      <w:bookmarkStart w:id="2" w:name="_Toc28359001"/>
      <w:bookmarkStart w:id="3" w:name="_Toc111210734"/>
      <w:r>
        <w:rPr>
          <w:rFonts w:hint="eastAsia" w:ascii="宋体" w:hAnsi="宋体" w:cs="宋体"/>
          <w:b/>
          <w:sz w:val="32"/>
          <w:szCs w:val="32"/>
          <w:shd w:val="clear" w:color="auto" w:fill="FFFFFF"/>
        </w:rPr>
        <w:t>克州国土空间规划信息化建设项目（克州国土基础信息平台和国土空间规划“一张图”实施监督信息系统、国土空间数据整理、测试运行、运维）招标公告</w:t>
      </w:r>
      <w:bookmarkEnd w:id="1"/>
      <w:bookmarkEnd w:id="2"/>
    </w:p>
    <w:p>
      <w:pPr>
        <w:pStyle w:val="42"/>
      </w:pPr>
    </w:p>
    <w:p>
      <w:pPr>
        <w:pBdr>
          <w:top w:val="single" w:color="auto" w:sz="4" w:space="1"/>
          <w:left w:val="single" w:color="auto" w:sz="4" w:space="4"/>
          <w:bottom w:val="single" w:color="auto" w:sz="4" w:space="1"/>
          <w:right w:val="single" w:color="auto" w:sz="4" w:space="4"/>
        </w:pBdr>
        <w:spacing w:line="400" w:lineRule="exact"/>
        <w:rPr>
          <w:rFonts w:ascii="仿宋" w:hAnsi="仿宋" w:eastAsia="仿宋"/>
          <w:szCs w:val="21"/>
        </w:rPr>
      </w:pPr>
      <w:r>
        <w:rPr>
          <w:rFonts w:hint="eastAsia" w:ascii="仿宋" w:hAnsi="仿宋" w:eastAsia="仿宋"/>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ascii="仿宋" w:hAnsi="仿宋" w:eastAsia="仿宋"/>
          <w:szCs w:val="21"/>
        </w:rPr>
      </w:pPr>
      <w:r>
        <w:rPr>
          <w:rFonts w:ascii="仿宋" w:hAnsi="仿宋" w:eastAsia="仿宋"/>
          <w:szCs w:val="21"/>
        </w:rPr>
        <w:t xml:space="preserve"> 克州国土空间规划信息化建设项目（克州国土基础信息平台和国土空间规划“一张图”实施监督信息系统</w:t>
      </w:r>
      <w:r>
        <w:rPr>
          <w:rFonts w:hint="eastAsia" w:ascii="仿宋" w:hAnsi="仿宋" w:eastAsia="仿宋"/>
          <w:szCs w:val="21"/>
        </w:rPr>
        <w:t>、国土空间数据整理、测试运行、运维）</w:t>
      </w:r>
      <w:r>
        <w:rPr>
          <w:rFonts w:ascii="仿宋" w:hAnsi="仿宋" w:eastAsia="仿宋"/>
          <w:szCs w:val="21"/>
        </w:rPr>
        <w:t>的潜在投标人应在供应商登陆政采云平台http://www.zcygov.cn/，在线申请获取采购文件（登录政府采购云平台 → 项目采购 → 获取采购文件 → 申请）获取招标文件，并于</w:t>
      </w:r>
      <w:r>
        <w:rPr>
          <w:rFonts w:ascii="仿宋" w:hAnsi="仿宋" w:eastAsia="仿宋"/>
          <w:color w:val="FF0000"/>
          <w:szCs w:val="21"/>
        </w:rPr>
        <w:t xml:space="preserve"> 202</w:t>
      </w:r>
      <w:r>
        <w:rPr>
          <w:rFonts w:hint="eastAsia" w:ascii="仿宋" w:hAnsi="仿宋" w:eastAsia="仿宋"/>
          <w:color w:val="FF0000"/>
          <w:szCs w:val="21"/>
        </w:rPr>
        <w:t>3</w:t>
      </w:r>
      <w:r>
        <w:rPr>
          <w:rFonts w:ascii="仿宋" w:hAnsi="仿宋" w:eastAsia="仿宋"/>
          <w:color w:val="FF0000"/>
          <w:szCs w:val="21"/>
        </w:rPr>
        <w:t>年</w:t>
      </w:r>
      <w:r>
        <w:rPr>
          <w:rFonts w:hint="eastAsia" w:ascii="仿宋" w:hAnsi="仿宋" w:eastAsia="仿宋"/>
          <w:color w:val="FF0000"/>
          <w:szCs w:val="21"/>
          <w:lang w:val="en-US" w:eastAsia="zh-CN"/>
        </w:rPr>
        <w:t>6</w:t>
      </w:r>
      <w:r>
        <w:rPr>
          <w:rFonts w:ascii="仿宋" w:hAnsi="仿宋" w:eastAsia="仿宋"/>
          <w:color w:val="FF0000"/>
          <w:szCs w:val="21"/>
        </w:rPr>
        <w:t>月</w:t>
      </w:r>
      <w:r>
        <w:rPr>
          <w:rFonts w:hint="eastAsia" w:ascii="仿宋" w:hAnsi="仿宋" w:eastAsia="仿宋"/>
          <w:color w:val="FF0000"/>
          <w:szCs w:val="21"/>
          <w:lang w:val="en-US" w:eastAsia="zh-CN"/>
        </w:rPr>
        <w:t>27</w:t>
      </w:r>
      <w:r>
        <w:rPr>
          <w:rFonts w:ascii="仿宋" w:hAnsi="仿宋" w:eastAsia="仿宋"/>
          <w:color w:val="FF0000"/>
          <w:szCs w:val="21"/>
        </w:rPr>
        <w:t>日 1</w:t>
      </w:r>
      <w:r>
        <w:rPr>
          <w:rFonts w:hint="eastAsia" w:ascii="仿宋" w:hAnsi="仿宋" w:eastAsia="仿宋"/>
          <w:color w:val="FF0000"/>
          <w:szCs w:val="21"/>
        </w:rPr>
        <w:t>0</w:t>
      </w:r>
      <w:r>
        <w:rPr>
          <w:rFonts w:ascii="仿宋" w:hAnsi="仿宋" w:eastAsia="仿宋"/>
          <w:color w:val="FF0000"/>
          <w:szCs w:val="21"/>
        </w:rPr>
        <w:t>:</w:t>
      </w:r>
      <w:r>
        <w:rPr>
          <w:rFonts w:hint="eastAsia" w:ascii="仿宋" w:hAnsi="仿宋" w:eastAsia="仿宋"/>
          <w:color w:val="FF0000"/>
          <w:szCs w:val="21"/>
        </w:rPr>
        <w:t>3</w:t>
      </w:r>
      <w:r>
        <w:rPr>
          <w:rFonts w:ascii="仿宋" w:hAnsi="仿宋" w:eastAsia="仿宋"/>
          <w:color w:val="FF0000"/>
          <w:szCs w:val="21"/>
        </w:rPr>
        <w:t>0</w:t>
      </w:r>
      <w:r>
        <w:rPr>
          <w:rFonts w:ascii="仿宋" w:hAnsi="仿宋" w:eastAsia="仿宋"/>
          <w:szCs w:val="21"/>
        </w:rPr>
        <w:t>（北京时间）前（上传）电子投标文件。</w:t>
      </w:r>
    </w:p>
    <w:p>
      <w:pPr>
        <w:pStyle w:val="4"/>
        <w:adjustRightInd/>
        <w:spacing w:line="400" w:lineRule="exact"/>
        <w:ind w:left="0" w:firstLine="420" w:firstLineChars="200"/>
        <w:textAlignment w:val="auto"/>
        <w:rPr>
          <w:rFonts w:ascii="黑体" w:hAnsi="黑体" w:cs="宋体"/>
          <w:sz w:val="21"/>
          <w:szCs w:val="21"/>
        </w:rPr>
      </w:pPr>
      <w:bookmarkStart w:id="4" w:name="_Toc35393790"/>
      <w:bookmarkStart w:id="5" w:name="_Toc28359002"/>
      <w:bookmarkStart w:id="6" w:name="_Toc28359079"/>
      <w:bookmarkStart w:id="7" w:name="_Toc35393621"/>
      <w:bookmarkStart w:id="8" w:name="_Toc111210729"/>
      <w:bookmarkStart w:id="9" w:name="_Hlk24379207"/>
      <w:r>
        <w:rPr>
          <w:rFonts w:hint="eastAsia" w:ascii="黑体" w:hAnsi="黑体" w:cs="宋体"/>
          <w:sz w:val="21"/>
          <w:szCs w:val="21"/>
        </w:rPr>
        <w:t>一、项目基本情况</w:t>
      </w:r>
      <w:bookmarkEnd w:id="4"/>
      <w:bookmarkEnd w:id="5"/>
      <w:bookmarkEnd w:id="6"/>
      <w:bookmarkEnd w:id="7"/>
      <w:bookmarkEnd w:id="8"/>
    </w:p>
    <w:p>
      <w:pPr>
        <w:spacing w:line="400" w:lineRule="exact"/>
        <w:ind w:firstLine="420" w:firstLineChars="200"/>
        <w:rPr>
          <w:rFonts w:ascii="仿宋" w:hAnsi="仿宋" w:eastAsia="仿宋"/>
          <w:szCs w:val="21"/>
        </w:rPr>
      </w:pPr>
      <w:r>
        <w:rPr>
          <w:rFonts w:hint="eastAsia" w:ascii="仿宋" w:hAnsi="仿宋" w:eastAsia="仿宋"/>
          <w:szCs w:val="21"/>
        </w:rPr>
        <w:t>项目编号：</w:t>
      </w:r>
      <w:r>
        <w:rPr>
          <w:rFonts w:hint="eastAsia" w:ascii="仿宋" w:hAnsi="仿宋" w:eastAsia="仿宋"/>
          <w:color w:val="FF0000"/>
          <w:szCs w:val="21"/>
        </w:rPr>
        <w:t xml:space="preserve">  </w:t>
      </w:r>
    </w:p>
    <w:p>
      <w:pPr>
        <w:spacing w:line="400" w:lineRule="exact"/>
        <w:ind w:firstLine="420" w:firstLineChars="200"/>
        <w:rPr>
          <w:rFonts w:ascii="仿宋" w:hAnsi="仿宋" w:eastAsia="仿宋"/>
          <w:szCs w:val="21"/>
        </w:rPr>
      </w:pPr>
      <w:r>
        <w:rPr>
          <w:rFonts w:hint="eastAsia" w:ascii="仿宋" w:hAnsi="仿宋" w:eastAsia="仿宋"/>
          <w:szCs w:val="21"/>
        </w:rPr>
        <w:t>项目名称：克州国土空间规划信息化建设项目（克州国土基础信息平台和国土空间规划“一张图”实施监督信息系统、国土空间数据整理、测试运行、运维）</w:t>
      </w:r>
    </w:p>
    <w:p>
      <w:pPr>
        <w:spacing w:line="400" w:lineRule="exact"/>
        <w:ind w:firstLine="420" w:firstLineChars="200"/>
        <w:rPr>
          <w:rFonts w:ascii="仿宋" w:hAnsi="仿宋" w:eastAsia="仿宋"/>
          <w:szCs w:val="21"/>
        </w:rPr>
      </w:pPr>
      <w:r>
        <w:rPr>
          <w:rFonts w:hint="eastAsia" w:ascii="仿宋" w:hAnsi="仿宋" w:eastAsia="仿宋"/>
          <w:szCs w:val="21"/>
        </w:rPr>
        <w:t>预算金额（元）：</w:t>
      </w:r>
      <w:bookmarkEnd w:id="9"/>
      <w:r>
        <w:rPr>
          <w:rFonts w:hint="eastAsia" w:ascii="仿宋" w:hAnsi="仿宋" w:eastAsia="仿宋"/>
          <w:szCs w:val="21"/>
        </w:rPr>
        <w:t>7900000</w:t>
      </w:r>
    </w:p>
    <w:p>
      <w:pPr>
        <w:spacing w:line="400" w:lineRule="exact"/>
        <w:ind w:firstLine="420" w:firstLineChars="200"/>
        <w:rPr>
          <w:rFonts w:eastAsia="仿宋"/>
        </w:rPr>
      </w:pPr>
      <w:r>
        <w:rPr>
          <w:rFonts w:hint="eastAsia" w:ascii="仿宋" w:hAnsi="仿宋" w:eastAsia="仿宋"/>
          <w:szCs w:val="21"/>
        </w:rPr>
        <w:t>最高限价（元）：7900000</w:t>
      </w:r>
    </w:p>
    <w:p>
      <w:pPr>
        <w:spacing w:line="400" w:lineRule="exact"/>
        <w:ind w:firstLine="420" w:firstLineChars="200"/>
        <w:rPr>
          <w:rFonts w:ascii="仿宋" w:hAnsi="仿宋" w:eastAsia="仿宋"/>
          <w:szCs w:val="21"/>
        </w:rPr>
      </w:pPr>
      <w:r>
        <w:rPr>
          <w:rFonts w:hint="eastAsia" w:ascii="仿宋" w:hAnsi="仿宋" w:eastAsia="仿宋" w:cs="仿宋"/>
          <w:szCs w:val="21"/>
        </w:rPr>
        <w:t>采购需求：</w:t>
      </w:r>
    </w:p>
    <w:p>
      <w:pPr>
        <w:spacing w:line="400" w:lineRule="exact"/>
        <w:ind w:firstLine="420" w:firstLineChars="200"/>
        <w:rPr>
          <w:rFonts w:ascii="仿宋" w:hAnsi="仿宋" w:eastAsia="仿宋"/>
          <w:szCs w:val="21"/>
        </w:rPr>
      </w:pPr>
      <w:r>
        <w:rPr>
          <w:rFonts w:hint="eastAsia" w:ascii="仿宋" w:hAnsi="仿宋" w:eastAsia="仿宋"/>
          <w:szCs w:val="21"/>
        </w:rPr>
        <w:t>标项名称:克州国土空间规划信息化建设项目（克州国土基础信息平台和国土空间规划“一张图”实施监督信息系统、国土空间数据整理、测试运行、运维）</w:t>
      </w:r>
    </w:p>
    <w:p>
      <w:pPr>
        <w:spacing w:line="400" w:lineRule="exact"/>
        <w:ind w:firstLine="420" w:firstLineChars="200"/>
        <w:rPr>
          <w:rFonts w:ascii="仿宋" w:hAnsi="仿宋" w:eastAsia="仿宋"/>
          <w:szCs w:val="21"/>
        </w:rPr>
      </w:pPr>
      <w:r>
        <w:rPr>
          <w:rFonts w:hint="eastAsia" w:ascii="仿宋" w:hAnsi="仿宋" w:eastAsia="仿宋"/>
          <w:szCs w:val="21"/>
        </w:rPr>
        <w:t xml:space="preserve">    数量:1项</w:t>
      </w:r>
    </w:p>
    <w:p>
      <w:pPr>
        <w:spacing w:line="400" w:lineRule="exact"/>
        <w:ind w:firstLine="420" w:firstLineChars="200"/>
        <w:rPr>
          <w:rFonts w:eastAsia="仿宋"/>
        </w:rPr>
      </w:pPr>
      <w:r>
        <w:rPr>
          <w:rFonts w:hint="eastAsia" w:ascii="仿宋" w:hAnsi="仿宋" w:eastAsia="仿宋"/>
          <w:szCs w:val="21"/>
        </w:rPr>
        <w:t>预算金额（元）:7900000</w:t>
      </w:r>
    </w:p>
    <w:p>
      <w:pPr>
        <w:spacing w:line="400" w:lineRule="exact"/>
        <w:ind w:firstLine="420" w:firstLineChars="200"/>
        <w:rPr>
          <w:rFonts w:ascii="仿宋" w:hAnsi="仿宋" w:eastAsia="仿宋"/>
          <w:szCs w:val="21"/>
        </w:rPr>
      </w:pPr>
      <w:r>
        <w:rPr>
          <w:rFonts w:hint="eastAsia" w:ascii="仿宋" w:hAnsi="仿宋" w:eastAsia="仿宋"/>
          <w:szCs w:val="21"/>
        </w:rPr>
        <w:t>简要规格描述或项目基本概况介绍、用途：</w:t>
      </w:r>
      <w:bookmarkStart w:id="10" w:name="_Toc35393622"/>
      <w:bookmarkStart w:id="11" w:name="_Toc28359003"/>
      <w:bookmarkStart w:id="12" w:name="_Toc35393791"/>
      <w:bookmarkStart w:id="13" w:name="_Toc28359080"/>
      <w:r>
        <w:rPr>
          <w:rFonts w:hint="eastAsia" w:ascii="仿宋" w:hAnsi="仿宋" w:eastAsia="仿宋"/>
          <w:szCs w:val="21"/>
        </w:rPr>
        <w:t>根据自然资源部、新疆维吾尔自治区自然资源厅相关工作要求，克孜勒苏柯尔克孜自治州(简称克州)自然资源局拟开展克州国土空间规划信息化建设项目（克州国土基础信息平台和国土空间规划“一张图”实施监督信息系统建设项目）建设并上线（试）运行，实现克州国土空间管控要素的精准落地，形成覆盖克州、实时动态更新、权威统一的“一张底图”，为国土空间规划、管制、实施监督、战略决策、政务服务等提供有力的技术支撑。信息集成类采购项目，主要建设内容：国土基础信息平台和国土空间规划“一张图”实施监督信息系统建设、国土空间矢量数据整理、测试运行、运行维护等。系统建设标准：不低于国家和新疆维吾尔自治区有关标准要求，同时满足克州国土空间数据汇聚和应用管理的相关要求。</w:t>
      </w:r>
    </w:p>
    <w:p>
      <w:pPr>
        <w:spacing w:line="400" w:lineRule="exact"/>
        <w:ind w:firstLine="420" w:firstLineChars="200"/>
        <w:rPr>
          <w:rFonts w:ascii="仿宋" w:hAnsi="仿宋" w:eastAsia="仿宋"/>
          <w:szCs w:val="21"/>
        </w:rPr>
      </w:pPr>
      <w:r>
        <w:rPr>
          <w:rFonts w:hint="eastAsia" w:ascii="仿宋" w:hAnsi="仿宋" w:eastAsia="仿宋"/>
          <w:szCs w:val="21"/>
        </w:rPr>
        <w:t>备注：详见参数附件或招标文件</w:t>
      </w:r>
    </w:p>
    <w:p>
      <w:pPr>
        <w:spacing w:line="400" w:lineRule="exact"/>
        <w:ind w:firstLine="420" w:firstLineChars="200"/>
        <w:rPr>
          <w:rFonts w:ascii="仿宋" w:hAnsi="仿宋" w:eastAsia="仿宋"/>
          <w:szCs w:val="21"/>
        </w:rPr>
      </w:pPr>
      <w:r>
        <w:rPr>
          <w:rFonts w:hint="eastAsia" w:ascii="仿宋" w:hAnsi="仿宋" w:eastAsia="仿宋"/>
          <w:szCs w:val="21"/>
        </w:rPr>
        <w:t>合同履约期限：详见招标文件</w:t>
      </w:r>
    </w:p>
    <w:p>
      <w:pPr>
        <w:spacing w:line="400" w:lineRule="exact"/>
        <w:ind w:firstLine="420" w:firstLineChars="200"/>
        <w:rPr>
          <w:rFonts w:ascii="仿宋" w:hAnsi="仿宋" w:eastAsia="仿宋"/>
          <w:szCs w:val="21"/>
        </w:rPr>
      </w:pPr>
      <w:r>
        <w:rPr>
          <w:rFonts w:hint="eastAsia" w:ascii="仿宋" w:hAnsi="仿宋" w:eastAsia="仿宋"/>
          <w:b/>
          <w:bCs/>
          <w:szCs w:val="21"/>
        </w:rPr>
        <w:t>本项目接受联合体投标</w:t>
      </w:r>
      <w:r>
        <w:rPr>
          <w:rFonts w:hint="eastAsia" w:ascii="仿宋" w:hAnsi="仿宋" w:eastAsia="仿宋"/>
          <w:szCs w:val="21"/>
        </w:rPr>
        <w:t>。</w:t>
      </w:r>
    </w:p>
    <w:p>
      <w:pPr>
        <w:spacing w:line="400" w:lineRule="exact"/>
        <w:ind w:firstLine="420" w:firstLineChars="200"/>
        <w:rPr>
          <w:rFonts w:ascii="黑体" w:hAnsi="黑体" w:cs="宋体"/>
          <w:b/>
          <w:szCs w:val="21"/>
        </w:rPr>
      </w:pPr>
      <w:r>
        <w:rPr>
          <w:rFonts w:hint="eastAsia" w:ascii="黑体" w:hAnsi="黑体" w:cs="宋体"/>
          <w:b/>
          <w:szCs w:val="21"/>
        </w:rPr>
        <w:t>申请人的资格要求：</w:t>
      </w:r>
      <w:bookmarkEnd w:id="10"/>
      <w:bookmarkEnd w:id="11"/>
      <w:bookmarkEnd w:id="12"/>
      <w:bookmarkEnd w:id="13"/>
    </w:p>
    <w:p>
      <w:pPr>
        <w:spacing w:line="400" w:lineRule="exact"/>
        <w:ind w:firstLine="420" w:firstLineChars="200"/>
        <w:rPr>
          <w:rFonts w:ascii="仿宋" w:hAnsi="仿宋" w:eastAsia="仿宋"/>
          <w:szCs w:val="21"/>
        </w:rPr>
      </w:pPr>
      <w:r>
        <w:rPr>
          <w:rFonts w:hint="eastAsia" w:ascii="仿宋" w:hAnsi="仿宋" w:eastAsia="仿宋"/>
          <w:szCs w:val="21"/>
        </w:rPr>
        <w:t>1.满足《中华人民共和国政府采购法》第二十二条规定；</w:t>
      </w:r>
    </w:p>
    <w:p>
      <w:pPr>
        <w:spacing w:line="400" w:lineRule="exact"/>
        <w:ind w:firstLine="420" w:firstLineChars="200"/>
        <w:jc w:val="left"/>
        <w:rPr>
          <w:rFonts w:ascii="仿宋" w:hAnsi="仿宋" w:eastAsia="仿宋"/>
          <w:szCs w:val="21"/>
        </w:rPr>
      </w:pPr>
      <w:r>
        <w:rPr>
          <w:rFonts w:hint="eastAsia" w:ascii="仿宋" w:hAnsi="仿宋" w:eastAsia="仿宋"/>
          <w:szCs w:val="21"/>
        </w:rPr>
        <w:t>2.落实政府采购政策需满足的资格要求:本项目为非专门面向中小企业采购项目，根据《政府采购促进中小企业发展管理办法》（财库【2020】46号）规定，对符合规定的小微企业报价给予10%~20%的扣除，用扣除后的价格参加评审。大中型企业与小微企业组成联合体的，对于联合协议约定小微企业的合同份额占到合同总金额30%以上的，对联合体的报价给予4%-6%的扣除，用扣除后的价格参加评审。</w:t>
      </w:r>
    </w:p>
    <w:p>
      <w:pPr>
        <w:spacing w:line="400" w:lineRule="exact"/>
        <w:ind w:left="210" w:leftChars="100" w:firstLine="210" w:firstLineChars="100"/>
        <w:rPr>
          <w:rFonts w:ascii="仿宋" w:hAnsi="仿宋" w:eastAsia="仿宋"/>
          <w:b/>
          <w:bCs/>
          <w:szCs w:val="21"/>
        </w:rPr>
      </w:pPr>
      <w:r>
        <w:rPr>
          <w:rFonts w:hint="eastAsia" w:ascii="仿宋" w:hAnsi="仿宋" w:eastAsia="仿宋"/>
          <w:b/>
          <w:bCs/>
          <w:szCs w:val="21"/>
        </w:rPr>
        <w:t>3.本项目的特定资格要求：</w:t>
      </w:r>
    </w:p>
    <w:p>
      <w:pPr>
        <w:spacing w:line="400" w:lineRule="exact"/>
        <w:ind w:left="630" w:leftChars="200" w:hanging="210" w:hangingChars="100"/>
        <w:jc w:val="left"/>
        <w:rPr>
          <w:rFonts w:ascii="仿宋" w:hAnsi="仿宋" w:eastAsia="仿宋"/>
          <w:b/>
          <w:bCs/>
          <w:szCs w:val="21"/>
        </w:rPr>
      </w:pPr>
      <w:r>
        <w:rPr>
          <w:rFonts w:hint="eastAsia" w:ascii="仿宋" w:hAnsi="仿宋" w:eastAsia="仿宋"/>
          <w:b/>
          <w:bCs/>
          <w:szCs w:val="21"/>
        </w:rPr>
        <w:t>（1）（三证合一）营业执照；</w:t>
      </w:r>
    </w:p>
    <w:p>
      <w:pPr>
        <w:spacing w:line="400" w:lineRule="exact"/>
        <w:ind w:firstLine="420" w:firstLineChars="200"/>
        <w:jc w:val="left"/>
        <w:rPr>
          <w:rFonts w:ascii="仿宋" w:hAnsi="仿宋" w:eastAsia="仿宋"/>
          <w:b/>
          <w:bCs/>
          <w:szCs w:val="21"/>
        </w:rPr>
      </w:pPr>
      <w:r>
        <w:rPr>
          <w:rFonts w:hint="eastAsia" w:ascii="仿宋" w:hAnsi="仿宋" w:eastAsia="仿宋"/>
          <w:b/>
          <w:bCs/>
          <w:szCs w:val="21"/>
        </w:rPr>
        <w:t>（2）法定代表人投标需提供法定代表人资格证明书，委托代理人投标需提供法定代表人授权委托书；</w:t>
      </w:r>
    </w:p>
    <w:p>
      <w:pPr>
        <w:spacing w:line="400" w:lineRule="exact"/>
        <w:ind w:firstLine="420" w:firstLineChars="200"/>
        <w:jc w:val="left"/>
        <w:rPr>
          <w:rFonts w:ascii="仿宋" w:hAnsi="仿宋" w:eastAsia="仿宋"/>
          <w:b/>
          <w:bCs/>
          <w:szCs w:val="21"/>
        </w:rPr>
      </w:pPr>
      <w:r>
        <w:rPr>
          <w:rFonts w:hint="eastAsia" w:ascii="仿宋" w:hAnsi="仿宋" w:eastAsia="仿宋"/>
          <w:b/>
          <w:bCs/>
          <w:szCs w:val="21"/>
        </w:rPr>
        <w:t>（3）有依法缴纳税收和社会保障资金的良好记录(提供承诺函及依法缴纳社会保障资金证明）；</w:t>
      </w:r>
    </w:p>
    <w:p>
      <w:pPr>
        <w:spacing w:line="400" w:lineRule="exact"/>
        <w:ind w:left="630" w:leftChars="200" w:hanging="210" w:hangingChars="100"/>
        <w:jc w:val="left"/>
        <w:rPr>
          <w:rFonts w:hint="eastAsia" w:ascii="仿宋" w:hAnsi="仿宋" w:eastAsia="仿宋"/>
          <w:b/>
          <w:bCs/>
          <w:szCs w:val="21"/>
          <w:lang w:eastAsia="zh-CN"/>
        </w:rPr>
      </w:pPr>
      <w:r>
        <w:rPr>
          <w:rFonts w:hint="eastAsia" w:ascii="仿宋" w:hAnsi="仿宋" w:eastAsia="仿宋"/>
          <w:b/>
          <w:bCs/>
          <w:szCs w:val="21"/>
        </w:rPr>
        <w:t>（4）参加采购活动前三年内，在经营活动中没有重大违法记录，“信用中国”网站（http://www.creditchina.gov.cn/）、“中国政府采购网”网站（http://www.ccgp.gov.cn）无违法违规行为的查询纪录</w:t>
      </w:r>
      <w:r>
        <w:rPr>
          <w:rFonts w:hint="eastAsia" w:ascii="仿宋" w:hAnsi="仿宋" w:eastAsia="仿宋"/>
          <w:b/>
          <w:bCs/>
          <w:szCs w:val="21"/>
          <w:lang w:eastAsia="zh-CN"/>
        </w:rPr>
        <w:t>；</w:t>
      </w:r>
    </w:p>
    <w:p>
      <w:pPr>
        <w:spacing w:line="400" w:lineRule="exact"/>
        <w:ind w:firstLine="420" w:firstLineChars="200"/>
        <w:jc w:val="left"/>
        <w:rPr>
          <w:rFonts w:ascii="仿宋" w:hAnsi="仿宋" w:eastAsia="仿宋"/>
          <w:b/>
          <w:bCs/>
          <w:color w:val="auto"/>
          <w:szCs w:val="21"/>
          <w:highlight w:val="none"/>
        </w:rPr>
      </w:pPr>
      <w:r>
        <w:rPr>
          <w:rFonts w:hint="eastAsia" w:ascii="仿宋" w:hAnsi="仿宋" w:eastAsia="仿宋"/>
          <w:b/>
          <w:bCs/>
          <w:color w:val="auto"/>
          <w:szCs w:val="21"/>
          <w:highlight w:val="none"/>
        </w:rPr>
        <w:t>（5）投标人须具备城乡规划编制甲级资质和测绘（地理信息系统工程、地图编制）资质，或土地规划甲级资质和测绘（地理信息工程、地图编制）资质；</w:t>
      </w:r>
    </w:p>
    <w:p>
      <w:pPr>
        <w:spacing w:line="400" w:lineRule="exact"/>
        <w:ind w:firstLine="420" w:firstLineChars="200"/>
        <w:jc w:val="left"/>
        <w:rPr>
          <w:rFonts w:ascii="仿宋" w:hAnsi="仿宋" w:eastAsia="仿宋"/>
          <w:b/>
          <w:bCs/>
          <w:color w:val="auto"/>
          <w:szCs w:val="21"/>
          <w:highlight w:val="none"/>
        </w:rPr>
      </w:pPr>
      <w:r>
        <w:rPr>
          <w:rFonts w:hint="eastAsia" w:ascii="仿宋" w:hAnsi="仿宋" w:eastAsia="仿宋"/>
          <w:b/>
          <w:bCs/>
          <w:color w:val="auto"/>
          <w:szCs w:val="21"/>
          <w:highlight w:val="none"/>
        </w:rPr>
        <w:t>（6）项目负责人不超过2人，整体应具有城乡规划且具有测绘或数据系统相关专业高级职称证书（专业类型以相关人员职称证书专业为准）；</w:t>
      </w:r>
    </w:p>
    <w:p>
      <w:pPr>
        <w:spacing w:line="400" w:lineRule="exact"/>
        <w:ind w:left="630" w:leftChars="200" w:hanging="210" w:hangingChars="100"/>
        <w:jc w:val="left"/>
        <w:rPr>
          <w:rFonts w:ascii="仿宋" w:hAnsi="仿宋" w:eastAsia="仿宋"/>
          <w:b/>
          <w:bCs/>
          <w:szCs w:val="21"/>
        </w:rPr>
      </w:pPr>
      <w:r>
        <w:rPr>
          <w:rFonts w:hint="eastAsia" w:ascii="仿宋" w:hAnsi="仿宋" w:eastAsia="仿宋"/>
          <w:b/>
          <w:bCs/>
          <w:szCs w:val="21"/>
        </w:rPr>
        <w:t>（7）本项目接受联合体投标。</w:t>
      </w:r>
      <w:bookmarkStart w:id="14" w:name="_Toc35393792"/>
      <w:bookmarkStart w:id="15" w:name="_Toc28359081"/>
      <w:bookmarkStart w:id="16" w:name="_Toc28359004"/>
      <w:bookmarkStart w:id="17" w:name="_Toc35393623"/>
    </w:p>
    <w:p>
      <w:pPr>
        <w:pStyle w:val="4"/>
        <w:adjustRightInd/>
        <w:spacing w:line="400" w:lineRule="exact"/>
        <w:ind w:left="431" w:firstLine="0"/>
        <w:textAlignment w:val="auto"/>
        <w:rPr>
          <w:rFonts w:ascii="仿宋" w:hAnsi="仿宋" w:eastAsia="仿宋"/>
          <w:sz w:val="21"/>
          <w:szCs w:val="21"/>
        </w:rPr>
      </w:pPr>
      <w:bookmarkStart w:id="18" w:name="_Toc111210730"/>
      <w:r>
        <w:rPr>
          <w:rFonts w:hint="eastAsia" w:ascii="黑体" w:hAnsi="黑体" w:cs="宋体"/>
          <w:b/>
          <w:sz w:val="21"/>
          <w:szCs w:val="21"/>
        </w:rPr>
        <w:t>三、获取招标文件</w:t>
      </w:r>
      <w:bookmarkEnd w:id="14"/>
      <w:bookmarkEnd w:id="15"/>
      <w:bookmarkEnd w:id="16"/>
      <w:bookmarkEnd w:id="17"/>
      <w:bookmarkEnd w:id="18"/>
    </w:p>
    <w:p>
      <w:pPr>
        <w:pStyle w:val="20"/>
        <w:spacing w:before="0" w:beforeAutospacing="0" w:after="0" w:afterAutospacing="0" w:line="400" w:lineRule="exact"/>
        <w:ind w:firstLine="420"/>
        <w:rPr>
          <w:rFonts w:ascii="仿宋" w:hAnsi="仿宋" w:eastAsia="仿宋" w:cs="仿宋"/>
          <w:sz w:val="22"/>
          <w:szCs w:val="22"/>
        </w:rPr>
      </w:pPr>
      <w:bookmarkStart w:id="19" w:name="_Toc28359082"/>
      <w:bookmarkStart w:id="20" w:name="_Toc28359005"/>
      <w:bookmarkStart w:id="21" w:name="_Toc35393793"/>
      <w:bookmarkStart w:id="22" w:name="_Toc35393624"/>
      <w:bookmarkStart w:id="23" w:name="_Toc111210731"/>
      <w:r>
        <w:rPr>
          <w:rFonts w:hint="eastAsia" w:ascii="仿宋" w:hAnsi="仿宋" w:eastAsia="仿宋" w:cs="仿宋"/>
          <w:sz w:val="22"/>
          <w:szCs w:val="22"/>
        </w:rPr>
        <w:t>时间：</w:t>
      </w:r>
      <w:r>
        <w:rPr>
          <w:rFonts w:hint="eastAsia" w:ascii="仿宋" w:hAnsi="仿宋" w:eastAsia="仿宋" w:cs="仿宋"/>
          <w:color w:val="FF0000"/>
          <w:sz w:val="22"/>
          <w:szCs w:val="22"/>
        </w:rPr>
        <w:t>2023年</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7</w:t>
      </w:r>
      <w:r>
        <w:rPr>
          <w:rFonts w:hint="eastAsia" w:ascii="仿宋" w:hAnsi="仿宋" w:eastAsia="仿宋" w:cs="仿宋"/>
          <w:color w:val="FF0000"/>
          <w:sz w:val="22"/>
          <w:szCs w:val="22"/>
        </w:rPr>
        <w:t>日至2023年</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14</w:t>
      </w:r>
      <w:r>
        <w:rPr>
          <w:rFonts w:hint="eastAsia" w:ascii="仿宋" w:hAnsi="仿宋" w:eastAsia="仿宋" w:cs="仿宋"/>
          <w:color w:val="FF0000"/>
          <w:sz w:val="22"/>
          <w:szCs w:val="22"/>
        </w:rPr>
        <w:t>日</w:t>
      </w:r>
      <w:r>
        <w:rPr>
          <w:rFonts w:hint="eastAsia" w:ascii="仿宋" w:hAnsi="仿宋" w:eastAsia="仿宋" w:cs="仿宋"/>
          <w:sz w:val="22"/>
          <w:szCs w:val="22"/>
        </w:rPr>
        <w:t>，每天上午10:00至1</w:t>
      </w:r>
      <w:r>
        <w:rPr>
          <w:rFonts w:hint="eastAsia" w:ascii="仿宋" w:hAnsi="仿宋" w:eastAsia="仿宋" w:cs="仿宋"/>
          <w:sz w:val="22"/>
          <w:szCs w:val="22"/>
          <w:lang w:val="en-US" w:eastAsia="zh-CN"/>
        </w:rPr>
        <w:t>3</w:t>
      </w: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0，下午16:</w:t>
      </w:r>
      <w:r>
        <w:rPr>
          <w:rFonts w:hint="eastAsia" w:ascii="仿宋" w:hAnsi="仿宋" w:eastAsia="仿宋" w:cs="仿宋"/>
          <w:sz w:val="22"/>
          <w:szCs w:val="22"/>
          <w:lang w:val="en-US" w:eastAsia="zh-CN"/>
        </w:rPr>
        <w:t>3</w:t>
      </w:r>
      <w:r>
        <w:rPr>
          <w:rFonts w:hint="eastAsia" w:ascii="仿宋" w:hAnsi="仿宋" w:eastAsia="仿宋" w:cs="仿宋"/>
          <w:sz w:val="22"/>
          <w:szCs w:val="22"/>
        </w:rPr>
        <w:t>0至</w:t>
      </w:r>
      <w:r>
        <w:rPr>
          <w:rFonts w:hint="eastAsia" w:ascii="仿宋" w:hAnsi="仿宋" w:eastAsia="仿宋" w:cs="仿宋"/>
          <w:sz w:val="22"/>
          <w:szCs w:val="22"/>
          <w:lang w:val="en-US" w:eastAsia="zh-CN"/>
        </w:rPr>
        <w:t>20</w:t>
      </w:r>
      <w:r>
        <w:rPr>
          <w:rFonts w:hint="eastAsia" w:ascii="仿宋" w:hAnsi="仿宋" w:eastAsia="仿宋" w:cs="仿宋"/>
          <w:sz w:val="22"/>
          <w:szCs w:val="22"/>
        </w:rPr>
        <w:t>:</w:t>
      </w:r>
      <w:r>
        <w:rPr>
          <w:rFonts w:hint="eastAsia" w:ascii="仿宋" w:hAnsi="仿宋" w:eastAsia="仿宋" w:cs="仿宋"/>
          <w:sz w:val="22"/>
          <w:szCs w:val="22"/>
          <w:lang w:val="en-US" w:eastAsia="zh-CN"/>
        </w:rPr>
        <w:t>0</w:t>
      </w:r>
      <w:r>
        <w:rPr>
          <w:rFonts w:hint="eastAsia" w:ascii="仿宋" w:hAnsi="仿宋" w:eastAsia="仿宋" w:cs="仿宋"/>
          <w:sz w:val="22"/>
          <w:szCs w:val="22"/>
        </w:rPr>
        <w:t>0（北京时间，法定节假日除外）</w:t>
      </w:r>
    </w:p>
    <w:p>
      <w:pPr>
        <w:pStyle w:val="20"/>
        <w:spacing w:before="0" w:beforeAutospacing="0" w:after="0" w:afterAutospacing="0" w:line="400" w:lineRule="exact"/>
        <w:ind w:firstLine="420"/>
        <w:rPr>
          <w:rFonts w:ascii="仿宋" w:hAnsi="仿宋" w:eastAsia="仿宋" w:cs="仿宋"/>
          <w:sz w:val="22"/>
          <w:szCs w:val="22"/>
        </w:rPr>
      </w:pPr>
      <w:r>
        <w:rPr>
          <w:rFonts w:hint="eastAsia" w:ascii="仿宋" w:hAnsi="仿宋" w:eastAsia="仿宋" w:cs="仿宋"/>
          <w:sz w:val="22"/>
          <w:szCs w:val="22"/>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20"/>
        <w:spacing w:before="0" w:beforeAutospacing="0" w:after="0" w:afterAutospacing="0" w:line="400" w:lineRule="exact"/>
        <w:ind w:firstLine="420"/>
        <w:rPr>
          <w:rFonts w:ascii="仿宋" w:hAnsi="仿宋" w:eastAsia="仿宋" w:cs="仿宋"/>
          <w:sz w:val="22"/>
          <w:szCs w:val="22"/>
        </w:rPr>
      </w:pPr>
      <w:r>
        <w:rPr>
          <w:rFonts w:hint="eastAsia" w:ascii="仿宋" w:hAnsi="仿宋" w:eastAsia="仿宋" w:cs="仿宋"/>
          <w:sz w:val="22"/>
          <w:szCs w:val="22"/>
        </w:rPr>
        <w:t>方式：（1）线上获取（登录政府采购云平台 → 项目采购 → 获取招标文件→ 申请，审核通过后可下载招标文件）。本次招标不提供纸质版招标文件。</w:t>
      </w:r>
    </w:p>
    <w:p>
      <w:pPr>
        <w:pStyle w:val="20"/>
        <w:spacing w:before="0" w:beforeAutospacing="0" w:after="0" w:afterAutospacing="0" w:line="400" w:lineRule="exact"/>
        <w:ind w:firstLine="420"/>
        <w:rPr>
          <w:rFonts w:ascii="仿宋" w:hAnsi="仿宋" w:eastAsia="仿宋" w:cs="仿宋"/>
          <w:sz w:val="22"/>
          <w:szCs w:val="22"/>
        </w:rPr>
      </w:pPr>
      <w:r>
        <w:rPr>
          <w:rFonts w:hint="eastAsia" w:ascii="仿宋" w:hAnsi="仿宋" w:eastAsia="仿宋" w:cs="仿宋"/>
          <w:sz w:val="22"/>
          <w:szCs w:val="22"/>
        </w:rPr>
        <w:t>（2）供应商获取招标文件前应注册成为政府采购云平台正式供应商。</w:t>
      </w:r>
    </w:p>
    <w:p>
      <w:pPr>
        <w:pStyle w:val="20"/>
        <w:spacing w:before="0" w:beforeAutospacing="0" w:after="0" w:afterAutospacing="0" w:line="400" w:lineRule="exact"/>
        <w:ind w:firstLine="420"/>
        <w:rPr>
          <w:rFonts w:ascii="仿宋" w:hAnsi="仿宋" w:eastAsia="仿宋" w:cs="仿宋"/>
          <w:sz w:val="22"/>
          <w:szCs w:val="22"/>
        </w:rPr>
      </w:pPr>
      <w:r>
        <w:rPr>
          <w:rFonts w:hint="eastAsia" w:ascii="仿宋" w:hAnsi="仿宋" w:eastAsia="仿宋" w:cs="仿宋"/>
          <w:sz w:val="22"/>
          <w:szCs w:val="22"/>
        </w:rPr>
        <w:t>售价（元）：0</w:t>
      </w:r>
    </w:p>
    <w:p>
      <w:pPr>
        <w:pStyle w:val="4"/>
        <w:adjustRightInd/>
        <w:spacing w:line="400" w:lineRule="exact"/>
        <w:ind w:left="431" w:firstLine="0"/>
        <w:textAlignment w:val="auto"/>
        <w:rPr>
          <w:rFonts w:ascii="黑体" w:hAnsi="黑体" w:cs="宋体"/>
          <w:b/>
          <w:sz w:val="21"/>
          <w:szCs w:val="21"/>
        </w:rPr>
      </w:pPr>
      <w:r>
        <w:rPr>
          <w:rFonts w:hint="eastAsia" w:ascii="黑体" w:hAnsi="黑体" w:cs="宋体"/>
          <w:b/>
          <w:sz w:val="21"/>
          <w:szCs w:val="21"/>
        </w:rPr>
        <w:t>四、提交投标文件</w:t>
      </w:r>
      <w:bookmarkEnd w:id="19"/>
      <w:bookmarkEnd w:id="20"/>
      <w:r>
        <w:rPr>
          <w:rFonts w:hint="eastAsia" w:ascii="黑体" w:hAnsi="黑体" w:cs="宋体"/>
          <w:b/>
          <w:sz w:val="21"/>
          <w:szCs w:val="21"/>
        </w:rPr>
        <w:t>截止时间、开标时间和地点</w:t>
      </w:r>
      <w:bookmarkEnd w:id="21"/>
      <w:bookmarkEnd w:id="22"/>
      <w:bookmarkEnd w:id="23"/>
    </w:p>
    <w:p>
      <w:pPr>
        <w:pStyle w:val="20"/>
        <w:spacing w:before="0" w:beforeAutospacing="0" w:after="0" w:afterAutospacing="0" w:line="300" w:lineRule="atLeast"/>
        <w:ind w:firstLine="420"/>
        <w:rPr>
          <w:rFonts w:ascii="仿宋" w:hAnsi="仿宋" w:eastAsia="仿宋" w:cs="仿宋"/>
          <w:sz w:val="22"/>
          <w:szCs w:val="22"/>
        </w:rPr>
      </w:pPr>
      <w:bookmarkStart w:id="24" w:name="_Toc111210732"/>
      <w:bookmarkStart w:id="25" w:name="_Toc35393794"/>
      <w:bookmarkStart w:id="26" w:name="_Toc28359084"/>
      <w:bookmarkStart w:id="27" w:name="_Toc28359007"/>
      <w:bookmarkStart w:id="28" w:name="_Toc35393625"/>
      <w:r>
        <w:rPr>
          <w:rFonts w:hint="eastAsia" w:ascii="仿宋" w:hAnsi="仿宋" w:eastAsia="仿宋" w:cs="仿宋"/>
          <w:sz w:val="22"/>
          <w:szCs w:val="22"/>
        </w:rPr>
        <w:t>提交投标文件截止时间：</w:t>
      </w:r>
      <w:r>
        <w:rPr>
          <w:rFonts w:hint="eastAsia" w:ascii="仿宋" w:hAnsi="仿宋" w:eastAsia="仿宋" w:cs="仿宋"/>
          <w:color w:val="FF0000"/>
          <w:sz w:val="22"/>
          <w:szCs w:val="22"/>
        </w:rPr>
        <w:t>2023年</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27</w:t>
      </w:r>
      <w:r>
        <w:rPr>
          <w:rFonts w:hint="eastAsia" w:ascii="仿宋" w:hAnsi="仿宋" w:eastAsia="仿宋" w:cs="仿宋"/>
          <w:color w:val="FF0000"/>
          <w:sz w:val="22"/>
          <w:szCs w:val="22"/>
        </w:rPr>
        <w:t>日</w:t>
      </w:r>
      <w:r>
        <w:rPr>
          <w:rFonts w:hint="eastAsia" w:ascii="仿宋" w:hAnsi="仿宋" w:eastAsia="仿宋" w:cs="仿宋"/>
          <w:sz w:val="22"/>
          <w:szCs w:val="22"/>
        </w:rPr>
        <w:t xml:space="preserve"> 10:30（北京时间）</w:t>
      </w:r>
    </w:p>
    <w:p>
      <w:pPr>
        <w:pStyle w:val="20"/>
        <w:spacing w:before="0" w:beforeAutospacing="0" w:after="0" w:afterAutospacing="0" w:line="300" w:lineRule="atLeast"/>
        <w:ind w:firstLine="420"/>
        <w:rPr>
          <w:rFonts w:ascii="仿宋" w:hAnsi="仿宋" w:eastAsia="仿宋" w:cs="仿宋"/>
          <w:sz w:val="22"/>
          <w:szCs w:val="22"/>
        </w:rPr>
      </w:pPr>
      <w:r>
        <w:rPr>
          <w:rFonts w:hint="eastAsia" w:ascii="仿宋" w:hAnsi="仿宋" w:eastAsia="仿宋" w:cs="仿宋"/>
          <w:sz w:val="22"/>
          <w:szCs w:val="22"/>
        </w:rPr>
        <w:t>投标地点：政府采购云平台（www.zcygov.cn）</w:t>
      </w:r>
    </w:p>
    <w:p>
      <w:pPr>
        <w:pStyle w:val="20"/>
        <w:spacing w:before="0" w:beforeAutospacing="0" w:after="0" w:afterAutospacing="0" w:line="300" w:lineRule="atLeast"/>
        <w:ind w:firstLine="420"/>
        <w:rPr>
          <w:rFonts w:ascii="仿宋" w:hAnsi="仿宋" w:eastAsia="仿宋" w:cs="仿宋"/>
          <w:sz w:val="22"/>
          <w:szCs w:val="22"/>
        </w:rPr>
      </w:pPr>
      <w:r>
        <w:rPr>
          <w:rFonts w:hint="eastAsia" w:ascii="仿宋" w:hAnsi="仿宋" w:eastAsia="仿宋" w:cs="仿宋"/>
          <w:sz w:val="22"/>
          <w:szCs w:val="22"/>
        </w:rPr>
        <w:t>开标时间：</w:t>
      </w:r>
      <w:r>
        <w:rPr>
          <w:rFonts w:hint="eastAsia" w:ascii="仿宋" w:hAnsi="仿宋" w:eastAsia="仿宋" w:cs="仿宋"/>
          <w:color w:val="FF0000"/>
          <w:sz w:val="22"/>
          <w:szCs w:val="22"/>
        </w:rPr>
        <w:t>2023年</w:t>
      </w:r>
      <w:r>
        <w:rPr>
          <w:rFonts w:hint="eastAsia" w:ascii="仿宋" w:hAnsi="仿宋" w:eastAsia="仿宋" w:cs="仿宋"/>
          <w:color w:val="FF0000"/>
          <w:sz w:val="22"/>
          <w:szCs w:val="22"/>
          <w:lang w:val="en-US" w:eastAsia="zh-CN"/>
        </w:rPr>
        <w:t>6</w:t>
      </w:r>
      <w:r>
        <w:rPr>
          <w:rFonts w:hint="eastAsia" w:ascii="仿宋" w:hAnsi="仿宋" w:eastAsia="仿宋" w:cs="仿宋"/>
          <w:color w:val="FF0000"/>
          <w:sz w:val="22"/>
          <w:szCs w:val="22"/>
        </w:rPr>
        <w:t>月</w:t>
      </w:r>
      <w:r>
        <w:rPr>
          <w:rFonts w:hint="eastAsia" w:ascii="仿宋" w:hAnsi="仿宋" w:eastAsia="仿宋" w:cs="仿宋"/>
          <w:color w:val="FF0000"/>
          <w:sz w:val="22"/>
          <w:szCs w:val="22"/>
          <w:lang w:val="en-US" w:eastAsia="zh-CN"/>
        </w:rPr>
        <w:t>27</w:t>
      </w:r>
      <w:r>
        <w:rPr>
          <w:rFonts w:hint="eastAsia" w:ascii="仿宋" w:hAnsi="仿宋" w:eastAsia="仿宋" w:cs="仿宋"/>
          <w:color w:val="FF0000"/>
          <w:sz w:val="22"/>
          <w:szCs w:val="22"/>
        </w:rPr>
        <w:t>日 10:30</w:t>
      </w:r>
      <w:r>
        <w:rPr>
          <w:rFonts w:hint="eastAsia" w:ascii="仿宋" w:hAnsi="仿宋" w:eastAsia="仿宋" w:cs="仿宋"/>
          <w:sz w:val="22"/>
          <w:szCs w:val="22"/>
        </w:rPr>
        <w:t>（北京时间）</w:t>
      </w:r>
    </w:p>
    <w:p>
      <w:pPr>
        <w:pStyle w:val="20"/>
        <w:spacing w:before="0" w:beforeAutospacing="0" w:after="0" w:afterAutospacing="0" w:line="300" w:lineRule="atLeast"/>
        <w:ind w:firstLine="420"/>
        <w:rPr>
          <w:rFonts w:ascii="仿宋" w:hAnsi="仿宋" w:eastAsia="仿宋" w:cs="仿宋"/>
          <w:sz w:val="22"/>
          <w:szCs w:val="22"/>
        </w:rPr>
      </w:pPr>
      <w:r>
        <w:rPr>
          <w:rFonts w:hint="eastAsia" w:ascii="仿宋" w:hAnsi="仿宋" w:eastAsia="仿宋" w:cs="仿宋"/>
          <w:sz w:val="22"/>
          <w:szCs w:val="22"/>
        </w:rPr>
        <w:t>开标地点：政府采购云平台（www.zcygov.cn）</w:t>
      </w:r>
    </w:p>
    <w:p>
      <w:pPr>
        <w:pStyle w:val="4"/>
        <w:adjustRightInd/>
        <w:spacing w:line="400" w:lineRule="exact"/>
        <w:ind w:left="0" w:firstLine="420" w:firstLineChars="200"/>
        <w:textAlignment w:val="auto"/>
        <w:rPr>
          <w:rFonts w:ascii="黑体" w:hAnsi="黑体" w:cs="宋体"/>
          <w:b/>
          <w:sz w:val="21"/>
          <w:szCs w:val="21"/>
        </w:rPr>
      </w:pPr>
      <w:r>
        <w:rPr>
          <w:rFonts w:hint="eastAsia" w:ascii="黑体" w:hAnsi="黑体" w:cs="宋体"/>
          <w:b/>
          <w:sz w:val="21"/>
          <w:szCs w:val="21"/>
        </w:rPr>
        <w:t>五、公告期限</w:t>
      </w:r>
      <w:bookmarkEnd w:id="24"/>
      <w:bookmarkEnd w:id="25"/>
      <w:bookmarkEnd w:id="26"/>
      <w:bookmarkEnd w:id="27"/>
      <w:bookmarkEnd w:id="28"/>
    </w:p>
    <w:p>
      <w:pPr>
        <w:spacing w:line="400" w:lineRule="exact"/>
        <w:ind w:firstLine="420" w:firstLineChars="200"/>
        <w:rPr>
          <w:rFonts w:ascii="仿宋" w:hAnsi="仿宋" w:eastAsia="仿宋"/>
          <w:szCs w:val="21"/>
        </w:rPr>
      </w:pPr>
      <w:r>
        <w:rPr>
          <w:rFonts w:hint="eastAsia" w:ascii="仿宋" w:hAnsi="仿宋" w:eastAsia="仿宋"/>
          <w:szCs w:val="21"/>
        </w:rPr>
        <w:t>自本公告发布之日起5个工作日</w:t>
      </w:r>
    </w:p>
    <w:p>
      <w:pPr>
        <w:pStyle w:val="4"/>
        <w:adjustRightInd/>
        <w:spacing w:line="400" w:lineRule="exact"/>
        <w:ind w:right="-793" w:rightChars="-378"/>
        <w:textAlignment w:val="auto"/>
        <w:rPr>
          <w:sz w:val="21"/>
          <w:szCs w:val="21"/>
        </w:rPr>
      </w:pPr>
      <w:bookmarkStart w:id="29" w:name="_Toc35393795"/>
      <w:bookmarkStart w:id="30" w:name="_Toc35393626"/>
      <w:bookmarkStart w:id="31" w:name="_Toc111210733"/>
      <w:r>
        <w:rPr>
          <w:rFonts w:hint="eastAsia" w:ascii="黑体" w:hAnsi="黑体" w:cs="宋体"/>
          <w:b/>
          <w:sz w:val="21"/>
          <w:szCs w:val="21"/>
        </w:rPr>
        <w:t>六、其他补充事宜</w:t>
      </w:r>
      <w:bookmarkEnd w:id="29"/>
      <w:bookmarkEnd w:id="30"/>
      <w:bookmarkEnd w:id="31"/>
      <w:bookmarkStart w:id="32" w:name="_Toc35393796"/>
      <w:bookmarkStart w:id="33" w:name="_Toc35393627"/>
      <w:bookmarkStart w:id="34" w:name="_Toc28359085"/>
      <w:bookmarkStart w:id="35" w:name="_Toc28359008"/>
    </w:p>
    <w:p>
      <w:pPr>
        <w:spacing w:line="400" w:lineRule="exact"/>
        <w:ind w:left="210" w:leftChars="100"/>
        <w:rPr>
          <w:rFonts w:ascii="仿宋" w:hAnsi="仿宋" w:eastAsia="仿宋"/>
          <w:szCs w:val="21"/>
        </w:rPr>
      </w:pPr>
      <w:r>
        <w:rPr>
          <w:rFonts w:ascii="仿宋" w:hAnsi="仿宋" w:eastAsia="仿宋"/>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400" w:lineRule="exact"/>
        <w:ind w:left="210" w:leftChars="100"/>
        <w:rPr>
          <w:rFonts w:ascii="仿宋" w:hAnsi="仿宋" w:eastAsia="仿宋"/>
          <w:szCs w:val="21"/>
        </w:rPr>
      </w:pPr>
      <w:r>
        <w:rPr>
          <w:rFonts w:ascii="仿宋" w:hAnsi="仿宋" w:eastAsia="仿宋"/>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ind w:left="210" w:leftChars="100"/>
        <w:rPr>
          <w:rFonts w:ascii="黑体" w:hAnsi="黑体" w:cs="宋体"/>
          <w:b/>
          <w:szCs w:val="21"/>
        </w:rPr>
      </w:pPr>
      <w:r>
        <w:rPr>
          <w:rFonts w:ascii="仿宋" w:hAnsi="仿宋" w:eastAsia="仿宋"/>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400" w:lineRule="exact"/>
        <w:ind w:firstLine="420" w:firstLineChars="200"/>
        <w:rPr>
          <w:rFonts w:ascii="仿宋" w:hAnsi="仿宋" w:eastAsia="仿宋"/>
          <w:szCs w:val="21"/>
        </w:rPr>
      </w:pPr>
      <w:r>
        <w:rPr>
          <w:rFonts w:hint="eastAsia" w:ascii="黑体" w:hAnsi="黑体" w:cs="宋体"/>
          <w:b/>
          <w:szCs w:val="21"/>
        </w:rPr>
        <w:t>七、对本次招标提出询问，请按以下方式联系。</w:t>
      </w:r>
      <w:bookmarkEnd w:id="32"/>
      <w:bookmarkEnd w:id="33"/>
      <w:bookmarkEnd w:id="34"/>
      <w:bookmarkEnd w:id="35"/>
    </w:p>
    <w:p>
      <w:pPr>
        <w:spacing w:line="400" w:lineRule="exact"/>
        <w:ind w:firstLine="210" w:firstLineChars="100"/>
        <w:rPr>
          <w:rFonts w:ascii="仿宋" w:hAnsi="仿宋" w:eastAsia="仿宋"/>
          <w:szCs w:val="21"/>
        </w:rPr>
      </w:pPr>
      <w:r>
        <w:rPr>
          <w:rFonts w:hint="eastAsia" w:ascii="仿宋" w:hAnsi="仿宋" w:eastAsia="仿宋"/>
          <w:szCs w:val="21"/>
        </w:rPr>
        <w:t>1.采购人信息</w:t>
      </w:r>
    </w:p>
    <w:p>
      <w:pPr>
        <w:spacing w:line="400" w:lineRule="exact"/>
        <w:ind w:firstLine="210" w:firstLineChars="100"/>
        <w:rPr>
          <w:rFonts w:ascii="仿宋" w:hAnsi="仿宋" w:eastAsia="仿宋"/>
          <w:szCs w:val="21"/>
        </w:rPr>
      </w:pPr>
      <w:r>
        <w:rPr>
          <w:rFonts w:hint="eastAsia" w:ascii="仿宋" w:hAnsi="仿宋" w:eastAsia="仿宋"/>
          <w:szCs w:val="21"/>
        </w:rPr>
        <w:t xml:space="preserve">名 称：克州自然资源局                 </w:t>
      </w:r>
    </w:p>
    <w:p>
      <w:pPr>
        <w:spacing w:line="400" w:lineRule="exact"/>
        <w:ind w:firstLine="210" w:firstLineChars="100"/>
        <w:rPr>
          <w:rFonts w:ascii="仿宋" w:hAnsi="仿宋" w:eastAsia="仿宋"/>
          <w:szCs w:val="21"/>
        </w:rPr>
      </w:pPr>
      <w:r>
        <w:rPr>
          <w:rFonts w:hint="eastAsia" w:ascii="仿宋" w:hAnsi="仿宋" w:eastAsia="仿宋"/>
          <w:szCs w:val="21"/>
        </w:rPr>
        <w:t>地址：阿图什市</w:t>
      </w:r>
    </w:p>
    <w:p>
      <w:pPr>
        <w:spacing w:line="400" w:lineRule="exact"/>
        <w:ind w:firstLine="210" w:firstLineChars="100"/>
        <w:rPr>
          <w:rFonts w:ascii="仿宋" w:hAnsi="仿宋" w:eastAsia="仿宋"/>
          <w:szCs w:val="21"/>
        </w:rPr>
      </w:pPr>
      <w:r>
        <w:rPr>
          <w:rFonts w:hint="eastAsia" w:ascii="仿宋" w:hAnsi="仿宋" w:eastAsia="仿宋"/>
          <w:szCs w:val="21"/>
        </w:rPr>
        <w:t>联系方式：13899490518</w:t>
      </w:r>
      <w:r>
        <w:rPr>
          <w:rFonts w:hint="eastAsia" w:ascii="仿宋" w:hAnsi="仿宋" w:eastAsia="仿宋"/>
          <w:color w:val="FF0000"/>
          <w:szCs w:val="21"/>
        </w:rPr>
        <w:t xml:space="preserve">   </w:t>
      </w:r>
      <w:r>
        <w:rPr>
          <w:rFonts w:hint="eastAsia" w:ascii="仿宋" w:hAnsi="仿宋" w:eastAsia="仿宋"/>
          <w:szCs w:val="21"/>
        </w:rPr>
        <w:t xml:space="preserve">              </w:t>
      </w:r>
    </w:p>
    <w:p>
      <w:pPr>
        <w:spacing w:line="400" w:lineRule="exact"/>
        <w:ind w:firstLine="210" w:firstLineChars="100"/>
        <w:rPr>
          <w:rFonts w:ascii="仿宋" w:hAnsi="仿宋" w:eastAsia="仿宋"/>
          <w:szCs w:val="21"/>
        </w:rPr>
      </w:pPr>
      <w:r>
        <w:rPr>
          <w:rFonts w:hint="eastAsia" w:ascii="仿宋" w:hAnsi="仿宋" w:eastAsia="仿宋"/>
          <w:szCs w:val="21"/>
        </w:rPr>
        <w:t>2.采购代理机构信息</w:t>
      </w:r>
    </w:p>
    <w:p>
      <w:pPr>
        <w:spacing w:line="400" w:lineRule="exact"/>
        <w:ind w:firstLine="210" w:firstLineChars="100"/>
        <w:rPr>
          <w:rFonts w:ascii="仿宋" w:hAnsi="仿宋" w:eastAsia="仿宋"/>
          <w:szCs w:val="21"/>
        </w:rPr>
      </w:pPr>
      <w:r>
        <w:rPr>
          <w:rFonts w:hint="eastAsia" w:ascii="仿宋" w:hAnsi="仿宋" w:eastAsia="仿宋"/>
          <w:szCs w:val="21"/>
        </w:rPr>
        <w:t>名 称：</w:t>
      </w:r>
      <w:r>
        <w:rPr>
          <w:rFonts w:hint="eastAsia" w:ascii="仿宋" w:hAnsi="仿宋" w:eastAsia="仿宋"/>
          <w:szCs w:val="21"/>
          <w:lang w:eastAsia="zh-CN"/>
        </w:rPr>
        <w:t>克州政务服务和公共资源交易中心政府采购与产权交易科</w:t>
      </w:r>
      <w:r>
        <w:rPr>
          <w:rFonts w:hint="eastAsia" w:ascii="仿宋" w:hAnsi="仿宋" w:eastAsia="仿宋"/>
          <w:szCs w:val="21"/>
        </w:rPr>
        <w:t>　　　　　   　</w:t>
      </w:r>
    </w:p>
    <w:p>
      <w:pPr>
        <w:spacing w:line="400" w:lineRule="exact"/>
        <w:ind w:firstLine="210" w:firstLineChars="100"/>
        <w:rPr>
          <w:rFonts w:ascii="仿宋" w:hAnsi="仿宋" w:eastAsia="仿宋"/>
          <w:szCs w:val="21"/>
        </w:rPr>
      </w:pPr>
      <w:r>
        <w:rPr>
          <w:rFonts w:hint="eastAsia" w:ascii="仿宋" w:hAnsi="仿宋" w:eastAsia="仿宋"/>
          <w:szCs w:val="21"/>
        </w:rPr>
        <w:t>地 址：新疆克州阿图什市</w:t>
      </w:r>
      <w:r>
        <w:rPr>
          <w:rFonts w:hint="eastAsia" w:ascii="仿宋" w:hAnsi="仿宋" w:eastAsia="仿宋"/>
          <w:szCs w:val="21"/>
          <w:lang w:eastAsia="zh-CN"/>
        </w:rPr>
        <w:t>帕米尔路西三院</w:t>
      </w:r>
      <w:r>
        <w:rPr>
          <w:rFonts w:hint="eastAsia" w:ascii="仿宋" w:hAnsi="仿宋" w:eastAsia="仿宋"/>
          <w:szCs w:val="21"/>
        </w:rPr>
        <w:t xml:space="preserve">  </w:t>
      </w:r>
    </w:p>
    <w:p>
      <w:pPr>
        <w:spacing w:line="400" w:lineRule="exact"/>
        <w:ind w:firstLine="210" w:firstLineChars="100"/>
        <w:rPr>
          <w:rFonts w:ascii="仿宋" w:hAnsi="仿宋" w:eastAsia="仿宋"/>
          <w:szCs w:val="21"/>
        </w:rPr>
      </w:pPr>
      <w:r>
        <w:rPr>
          <w:rFonts w:hint="eastAsia" w:ascii="仿宋" w:hAnsi="仿宋" w:eastAsia="仿宋"/>
          <w:szCs w:val="21"/>
        </w:rPr>
        <w:t>联系方式：</w:t>
      </w:r>
      <w:r>
        <w:rPr>
          <w:rFonts w:hint="eastAsia" w:ascii="仿宋" w:hAnsi="仿宋" w:eastAsia="仿宋"/>
          <w:szCs w:val="21"/>
          <w:lang w:val="en-US" w:eastAsia="zh-CN"/>
        </w:rPr>
        <w:t>0908-4233034</w:t>
      </w: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ind w:firstLine="3520" w:firstLineChars="1100"/>
        <w:outlineLvl w:val="0"/>
        <w:rPr>
          <w:rFonts w:hint="eastAsia" w:ascii="宋体"/>
          <w:b/>
          <w:sz w:val="32"/>
          <w:szCs w:val="32"/>
        </w:rPr>
      </w:pPr>
    </w:p>
    <w:p>
      <w:pPr>
        <w:spacing w:line="500" w:lineRule="exact"/>
        <w:outlineLvl w:val="0"/>
        <w:rPr>
          <w:rFonts w:hint="eastAsia" w:ascii="宋体"/>
          <w:b/>
          <w:sz w:val="32"/>
          <w:szCs w:val="32"/>
        </w:rPr>
      </w:pPr>
    </w:p>
    <w:p>
      <w:pPr>
        <w:spacing w:line="500" w:lineRule="exact"/>
        <w:ind w:firstLine="3520" w:firstLineChars="1100"/>
        <w:outlineLvl w:val="0"/>
        <w:rPr>
          <w:rFonts w:ascii="宋体"/>
          <w:b/>
          <w:sz w:val="32"/>
          <w:szCs w:val="32"/>
        </w:rPr>
      </w:pPr>
      <w:r>
        <w:rPr>
          <w:rFonts w:hint="eastAsia" w:ascii="宋体"/>
          <w:b/>
          <w:sz w:val="32"/>
          <w:szCs w:val="32"/>
        </w:rPr>
        <w:t>第二章 投标人须知</w:t>
      </w:r>
      <w:bookmarkEnd w:id="3"/>
    </w:p>
    <w:p>
      <w:pPr>
        <w:snapToGrid w:val="0"/>
        <w:spacing w:line="500" w:lineRule="exact"/>
        <w:jc w:val="center"/>
        <w:outlineLvl w:val="1"/>
        <w:rPr>
          <w:rFonts w:ascii="宋体"/>
          <w:b/>
          <w:sz w:val="28"/>
          <w:szCs w:val="28"/>
        </w:rPr>
      </w:pPr>
      <w:bookmarkStart w:id="36" w:name="_Toc111210735"/>
      <w:r>
        <w:rPr>
          <w:rFonts w:hint="eastAsia" w:ascii="宋体"/>
          <w:b/>
          <w:sz w:val="32"/>
          <w:szCs w:val="32"/>
        </w:rPr>
        <w:t>一、</w:t>
      </w:r>
      <w:r>
        <w:rPr>
          <w:rFonts w:hint="eastAsia" w:ascii="宋体"/>
          <w:b/>
          <w:sz w:val="28"/>
          <w:szCs w:val="28"/>
        </w:rPr>
        <w:t>投标人须知前附表</w:t>
      </w:r>
      <w:bookmarkEnd w:id="36"/>
    </w:p>
    <w:tbl>
      <w:tblPr>
        <w:tblStyle w:val="23"/>
        <w:tblW w:w="93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42"/>
        <w:gridCol w:w="1471"/>
        <w:gridCol w:w="72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542" w:type="dxa"/>
            <w:vAlign w:val="center"/>
          </w:tcPr>
          <w:p>
            <w:pPr>
              <w:pStyle w:val="12"/>
              <w:snapToGrid w:val="0"/>
              <w:spacing w:line="290" w:lineRule="exact"/>
              <w:ind w:left="-94" w:leftChars="-45" w:right="-81" w:rightChars="-39"/>
              <w:jc w:val="center"/>
              <w:rPr>
                <w:b/>
                <w:color w:val="auto"/>
                <w:szCs w:val="21"/>
              </w:rPr>
            </w:pPr>
            <w:r>
              <w:rPr>
                <w:rFonts w:hint="eastAsia"/>
                <w:b/>
                <w:color w:val="auto"/>
                <w:szCs w:val="21"/>
              </w:rPr>
              <w:t>条款号</w:t>
            </w:r>
          </w:p>
        </w:tc>
        <w:tc>
          <w:tcPr>
            <w:tcW w:w="1471" w:type="dxa"/>
            <w:vAlign w:val="center"/>
          </w:tcPr>
          <w:p>
            <w:pPr>
              <w:pStyle w:val="12"/>
              <w:snapToGrid w:val="0"/>
              <w:spacing w:line="29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内容</w:t>
            </w:r>
          </w:p>
        </w:tc>
        <w:tc>
          <w:tcPr>
            <w:tcW w:w="7299" w:type="dxa"/>
            <w:vAlign w:val="center"/>
          </w:tcPr>
          <w:p>
            <w:pPr>
              <w:pStyle w:val="12"/>
              <w:snapToGrid w:val="0"/>
              <w:spacing w:line="29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1</w:t>
            </w:r>
          </w:p>
        </w:tc>
        <w:tc>
          <w:tcPr>
            <w:tcW w:w="1471" w:type="dxa"/>
            <w:vAlign w:val="center"/>
          </w:tcPr>
          <w:p>
            <w:pPr>
              <w:widowControl/>
              <w:spacing w:line="29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p>
            <w:pPr>
              <w:widowControl/>
              <w:spacing w:line="29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p>
          <w:p>
            <w:pPr>
              <w:widowControl/>
              <w:spacing w:line="29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w:t>
            </w:r>
          </w:p>
        </w:tc>
        <w:tc>
          <w:tcPr>
            <w:tcW w:w="7299" w:type="dxa"/>
            <w:vAlign w:val="center"/>
          </w:tcPr>
          <w:p>
            <w:pPr>
              <w:widowControl/>
              <w:spacing w:line="29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 克州国土空间规划信息化建设项目（克州国土基础信息平台和国土空间规划“一张图”实施监督信息系统、国土空间数据整理、测试运行、运维）</w:t>
            </w:r>
          </w:p>
          <w:p>
            <w:pPr>
              <w:widowControl/>
              <w:spacing w:line="29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仿宋" w:hAnsi="仿宋" w:eastAsia="仿宋"/>
                <w:color w:val="FF0000"/>
                <w:szCs w:val="21"/>
              </w:rPr>
              <w:t xml:space="preserve">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w:t>
            </w:r>
            <w:r>
              <w:rPr>
                <w:rFonts w:hint="eastAsia" w:ascii="宋体" w:hAnsi="宋体" w:cs="宋体"/>
                <w:szCs w:val="21"/>
              </w:rPr>
              <w:t>根据自然资源部、新疆维吾尔自治区自然资源厅相关工作要求，克孜勒苏柯尔克孜自治州(简称克州)自然资源局拟开展克州国土空间规划信息化建设项目（克州国土基础信息平台和国土空间规划“一张图”实施监督信息系统建设项目）建设并上线（试）运行，实现克州国土空间管控要素的精准落地，形成覆盖克州、实时动态更新、权威统一的“一张底图”，为国土空间规划、管制、实施监督、战略决策、政务服务等提供有力的技术支撑。信息集成类采购项目，主要建设内容：国土基础信息平台和国土空间规划“一张图”实施监督信息系统建设、国土空间矢量数据整理、测试运行、运行维护等。系统建设标准：不低于国家和新疆维吾尔自治区有关标准要求，同时满足克州国土空间数据汇聚和应用管理的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2</w:t>
            </w:r>
          </w:p>
        </w:tc>
        <w:tc>
          <w:tcPr>
            <w:tcW w:w="1471" w:type="dxa"/>
            <w:vAlign w:val="center"/>
          </w:tcPr>
          <w:p>
            <w:pPr>
              <w:widowControl/>
              <w:spacing w:line="290" w:lineRule="exact"/>
              <w:jc w:val="left"/>
              <w:rPr>
                <w:color w:val="000000" w:themeColor="text1"/>
                <w:szCs w:val="21"/>
                <w14:textFill>
                  <w14:solidFill>
                    <w14:schemeClr w14:val="tx1"/>
                  </w14:solidFill>
                </w14:textFill>
              </w:rPr>
            </w:pPr>
            <w:r>
              <w:rPr>
                <w:rFonts w:hint="eastAsia" w:ascii="宋体" w:hAnsi="宋体" w:cs="宋体"/>
                <w:color w:val="FF0000"/>
                <w:szCs w:val="21"/>
                <w:highlight w:val="cyan"/>
              </w:rPr>
              <w:t>采购人信息</w:t>
            </w:r>
          </w:p>
        </w:tc>
        <w:tc>
          <w:tcPr>
            <w:tcW w:w="7299" w:type="dxa"/>
            <w:vAlign w:val="center"/>
          </w:tcPr>
          <w:p>
            <w:pPr>
              <w:widowControl/>
              <w:spacing w:line="29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采购单位：</w:t>
            </w:r>
            <w:r>
              <w:rPr>
                <w:rFonts w:hint="eastAsia" w:ascii="宋体" w:hAnsi="宋体" w:cs="宋体"/>
                <w:color w:val="000000" w:themeColor="text1"/>
                <w:szCs w:val="21"/>
                <w14:textFill>
                  <w14:solidFill>
                    <w14:schemeClr w14:val="tx1"/>
                  </w14:solidFill>
                </w14:textFill>
              </w:rPr>
              <w:t>克州自然资源局</w:t>
            </w:r>
          </w:p>
          <w:p>
            <w:pPr>
              <w:widowControl/>
              <w:spacing w:line="290" w:lineRule="exact"/>
              <w:rPr>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联 系 人：钟先生      联系电话：</w:t>
            </w:r>
            <w:r>
              <w:rPr>
                <w:rFonts w:hint="eastAsia" w:ascii="仿宋" w:hAnsi="仿宋" w:eastAsia="仿宋"/>
                <w:color w:val="000000" w:themeColor="text1"/>
                <w:szCs w:val="21"/>
                <w14:textFill>
                  <w14:solidFill>
                    <w14:schemeClr w14:val="tx1"/>
                  </w14:solidFill>
                </w14:textFill>
              </w:rPr>
              <w:t xml:space="preserve">13899490518  </w:t>
            </w:r>
            <w:r>
              <w:rPr>
                <w:rFonts w:hint="eastAsia" w:ascii="宋体" w:hAnsi="宋体" w:cs="宋体"/>
                <w:color w:val="000000" w:themeColor="text1"/>
                <w:szCs w:val="21"/>
                <w:shd w:val="clear" w:color="auto" w:fill="FFFFFF"/>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3</w:t>
            </w:r>
          </w:p>
        </w:tc>
        <w:tc>
          <w:tcPr>
            <w:tcW w:w="1471" w:type="dxa"/>
            <w:vAlign w:val="center"/>
          </w:tcPr>
          <w:p>
            <w:pPr>
              <w:widowControl/>
              <w:spacing w:line="29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p>
        </w:tc>
        <w:tc>
          <w:tcPr>
            <w:tcW w:w="7299" w:type="dxa"/>
            <w:vAlign w:val="center"/>
          </w:tcPr>
          <w:p>
            <w:pPr>
              <w:widowControl/>
              <w:spacing w:line="29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 称：克州政务服务和公共资源交易中心政府采购与产权交易科　　　　　   　</w:t>
            </w:r>
          </w:p>
          <w:p>
            <w:pPr>
              <w:widowControl/>
              <w:spacing w:line="29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 址：新疆克州阿图什市帕米尔路西三院  </w:t>
            </w:r>
          </w:p>
          <w:p>
            <w:pPr>
              <w:widowControl/>
              <w:spacing w:line="290" w:lineRule="exact"/>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联系方式：0908-4233034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4</w:t>
            </w:r>
          </w:p>
        </w:tc>
        <w:tc>
          <w:tcPr>
            <w:tcW w:w="1471" w:type="dxa"/>
            <w:vAlign w:val="center"/>
          </w:tcPr>
          <w:p>
            <w:pPr>
              <w:pStyle w:val="61"/>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资金来源</w:t>
            </w:r>
          </w:p>
        </w:tc>
        <w:tc>
          <w:tcPr>
            <w:tcW w:w="7299" w:type="dxa"/>
            <w:vAlign w:val="center"/>
          </w:tcPr>
          <w:p>
            <w:pPr>
              <w:pStyle w:val="61"/>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FF0000"/>
                <w:sz w:val="21"/>
                <w:szCs w:val="21"/>
              </w:rPr>
              <w:t>2023年初大盘预算项目建设及项目前期费（2023年、2024年分别支付40%建设费用，2025年支付20%建设费用）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5</w:t>
            </w:r>
          </w:p>
        </w:tc>
        <w:tc>
          <w:tcPr>
            <w:tcW w:w="1471" w:type="dxa"/>
            <w:vAlign w:val="center"/>
          </w:tcPr>
          <w:p>
            <w:pPr>
              <w:widowControl/>
              <w:spacing w:line="290" w:lineRule="exact"/>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p>
        </w:tc>
        <w:tc>
          <w:tcPr>
            <w:tcW w:w="7299" w:type="dxa"/>
            <w:vAlign w:val="center"/>
          </w:tcPr>
          <w:p>
            <w:pPr>
              <w:widowControl/>
              <w:spacing w:line="290" w:lineRule="exact"/>
              <w:rPr>
                <w:rFonts w:ascii="宋体" w:hAnsi="宋体" w:cs="宋体"/>
                <w:color w:val="000000" w:themeColor="text1"/>
                <w:szCs w:val="21"/>
                <w14:textFill>
                  <w14:solidFill>
                    <w14:schemeClr w14:val="tx1"/>
                  </w14:solidFill>
                </w14:textFill>
              </w:rPr>
            </w:pPr>
            <w:r>
              <w:rPr>
                <w:rFonts w:hint="eastAsia" w:ascii="宋体" w:hAnsi="宋体" w:cs="宋体"/>
                <w:szCs w:val="21"/>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6</w:t>
            </w:r>
          </w:p>
        </w:tc>
        <w:tc>
          <w:tcPr>
            <w:tcW w:w="1471" w:type="dxa"/>
            <w:vAlign w:val="center"/>
          </w:tcPr>
          <w:p>
            <w:pPr>
              <w:pStyle w:val="61"/>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合同履约期限</w:t>
            </w:r>
          </w:p>
        </w:tc>
        <w:tc>
          <w:tcPr>
            <w:tcW w:w="7299" w:type="dxa"/>
            <w:vAlign w:val="center"/>
          </w:tcPr>
          <w:p>
            <w:pPr>
              <w:pStyle w:val="61"/>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本项目拟定建设期限为3个月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542" w:type="dxa"/>
            <w:vAlign w:val="center"/>
          </w:tcPr>
          <w:p>
            <w:pPr>
              <w:pStyle w:val="12"/>
              <w:snapToGrid w:val="0"/>
              <w:spacing w:line="290" w:lineRule="exact"/>
              <w:jc w:val="center"/>
              <w:rPr>
                <w:color w:val="auto"/>
                <w:szCs w:val="21"/>
              </w:rPr>
            </w:pPr>
            <w:r>
              <w:rPr>
                <w:rFonts w:hint="eastAsia"/>
                <w:color w:val="auto"/>
                <w:szCs w:val="21"/>
              </w:rPr>
              <w:t>7</w:t>
            </w:r>
          </w:p>
        </w:tc>
        <w:tc>
          <w:tcPr>
            <w:tcW w:w="1471" w:type="dxa"/>
            <w:vAlign w:val="center"/>
          </w:tcPr>
          <w:p>
            <w:pPr>
              <w:pStyle w:val="12"/>
              <w:snapToGrid w:val="0"/>
              <w:spacing w:line="29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招标方式</w:t>
            </w:r>
          </w:p>
        </w:tc>
        <w:tc>
          <w:tcPr>
            <w:tcW w:w="7299" w:type="dxa"/>
            <w:vAlign w:val="center"/>
          </w:tcPr>
          <w:p>
            <w:pPr>
              <w:pStyle w:val="12"/>
              <w:snapToGrid w:val="0"/>
              <w:spacing w:line="29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公开招标</w:t>
            </w:r>
            <w:r>
              <w:rPr>
                <w:rFonts w:hint="eastAsia" w:hAnsi="宋体" w:cs="宋体-18030"/>
                <w:b/>
                <w:color w:val="000000" w:themeColor="text1"/>
                <w:szCs w:val="21"/>
                <w14:textFill>
                  <w14:solidFill>
                    <w14:schemeClr w14:val="tx1"/>
                  </w14:solidFill>
                </w14:textFill>
              </w:rPr>
              <w:t>(本项目采用网上电子招投标)</w:t>
            </w:r>
            <w:r>
              <w:rPr>
                <w:rFonts w:hint="eastAsia"/>
                <w:color w:val="000000" w:themeColor="text1"/>
                <w:szCs w:val="21"/>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 w:hRule="atLeast"/>
          <w:jc w:val="center"/>
        </w:trPr>
        <w:tc>
          <w:tcPr>
            <w:tcW w:w="542" w:type="dxa"/>
            <w:vAlign w:val="center"/>
          </w:tcPr>
          <w:p>
            <w:pPr>
              <w:pStyle w:val="12"/>
              <w:snapToGrid w:val="0"/>
              <w:spacing w:line="290" w:lineRule="exact"/>
              <w:jc w:val="center"/>
              <w:rPr>
                <w:color w:val="FF0000"/>
                <w:szCs w:val="21"/>
                <w:highlight w:val="cyan"/>
              </w:rPr>
            </w:pPr>
            <w:r>
              <w:rPr>
                <w:rFonts w:hint="eastAsia"/>
                <w:color w:val="FF0000"/>
                <w:szCs w:val="21"/>
                <w:highlight w:val="cyan"/>
              </w:rPr>
              <w:t>8</w:t>
            </w:r>
          </w:p>
        </w:tc>
        <w:tc>
          <w:tcPr>
            <w:tcW w:w="1471" w:type="dxa"/>
            <w:vAlign w:val="center"/>
          </w:tcPr>
          <w:p>
            <w:pPr>
              <w:pStyle w:val="12"/>
              <w:snapToGrid w:val="0"/>
              <w:spacing w:line="290" w:lineRule="exact"/>
              <w:jc w:val="left"/>
              <w:rPr>
                <w:color w:val="FF0000"/>
                <w:szCs w:val="21"/>
                <w:highlight w:val="cyan"/>
              </w:rPr>
            </w:pPr>
            <w:r>
              <w:rPr>
                <w:rFonts w:hint="eastAsia"/>
                <w:color w:val="FF0000"/>
                <w:szCs w:val="21"/>
                <w:highlight w:val="none"/>
              </w:rPr>
              <w:t>投标人资格条件</w:t>
            </w:r>
          </w:p>
        </w:tc>
        <w:tc>
          <w:tcPr>
            <w:tcW w:w="7299" w:type="dxa"/>
            <w:vAlign w:val="center"/>
          </w:tcPr>
          <w:p>
            <w:pPr>
              <w:snapToGrid w:val="0"/>
              <w:spacing w:line="290" w:lineRule="exact"/>
              <w:rPr>
                <w:rFonts w:ascii="ˎ̥" w:hAnsi="ˎ̥"/>
                <w:b/>
                <w:bCs/>
                <w:color w:val="FF0000"/>
                <w:szCs w:val="21"/>
                <w:highlight w:val="none"/>
              </w:rPr>
            </w:pPr>
            <w:r>
              <w:rPr>
                <w:rFonts w:hint="eastAsia" w:ascii="ˎ̥" w:hAnsi="ˎ̥"/>
                <w:b/>
                <w:bCs/>
                <w:color w:val="FF0000"/>
                <w:szCs w:val="21"/>
                <w:highlight w:val="none"/>
              </w:rPr>
              <w:t>1、符合《中华人民共和国政府采购法》第二十二条之规定的合格投标供应商；</w:t>
            </w:r>
          </w:p>
          <w:p>
            <w:pPr>
              <w:snapToGrid w:val="0"/>
              <w:spacing w:line="290" w:lineRule="exact"/>
              <w:rPr>
                <w:rFonts w:ascii="ˎ̥" w:hAnsi="ˎ̥"/>
                <w:b/>
                <w:bCs/>
                <w:color w:val="FF0000"/>
                <w:szCs w:val="21"/>
                <w:highlight w:val="none"/>
              </w:rPr>
            </w:pPr>
            <w:r>
              <w:rPr>
                <w:rFonts w:hint="eastAsia" w:ascii="ˎ̥" w:hAnsi="ˎ̥"/>
                <w:b/>
                <w:bCs/>
                <w:color w:val="FF0000"/>
                <w:szCs w:val="21"/>
                <w:highlight w:val="none"/>
              </w:rPr>
              <w:t>2、具备合格的三证合一营业执照；</w:t>
            </w:r>
          </w:p>
          <w:p>
            <w:pPr>
              <w:snapToGrid w:val="0"/>
              <w:spacing w:line="290" w:lineRule="exact"/>
              <w:rPr>
                <w:rFonts w:ascii="ˎ̥" w:hAnsi="ˎ̥"/>
                <w:b/>
                <w:bCs/>
                <w:color w:val="FF0000"/>
                <w:szCs w:val="21"/>
                <w:highlight w:val="none"/>
              </w:rPr>
            </w:pPr>
            <w:r>
              <w:rPr>
                <w:rFonts w:hint="eastAsia" w:ascii="ˎ̥" w:hAnsi="ˎ̥"/>
                <w:b/>
                <w:bCs/>
                <w:color w:val="FF0000"/>
                <w:szCs w:val="21"/>
                <w:highlight w:val="none"/>
              </w:rPr>
              <w:t>3、法定代表人投标需提供法定代表人资格证明书，委托代理人投标需提供法定代表人授权委托书；</w:t>
            </w:r>
          </w:p>
          <w:p>
            <w:pPr>
              <w:snapToGrid w:val="0"/>
              <w:spacing w:line="290" w:lineRule="exact"/>
              <w:rPr>
                <w:rFonts w:ascii="ˎ̥" w:hAnsi="ˎ̥"/>
                <w:b/>
                <w:bCs/>
                <w:color w:val="FF0000"/>
                <w:szCs w:val="21"/>
                <w:highlight w:val="none"/>
              </w:rPr>
            </w:pPr>
            <w:r>
              <w:rPr>
                <w:rFonts w:hint="eastAsia" w:ascii="ˎ̥" w:hAnsi="ˎ̥"/>
                <w:b/>
                <w:bCs/>
                <w:color w:val="FF0000"/>
                <w:szCs w:val="21"/>
                <w:highlight w:val="none"/>
              </w:rPr>
              <w:t>4、有依法缴纳税收和社会保障资金的良好记录(提供承诺函及依法缴纳社会保障资金证明）；</w:t>
            </w:r>
          </w:p>
          <w:p>
            <w:pPr>
              <w:snapToGrid w:val="0"/>
              <w:spacing w:line="290" w:lineRule="exact"/>
              <w:rPr>
                <w:rFonts w:hint="eastAsia" w:ascii="ˎ̥" w:hAnsi="ˎ̥"/>
                <w:b/>
                <w:bCs/>
                <w:szCs w:val="21"/>
                <w:highlight w:val="none"/>
              </w:rPr>
            </w:pPr>
            <w:r>
              <w:rPr>
                <w:rFonts w:hint="eastAsia" w:ascii="ˎ̥" w:hAnsi="ˎ̥"/>
                <w:b/>
                <w:bCs/>
                <w:color w:val="FF0000"/>
                <w:szCs w:val="21"/>
                <w:highlight w:val="none"/>
              </w:rPr>
              <w:t>5、参加采购活动前三年内，在经营活动中没有重大违法记录，供应商须提供 “信用中国”网站（http://www.creditchina.gov.cn/）、“中国政府采购网”网站（http://www.ccgp.gov.cn）无违法违规行为的查询纪录（提供查询结果网页截图并加盖供应商公章）&lt;自公告发布之日起至投标截止时间从上述网站中查询&g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542" w:type="dxa"/>
            <w:vAlign w:val="center"/>
          </w:tcPr>
          <w:p>
            <w:pPr>
              <w:pStyle w:val="12"/>
              <w:snapToGrid w:val="0"/>
              <w:spacing w:line="290" w:lineRule="exact"/>
              <w:jc w:val="center"/>
              <w:rPr>
                <w:rFonts w:hint="eastAsia"/>
                <w:color w:val="FF0000"/>
                <w:szCs w:val="21"/>
                <w:highlight w:val="cyan"/>
              </w:rPr>
            </w:pPr>
          </w:p>
        </w:tc>
        <w:tc>
          <w:tcPr>
            <w:tcW w:w="1471" w:type="dxa"/>
            <w:vAlign w:val="center"/>
          </w:tcPr>
          <w:p>
            <w:pPr>
              <w:pStyle w:val="12"/>
              <w:snapToGrid w:val="0"/>
              <w:spacing w:line="290" w:lineRule="exact"/>
              <w:jc w:val="left"/>
              <w:rPr>
                <w:rFonts w:hint="eastAsia"/>
                <w:color w:val="FF0000"/>
                <w:szCs w:val="21"/>
                <w:highlight w:val="cyan"/>
              </w:rPr>
            </w:pPr>
          </w:p>
        </w:tc>
        <w:tc>
          <w:tcPr>
            <w:tcW w:w="7299" w:type="dxa"/>
            <w:vAlign w:val="center"/>
          </w:tcPr>
          <w:p>
            <w:pPr>
              <w:pStyle w:val="2"/>
              <w:rPr>
                <w:rFonts w:hint="eastAsia" w:ascii="ˎ̥" w:hAnsi="ˎ̥" w:eastAsia="宋体"/>
                <w:b/>
                <w:bCs/>
                <w:color w:val="FF0000"/>
                <w:sz w:val="21"/>
                <w:szCs w:val="21"/>
                <w:highlight w:val="none"/>
                <w:lang w:eastAsia="zh-CN"/>
              </w:rPr>
            </w:pPr>
            <w:r>
              <w:rPr>
                <w:rFonts w:hint="eastAsia" w:ascii="ˎ̥" w:hAnsi="ˎ̥"/>
                <w:b/>
                <w:bCs/>
                <w:color w:val="FF0000"/>
                <w:sz w:val="21"/>
                <w:szCs w:val="21"/>
                <w:highlight w:val="none"/>
                <w:lang w:val="en-US" w:eastAsia="zh-CN"/>
              </w:rPr>
              <w:t>6</w:t>
            </w:r>
            <w:r>
              <w:rPr>
                <w:rFonts w:hint="eastAsia" w:ascii="ˎ̥" w:hAnsi="ˎ̥"/>
                <w:b/>
                <w:bCs/>
                <w:color w:val="FF0000"/>
                <w:sz w:val="21"/>
                <w:szCs w:val="21"/>
                <w:highlight w:val="none"/>
              </w:rPr>
              <w:t>、投标人须具备城乡规划编制甲级资质和测绘（地理信息系统工程、地图编制）资质，或土地规划甲级资质和测绘（地理信息工程、地图编制）资质；</w:t>
            </w:r>
            <w:r>
              <w:rPr>
                <w:rFonts w:hint="eastAsia" w:ascii="ˎ̥" w:hAnsi="ˎ̥"/>
                <w:b/>
                <w:bCs/>
                <w:color w:val="FF0000"/>
                <w:sz w:val="21"/>
                <w:szCs w:val="21"/>
                <w:highlight w:val="none"/>
                <w:lang w:eastAsia="zh-CN"/>
              </w:rPr>
              <w:t>联合体投标各方须具备城乡规划甲级资质、土地规划甲级资质或测绘（同时具备专业类别：地理信息系统工程、地图编制）资质之一。</w:t>
            </w:r>
          </w:p>
          <w:p>
            <w:pPr>
              <w:pStyle w:val="2"/>
              <w:rPr>
                <w:rFonts w:ascii="ˎ̥" w:hAnsi="ˎ̥"/>
                <w:b/>
                <w:bCs/>
                <w:sz w:val="21"/>
                <w:szCs w:val="21"/>
                <w:highlight w:val="none"/>
              </w:rPr>
            </w:pPr>
            <w:r>
              <w:rPr>
                <w:rFonts w:hint="eastAsia" w:ascii="ˎ̥" w:hAnsi="ˎ̥"/>
                <w:b/>
                <w:bCs/>
                <w:color w:val="FF0000"/>
                <w:sz w:val="21"/>
                <w:szCs w:val="21"/>
                <w:highlight w:val="none"/>
                <w:lang w:val="en-US" w:eastAsia="zh-CN"/>
              </w:rPr>
              <w:t>7</w:t>
            </w:r>
            <w:r>
              <w:rPr>
                <w:rFonts w:hint="eastAsia" w:ascii="ˎ̥" w:hAnsi="ˎ̥"/>
                <w:b/>
                <w:bCs/>
                <w:color w:val="FF0000"/>
                <w:sz w:val="21"/>
                <w:szCs w:val="21"/>
                <w:highlight w:val="none"/>
              </w:rPr>
              <w:t>、项目负责人不超过2人，整体应具有城乡规划且具有测绘或数据系统相关专业高级职称证书（专业类型以相关人员职称证书专业为准）</w:t>
            </w:r>
            <w:r>
              <w:rPr>
                <w:rFonts w:hint="eastAsia" w:ascii="ˎ̥" w:hAnsi="ˎ̥"/>
                <w:b/>
                <w:bCs/>
                <w:sz w:val="21"/>
                <w:szCs w:val="21"/>
                <w:highlight w:val="none"/>
              </w:rPr>
              <w:t>；</w:t>
            </w:r>
          </w:p>
          <w:p>
            <w:pPr>
              <w:snapToGrid w:val="0"/>
              <w:spacing w:line="290" w:lineRule="exact"/>
              <w:rPr>
                <w:rFonts w:hint="eastAsia" w:ascii="ˎ̥" w:hAnsi="ˎ̥"/>
                <w:szCs w:val="21"/>
                <w:highlight w:val="none"/>
              </w:rPr>
            </w:pPr>
            <w:r>
              <w:rPr>
                <w:rFonts w:hint="eastAsia" w:ascii="ˎ̥" w:hAnsi="ˎ̥"/>
                <w:b/>
                <w:bCs/>
                <w:color w:val="FF0000"/>
                <w:szCs w:val="21"/>
                <w:highlight w:val="none"/>
                <w:lang w:val="en-US" w:eastAsia="zh-CN"/>
              </w:rPr>
              <w:t>8</w:t>
            </w:r>
            <w:r>
              <w:rPr>
                <w:rFonts w:ascii="ˎ̥" w:hAnsi="ˎ̥"/>
                <w:b/>
                <w:bCs/>
                <w:color w:val="FF0000"/>
                <w:szCs w:val="21"/>
                <w:highlight w:val="none"/>
              </w:rPr>
              <w:t>、</w:t>
            </w:r>
            <w:r>
              <w:rPr>
                <w:rFonts w:hint="eastAsia" w:ascii="ˎ̥" w:hAnsi="ˎ̥"/>
                <w:b/>
                <w:bCs/>
                <w:color w:val="FF0000"/>
                <w:szCs w:val="21"/>
                <w:highlight w:val="none"/>
              </w:rPr>
              <w:t>项目接受联合体投标。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542" w:type="dxa"/>
            <w:vAlign w:val="center"/>
          </w:tcPr>
          <w:p>
            <w:pPr>
              <w:pStyle w:val="12"/>
              <w:snapToGrid w:val="0"/>
              <w:spacing w:line="290" w:lineRule="exact"/>
              <w:jc w:val="center"/>
              <w:rPr>
                <w:rFonts w:hint="eastAsia" w:eastAsia="宋体"/>
                <w:color w:val="FF0000"/>
                <w:szCs w:val="21"/>
                <w:highlight w:val="cyan"/>
                <w:lang w:eastAsia="zh-CN"/>
              </w:rPr>
            </w:pPr>
            <w:r>
              <w:rPr>
                <w:rFonts w:hint="eastAsia"/>
                <w:color w:val="FF0000"/>
                <w:szCs w:val="21"/>
                <w:highlight w:val="cyan"/>
                <w:lang w:val="en-US" w:eastAsia="zh-CN"/>
              </w:rPr>
              <w:t>9</w:t>
            </w:r>
          </w:p>
        </w:tc>
        <w:tc>
          <w:tcPr>
            <w:tcW w:w="1471" w:type="dxa"/>
            <w:vAlign w:val="center"/>
          </w:tcPr>
          <w:p>
            <w:pPr>
              <w:pStyle w:val="12"/>
              <w:snapToGrid w:val="0"/>
              <w:spacing w:line="290" w:lineRule="exact"/>
              <w:jc w:val="left"/>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服务范围</w:t>
            </w:r>
          </w:p>
        </w:tc>
        <w:tc>
          <w:tcPr>
            <w:tcW w:w="7299" w:type="dxa"/>
            <w:vAlign w:val="center"/>
          </w:tcPr>
          <w:p>
            <w:pPr>
              <w:snapToGrid w:val="0"/>
              <w:spacing w:line="290" w:lineRule="exact"/>
              <w:rPr>
                <w:rFonts w:ascii="ˎ̥" w:hAnsi="ˎ̥"/>
                <w:bCs/>
                <w:color w:val="000000" w:themeColor="text1"/>
                <w:szCs w:val="21"/>
                <w14:textFill>
                  <w14:solidFill>
                    <w14:schemeClr w14:val="tx1"/>
                  </w14:solidFill>
                </w14:textFill>
              </w:rPr>
            </w:pPr>
            <w:r>
              <w:rPr>
                <w:rFonts w:hint="eastAsia" w:ascii="宋体" w:hAnsi="宋体" w:cs="宋体"/>
                <w:szCs w:val="21"/>
              </w:rPr>
              <w:t>根据自然资源部、新疆维吾尔自治区自然资源厅相关工作要求，克孜勒苏柯尔克孜自治州(简称克州)自然资源局拟开展克州国土空间规划信息化建设项目（克州国土基础信息平台和国土空间规划“一张图”实施监督信息系统建设项目）建设并上线（试）运行，实现克州国土空间管控要素的精准落地，形成覆盖克州、实时动态更新、权威统一的“一张底图”，为国土空间规划、管制、实施监督、战略决策、政务服务等提供有力的技术支撑。信息集成类采购项目，主要建设内容：国土基础信息平台和国土空间规划“一张图”实施监督信息系统建设、国土空间矢量数据整理、测试运行、运行维护等。系统建设标准：不低于国家和新疆维吾尔自治区有关标准要求，同时满足克州国土空间数据汇聚和应用管理的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542" w:type="dxa"/>
            <w:vAlign w:val="center"/>
          </w:tcPr>
          <w:p>
            <w:pPr>
              <w:pStyle w:val="12"/>
              <w:snapToGrid w:val="0"/>
              <w:spacing w:line="290" w:lineRule="exact"/>
              <w:jc w:val="center"/>
              <w:rPr>
                <w:rFonts w:hint="eastAsia" w:eastAsia="宋体"/>
                <w:color w:val="FF0000"/>
                <w:szCs w:val="21"/>
                <w:highlight w:val="cyan"/>
                <w:lang w:eastAsia="zh-CN"/>
              </w:rPr>
            </w:pPr>
            <w:r>
              <w:rPr>
                <w:rFonts w:hint="eastAsia"/>
                <w:color w:val="FF0000"/>
                <w:szCs w:val="21"/>
                <w:highlight w:val="cyan"/>
              </w:rPr>
              <w:t>1</w:t>
            </w:r>
            <w:r>
              <w:rPr>
                <w:rFonts w:hint="eastAsia"/>
                <w:color w:val="FF0000"/>
                <w:szCs w:val="21"/>
                <w:highlight w:val="cyan"/>
                <w:lang w:val="en-US" w:eastAsia="zh-CN"/>
              </w:rPr>
              <w:t>0</w:t>
            </w:r>
          </w:p>
        </w:tc>
        <w:tc>
          <w:tcPr>
            <w:tcW w:w="1471" w:type="dxa"/>
            <w:vAlign w:val="center"/>
          </w:tcPr>
          <w:p>
            <w:pPr>
              <w:pStyle w:val="12"/>
              <w:snapToGrid w:val="0"/>
              <w:spacing w:line="290" w:lineRule="exact"/>
              <w:jc w:val="left"/>
              <w:rPr>
                <w:color w:val="auto"/>
                <w:szCs w:val="21"/>
              </w:rPr>
            </w:pPr>
            <w:r>
              <w:rPr>
                <w:rFonts w:hint="eastAsia"/>
                <w:color w:val="auto"/>
                <w:szCs w:val="21"/>
              </w:rPr>
              <w:t>供应商信用查询</w:t>
            </w:r>
          </w:p>
        </w:tc>
        <w:tc>
          <w:tcPr>
            <w:tcW w:w="7299" w:type="dxa"/>
            <w:vAlign w:val="center"/>
          </w:tcPr>
          <w:p>
            <w:pPr>
              <w:pStyle w:val="12"/>
              <w:snapToGrid w:val="0"/>
              <w:spacing w:line="290" w:lineRule="exact"/>
              <w:jc w:val="left"/>
              <w:rPr>
                <w:color w:val="auto"/>
                <w:szCs w:val="21"/>
              </w:rPr>
            </w:pPr>
            <w:r>
              <w:rPr>
                <w:rFonts w:hint="eastAsia"/>
                <w:color w:val="auto"/>
                <w:szCs w:val="21"/>
              </w:rPr>
              <w:t>1、查询渠道：信用中国（网址：http://www.creditchina.gov.cn）、中国政府采购网(网址：http://www.ccgp.gov.cn）。</w:t>
            </w:r>
          </w:p>
          <w:p>
            <w:pPr>
              <w:pStyle w:val="12"/>
              <w:snapToGrid w:val="0"/>
              <w:spacing w:line="290" w:lineRule="exact"/>
              <w:jc w:val="left"/>
              <w:rPr>
                <w:color w:val="auto"/>
                <w:szCs w:val="21"/>
              </w:rPr>
            </w:pPr>
            <w:r>
              <w:rPr>
                <w:rFonts w:hint="eastAsia"/>
                <w:color w:val="auto"/>
                <w:szCs w:val="21"/>
              </w:rPr>
              <w:t>2、截止时点：开标后评标前。</w:t>
            </w:r>
          </w:p>
          <w:p>
            <w:pPr>
              <w:pStyle w:val="12"/>
              <w:snapToGrid w:val="0"/>
              <w:spacing w:line="290" w:lineRule="exact"/>
              <w:jc w:val="left"/>
              <w:rPr>
                <w:color w:val="auto"/>
                <w:szCs w:val="21"/>
              </w:rPr>
            </w:pPr>
            <w:r>
              <w:rPr>
                <w:rFonts w:hint="eastAsia"/>
                <w:color w:val="auto"/>
                <w:szCs w:val="21"/>
              </w:rPr>
              <w:t>3、信用信息查询记录和证据留存的具体方式：由采购组织机构在规定查询时间内打印信用信息查询记录并归入项目档案。</w:t>
            </w:r>
          </w:p>
          <w:p>
            <w:pPr>
              <w:pStyle w:val="12"/>
              <w:snapToGrid w:val="0"/>
              <w:spacing w:line="290" w:lineRule="exact"/>
              <w:jc w:val="left"/>
              <w:rPr>
                <w:color w:val="auto"/>
                <w:szCs w:val="21"/>
              </w:rPr>
            </w:pPr>
            <w:r>
              <w:rPr>
                <w:rFonts w:hint="eastAsia"/>
                <w:color w:val="auto"/>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2" w:type="dxa"/>
            <w:vAlign w:val="center"/>
          </w:tcPr>
          <w:p>
            <w:pPr>
              <w:pStyle w:val="12"/>
              <w:snapToGrid w:val="0"/>
              <w:spacing w:line="290" w:lineRule="exact"/>
              <w:jc w:val="center"/>
              <w:rPr>
                <w:rFonts w:hint="eastAsia" w:eastAsia="宋体"/>
                <w:color w:val="FF0000"/>
                <w:szCs w:val="21"/>
                <w:highlight w:val="cyan"/>
                <w:lang w:eastAsia="zh-CN"/>
              </w:rPr>
            </w:pPr>
            <w:r>
              <w:rPr>
                <w:rFonts w:hint="eastAsia"/>
                <w:color w:val="FF0000"/>
                <w:szCs w:val="21"/>
                <w:highlight w:val="cyan"/>
              </w:rPr>
              <w:t>1</w:t>
            </w:r>
            <w:r>
              <w:rPr>
                <w:rFonts w:hint="eastAsia"/>
                <w:color w:val="FF0000"/>
                <w:szCs w:val="21"/>
                <w:highlight w:val="cyan"/>
                <w:lang w:val="en-US" w:eastAsia="zh-CN"/>
              </w:rPr>
              <w:t>1</w:t>
            </w:r>
          </w:p>
        </w:tc>
        <w:tc>
          <w:tcPr>
            <w:tcW w:w="1471" w:type="dxa"/>
            <w:vAlign w:val="center"/>
          </w:tcPr>
          <w:p>
            <w:pPr>
              <w:pStyle w:val="12"/>
              <w:snapToGrid w:val="0"/>
              <w:spacing w:line="290" w:lineRule="exact"/>
              <w:jc w:val="left"/>
              <w:rPr>
                <w:color w:val="auto"/>
                <w:szCs w:val="21"/>
              </w:rPr>
            </w:pPr>
            <w:r>
              <w:rPr>
                <w:rFonts w:hint="eastAsia"/>
                <w:color w:val="auto"/>
                <w:szCs w:val="21"/>
              </w:rPr>
              <w:t>踏勘现场</w:t>
            </w:r>
          </w:p>
        </w:tc>
        <w:tc>
          <w:tcPr>
            <w:tcW w:w="7299" w:type="dxa"/>
            <w:vAlign w:val="center"/>
          </w:tcPr>
          <w:p>
            <w:pPr>
              <w:pStyle w:val="12"/>
              <w:snapToGrid w:val="0"/>
              <w:spacing w:line="290" w:lineRule="exact"/>
              <w:rPr>
                <w:color w:val="auto"/>
                <w:szCs w:val="21"/>
              </w:rPr>
            </w:pPr>
            <w:r>
              <w:rPr>
                <w:rFonts w:hint="eastAsia"/>
                <w:color w:val="auto"/>
                <w:szCs w:val="21"/>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2" w:type="dxa"/>
            <w:vAlign w:val="center"/>
          </w:tcPr>
          <w:p>
            <w:pPr>
              <w:pStyle w:val="12"/>
              <w:snapToGrid w:val="0"/>
              <w:spacing w:line="290" w:lineRule="exact"/>
              <w:jc w:val="center"/>
              <w:rPr>
                <w:rFonts w:hint="eastAsia" w:eastAsia="宋体"/>
                <w:color w:val="FF0000"/>
                <w:szCs w:val="21"/>
                <w:highlight w:val="cyan"/>
                <w:lang w:eastAsia="zh-CN"/>
              </w:rPr>
            </w:pPr>
            <w:r>
              <w:rPr>
                <w:rFonts w:hint="eastAsia"/>
                <w:color w:val="FF0000"/>
                <w:szCs w:val="21"/>
                <w:highlight w:val="cyan"/>
              </w:rPr>
              <w:t>1</w:t>
            </w:r>
            <w:r>
              <w:rPr>
                <w:rFonts w:hint="eastAsia"/>
                <w:color w:val="FF0000"/>
                <w:szCs w:val="21"/>
                <w:highlight w:val="cyan"/>
                <w:lang w:val="en-US" w:eastAsia="zh-CN"/>
              </w:rPr>
              <w:t>2</w:t>
            </w:r>
          </w:p>
        </w:tc>
        <w:tc>
          <w:tcPr>
            <w:tcW w:w="1471" w:type="dxa"/>
            <w:vAlign w:val="center"/>
          </w:tcPr>
          <w:p>
            <w:pPr>
              <w:pStyle w:val="12"/>
              <w:snapToGrid w:val="0"/>
              <w:spacing w:line="290" w:lineRule="exact"/>
              <w:jc w:val="left"/>
              <w:rPr>
                <w:color w:val="auto"/>
                <w:szCs w:val="21"/>
              </w:rPr>
            </w:pPr>
            <w:r>
              <w:rPr>
                <w:rFonts w:hint="eastAsia"/>
                <w:color w:val="auto"/>
                <w:szCs w:val="21"/>
              </w:rPr>
              <w:t>投标预备会</w:t>
            </w:r>
          </w:p>
        </w:tc>
        <w:tc>
          <w:tcPr>
            <w:tcW w:w="7299" w:type="dxa"/>
            <w:vAlign w:val="center"/>
          </w:tcPr>
          <w:p>
            <w:pPr>
              <w:pStyle w:val="12"/>
              <w:snapToGrid w:val="0"/>
              <w:spacing w:line="290" w:lineRule="exact"/>
              <w:rPr>
                <w:color w:val="auto"/>
                <w:szCs w:val="21"/>
              </w:rPr>
            </w:pPr>
            <w:r>
              <w:rPr>
                <w:rFonts w:hint="eastAsia"/>
                <w:color w:val="auto"/>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42" w:type="dxa"/>
            <w:vAlign w:val="center"/>
          </w:tcPr>
          <w:p>
            <w:pPr>
              <w:snapToGrid w:val="0"/>
              <w:spacing w:line="290" w:lineRule="exact"/>
              <w:jc w:val="center"/>
              <w:rPr>
                <w:rFonts w:hint="eastAsia" w:eastAsia="宋体"/>
                <w:color w:val="FF0000"/>
                <w:szCs w:val="21"/>
                <w:highlight w:val="cyan"/>
                <w:lang w:eastAsia="zh-CN"/>
              </w:rPr>
            </w:pPr>
            <w:r>
              <w:rPr>
                <w:rFonts w:hint="eastAsia" w:ascii="宋体" w:cs="宋体"/>
                <w:color w:val="FF0000"/>
                <w:szCs w:val="21"/>
                <w:highlight w:val="cyan"/>
              </w:rPr>
              <w:t>1</w:t>
            </w:r>
            <w:r>
              <w:rPr>
                <w:rFonts w:hint="eastAsia" w:ascii="宋体" w:cs="宋体"/>
                <w:color w:val="FF0000"/>
                <w:szCs w:val="21"/>
                <w:highlight w:val="cyan"/>
                <w:lang w:val="en-US" w:eastAsia="zh-CN"/>
              </w:rPr>
              <w:t>3</w:t>
            </w:r>
          </w:p>
        </w:tc>
        <w:tc>
          <w:tcPr>
            <w:tcW w:w="1471" w:type="dxa"/>
            <w:vAlign w:val="center"/>
          </w:tcPr>
          <w:p>
            <w:pPr>
              <w:pStyle w:val="12"/>
              <w:snapToGrid w:val="0"/>
              <w:spacing w:line="290" w:lineRule="exact"/>
              <w:jc w:val="left"/>
              <w:rPr>
                <w:color w:val="auto"/>
                <w:szCs w:val="21"/>
              </w:rPr>
            </w:pPr>
            <w:r>
              <w:rPr>
                <w:rFonts w:hint="eastAsia"/>
                <w:color w:val="auto"/>
                <w:szCs w:val="21"/>
              </w:rPr>
              <w:t>联合体投标</w:t>
            </w:r>
          </w:p>
        </w:tc>
        <w:tc>
          <w:tcPr>
            <w:tcW w:w="7299" w:type="dxa"/>
            <w:vAlign w:val="center"/>
          </w:tcPr>
          <w:p>
            <w:pPr>
              <w:spacing w:line="290" w:lineRule="exact"/>
              <w:rPr>
                <w:rFonts w:ascii="宋体" w:hAnsi="宋体" w:cs="宋体"/>
                <w:szCs w:val="21"/>
              </w:rPr>
            </w:pPr>
            <w:r>
              <w:rPr>
                <w:rFonts w:hint="eastAsia" w:hAnsi="宋体" w:cs="宋体"/>
                <w:szCs w:val="21"/>
              </w:rPr>
              <w:t>□</w:t>
            </w:r>
            <w:r>
              <w:rPr>
                <w:rFonts w:hint="eastAsia" w:ascii="宋体" w:hAnsi="宋体" w:cs="宋体"/>
                <w:szCs w:val="21"/>
              </w:rPr>
              <w:t>不接受</w:t>
            </w:r>
          </w:p>
          <w:p>
            <w:pPr>
              <w:pStyle w:val="12"/>
              <w:snapToGrid w:val="0"/>
              <w:spacing w:line="290" w:lineRule="exact"/>
              <w:rPr>
                <w:color w:val="auto"/>
                <w:szCs w:val="21"/>
              </w:rPr>
            </w:pPr>
            <w:r>
              <w:rPr>
                <w:rFonts w:hint="eastAsia" w:hAnsi="宋体" w:cs="宋体"/>
                <w:color w:val="FF0000"/>
                <w:szCs w:val="21"/>
                <w:highlight w:val="none"/>
              </w:rPr>
              <w:sym w:font="Wingdings 2" w:char="0052"/>
            </w:r>
            <w:r>
              <w:rPr>
                <w:rFonts w:hint="eastAsia" w:hAnsi="宋体" w:cs="宋体"/>
                <w:color w:val="FF0000"/>
                <w:szCs w:val="21"/>
                <w:highlight w:val="none"/>
              </w:rPr>
              <w:t>接受，联合体投标的须在投标文件中提供联合体协议书，联合体所有成员不得超过3家，联合体的任何一方均不得再与其他投标单位联合。联合体各单位均需符合本表第8条投标人资格条件；联合体各单位的资质、人员、业绩、奖项可合并作为联合体有效的资质、人员、业绩、奖项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42" w:type="dxa"/>
            <w:vAlign w:val="center"/>
          </w:tcPr>
          <w:p>
            <w:pPr>
              <w:snapToGrid w:val="0"/>
              <w:spacing w:line="290" w:lineRule="exact"/>
              <w:jc w:val="center"/>
              <w:rPr>
                <w:rFonts w:hint="eastAsia" w:ascii="宋体" w:eastAsia="宋体" w:cs="宋体"/>
                <w:color w:val="FF0000"/>
                <w:szCs w:val="21"/>
                <w:highlight w:val="cyan"/>
                <w:lang w:eastAsia="zh-CN"/>
              </w:rPr>
            </w:pPr>
            <w:r>
              <w:rPr>
                <w:rFonts w:hint="eastAsia" w:ascii="宋体" w:cs="宋体"/>
                <w:color w:val="FF0000"/>
                <w:szCs w:val="21"/>
                <w:highlight w:val="cyan"/>
              </w:rPr>
              <w:t>1</w:t>
            </w:r>
            <w:r>
              <w:rPr>
                <w:rFonts w:hint="eastAsia" w:ascii="宋体" w:cs="宋体"/>
                <w:color w:val="FF0000"/>
                <w:szCs w:val="21"/>
                <w:highlight w:val="cyan"/>
                <w:lang w:val="en-US" w:eastAsia="zh-CN"/>
              </w:rPr>
              <w:t>4</w:t>
            </w:r>
          </w:p>
        </w:tc>
        <w:tc>
          <w:tcPr>
            <w:tcW w:w="1471" w:type="dxa"/>
            <w:vAlign w:val="center"/>
          </w:tcPr>
          <w:p>
            <w:pPr>
              <w:pStyle w:val="12"/>
              <w:snapToGrid w:val="0"/>
              <w:spacing w:line="290" w:lineRule="exact"/>
              <w:jc w:val="left"/>
              <w:rPr>
                <w:color w:val="auto"/>
                <w:szCs w:val="21"/>
              </w:rPr>
            </w:pPr>
            <w:r>
              <w:rPr>
                <w:rFonts w:hint="eastAsia"/>
                <w:color w:val="auto"/>
                <w:szCs w:val="21"/>
              </w:rPr>
              <w:t>分包</w:t>
            </w:r>
          </w:p>
        </w:tc>
        <w:tc>
          <w:tcPr>
            <w:tcW w:w="7299" w:type="dxa"/>
            <w:vAlign w:val="center"/>
          </w:tcPr>
          <w:p>
            <w:pPr>
              <w:pStyle w:val="12"/>
              <w:snapToGrid w:val="0"/>
              <w:spacing w:line="290" w:lineRule="exact"/>
              <w:rPr>
                <w:rFonts w:hAnsi="宋体" w:cs="宋体"/>
                <w:color w:val="auto"/>
                <w:szCs w:val="21"/>
              </w:rPr>
            </w:pPr>
            <w:bookmarkStart w:id="37" w:name="EB3acdb25d81364a1082f02e48c34af371"/>
            <w:r>
              <w:rPr>
                <w:rFonts w:hint="eastAsia" w:hAnsi="宋体" w:cs="宋体"/>
                <w:color w:val="auto"/>
                <w:szCs w:val="21"/>
              </w:rPr>
              <w:t>☑</w:t>
            </w:r>
            <w:bookmarkEnd w:id="37"/>
            <w:r>
              <w:rPr>
                <w:rFonts w:hint="eastAsia" w:hAnsi="宋体" w:cs="宋体"/>
                <w:color w:val="auto"/>
                <w:szCs w:val="21"/>
              </w:rPr>
              <w:t>不允许</w:t>
            </w:r>
          </w:p>
          <w:p>
            <w:pPr>
              <w:pStyle w:val="12"/>
              <w:snapToGrid w:val="0"/>
              <w:spacing w:line="290" w:lineRule="exact"/>
              <w:rPr>
                <w:rFonts w:hAnsi="宋体" w:cs="宋体"/>
                <w:color w:val="auto"/>
                <w:szCs w:val="21"/>
              </w:rPr>
            </w:pPr>
            <w:bookmarkStart w:id="38" w:name="EBf5795c53c2af4c27be3088dceb06ad70"/>
            <w:r>
              <w:rPr>
                <w:rFonts w:hint="eastAsia" w:hAnsi="宋体" w:cs="宋体"/>
                <w:color w:val="auto"/>
                <w:szCs w:val="21"/>
              </w:rPr>
              <w:t>□</w:t>
            </w:r>
            <w:bookmarkEnd w:id="38"/>
            <w:r>
              <w:rPr>
                <w:rFonts w:hint="eastAsia" w:hAnsi="宋体" w:cs="宋体"/>
                <w:color w:val="auto"/>
                <w:szCs w:val="21"/>
              </w:rPr>
              <w:t>允许，分包内容要求：</w:t>
            </w:r>
            <w:bookmarkStart w:id="39" w:name="EB73ef61110f934bde9d76fc8000e95ac2"/>
            <w:bookmarkEnd w:id="39"/>
          </w:p>
          <w:p>
            <w:pPr>
              <w:pStyle w:val="12"/>
              <w:snapToGrid w:val="0"/>
              <w:spacing w:line="290" w:lineRule="exact"/>
              <w:rPr>
                <w:rFonts w:hAnsi="宋体" w:cs="宋体"/>
                <w:color w:val="auto"/>
                <w:szCs w:val="21"/>
              </w:rPr>
            </w:pPr>
            <w:r>
              <w:rPr>
                <w:rFonts w:hint="eastAsia" w:hAnsi="宋体" w:cs="宋体"/>
                <w:color w:val="auto"/>
                <w:szCs w:val="21"/>
              </w:rPr>
              <w:t>分包金额要求：</w:t>
            </w:r>
            <w:bookmarkStart w:id="40" w:name="EB33364d60c35c47099b9bb0053b7bf447"/>
            <w:bookmarkEnd w:id="40"/>
          </w:p>
          <w:p>
            <w:pPr>
              <w:pStyle w:val="12"/>
              <w:snapToGrid w:val="0"/>
              <w:spacing w:line="290" w:lineRule="exact"/>
              <w:rPr>
                <w:rFonts w:hAnsi="宋体" w:cs="宋体"/>
                <w:szCs w:val="21"/>
              </w:rPr>
            </w:pPr>
            <w:r>
              <w:rPr>
                <w:rFonts w:hint="eastAsia" w:hAnsi="宋体" w:cs="宋体"/>
                <w:color w:val="auto"/>
                <w:szCs w:val="21"/>
              </w:rPr>
              <w:t>接受分包的第三人资质要求：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42" w:type="dxa"/>
            <w:vAlign w:val="center"/>
          </w:tcPr>
          <w:p>
            <w:pPr>
              <w:pStyle w:val="12"/>
              <w:snapToGrid w:val="0"/>
              <w:spacing w:line="290" w:lineRule="exact"/>
              <w:jc w:val="center"/>
              <w:rPr>
                <w:rFonts w:hint="default" w:eastAsia="宋体" w:cs="宋体"/>
                <w:color w:val="FF0000"/>
                <w:szCs w:val="21"/>
                <w:highlight w:val="cyan"/>
                <w:lang w:val="en-US" w:eastAsia="zh-CN"/>
              </w:rPr>
            </w:pPr>
            <w:r>
              <w:rPr>
                <w:rFonts w:hint="eastAsia"/>
                <w:color w:val="FF0000"/>
                <w:szCs w:val="21"/>
                <w:highlight w:val="cyan"/>
                <w:lang w:val="en-US" w:eastAsia="zh-CN"/>
              </w:rPr>
              <w:t>15</w:t>
            </w:r>
          </w:p>
        </w:tc>
        <w:tc>
          <w:tcPr>
            <w:tcW w:w="1471" w:type="dxa"/>
            <w:vAlign w:val="center"/>
          </w:tcPr>
          <w:p>
            <w:pPr>
              <w:snapToGrid w:val="0"/>
              <w:spacing w:line="290" w:lineRule="exact"/>
              <w:jc w:val="left"/>
              <w:rPr>
                <w:rFonts w:ascii="宋体"/>
                <w:szCs w:val="21"/>
              </w:rPr>
            </w:pPr>
            <w:r>
              <w:rPr>
                <w:rFonts w:hint="eastAsia" w:ascii="宋体"/>
                <w:szCs w:val="21"/>
              </w:rPr>
              <w:t>最高投标限价</w:t>
            </w:r>
          </w:p>
        </w:tc>
        <w:tc>
          <w:tcPr>
            <w:tcW w:w="7299" w:type="dxa"/>
            <w:vAlign w:val="center"/>
          </w:tcPr>
          <w:p>
            <w:pPr>
              <w:snapToGrid w:val="0"/>
              <w:spacing w:line="290" w:lineRule="exact"/>
              <w:rPr>
                <w:rFonts w:ascii="宋体" w:hAnsi="宋体"/>
                <w:szCs w:val="21"/>
              </w:rPr>
            </w:pPr>
            <w:r>
              <w:rPr>
                <w:rFonts w:hint="eastAsia" w:ascii="宋体" w:hAnsi="宋体" w:cs="宋体"/>
                <w:szCs w:val="21"/>
              </w:rPr>
              <w:t>招标人设置投标报价最高上限：</w:t>
            </w:r>
            <w:r>
              <w:rPr>
                <w:rFonts w:hint="eastAsia" w:ascii="仿宋" w:hAnsi="仿宋" w:eastAsia="仿宋"/>
                <w:sz w:val="24"/>
                <w:u w:val="single"/>
              </w:rPr>
              <w:t xml:space="preserve"> </w:t>
            </w:r>
            <w:r>
              <w:rPr>
                <w:rFonts w:hint="eastAsia" w:ascii="宋体" w:hAnsi="宋体" w:cs="宋体"/>
                <w:b/>
                <w:bCs/>
                <w:szCs w:val="21"/>
                <w:u w:val="single"/>
              </w:rPr>
              <w:t>790</w:t>
            </w:r>
            <w:r>
              <w:rPr>
                <w:rFonts w:hint="eastAsia" w:ascii="宋体" w:hAnsi="宋体" w:cs="宋体"/>
                <w:b/>
                <w:bCs/>
                <w:szCs w:val="21"/>
                <w:u w:val="single"/>
                <w:lang w:val="en-US" w:eastAsia="zh-CN"/>
              </w:rPr>
              <w:t>0</w:t>
            </w:r>
            <w:r>
              <w:rPr>
                <w:rFonts w:hint="eastAsia" w:ascii="宋体" w:hAnsi="宋体" w:eastAsia="仿宋" w:cs="宋体"/>
                <w:b/>
                <w:bCs/>
                <w:szCs w:val="21"/>
                <w:u w:val="single"/>
                <w:lang w:val="en-US" w:eastAsia="zh-CN"/>
              </w:rPr>
              <w:t>000</w:t>
            </w:r>
            <w:r>
              <w:rPr>
                <w:rFonts w:hint="eastAsia" w:ascii="宋体" w:hAnsi="宋体" w:cs="宋体"/>
                <w:b/>
                <w:bCs/>
                <w:szCs w:val="21"/>
                <w:u w:val="single"/>
              </w:rPr>
              <w:t>元，高于最高限价的，</w:t>
            </w:r>
            <w:r>
              <w:rPr>
                <w:rFonts w:hint="eastAsia" w:ascii="宋体" w:hAnsi="宋体" w:cs="宋体"/>
                <w:szCs w:val="21"/>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2" w:type="dxa"/>
            <w:vAlign w:val="center"/>
          </w:tcPr>
          <w:p>
            <w:pPr>
              <w:snapToGrid w:val="0"/>
              <w:spacing w:line="290" w:lineRule="exact"/>
              <w:jc w:val="center"/>
              <w:rPr>
                <w:rFonts w:hint="eastAsia" w:eastAsia="宋体"/>
                <w:color w:val="FF0000"/>
                <w:szCs w:val="21"/>
                <w:highlight w:val="cyan"/>
                <w:lang w:val="en-US" w:eastAsia="zh-CN"/>
              </w:rPr>
            </w:pPr>
            <w:r>
              <w:rPr>
                <w:rFonts w:hint="eastAsia" w:ascii="宋体" w:cs="宋体"/>
                <w:color w:val="FF0000"/>
                <w:szCs w:val="21"/>
                <w:highlight w:val="cyan"/>
              </w:rPr>
              <w:t>1</w:t>
            </w:r>
            <w:r>
              <w:rPr>
                <w:rFonts w:hint="eastAsia" w:ascii="宋体" w:cs="宋体"/>
                <w:color w:val="FF0000"/>
                <w:szCs w:val="21"/>
                <w:highlight w:val="cyan"/>
                <w:lang w:val="en-US" w:eastAsia="zh-CN"/>
              </w:rPr>
              <w:t>6</w:t>
            </w:r>
          </w:p>
        </w:tc>
        <w:tc>
          <w:tcPr>
            <w:tcW w:w="1471" w:type="dxa"/>
            <w:vAlign w:val="center"/>
          </w:tcPr>
          <w:p>
            <w:pPr>
              <w:pStyle w:val="12"/>
              <w:snapToGrid w:val="0"/>
              <w:spacing w:line="290" w:lineRule="exact"/>
              <w:jc w:val="left"/>
              <w:rPr>
                <w:color w:val="auto"/>
                <w:szCs w:val="21"/>
              </w:rPr>
            </w:pPr>
            <w:r>
              <w:rPr>
                <w:color w:val="auto"/>
                <w:szCs w:val="21"/>
              </w:rPr>
              <w:t>投标有效期</w:t>
            </w:r>
          </w:p>
        </w:tc>
        <w:tc>
          <w:tcPr>
            <w:tcW w:w="7299" w:type="dxa"/>
            <w:vAlign w:val="center"/>
          </w:tcPr>
          <w:p>
            <w:pPr>
              <w:pStyle w:val="12"/>
              <w:snapToGrid w:val="0"/>
              <w:spacing w:line="290" w:lineRule="exact"/>
              <w:rPr>
                <w:color w:val="auto"/>
                <w:szCs w:val="21"/>
              </w:rPr>
            </w:pPr>
            <w:r>
              <w:rPr>
                <w:rFonts w:hint="eastAsia"/>
                <w:color w:val="auto"/>
                <w:szCs w:val="21"/>
              </w:rPr>
              <w:t>投标有效期为</w:t>
            </w:r>
            <w:r>
              <w:rPr>
                <w:rFonts w:hint="eastAsia"/>
                <w:color w:val="auto"/>
                <w:szCs w:val="21"/>
                <w:u w:val="single"/>
              </w:rPr>
              <w:t xml:space="preserve"> 60 </w:t>
            </w:r>
            <w:r>
              <w:rPr>
                <w:rFonts w:hint="eastAsia"/>
                <w:color w:val="auto"/>
                <w:szCs w:val="21"/>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42" w:type="dxa"/>
            <w:vMerge w:val="restart"/>
            <w:vAlign w:val="center"/>
          </w:tcPr>
          <w:p>
            <w:pPr>
              <w:pStyle w:val="12"/>
              <w:snapToGrid w:val="0"/>
              <w:spacing w:line="290" w:lineRule="exact"/>
              <w:jc w:val="center"/>
              <w:rPr>
                <w:rFonts w:hint="eastAsia" w:eastAsia="宋体" w:cs="宋体"/>
                <w:color w:val="FF0000"/>
                <w:szCs w:val="21"/>
                <w:highlight w:val="cyan"/>
                <w:lang w:val="en-US" w:eastAsia="zh-CN"/>
              </w:rPr>
            </w:pPr>
            <w:r>
              <w:rPr>
                <w:rFonts w:hint="eastAsia"/>
                <w:color w:val="FF0000"/>
                <w:szCs w:val="21"/>
                <w:highlight w:val="cyan"/>
              </w:rPr>
              <w:t>1</w:t>
            </w:r>
            <w:r>
              <w:rPr>
                <w:rFonts w:hint="eastAsia"/>
                <w:color w:val="FF0000"/>
                <w:szCs w:val="21"/>
                <w:highlight w:val="cyan"/>
                <w:lang w:val="en-US" w:eastAsia="zh-CN"/>
              </w:rPr>
              <w:t>7</w:t>
            </w:r>
          </w:p>
        </w:tc>
        <w:tc>
          <w:tcPr>
            <w:tcW w:w="1471" w:type="dxa"/>
            <w:tcBorders>
              <w:bottom w:val="single" w:color="auto" w:sz="4" w:space="0"/>
            </w:tcBorders>
            <w:vAlign w:val="center"/>
          </w:tcPr>
          <w:p>
            <w:pPr>
              <w:snapToGrid w:val="0"/>
              <w:spacing w:line="290" w:lineRule="exact"/>
              <w:jc w:val="left"/>
              <w:rPr>
                <w:rFonts w:ascii="宋体"/>
                <w:szCs w:val="21"/>
              </w:rPr>
            </w:pPr>
            <w:r>
              <w:rPr>
                <w:rFonts w:hint="eastAsia" w:ascii="宋体"/>
                <w:szCs w:val="21"/>
              </w:rPr>
              <w:t>投标保证金</w:t>
            </w:r>
          </w:p>
        </w:tc>
        <w:tc>
          <w:tcPr>
            <w:tcW w:w="7299" w:type="dxa"/>
            <w:tcBorders>
              <w:bottom w:val="single" w:color="auto" w:sz="4" w:space="0"/>
            </w:tcBorders>
          </w:tcPr>
          <w:p>
            <w:pPr>
              <w:snapToGrid w:val="0"/>
              <w:spacing w:line="290" w:lineRule="exact"/>
              <w:rPr>
                <w:rFonts w:ascii="宋体" w:hAnsi="宋体" w:cs="宋体-18030"/>
                <w:b/>
                <w:bCs/>
                <w:szCs w:val="21"/>
              </w:rPr>
            </w:pPr>
            <w:r>
              <w:rPr>
                <w:rFonts w:hint="eastAsia" w:ascii="宋体" w:hAnsi="宋体" w:cs="宋体-18030"/>
                <w:b/>
                <w:bCs/>
                <w:szCs w:val="21"/>
              </w:rPr>
              <w:t>投标保证金交纳方式：投标保证金应当以支票、汇票、本票、网上银行支付或者金融机构、担保机构出具的保函等非现金形式交纳。</w:t>
            </w:r>
          </w:p>
          <w:p>
            <w:pPr>
              <w:snapToGrid w:val="0"/>
              <w:spacing w:line="290" w:lineRule="exact"/>
              <w:rPr>
                <w:rFonts w:ascii="宋体" w:hAnsi="宋体" w:cs="宋体-18030"/>
                <w:szCs w:val="21"/>
              </w:rPr>
            </w:pPr>
            <w:r>
              <w:rPr>
                <w:rFonts w:hint="eastAsia" w:ascii="宋体" w:hAnsi="宋体" w:cs="宋体-18030"/>
                <w:b/>
                <w:bCs/>
                <w:szCs w:val="21"/>
              </w:rPr>
              <w:t>投标保证金的金额：80000元（捌万元整）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2" w:type="dxa"/>
            <w:vMerge w:val="continue"/>
            <w:vAlign w:val="center"/>
          </w:tcPr>
          <w:p>
            <w:pPr>
              <w:snapToGrid w:val="0"/>
              <w:spacing w:line="290" w:lineRule="exact"/>
              <w:jc w:val="center"/>
              <w:rPr>
                <w:rFonts w:ascii="宋体" w:cs="宋体"/>
                <w:color w:val="FF0000"/>
                <w:szCs w:val="21"/>
                <w:highlight w:val="cyan"/>
              </w:rPr>
            </w:pPr>
          </w:p>
        </w:tc>
        <w:tc>
          <w:tcPr>
            <w:tcW w:w="8770" w:type="dxa"/>
            <w:gridSpan w:val="2"/>
            <w:tcBorders>
              <w:top w:val="single" w:color="auto" w:sz="4" w:space="0"/>
            </w:tcBorders>
            <w:vAlign w:val="center"/>
          </w:tcPr>
          <w:p>
            <w:pPr>
              <w:snapToGrid w:val="0"/>
              <w:spacing w:line="290" w:lineRule="exact"/>
              <w:ind w:firstLine="210" w:firstLineChars="100"/>
              <w:rPr>
                <w:rFonts w:ascii="宋体" w:hAnsi="宋体"/>
                <w:szCs w:val="21"/>
                <w:highlight w:val="yellow"/>
              </w:rPr>
            </w:pPr>
            <w:r>
              <w:rPr>
                <w:rFonts w:hint="eastAsia" w:ascii="宋体" w:hAnsi="宋体"/>
                <w:szCs w:val="21"/>
              </w:rPr>
              <w:t>投标保证金交纳要求：</w:t>
            </w:r>
          </w:p>
          <w:p>
            <w:pPr>
              <w:snapToGrid w:val="0"/>
              <w:spacing w:line="290" w:lineRule="exact"/>
              <w:ind w:firstLine="210" w:firstLineChars="100"/>
              <w:rPr>
                <w:rFonts w:ascii="宋体" w:hAnsi="宋体"/>
                <w:szCs w:val="21"/>
              </w:rPr>
            </w:pPr>
            <w:r>
              <w:rPr>
                <w:rFonts w:hint="eastAsia" w:ascii="宋体" w:hAnsi="宋体"/>
                <w:szCs w:val="21"/>
              </w:rPr>
              <w:t>1、</w:t>
            </w:r>
            <w:r>
              <w:rPr>
                <w:rFonts w:hint="eastAsia" w:ascii="宋体" w:hAnsi="宋体"/>
                <w:szCs w:val="21"/>
                <w:lang w:eastAsia="zh-CN"/>
              </w:rPr>
              <w:t>投标保证金以电汇、网银等转账形式提交的，应在投标截止时间2023年</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lang w:val="en-US" w:eastAsia="zh-CN"/>
              </w:rPr>
              <w:t>26</w:t>
            </w:r>
            <w:r>
              <w:rPr>
                <w:rFonts w:hint="eastAsia" w:ascii="宋体" w:hAnsi="宋体"/>
                <w:szCs w:val="21"/>
                <w:lang w:eastAsia="zh-CN"/>
              </w:rPr>
              <w:t>日上午10：30时（北京时间）前以总公司的基本账户一次性汇入指定账户（以到账时间为准），不接受现金及任何个人汇款。确认到账后，持银行交款单、基本户开户许可证（基本存款账户信息/开户许可证复印件）和银行电子回单复印件加盖企业公章到克州政务服务和公共资源交易中心二楼换取票据收据，项目开具的票据收据原件须扫描上传，标书内附有此票据收据。</w:t>
            </w:r>
            <w:r>
              <w:rPr>
                <w:rFonts w:hint="eastAsia" w:ascii="宋体" w:hAnsi="宋体"/>
                <w:szCs w:val="21"/>
              </w:rPr>
              <w:t xml:space="preserve"> </w:t>
            </w:r>
          </w:p>
          <w:p>
            <w:pPr>
              <w:snapToGrid w:val="0"/>
              <w:spacing w:line="290" w:lineRule="exact"/>
              <w:ind w:firstLine="210" w:firstLineChars="100"/>
              <w:rPr>
                <w:rFonts w:ascii="宋体" w:hAnsi="宋体"/>
                <w:szCs w:val="21"/>
              </w:rPr>
            </w:pPr>
            <w:r>
              <w:rPr>
                <w:rFonts w:hint="eastAsia" w:ascii="宋体" w:hAnsi="宋体"/>
                <w:szCs w:val="21"/>
              </w:rPr>
              <w:t>2、</w:t>
            </w:r>
            <w:r>
              <w:rPr>
                <w:rFonts w:hint="eastAsia" w:ascii="宋体" w:hAnsi="宋体"/>
                <w:szCs w:val="21"/>
                <w:lang w:eastAsia="zh-CN"/>
              </w:rPr>
              <w:t>投标保证金以保函等票据形式提交的，金融机构、担保机构出具的票据原件须扫描上传，标书内附有此票据。</w:t>
            </w:r>
          </w:p>
          <w:p>
            <w:pPr>
              <w:snapToGrid w:val="0"/>
              <w:spacing w:line="290" w:lineRule="exact"/>
              <w:ind w:firstLine="210" w:firstLineChars="100"/>
              <w:rPr>
                <w:rFonts w:ascii="宋体" w:hAnsi="宋体"/>
                <w:szCs w:val="21"/>
              </w:rPr>
            </w:pPr>
            <w:r>
              <w:rPr>
                <w:rFonts w:hint="eastAsia" w:ascii="宋体" w:hAnsi="宋体"/>
                <w:szCs w:val="21"/>
              </w:rPr>
              <w:t>3、有效投标保证金成功交纳后，截止开标时间，供应商无正当理由不参加该项目投标且不递交弃标函，投标保证金不予退还。</w:t>
            </w:r>
          </w:p>
          <w:p>
            <w:pPr>
              <w:snapToGrid w:val="0"/>
              <w:spacing w:line="290" w:lineRule="exact"/>
              <w:ind w:firstLine="210" w:firstLineChars="100"/>
              <w:rPr>
                <w:rFonts w:ascii="宋体" w:hAnsi="宋体"/>
                <w:szCs w:val="21"/>
              </w:rPr>
            </w:pPr>
            <w:r>
              <w:rPr>
                <w:rFonts w:hint="eastAsia" w:ascii="宋体" w:hAnsi="宋体"/>
                <w:szCs w:val="21"/>
              </w:rPr>
              <w:t>户名：克孜勒苏柯尔克孜自治州政务服务和公共资源交易中心</w:t>
            </w:r>
          </w:p>
          <w:p>
            <w:pPr>
              <w:snapToGrid w:val="0"/>
              <w:spacing w:line="290" w:lineRule="exact"/>
              <w:ind w:firstLine="210" w:firstLineChars="100"/>
              <w:rPr>
                <w:rFonts w:ascii="宋体" w:hAnsi="宋体"/>
                <w:szCs w:val="21"/>
              </w:rPr>
            </w:pPr>
            <w:r>
              <w:rPr>
                <w:rFonts w:hint="eastAsia" w:ascii="宋体" w:hAnsi="宋体"/>
                <w:szCs w:val="21"/>
              </w:rPr>
              <w:t>账号：30456301040005069</w:t>
            </w:r>
          </w:p>
          <w:p>
            <w:pPr>
              <w:snapToGrid w:val="0"/>
              <w:spacing w:line="290" w:lineRule="exact"/>
              <w:ind w:firstLine="210" w:firstLineChars="100"/>
              <w:rPr>
                <w:rFonts w:ascii="宋体" w:hAnsi="宋体"/>
                <w:szCs w:val="21"/>
              </w:rPr>
            </w:pPr>
            <w:r>
              <w:rPr>
                <w:rFonts w:hint="eastAsia" w:ascii="宋体" w:hAnsi="宋体"/>
                <w:szCs w:val="21"/>
              </w:rPr>
              <w:t>行名：中国农业银行阿图什市天山分理处</w:t>
            </w:r>
          </w:p>
          <w:p>
            <w:pPr>
              <w:snapToGrid w:val="0"/>
              <w:spacing w:line="290" w:lineRule="exact"/>
              <w:ind w:firstLine="210" w:firstLineChars="100"/>
              <w:rPr>
                <w:rFonts w:ascii="宋体" w:hAnsi="宋体"/>
                <w:szCs w:val="21"/>
              </w:rPr>
            </w:pPr>
            <w:r>
              <w:rPr>
                <w:rFonts w:hint="eastAsia" w:ascii="宋体" w:hAnsi="宋体"/>
                <w:szCs w:val="21"/>
              </w:rPr>
              <w:t>行号：103893045636</w:t>
            </w:r>
          </w:p>
          <w:p>
            <w:pPr>
              <w:snapToGrid w:val="0"/>
              <w:spacing w:line="290" w:lineRule="exact"/>
              <w:ind w:firstLine="210" w:firstLineChars="100"/>
              <w:rPr>
                <w:rFonts w:ascii="宋体" w:hAnsi="宋体"/>
                <w:szCs w:val="21"/>
              </w:rPr>
            </w:pPr>
            <w:r>
              <w:rPr>
                <w:rFonts w:hint="eastAsia" w:ascii="宋体" w:hAnsi="宋体"/>
                <w:szCs w:val="21"/>
              </w:rPr>
              <w:t>联系人：张女士</w:t>
            </w:r>
          </w:p>
          <w:p>
            <w:pPr>
              <w:snapToGrid w:val="0"/>
              <w:spacing w:line="290" w:lineRule="exact"/>
              <w:ind w:firstLine="210" w:firstLineChars="100"/>
              <w:rPr>
                <w:rFonts w:ascii="宋体" w:hAnsi="宋体"/>
                <w:szCs w:val="21"/>
              </w:rPr>
            </w:pPr>
            <w:r>
              <w:rPr>
                <w:rFonts w:hint="eastAsia" w:ascii="宋体" w:hAnsi="宋体"/>
                <w:szCs w:val="21"/>
              </w:rPr>
              <w:t>电话：0908-4220265    18199721001</w:t>
            </w:r>
          </w:p>
          <w:p>
            <w:pPr>
              <w:snapToGrid w:val="0"/>
              <w:spacing w:line="290" w:lineRule="exact"/>
              <w:ind w:firstLine="210" w:firstLineChars="100"/>
              <w:rPr>
                <w:rFonts w:ascii="宋体" w:hAnsi="宋体"/>
                <w:szCs w:val="21"/>
              </w:rPr>
            </w:pPr>
            <w:r>
              <w:rPr>
                <w:rFonts w:hint="eastAsia" w:ascii="宋体" w:hAnsi="宋体"/>
                <w:szCs w:val="21"/>
              </w:rPr>
              <w:t>（备注：必须写清楚xx公司xx项目保证金）</w:t>
            </w:r>
          </w:p>
          <w:p>
            <w:pPr>
              <w:snapToGrid w:val="0"/>
              <w:spacing w:line="290" w:lineRule="exact"/>
              <w:ind w:firstLine="210" w:firstLineChars="100"/>
              <w:rPr>
                <w:rFonts w:ascii="宋体" w:hAnsi="宋体"/>
                <w:szCs w:val="21"/>
              </w:rPr>
            </w:pPr>
            <w:r>
              <w:rPr>
                <w:rFonts w:hint="eastAsia" w:ascii="宋体" w:hAnsi="宋体"/>
                <w:szCs w:val="21"/>
              </w:rPr>
              <w:t>4、退换保证金资料要求</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一、换取投标保证金收款收据资料（有效投标保证金确定成功缴纳）：</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1、基本账户信息/开户许可证复印件（两份）；</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2、银行电子回单复印件（两份）。</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注：复印件“必须加盖企业公章”</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二、申请退还投标保证金资料（招投标结束中标结果公示后）：</w:t>
            </w:r>
          </w:p>
          <w:p>
            <w:pPr>
              <w:snapToGrid w:val="0"/>
              <w:spacing w:line="290" w:lineRule="exact"/>
              <w:ind w:firstLine="210" w:firstLineChars="100"/>
              <w:rPr>
                <w:rFonts w:ascii="宋体" w:hAnsi="宋体"/>
                <w:szCs w:val="21"/>
                <w:lang w:eastAsia="zh-CN"/>
              </w:rPr>
            </w:pPr>
            <w:r>
              <w:rPr>
                <w:rFonts w:hint="eastAsia" w:ascii="宋体" w:hAnsi="宋体"/>
                <w:szCs w:val="21"/>
                <w:lang w:eastAsia="zh-CN"/>
              </w:rPr>
              <w:t>1、投标企业：待开标完成后，3个工作日以内政资中心财务人员将收取的项目投标保证金按投标企业基本户退回。</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2、中标企业：需提供已签订合同复印件一份（并携带合同原件，由中心工作人员核对后退还）。</w:t>
            </w:r>
          </w:p>
          <w:p>
            <w:pPr>
              <w:snapToGrid w:val="0"/>
              <w:spacing w:line="290" w:lineRule="exact"/>
              <w:ind w:firstLine="210" w:firstLineChars="100"/>
              <w:rPr>
                <w:rFonts w:hint="eastAsia" w:ascii="宋体" w:hAnsi="宋体"/>
                <w:szCs w:val="21"/>
                <w:lang w:eastAsia="zh-CN"/>
              </w:rPr>
            </w:pPr>
            <w:r>
              <w:rPr>
                <w:rFonts w:hint="eastAsia" w:ascii="宋体" w:hAnsi="宋体"/>
                <w:szCs w:val="21"/>
                <w:lang w:eastAsia="zh-CN"/>
              </w:rPr>
              <w:t>三、其他特殊情况处理：</w:t>
            </w:r>
          </w:p>
          <w:p>
            <w:pPr>
              <w:snapToGrid w:val="0"/>
              <w:spacing w:line="290" w:lineRule="exact"/>
              <w:ind w:firstLine="210" w:firstLineChars="100"/>
              <w:rPr>
                <w:rFonts w:ascii="宋体" w:hAnsi="宋体"/>
                <w:szCs w:val="21"/>
              </w:rPr>
            </w:pPr>
            <w:r>
              <w:rPr>
                <w:rFonts w:hint="eastAsia" w:ascii="宋体" w:hAnsi="宋体"/>
                <w:szCs w:val="21"/>
                <w:lang w:eastAsia="zh-CN"/>
              </w:rPr>
              <w:t>1、按照招标文件要求规定：投标企业无正当理由不参加该项目投标且在规定开标时间前不递交弃标函，投标保证金不予退还。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542" w:type="dxa"/>
            <w:vAlign w:val="center"/>
          </w:tcPr>
          <w:p>
            <w:pPr>
              <w:snapToGrid w:val="0"/>
              <w:spacing w:line="290" w:lineRule="exact"/>
              <w:jc w:val="center"/>
              <w:rPr>
                <w:rFonts w:hint="default" w:eastAsia="宋体"/>
                <w:color w:val="FF0000"/>
                <w:szCs w:val="21"/>
                <w:highlight w:val="cyan"/>
                <w:lang w:val="en-US" w:eastAsia="zh-CN"/>
              </w:rPr>
            </w:pPr>
            <w:r>
              <w:rPr>
                <w:rFonts w:hint="eastAsia" w:ascii="宋体" w:cs="宋体"/>
                <w:color w:val="FF0000"/>
                <w:szCs w:val="21"/>
                <w:highlight w:val="cyan"/>
                <w:lang w:val="en-US" w:eastAsia="zh-CN"/>
              </w:rPr>
              <w:t>18</w:t>
            </w:r>
          </w:p>
        </w:tc>
        <w:tc>
          <w:tcPr>
            <w:tcW w:w="1471" w:type="dxa"/>
            <w:vAlign w:val="center"/>
          </w:tcPr>
          <w:p>
            <w:pPr>
              <w:pStyle w:val="12"/>
              <w:snapToGrid w:val="0"/>
              <w:spacing w:line="290" w:lineRule="exact"/>
              <w:rPr>
                <w:color w:val="auto"/>
                <w:szCs w:val="21"/>
              </w:rPr>
            </w:pPr>
            <w:r>
              <w:rPr>
                <w:rFonts w:hint="eastAsia"/>
                <w:color w:val="auto"/>
                <w:szCs w:val="21"/>
              </w:rPr>
              <w:t>投标文件形式</w:t>
            </w:r>
          </w:p>
        </w:tc>
        <w:tc>
          <w:tcPr>
            <w:tcW w:w="7299" w:type="dxa"/>
            <w:vAlign w:val="center"/>
          </w:tcPr>
          <w:p>
            <w:pPr>
              <w:pStyle w:val="12"/>
              <w:snapToGrid w:val="0"/>
              <w:spacing w:line="290" w:lineRule="exact"/>
              <w:rPr>
                <w:color w:val="auto"/>
                <w:szCs w:val="21"/>
              </w:rPr>
            </w:pPr>
            <w:r>
              <w:rPr>
                <w:rFonts w:hint="eastAsia"/>
                <w:color w:val="auto"/>
                <w:szCs w:val="21"/>
              </w:rPr>
              <w:t>电子投标文件包括“电子加密投标文件”和“备份投标文件”，在投标文件编制完成后同时生成。</w:t>
            </w:r>
          </w:p>
          <w:p>
            <w:pPr>
              <w:pStyle w:val="12"/>
              <w:snapToGrid w:val="0"/>
              <w:spacing w:line="290" w:lineRule="exact"/>
              <w:rPr>
                <w:color w:val="auto"/>
                <w:szCs w:val="21"/>
              </w:rPr>
            </w:pPr>
            <w:r>
              <w:rPr>
                <w:rFonts w:hint="eastAsia"/>
                <w:color w:val="auto"/>
                <w:szCs w:val="21"/>
              </w:rPr>
              <w:t>1、“电子加密投标文件”是指通过“政采云电子交易客户端”完成投标文件编制后生成并加密的数据电文形式的投标文件。</w:t>
            </w:r>
          </w:p>
          <w:p>
            <w:pPr>
              <w:pStyle w:val="12"/>
              <w:snapToGrid w:val="0"/>
              <w:spacing w:line="290" w:lineRule="exact"/>
              <w:rPr>
                <w:color w:val="auto"/>
                <w:szCs w:val="21"/>
              </w:rPr>
            </w:pPr>
            <w:r>
              <w:rPr>
                <w:rFonts w:hint="eastAsia"/>
                <w:color w:val="auto"/>
                <w:szCs w:val="21"/>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2" w:type="dxa"/>
            <w:vAlign w:val="center"/>
          </w:tcPr>
          <w:p>
            <w:pPr>
              <w:snapToGrid w:val="0"/>
              <w:spacing w:line="290" w:lineRule="exact"/>
              <w:ind w:left="-77" w:leftChars="-37" w:right="-94" w:rightChars="-45"/>
              <w:jc w:val="center"/>
              <w:rPr>
                <w:rFonts w:hint="default" w:ascii="宋体" w:eastAsia="宋体" w:cs="宋体"/>
                <w:color w:val="FF0000"/>
                <w:szCs w:val="21"/>
                <w:highlight w:val="cyan"/>
                <w:lang w:val="en-US" w:eastAsia="zh-CN"/>
              </w:rPr>
            </w:pPr>
            <w:r>
              <w:rPr>
                <w:rFonts w:hint="eastAsia" w:ascii="宋体" w:cs="宋体"/>
                <w:color w:val="FF0000"/>
                <w:szCs w:val="21"/>
                <w:highlight w:val="cyan"/>
                <w:lang w:val="en-US" w:eastAsia="zh-CN"/>
              </w:rPr>
              <w:t>19</w:t>
            </w:r>
          </w:p>
        </w:tc>
        <w:tc>
          <w:tcPr>
            <w:tcW w:w="1471" w:type="dxa"/>
            <w:vAlign w:val="center"/>
          </w:tcPr>
          <w:p>
            <w:pPr>
              <w:pStyle w:val="12"/>
              <w:snapToGrid w:val="0"/>
              <w:spacing w:line="290" w:lineRule="exact"/>
              <w:rPr>
                <w:color w:val="auto"/>
                <w:szCs w:val="21"/>
              </w:rPr>
            </w:pPr>
            <w:r>
              <w:rPr>
                <w:rFonts w:hint="eastAsia"/>
                <w:color w:val="auto"/>
                <w:szCs w:val="21"/>
              </w:rPr>
              <w:t>投标文件份数及要求</w:t>
            </w:r>
          </w:p>
        </w:tc>
        <w:tc>
          <w:tcPr>
            <w:tcW w:w="7299" w:type="dxa"/>
            <w:vAlign w:val="center"/>
          </w:tcPr>
          <w:p>
            <w:pPr>
              <w:pStyle w:val="12"/>
              <w:snapToGrid w:val="0"/>
              <w:spacing w:line="290" w:lineRule="exact"/>
            </w:pPr>
            <w:r>
              <w:rPr>
                <w:rFonts w:hint="eastAsia"/>
              </w:rPr>
              <w:t>1、一份电子加密标书（“.jmbs”格式），一份备份标书文件（“.bfbs”格式）。</w:t>
            </w:r>
          </w:p>
          <w:p>
            <w:pPr>
              <w:pStyle w:val="12"/>
              <w:snapToGrid w:val="0"/>
              <w:spacing w:line="290" w:lineRule="exact"/>
            </w:pPr>
            <w:r>
              <w:rPr>
                <w:rFonts w:hint="eastAsia"/>
              </w:rPr>
              <w:t>2、每份电子投标文件应包括资格证明文件和商务及技术文件两部分。</w:t>
            </w:r>
          </w:p>
          <w:p>
            <w:pPr>
              <w:pStyle w:val="13"/>
              <w:ind w:left="0" w:leftChars="0"/>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542" w:type="dxa"/>
            <w:vMerge w:val="restart"/>
            <w:vAlign w:val="center"/>
          </w:tcPr>
          <w:p>
            <w:pPr>
              <w:snapToGrid w:val="0"/>
              <w:spacing w:line="290" w:lineRule="exact"/>
              <w:ind w:left="-77" w:leftChars="-37" w:right="-94" w:rightChars="-45"/>
              <w:jc w:val="center"/>
              <w:rPr>
                <w:rFonts w:hint="eastAsia" w:ascii="宋体" w:eastAsia="宋体" w:cs="宋体"/>
                <w:color w:val="FF0000"/>
                <w:szCs w:val="21"/>
                <w:highlight w:val="cyan"/>
                <w:lang w:val="en-US" w:eastAsia="zh-CN"/>
              </w:rPr>
            </w:pPr>
            <w:r>
              <w:rPr>
                <w:rFonts w:hint="eastAsia" w:ascii="宋体" w:cs="宋体"/>
                <w:color w:val="FF0000"/>
                <w:szCs w:val="21"/>
                <w:highlight w:val="cyan"/>
              </w:rPr>
              <w:t>2</w:t>
            </w:r>
            <w:r>
              <w:rPr>
                <w:rFonts w:hint="eastAsia" w:ascii="宋体" w:cs="宋体"/>
                <w:color w:val="FF0000"/>
                <w:szCs w:val="21"/>
                <w:highlight w:val="cyan"/>
                <w:lang w:val="en-US" w:eastAsia="zh-CN"/>
              </w:rPr>
              <w:t>0</w:t>
            </w:r>
          </w:p>
        </w:tc>
        <w:tc>
          <w:tcPr>
            <w:tcW w:w="1471" w:type="dxa"/>
            <w:vMerge w:val="restart"/>
            <w:vAlign w:val="center"/>
          </w:tcPr>
          <w:p>
            <w:pPr>
              <w:pStyle w:val="12"/>
              <w:snapToGrid w:val="0"/>
              <w:spacing w:line="290" w:lineRule="exact"/>
              <w:rPr>
                <w:rFonts w:hAnsi="宋体" w:cs="宋体"/>
                <w:color w:val="auto"/>
                <w:szCs w:val="21"/>
              </w:rPr>
            </w:pPr>
            <w:r>
              <w:rPr>
                <w:rFonts w:hint="eastAsia" w:hAnsi="宋体" w:cs="宋体"/>
                <w:color w:val="auto"/>
                <w:szCs w:val="21"/>
                <w:lang w:bidi="zh-CN"/>
              </w:rPr>
              <w:t>投标文件的上传和递交</w:t>
            </w:r>
          </w:p>
        </w:tc>
        <w:tc>
          <w:tcPr>
            <w:tcW w:w="7299" w:type="dxa"/>
            <w:vAlign w:val="center"/>
          </w:tcPr>
          <w:p>
            <w:pPr>
              <w:pStyle w:val="12"/>
              <w:snapToGrid w:val="0"/>
              <w:spacing w:line="290" w:lineRule="exact"/>
              <w:rPr>
                <w:color w:val="auto"/>
                <w:szCs w:val="21"/>
                <w:u w:val="single"/>
              </w:rPr>
            </w:pPr>
            <w:r>
              <w:rPr>
                <w:rFonts w:hint="eastAsia"/>
                <w:color w:val="auto"/>
                <w:szCs w:val="21"/>
              </w:rPr>
              <w:t>1.电子加密投标文件：投标文件制作完成并生成加密标书，在投标截止时间前，供应商需将加密的投标文件上传至政采云平台，</w:t>
            </w:r>
            <w:r>
              <w:rPr>
                <w:rFonts w:hint="eastAsia"/>
                <w:b/>
                <w:bCs/>
                <w:color w:val="auto"/>
                <w:szCs w:val="21"/>
                <w:u w:val="single"/>
              </w:rPr>
              <w:t>在开标时间开始后，待采购组织机构发出解密通知后30分钟内解密投标文件。</w:t>
            </w:r>
          </w:p>
          <w:p>
            <w:pPr>
              <w:pStyle w:val="12"/>
              <w:snapToGrid w:val="0"/>
              <w:spacing w:line="290" w:lineRule="exact"/>
              <w:rPr>
                <w:color w:val="auto"/>
                <w:szCs w:val="21"/>
              </w:rPr>
            </w:pPr>
            <w:r>
              <w:rPr>
                <w:rFonts w:hint="eastAsia"/>
                <w:color w:val="auto"/>
                <w:szCs w:val="21"/>
              </w:rPr>
              <w:t>a.供应商未能在投标截止时间前成功上传电子加密投标文件的投标无效。</w:t>
            </w:r>
          </w:p>
          <w:p>
            <w:pPr>
              <w:pStyle w:val="12"/>
              <w:snapToGrid w:val="0"/>
              <w:spacing w:line="290" w:lineRule="exact"/>
              <w:rPr>
                <w:color w:val="auto"/>
                <w:szCs w:val="21"/>
              </w:rPr>
            </w:pPr>
            <w:r>
              <w:rPr>
                <w:rFonts w:hint="eastAsia"/>
                <w:color w:val="auto"/>
                <w:szCs w:val="21"/>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542" w:type="dxa"/>
            <w:vMerge w:val="continue"/>
            <w:vAlign w:val="center"/>
          </w:tcPr>
          <w:p>
            <w:pPr>
              <w:widowControl/>
              <w:snapToGrid w:val="0"/>
              <w:spacing w:line="290" w:lineRule="exact"/>
              <w:ind w:firstLine="88" w:firstLineChars="42"/>
              <w:jc w:val="left"/>
              <w:rPr>
                <w:color w:val="FF0000"/>
                <w:szCs w:val="21"/>
                <w:highlight w:val="cyan"/>
              </w:rPr>
            </w:pPr>
          </w:p>
        </w:tc>
        <w:tc>
          <w:tcPr>
            <w:tcW w:w="1471" w:type="dxa"/>
            <w:vMerge w:val="continue"/>
            <w:vAlign w:val="center"/>
          </w:tcPr>
          <w:p>
            <w:pPr>
              <w:pStyle w:val="12"/>
              <w:snapToGrid w:val="0"/>
              <w:spacing w:line="290" w:lineRule="exact"/>
              <w:rPr>
                <w:rFonts w:hAnsi="宋体" w:cs="宋体"/>
                <w:color w:val="auto"/>
                <w:szCs w:val="21"/>
              </w:rPr>
            </w:pPr>
          </w:p>
        </w:tc>
        <w:tc>
          <w:tcPr>
            <w:tcW w:w="7299" w:type="dxa"/>
            <w:vAlign w:val="center"/>
          </w:tcPr>
          <w:p>
            <w:pPr>
              <w:pStyle w:val="12"/>
              <w:snapToGrid w:val="0"/>
              <w:spacing w:line="290" w:lineRule="exact"/>
              <w:rPr>
                <w:color w:val="auto"/>
                <w:szCs w:val="21"/>
              </w:rPr>
            </w:pPr>
            <w:r>
              <w:rPr>
                <w:rFonts w:hint="eastAsia"/>
                <w:color w:val="auto"/>
                <w:szCs w:val="21"/>
              </w:rPr>
              <w:t>2.备份投标文件：供应商在投标截止时间前将加密的投标文件上传至政府采购云平台，还可以在投标截止时间前以电子邮件方式提供备份投标文件1份（接收人邮箱：756299071@qq.cpm，接收人：木先生，电话：17551124431），“备份投标文件”由供应商自愿提供，采购文件不作强制性要求；如不提供或未按要求提供的，当电子投标文件无法解密时，将导致无备份投标文件而失去投标资格。</w:t>
            </w:r>
          </w:p>
          <w:p>
            <w:pPr>
              <w:pStyle w:val="12"/>
              <w:snapToGrid w:val="0"/>
              <w:spacing w:line="290" w:lineRule="exact"/>
              <w:rPr>
                <w:color w:val="auto"/>
                <w:szCs w:val="21"/>
              </w:rPr>
            </w:pPr>
            <w:r>
              <w:rPr>
                <w:rFonts w:hint="eastAsia"/>
                <w:color w:val="auto"/>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2"/>
              <w:snapToGrid w:val="0"/>
              <w:spacing w:line="290" w:lineRule="exact"/>
              <w:rPr>
                <w:color w:val="auto"/>
                <w:szCs w:val="21"/>
              </w:rPr>
            </w:pPr>
            <w:r>
              <w:rPr>
                <w:rFonts w:hint="eastAsia"/>
                <w:color w:val="auto"/>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542" w:type="dxa"/>
            <w:vAlign w:val="center"/>
          </w:tcPr>
          <w:p>
            <w:pPr>
              <w:snapToGrid w:val="0"/>
              <w:spacing w:line="290" w:lineRule="exact"/>
              <w:ind w:left="-77" w:leftChars="-37" w:right="-94" w:rightChars="-45"/>
              <w:jc w:val="center"/>
              <w:rPr>
                <w:rFonts w:hint="eastAsia" w:ascii="宋体" w:eastAsia="宋体" w:cs="宋体"/>
                <w:color w:val="FF0000"/>
                <w:szCs w:val="21"/>
                <w:highlight w:val="cyan"/>
                <w:lang w:val="en-US" w:eastAsia="zh-CN"/>
              </w:rPr>
            </w:pPr>
            <w:r>
              <w:rPr>
                <w:rFonts w:hint="eastAsia" w:ascii="宋体" w:cs="宋体"/>
                <w:color w:val="FF0000"/>
                <w:szCs w:val="21"/>
                <w:highlight w:val="cyan"/>
              </w:rPr>
              <w:t>2</w:t>
            </w:r>
            <w:r>
              <w:rPr>
                <w:rFonts w:hint="eastAsia" w:ascii="宋体" w:cs="宋体"/>
                <w:color w:val="FF0000"/>
                <w:szCs w:val="21"/>
                <w:highlight w:val="cyan"/>
                <w:lang w:val="en-US" w:eastAsia="zh-CN"/>
              </w:rPr>
              <w:t>1</w:t>
            </w:r>
          </w:p>
        </w:tc>
        <w:tc>
          <w:tcPr>
            <w:tcW w:w="1471" w:type="dxa"/>
            <w:vAlign w:val="center"/>
          </w:tcPr>
          <w:p>
            <w:pPr>
              <w:snapToGrid w:val="0"/>
              <w:spacing w:line="290" w:lineRule="exact"/>
              <w:jc w:val="left"/>
              <w:rPr>
                <w:rFonts w:ascii="宋体"/>
                <w:szCs w:val="21"/>
              </w:rPr>
            </w:pPr>
            <w:r>
              <w:rPr>
                <w:rFonts w:hint="eastAsia" w:ascii="宋体"/>
                <w:szCs w:val="21"/>
              </w:rPr>
              <w:t>投标截止时间及地点</w:t>
            </w:r>
          </w:p>
        </w:tc>
        <w:tc>
          <w:tcPr>
            <w:tcW w:w="7299" w:type="dxa"/>
            <w:vAlign w:val="center"/>
          </w:tcPr>
          <w:p>
            <w:pPr>
              <w:snapToGrid w:val="0"/>
              <w:spacing w:line="290" w:lineRule="exact"/>
              <w:ind w:firstLine="18" w:firstLineChars="9"/>
              <w:rPr>
                <w:b/>
                <w:bCs/>
                <w:color w:val="FF0000"/>
                <w:szCs w:val="21"/>
              </w:rPr>
            </w:pPr>
            <w:r>
              <w:rPr>
                <w:rFonts w:hint="eastAsia" w:ascii="宋体"/>
                <w:b/>
                <w:bCs/>
                <w:color w:val="FF0000"/>
                <w:szCs w:val="21"/>
              </w:rPr>
              <w:t>投标截止时间</w:t>
            </w:r>
            <w:r>
              <w:rPr>
                <w:rFonts w:hint="eastAsia"/>
                <w:b/>
                <w:bCs/>
                <w:color w:val="FF0000"/>
                <w:szCs w:val="21"/>
              </w:rPr>
              <w:t xml:space="preserve">：2023年 </w:t>
            </w:r>
            <w:r>
              <w:rPr>
                <w:rFonts w:hint="eastAsia"/>
                <w:b/>
                <w:bCs/>
                <w:color w:val="FF0000"/>
                <w:szCs w:val="21"/>
                <w:lang w:val="en-US" w:eastAsia="zh-CN"/>
              </w:rPr>
              <w:t>6</w:t>
            </w:r>
            <w:r>
              <w:rPr>
                <w:rFonts w:hint="eastAsia"/>
                <w:b/>
                <w:bCs/>
                <w:color w:val="FF0000"/>
                <w:szCs w:val="21"/>
              </w:rPr>
              <w:t>月</w:t>
            </w:r>
            <w:r>
              <w:rPr>
                <w:rFonts w:hint="eastAsia"/>
                <w:b/>
                <w:bCs/>
                <w:color w:val="FF0000"/>
                <w:szCs w:val="21"/>
                <w:lang w:val="en-US" w:eastAsia="zh-CN"/>
              </w:rPr>
              <w:t>27</w:t>
            </w:r>
            <w:r>
              <w:rPr>
                <w:rFonts w:hint="eastAsia"/>
                <w:b/>
                <w:bCs/>
                <w:color w:val="FF0000"/>
                <w:szCs w:val="21"/>
              </w:rPr>
              <w:t>日10时30分（北京时间）</w:t>
            </w:r>
          </w:p>
          <w:p>
            <w:pPr>
              <w:snapToGrid w:val="0"/>
              <w:spacing w:line="290" w:lineRule="exact"/>
              <w:ind w:firstLine="18" w:firstLineChars="9"/>
              <w:rPr>
                <w:szCs w:val="21"/>
              </w:rPr>
            </w:pPr>
            <w:r>
              <w:rPr>
                <w:rFonts w:hint="eastAsia"/>
                <w:b/>
                <w:bCs/>
                <w:szCs w:val="21"/>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2" w:type="dxa"/>
            <w:vAlign w:val="center"/>
          </w:tcPr>
          <w:p>
            <w:pPr>
              <w:pStyle w:val="12"/>
              <w:snapToGrid w:val="0"/>
              <w:spacing w:line="290" w:lineRule="exact"/>
              <w:ind w:left="-77" w:leftChars="-37" w:right="-94" w:rightChars="-45"/>
              <w:jc w:val="center"/>
              <w:rPr>
                <w:rFonts w:hint="default" w:eastAsia="宋体" w:cs="宋体"/>
                <w:color w:val="FF0000"/>
                <w:szCs w:val="21"/>
                <w:highlight w:val="cyan"/>
                <w:lang w:val="en-US" w:eastAsia="zh-CN"/>
              </w:rPr>
            </w:pPr>
            <w:r>
              <w:rPr>
                <w:rFonts w:hint="eastAsia"/>
                <w:color w:val="FF0000"/>
                <w:szCs w:val="21"/>
                <w:highlight w:val="cyan"/>
                <w:lang w:val="en-US" w:eastAsia="zh-CN"/>
              </w:rPr>
              <w:t>22</w:t>
            </w:r>
          </w:p>
        </w:tc>
        <w:tc>
          <w:tcPr>
            <w:tcW w:w="1471" w:type="dxa"/>
            <w:vAlign w:val="center"/>
          </w:tcPr>
          <w:p>
            <w:pPr>
              <w:snapToGrid w:val="0"/>
              <w:spacing w:line="290" w:lineRule="exact"/>
              <w:jc w:val="left"/>
              <w:rPr>
                <w:rFonts w:ascii="宋体"/>
                <w:szCs w:val="21"/>
              </w:rPr>
            </w:pPr>
            <w:r>
              <w:rPr>
                <w:rFonts w:hint="eastAsia" w:ascii="宋体"/>
                <w:szCs w:val="21"/>
              </w:rPr>
              <w:t>开标时间及地点</w:t>
            </w:r>
          </w:p>
        </w:tc>
        <w:tc>
          <w:tcPr>
            <w:tcW w:w="7299" w:type="dxa"/>
            <w:vAlign w:val="center"/>
          </w:tcPr>
          <w:p>
            <w:pPr>
              <w:snapToGrid w:val="0"/>
              <w:spacing w:line="290" w:lineRule="exact"/>
              <w:ind w:firstLine="18" w:firstLineChars="9"/>
              <w:rPr>
                <w:b/>
                <w:bCs/>
                <w:szCs w:val="21"/>
              </w:rPr>
            </w:pPr>
            <w:r>
              <w:rPr>
                <w:rFonts w:hint="eastAsia"/>
                <w:b/>
                <w:bCs/>
                <w:szCs w:val="21"/>
              </w:rPr>
              <w:t>开标时间：同投标截止时间</w:t>
            </w:r>
          </w:p>
          <w:p>
            <w:pPr>
              <w:snapToGrid w:val="0"/>
              <w:spacing w:line="290" w:lineRule="exact"/>
              <w:ind w:firstLine="18" w:firstLineChars="9"/>
              <w:rPr>
                <w:szCs w:val="21"/>
              </w:rPr>
            </w:pPr>
            <w:r>
              <w:rPr>
                <w:rFonts w:hint="eastAsia"/>
                <w:b/>
                <w:bCs/>
                <w:szCs w:val="21"/>
              </w:rPr>
              <w:t>开标地点：在新疆政府采购云平台（www.zcygov.cn）上开启投标文件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2" w:type="dxa"/>
            <w:vAlign w:val="center"/>
          </w:tcPr>
          <w:p>
            <w:pPr>
              <w:pStyle w:val="12"/>
              <w:snapToGrid w:val="0"/>
              <w:spacing w:line="290" w:lineRule="exact"/>
              <w:ind w:left="-77" w:leftChars="-37" w:right="-94" w:rightChars="-45"/>
              <w:jc w:val="center"/>
              <w:rPr>
                <w:rFonts w:hint="default" w:eastAsia="宋体"/>
                <w:color w:val="FF0000"/>
                <w:szCs w:val="21"/>
                <w:highlight w:val="cyan"/>
                <w:lang w:val="en-US" w:eastAsia="zh-CN"/>
              </w:rPr>
            </w:pPr>
            <w:r>
              <w:rPr>
                <w:rFonts w:hint="eastAsia"/>
                <w:color w:val="FF0000"/>
                <w:szCs w:val="21"/>
                <w:highlight w:val="cyan"/>
                <w:lang w:val="en-US" w:eastAsia="zh-CN"/>
              </w:rPr>
              <w:t>23</w:t>
            </w:r>
          </w:p>
        </w:tc>
        <w:tc>
          <w:tcPr>
            <w:tcW w:w="1471" w:type="dxa"/>
            <w:vAlign w:val="center"/>
          </w:tcPr>
          <w:p>
            <w:pPr>
              <w:pStyle w:val="12"/>
              <w:snapToGrid w:val="0"/>
              <w:spacing w:line="290" w:lineRule="exact"/>
              <w:jc w:val="left"/>
              <w:rPr>
                <w:color w:val="auto"/>
                <w:szCs w:val="21"/>
              </w:rPr>
            </w:pPr>
            <w:r>
              <w:rPr>
                <w:rFonts w:hint="eastAsia"/>
                <w:color w:val="auto"/>
                <w:szCs w:val="21"/>
              </w:rPr>
              <w:t>评标委员会的组建</w:t>
            </w:r>
          </w:p>
        </w:tc>
        <w:tc>
          <w:tcPr>
            <w:tcW w:w="7299" w:type="dxa"/>
          </w:tcPr>
          <w:p>
            <w:pPr>
              <w:pStyle w:val="12"/>
              <w:snapToGrid w:val="0"/>
              <w:spacing w:line="290" w:lineRule="exact"/>
              <w:rPr>
                <w:color w:val="auto"/>
                <w:szCs w:val="21"/>
              </w:rPr>
            </w:pPr>
            <w:r>
              <w:rPr>
                <w:rFonts w:hint="eastAsia"/>
                <w:color w:val="auto"/>
                <w:szCs w:val="21"/>
              </w:rPr>
              <w:t>评标委员会由招标人依法组建；</w:t>
            </w:r>
          </w:p>
          <w:p>
            <w:pPr>
              <w:pStyle w:val="12"/>
              <w:snapToGrid w:val="0"/>
              <w:spacing w:line="290" w:lineRule="exact"/>
              <w:rPr>
                <w:color w:val="auto"/>
                <w:szCs w:val="21"/>
              </w:rPr>
            </w:pPr>
            <w:r>
              <w:rPr>
                <w:rFonts w:hint="eastAsia"/>
                <w:color w:val="auto"/>
                <w:szCs w:val="21"/>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2" w:type="dxa"/>
            <w:vAlign w:val="center"/>
          </w:tcPr>
          <w:p>
            <w:pPr>
              <w:pStyle w:val="12"/>
              <w:snapToGrid w:val="0"/>
              <w:spacing w:line="290" w:lineRule="exact"/>
              <w:ind w:left="-77" w:leftChars="-37" w:right="-94" w:rightChars="-45"/>
              <w:jc w:val="center"/>
              <w:rPr>
                <w:rFonts w:hint="default" w:eastAsia="宋体"/>
                <w:color w:val="FF0000"/>
                <w:szCs w:val="21"/>
                <w:highlight w:val="cyan"/>
                <w:lang w:val="en-US" w:eastAsia="zh-CN"/>
              </w:rPr>
            </w:pPr>
            <w:r>
              <w:rPr>
                <w:rFonts w:hint="eastAsia"/>
                <w:color w:val="FF0000"/>
                <w:szCs w:val="21"/>
                <w:highlight w:val="cyan"/>
                <w:lang w:val="en-US" w:eastAsia="zh-CN"/>
              </w:rPr>
              <w:t>24</w:t>
            </w:r>
          </w:p>
        </w:tc>
        <w:tc>
          <w:tcPr>
            <w:tcW w:w="1471" w:type="dxa"/>
            <w:vAlign w:val="center"/>
          </w:tcPr>
          <w:p>
            <w:pPr>
              <w:pStyle w:val="12"/>
              <w:snapToGrid w:val="0"/>
              <w:spacing w:line="290" w:lineRule="exact"/>
              <w:jc w:val="left"/>
              <w:rPr>
                <w:color w:val="auto"/>
                <w:szCs w:val="21"/>
              </w:rPr>
            </w:pPr>
            <w:r>
              <w:rPr>
                <w:rFonts w:hint="eastAsia"/>
                <w:color w:val="auto"/>
                <w:szCs w:val="21"/>
              </w:rPr>
              <w:t>是否授权评标委员会确定中标候选人</w:t>
            </w:r>
          </w:p>
        </w:tc>
        <w:tc>
          <w:tcPr>
            <w:tcW w:w="7299" w:type="dxa"/>
            <w:vAlign w:val="center"/>
          </w:tcPr>
          <w:p>
            <w:pPr>
              <w:pStyle w:val="12"/>
              <w:snapToGrid w:val="0"/>
              <w:spacing w:line="290" w:lineRule="exact"/>
              <w:rPr>
                <w:color w:val="auto"/>
                <w:szCs w:val="21"/>
              </w:rPr>
            </w:pPr>
            <w:r>
              <w:rPr>
                <w:rFonts w:hint="eastAsia"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2" w:type="dxa"/>
            <w:vAlign w:val="center"/>
          </w:tcPr>
          <w:p>
            <w:pPr>
              <w:snapToGrid w:val="0"/>
              <w:spacing w:line="290" w:lineRule="exact"/>
              <w:ind w:left="-77" w:leftChars="-37" w:right="-94" w:rightChars="-45"/>
              <w:jc w:val="center"/>
              <w:rPr>
                <w:rFonts w:hint="default" w:eastAsia="宋体"/>
                <w:color w:val="FF0000"/>
                <w:szCs w:val="21"/>
                <w:highlight w:val="cyan"/>
                <w:lang w:val="en-US" w:eastAsia="zh-CN"/>
              </w:rPr>
            </w:pPr>
            <w:r>
              <w:rPr>
                <w:rFonts w:hint="eastAsia" w:ascii="宋体" w:cs="宋体"/>
                <w:color w:val="FF0000"/>
                <w:szCs w:val="21"/>
                <w:highlight w:val="cyan"/>
                <w:lang w:val="en-US" w:eastAsia="zh-CN"/>
              </w:rPr>
              <w:t>25</w:t>
            </w:r>
          </w:p>
        </w:tc>
        <w:tc>
          <w:tcPr>
            <w:tcW w:w="1471" w:type="dxa"/>
            <w:vAlign w:val="center"/>
          </w:tcPr>
          <w:p>
            <w:pPr>
              <w:pStyle w:val="12"/>
              <w:snapToGrid w:val="0"/>
              <w:spacing w:line="290" w:lineRule="exact"/>
              <w:jc w:val="left"/>
              <w:rPr>
                <w:color w:val="auto"/>
                <w:szCs w:val="21"/>
              </w:rPr>
            </w:pPr>
            <w:r>
              <w:rPr>
                <w:rFonts w:hint="eastAsia"/>
                <w:color w:val="auto"/>
                <w:szCs w:val="21"/>
              </w:rPr>
              <w:t>中标候选人公示媒介</w:t>
            </w:r>
          </w:p>
        </w:tc>
        <w:tc>
          <w:tcPr>
            <w:tcW w:w="7299" w:type="dxa"/>
            <w:vAlign w:val="center"/>
          </w:tcPr>
          <w:p>
            <w:pPr>
              <w:pStyle w:val="12"/>
              <w:snapToGrid w:val="0"/>
              <w:spacing w:line="290" w:lineRule="exact"/>
              <w:rPr>
                <w:color w:val="auto"/>
                <w:szCs w:val="21"/>
              </w:rPr>
            </w:pPr>
            <w:r>
              <w:rPr>
                <w:rFonts w:hint="eastAsia" w:ascii="Times New Roman"/>
                <w:color w:val="auto"/>
                <w:szCs w:val="21"/>
              </w:rPr>
              <w:t>克州公共资源交易网、新疆政府采购网，公示期为一个工作日。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542" w:type="dxa"/>
            <w:vAlign w:val="center"/>
          </w:tcPr>
          <w:p>
            <w:pPr>
              <w:snapToGrid w:val="0"/>
              <w:spacing w:line="290" w:lineRule="exact"/>
              <w:jc w:val="center"/>
              <w:rPr>
                <w:rFonts w:hint="default" w:ascii="宋体" w:eastAsia="宋体" w:cs="宋体"/>
                <w:color w:val="FF0000"/>
                <w:szCs w:val="21"/>
                <w:highlight w:val="cyan"/>
                <w:lang w:val="en-US" w:eastAsia="zh-CN"/>
              </w:rPr>
            </w:pPr>
            <w:r>
              <w:rPr>
                <w:rFonts w:hint="eastAsia" w:ascii="宋体" w:hAnsi="宋体" w:cs="宋体"/>
                <w:color w:val="FF0000"/>
                <w:szCs w:val="21"/>
                <w:highlight w:val="cyan"/>
                <w:lang w:val="en-US" w:eastAsia="zh-CN"/>
              </w:rPr>
              <w:t>26</w:t>
            </w:r>
          </w:p>
        </w:tc>
        <w:tc>
          <w:tcPr>
            <w:tcW w:w="1471" w:type="dxa"/>
            <w:vAlign w:val="center"/>
          </w:tcPr>
          <w:p>
            <w:pPr>
              <w:snapToGrid w:val="0"/>
              <w:spacing w:line="290" w:lineRule="exact"/>
              <w:jc w:val="left"/>
              <w:rPr>
                <w:rFonts w:ascii="宋体"/>
                <w:szCs w:val="21"/>
              </w:rPr>
            </w:pPr>
            <w:r>
              <w:rPr>
                <w:rFonts w:hint="eastAsia" w:ascii="宋体"/>
                <w:szCs w:val="21"/>
              </w:rPr>
              <w:t>履约担保</w:t>
            </w:r>
          </w:p>
        </w:tc>
        <w:tc>
          <w:tcPr>
            <w:tcW w:w="7299" w:type="dxa"/>
          </w:tcPr>
          <w:p>
            <w:pPr>
              <w:snapToGrid w:val="0"/>
              <w:spacing w:line="290" w:lineRule="exact"/>
              <w:jc w:val="left"/>
              <w:rPr>
                <w:rFonts w:ascii="宋体"/>
                <w:szCs w:val="21"/>
              </w:rPr>
            </w:pPr>
            <w:r>
              <w:rPr>
                <w:rFonts w:hint="eastAsia" w:ascii="宋体"/>
                <w:color w:val="FF0000"/>
                <w:szCs w:val="21"/>
              </w:rPr>
              <w:t>本项目不收取履约保证金。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542" w:type="dxa"/>
            <w:vAlign w:val="center"/>
          </w:tcPr>
          <w:p>
            <w:pPr>
              <w:snapToGrid w:val="0"/>
              <w:spacing w:line="290" w:lineRule="exact"/>
              <w:jc w:val="center"/>
              <w:rPr>
                <w:rFonts w:hint="default" w:ascii="宋体" w:hAnsi="宋体" w:eastAsia="宋体" w:cs="宋体"/>
                <w:color w:val="FF0000"/>
                <w:szCs w:val="21"/>
                <w:highlight w:val="cyan"/>
                <w:lang w:val="en-US" w:eastAsia="zh-CN"/>
              </w:rPr>
            </w:pPr>
            <w:r>
              <w:rPr>
                <w:rFonts w:hint="eastAsia" w:ascii="宋体" w:hAnsi="宋体" w:cs="宋体"/>
                <w:color w:val="FF0000"/>
                <w:szCs w:val="21"/>
                <w:highlight w:val="cyan"/>
                <w:lang w:val="en-US" w:eastAsia="zh-CN"/>
              </w:rPr>
              <w:t>27</w:t>
            </w:r>
          </w:p>
        </w:tc>
        <w:tc>
          <w:tcPr>
            <w:tcW w:w="1471" w:type="dxa"/>
            <w:vAlign w:val="center"/>
          </w:tcPr>
          <w:p>
            <w:pPr>
              <w:snapToGrid w:val="0"/>
              <w:spacing w:line="290" w:lineRule="exact"/>
              <w:rPr>
                <w:rFonts w:ascii="宋体" w:hAnsi="宋体" w:cs="宋体"/>
                <w:szCs w:val="21"/>
              </w:rPr>
            </w:pPr>
            <w:r>
              <w:rPr>
                <w:rFonts w:hint="eastAsia" w:ascii="宋体" w:hAnsi="宋体" w:cs="宋体"/>
                <w:szCs w:val="21"/>
              </w:rPr>
              <w:t>招标文件领取</w:t>
            </w:r>
          </w:p>
        </w:tc>
        <w:tc>
          <w:tcPr>
            <w:tcW w:w="7299" w:type="dxa"/>
          </w:tcPr>
          <w:p>
            <w:pPr>
              <w:snapToGrid w:val="0"/>
              <w:spacing w:line="290" w:lineRule="exact"/>
              <w:rPr>
                <w:rFonts w:ascii="宋体" w:hAnsi="宋体" w:cs="宋体"/>
                <w:szCs w:val="21"/>
              </w:rPr>
            </w:pPr>
            <w:r>
              <w:rPr>
                <w:rFonts w:hint="eastAsia" w:ascii="宋体" w:hAnsi="宋体" w:cs="宋体"/>
                <w:szCs w:val="21"/>
              </w:rPr>
              <w:t>时间：</w:t>
            </w:r>
            <w:r>
              <w:rPr>
                <w:rFonts w:hint="eastAsia" w:ascii="宋体" w:hAnsi="宋体" w:cs="宋体"/>
                <w:color w:val="FF0000"/>
                <w:szCs w:val="21"/>
              </w:rPr>
              <w:t xml:space="preserve">2023年 </w:t>
            </w:r>
            <w:r>
              <w:rPr>
                <w:rFonts w:hint="eastAsia" w:ascii="宋体" w:hAnsi="宋体" w:cs="宋体"/>
                <w:color w:val="FF0000"/>
                <w:szCs w:val="21"/>
                <w:lang w:val="en-US" w:eastAsia="zh-CN"/>
              </w:rPr>
              <w:t>6</w:t>
            </w:r>
            <w:r>
              <w:rPr>
                <w:rFonts w:hint="eastAsia" w:ascii="宋体" w:hAnsi="宋体" w:cs="宋体"/>
                <w:color w:val="FF0000"/>
                <w:szCs w:val="21"/>
              </w:rPr>
              <w:t xml:space="preserve">月 </w:t>
            </w:r>
            <w:r>
              <w:rPr>
                <w:rFonts w:hint="eastAsia" w:ascii="宋体" w:hAnsi="宋体" w:cs="宋体"/>
                <w:color w:val="FF0000"/>
                <w:szCs w:val="21"/>
                <w:lang w:val="en-US" w:eastAsia="zh-CN"/>
              </w:rPr>
              <w:t>7</w:t>
            </w:r>
            <w:r>
              <w:rPr>
                <w:rFonts w:hint="eastAsia" w:ascii="宋体" w:hAnsi="宋体" w:cs="宋体"/>
                <w:color w:val="FF0000"/>
                <w:szCs w:val="21"/>
              </w:rPr>
              <w:t>日至2023年</w:t>
            </w:r>
            <w:r>
              <w:rPr>
                <w:rFonts w:hint="eastAsia" w:ascii="宋体" w:hAnsi="宋体" w:cs="宋体"/>
                <w:color w:val="FF0000"/>
                <w:szCs w:val="21"/>
                <w:lang w:val="en-US" w:eastAsia="zh-CN"/>
              </w:rPr>
              <w:t>6</w:t>
            </w:r>
            <w:r>
              <w:rPr>
                <w:rFonts w:hint="eastAsia" w:ascii="宋体" w:hAnsi="宋体" w:cs="宋体"/>
                <w:color w:val="FF0000"/>
                <w:szCs w:val="21"/>
              </w:rPr>
              <w:t xml:space="preserve">月 </w:t>
            </w:r>
            <w:r>
              <w:rPr>
                <w:rFonts w:hint="eastAsia" w:ascii="宋体" w:hAnsi="宋体" w:cs="宋体"/>
                <w:color w:val="FF0000"/>
                <w:szCs w:val="21"/>
                <w:lang w:val="en-US" w:eastAsia="zh-CN"/>
              </w:rPr>
              <w:t>14</w:t>
            </w:r>
            <w:r>
              <w:rPr>
                <w:rFonts w:hint="eastAsia" w:ascii="宋体" w:hAnsi="宋体" w:cs="宋体"/>
                <w:color w:val="FF0000"/>
                <w:szCs w:val="21"/>
              </w:rPr>
              <w:t>日</w:t>
            </w:r>
            <w:r>
              <w:rPr>
                <w:rFonts w:hint="eastAsia" w:ascii="宋体" w:hAnsi="宋体" w:cs="宋体"/>
                <w:szCs w:val="21"/>
              </w:rPr>
              <w:t>，每天上午10:00至1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0，下午16:</w:t>
            </w:r>
            <w:r>
              <w:rPr>
                <w:rFonts w:hint="eastAsia" w:ascii="宋体" w:hAnsi="宋体" w:cs="宋体"/>
                <w:szCs w:val="21"/>
                <w:lang w:val="en-US" w:eastAsia="zh-CN"/>
              </w:rPr>
              <w:t>3</w:t>
            </w:r>
            <w:r>
              <w:rPr>
                <w:rFonts w:hint="eastAsia" w:ascii="宋体" w:hAnsi="宋体" w:cs="宋体"/>
                <w:szCs w:val="21"/>
              </w:rPr>
              <w:t>0至</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0（北京时间，法定节假日除外）</w:t>
            </w:r>
          </w:p>
          <w:p>
            <w:pPr>
              <w:snapToGrid w:val="0"/>
              <w:spacing w:line="290" w:lineRule="exact"/>
              <w:rPr>
                <w:rFonts w:ascii="宋体" w:hAnsi="宋体" w:cs="宋体"/>
                <w:szCs w:val="21"/>
              </w:rPr>
            </w:pPr>
            <w:r>
              <w:rPr>
                <w:rFonts w:hint="eastAsia" w:ascii="宋体" w:hAnsi="宋体" w:cs="宋体"/>
                <w:szCs w:val="21"/>
              </w:rPr>
              <w:t>地点：供应商登陆政采云平台http://www.zcygov.cn/，在线申请获取招标文件。</w:t>
            </w:r>
          </w:p>
          <w:p>
            <w:pPr>
              <w:snapToGrid w:val="0"/>
              <w:spacing w:line="290" w:lineRule="exact"/>
              <w:rPr>
                <w:rFonts w:ascii="宋体" w:hAnsi="宋体" w:cs="宋体"/>
                <w:szCs w:val="21"/>
              </w:rPr>
            </w:pPr>
            <w:r>
              <w:rPr>
                <w:rFonts w:hint="eastAsia" w:ascii="宋体" w:hAnsi="宋体" w:cs="宋体"/>
                <w:szCs w:val="21"/>
              </w:rPr>
              <w:t>方式：（1）线上获取（登录政府采购云平台 → 项目采购 → 获取招标文件→ 申请，审核通过后可下载招标文件）。本次招标不提供纸质版招标文件。</w:t>
            </w:r>
          </w:p>
          <w:p>
            <w:pPr>
              <w:snapToGrid w:val="0"/>
              <w:spacing w:line="290" w:lineRule="exact"/>
              <w:rPr>
                <w:rFonts w:ascii="宋体" w:hAnsi="宋体" w:cs="宋体"/>
                <w:szCs w:val="21"/>
              </w:rPr>
            </w:pPr>
            <w:r>
              <w:rPr>
                <w:rFonts w:hint="eastAsia" w:ascii="宋体" w:hAnsi="宋体" w:cs="宋体"/>
                <w:szCs w:val="21"/>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58" w:hRule="atLeast"/>
          <w:jc w:val="center"/>
        </w:trPr>
        <w:tc>
          <w:tcPr>
            <w:tcW w:w="542" w:type="dxa"/>
            <w:vAlign w:val="center"/>
          </w:tcPr>
          <w:p>
            <w:pPr>
              <w:snapToGrid w:val="0"/>
              <w:spacing w:line="290" w:lineRule="exact"/>
              <w:jc w:val="center"/>
              <w:rPr>
                <w:rFonts w:hint="default" w:ascii="宋体" w:hAnsi="宋体" w:cs="宋体"/>
                <w:color w:val="FF0000"/>
                <w:szCs w:val="21"/>
                <w:highlight w:val="cyan"/>
                <w:lang w:val="en-US" w:eastAsia="zh-CN"/>
              </w:rPr>
            </w:pPr>
            <w:r>
              <w:rPr>
                <w:rFonts w:hint="eastAsia" w:ascii="宋体" w:hAnsi="宋体" w:cs="宋体"/>
                <w:color w:val="FF0000"/>
                <w:szCs w:val="21"/>
                <w:highlight w:val="cyan"/>
                <w:lang w:val="en-US" w:eastAsia="zh-CN"/>
              </w:rPr>
              <w:t>28</w:t>
            </w:r>
          </w:p>
        </w:tc>
        <w:tc>
          <w:tcPr>
            <w:tcW w:w="1471" w:type="dxa"/>
            <w:vAlign w:val="center"/>
          </w:tcPr>
          <w:p>
            <w:pPr>
              <w:snapToGrid w:val="0"/>
              <w:spacing w:line="290" w:lineRule="exact"/>
              <w:rPr>
                <w:rFonts w:hint="eastAsia" w:ascii="宋体" w:hAnsi="宋体" w:eastAsia="宋体" w:cs="宋体"/>
                <w:szCs w:val="21"/>
                <w:lang w:eastAsia="zh-CN"/>
              </w:rPr>
            </w:pPr>
            <w:r>
              <w:rPr>
                <w:rFonts w:hint="eastAsia" w:ascii="宋体" w:hAnsi="宋体" w:cs="宋体"/>
                <w:b/>
                <w:bCs/>
                <w:szCs w:val="21"/>
                <w:lang w:eastAsia="zh-CN"/>
              </w:rPr>
              <w:t>所属行业</w:t>
            </w:r>
          </w:p>
        </w:tc>
        <w:tc>
          <w:tcPr>
            <w:tcW w:w="7299" w:type="dxa"/>
          </w:tcPr>
          <w:p>
            <w:pPr>
              <w:snapToGrid w:val="0"/>
              <w:spacing w:line="290" w:lineRule="exact"/>
              <w:jc w:val="left"/>
              <w:rPr>
                <w:rFonts w:hint="eastAsia" w:ascii="宋体" w:hAnsi="宋体" w:eastAsia="宋体" w:cs="宋体"/>
                <w:szCs w:val="21"/>
                <w:lang w:eastAsia="zh-CN"/>
              </w:rPr>
            </w:pPr>
            <w:r>
              <w:rPr>
                <w:rFonts w:hint="eastAsia" w:ascii="宋体" w:hAnsi="宋体" w:cs="宋体"/>
                <w:b/>
                <w:bCs/>
                <w:szCs w:val="21"/>
                <w:lang w:eastAsia="zh-CN"/>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2" w:type="dxa"/>
            <w:vMerge w:val="restart"/>
            <w:vAlign w:val="center"/>
          </w:tcPr>
          <w:p>
            <w:pPr>
              <w:snapToGrid w:val="0"/>
              <w:spacing w:line="290" w:lineRule="exact"/>
              <w:jc w:val="center"/>
              <w:rPr>
                <w:rFonts w:hint="default" w:ascii="宋体" w:hAnsi="宋体" w:eastAsia="宋体" w:cs="宋体"/>
                <w:color w:val="FF0000"/>
                <w:szCs w:val="21"/>
                <w:highlight w:val="cyan"/>
                <w:lang w:val="en-US" w:eastAsia="zh-CN"/>
              </w:rPr>
            </w:pPr>
            <w:r>
              <w:rPr>
                <w:rFonts w:hint="eastAsia" w:ascii="宋体" w:hAnsi="宋体" w:cs="宋体"/>
                <w:color w:val="FF0000"/>
                <w:szCs w:val="21"/>
                <w:highlight w:val="cyan"/>
                <w:lang w:val="en-US" w:eastAsia="zh-CN"/>
              </w:rPr>
              <w:t>29</w:t>
            </w:r>
            <w:bookmarkStart w:id="323" w:name="_GoBack"/>
            <w:bookmarkEnd w:id="323"/>
          </w:p>
        </w:tc>
        <w:tc>
          <w:tcPr>
            <w:tcW w:w="1471" w:type="dxa"/>
            <w:vMerge w:val="restart"/>
            <w:vAlign w:val="center"/>
          </w:tcPr>
          <w:p>
            <w:pPr>
              <w:snapToGrid w:val="0"/>
              <w:spacing w:line="290" w:lineRule="exact"/>
              <w:jc w:val="center"/>
              <w:rPr>
                <w:rFonts w:ascii="宋体" w:hAnsi="宋体"/>
                <w:b/>
                <w:szCs w:val="21"/>
              </w:rPr>
            </w:pPr>
            <w:r>
              <w:rPr>
                <w:rFonts w:hint="eastAsia" w:ascii="宋体" w:hAnsi="宋体"/>
                <w:b/>
                <w:szCs w:val="21"/>
              </w:rPr>
              <w:t>重要说明</w:t>
            </w:r>
          </w:p>
        </w:tc>
        <w:tc>
          <w:tcPr>
            <w:tcW w:w="7299" w:type="dxa"/>
          </w:tcPr>
          <w:p>
            <w:pPr>
              <w:snapToGrid w:val="0"/>
              <w:spacing w:line="290" w:lineRule="exact"/>
              <w:jc w:val="left"/>
            </w:pPr>
            <w:r>
              <w:rPr>
                <w:rFonts w:hint="eastAsia"/>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pPr>
            <w:r>
              <w:rPr>
                <w:rFonts w:hint="eastAsia"/>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pPr>
            <w:r>
              <w:rPr>
                <w:rFonts w:hint="eastAsia"/>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napToGrid w:val="0"/>
              <w:spacing w:line="290" w:lineRule="exact"/>
              <w:jc w:val="left"/>
            </w:pPr>
            <w:r>
              <w:rPr>
                <w:rFonts w:hint="eastAsi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spacing w:line="290" w:lineRule="exact"/>
              <w:jc w:val="left"/>
            </w:pPr>
            <w:r>
              <w:rPr>
                <w:rFonts w:hint="eastAsia"/>
              </w:rPr>
              <w:t>5.供应商在开标时须使用制作加密电子投标文件所使用的CA锁及电脑，电脑须提前配置好浏览器（建议使用谷歌浏览器），以便开标时解锁。</w:t>
            </w:r>
          </w:p>
          <w:p>
            <w:pPr>
              <w:snapToGrid w:val="0"/>
              <w:spacing w:line="290" w:lineRule="exact"/>
              <w:jc w:val="left"/>
            </w:pPr>
            <w:r>
              <w:rPr>
                <w:rFonts w:hint="eastAsi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rPr>
                <w:rFonts w:hint="eastAsia"/>
              </w:rPr>
            </w:pPr>
            <w:r>
              <w:rPr>
                <w:rFonts w:hint="eastAsia"/>
              </w:rPr>
              <w:t>7.为了保证开评标顺利进行，政采云线上开标功能完全实现，供应商开标所使用的电脑设备须具有视频及语音功能。</w:t>
            </w:r>
          </w:p>
          <w:p>
            <w:pPr>
              <w:pStyle w:val="2"/>
              <w:rPr>
                <w:rFonts w:hint="default" w:eastAsia="宋体"/>
                <w:lang w:val="en-US" w:eastAsia="zh-CN"/>
              </w:rPr>
            </w:pPr>
            <w:r>
              <w:rPr>
                <w:rFonts w:hint="eastAsia" w:ascii="Times New Roman" w:hAnsi="Times New Roman" w:eastAsia="宋体" w:cs="Times New Roman"/>
                <w:b/>
                <w:bCs/>
                <w:kern w:val="2"/>
                <w:sz w:val="21"/>
                <w:szCs w:val="24"/>
                <w:lang w:val="en-US" w:eastAsia="zh-CN" w:bidi="ar-SA"/>
              </w:rPr>
              <w:t>8.本项目为非专门面向中小企业采购项目，根据《政府采购促进中小企业发展管理办法》（财库【2020】46号）规定，对符合规定的小微企业报价给予10%的扣除，用扣除后的价格参加评审。大中型企业与小微企业组成联合体的，对于联合协议约定小微企业的合同份额占到合同总金额30%以上的，对联合体的报价给予4%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2" w:type="dxa"/>
            <w:vMerge w:val="continue"/>
            <w:vAlign w:val="center"/>
          </w:tcPr>
          <w:p>
            <w:pPr>
              <w:snapToGrid w:val="0"/>
              <w:spacing w:line="290" w:lineRule="exact"/>
              <w:rPr>
                <w:rFonts w:ascii="宋体" w:hAnsi="宋体"/>
                <w:b/>
                <w:szCs w:val="21"/>
              </w:rPr>
            </w:pPr>
          </w:p>
        </w:tc>
        <w:tc>
          <w:tcPr>
            <w:tcW w:w="1471" w:type="dxa"/>
            <w:vMerge w:val="continue"/>
            <w:vAlign w:val="center"/>
          </w:tcPr>
          <w:p>
            <w:pPr>
              <w:snapToGrid w:val="0"/>
              <w:spacing w:line="290" w:lineRule="exact"/>
              <w:rPr>
                <w:rFonts w:ascii="宋体" w:hAnsi="宋体"/>
                <w:b/>
                <w:szCs w:val="21"/>
              </w:rPr>
            </w:pPr>
          </w:p>
        </w:tc>
        <w:tc>
          <w:tcPr>
            <w:tcW w:w="7299" w:type="dxa"/>
          </w:tcPr>
          <w:p>
            <w:pPr>
              <w:snapToGrid w:val="0"/>
              <w:spacing w:line="290" w:lineRule="exact"/>
              <w:ind w:firstLine="420" w:firstLineChars="200"/>
              <w:rPr>
                <w:rFonts w:ascii="宋体" w:hAnsi="宋体" w:cs="宋体"/>
                <w:b/>
                <w:szCs w:val="21"/>
              </w:rPr>
            </w:pPr>
            <w:r>
              <w:rPr>
                <w:rFonts w:hint="eastAsia" w:ascii="宋体" w:hAnsi="宋体" w:cs="宋体"/>
                <w:b/>
                <w:szCs w:val="21"/>
              </w:rPr>
              <w:t>1、电子招投标情况说明：</w:t>
            </w:r>
          </w:p>
          <w:p>
            <w:pPr>
              <w:snapToGrid w:val="0"/>
              <w:spacing w:line="29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电子招投标</w:t>
            </w:r>
            <w:r>
              <w:rPr>
                <w:rFonts w:hint="eastAsia" w:ascii="宋体" w:hAnsi="宋体" w:cs="宋体"/>
                <w:szCs w:val="21"/>
              </w:rPr>
              <w:t>：本项目以数据电文形式，依托“政府采购云平台（www.zcygov.cn）”进行招投标活动</w:t>
            </w:r>
            <w:r>
              <w:rPr>
                <w:rFonts w:hint="eastAsia" w:ascii="宋体" w:hAnsi="宋体" w:cs="宋体"/>
                <w:b/>
                <w:bCs/>
                <w:szCs w:val="21"/>
              </w:rPr>
              <w:t>。</w:t>
            </w:r>
          </w:p>
          <w:p>
            <w:pPr>
              <w:snapToGrid w:val="0"/>
              <w:spacing w:line="29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投标准备</w:t>
            </w:r>
            <w:r>
              <w:rPr>
                <w:rFonts w:hint="eastAsia" w:ascii="宋体" w:hAnsi="宋体" w:cs="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29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采购文件的获取</w:t>
            </w:r>
            <w:r>
              <w:rPr>
                <w:rFonts w:hint="eastAsia" w:ascii="宋体" w:hAnsi="宋体" w:cs="宋体"/>
                <w:szCs w:val="21"/>
              </w:rPr>
              <w:t>：使用账号登录或者</w:t>
            </w:r>
            <w:r>
              <w:rPr>
                <w:rFonts w:hint="eastAsia" w:ascii="宋体" w:hAnsi="宋体" w:cs="宋体"/>
                <w:szCs w:val="21"/>
                <w:lang w:bidi="zh-CN"/>
              </w:rPr>
              <w:t>短信验证码</w:t>
            </w:r>
            <w:r>
              <w:rPr>
                <w:rFonts w:hint="eastAsia" w:ascii="宋体" w:hAnsi="宋体" w:cs="宋体"/>
                <w:szCs w:val="21"/>
              </w:rPr>
              <w:t>或者使用CA登录政采云平台；进入“项目采购”应用，在获取采购文件菜单中选择项目，获取采购文件。</w:t>
            </w:r>
          </w:p>
          <w:p>
            <w:pPr>
              <w:snapToGrid w:val="0"/>
              <w:spacing w:line="290" w:lineRule="exact"/>
              <w:ind w:firstLine="420" w:firstLineChars="200"/>
              <w:rPr>
                <w:rFonts w:ascii="宋体" w:hAnsi="宋体" w:cs="宋体"/>
                <w:szCs w:val="21"/>
              </w:rPr>
            </w:pPr>
            <w:r>
              <w:rPr>
                <w:rFonts w:hint="eastAsia" w:ascii="宋体" w:hAnsi="宋体" w:cs="宋体"/>
                <w:b/>
                <w:bCs/>
                <w:szCs w:val="21"/>
              </w:rPr>
              <w:t>2、</w:t>
            </w:r>
            <w:r>
              <w:rPr>
                <w:rFonts w:hint="eastAsia" w:ascii="宋体" w:hAnsi="宋体" w:cs="宋体"/>
                <w:b/>
                <w:szCs w:val="21"/>
              </w:rPr>
              <w:t>投标文件的制作</w:t>
            </w:r>
            <w:r>
              <w:rPr>
                <w:rFonts w:hint="eastAsia" w:ascii="宋体" w:hAnsi="宋体" w:cs="宋体"/>
                <w:szCs w:val="21"/>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rPr>
            </w:pPr>
            <w:r>
              <w:rPr>
                <w:rFonts w:hint="eastAsia" w:ascii="宋体" w:hAnsi="宋体" w:cs="宋体"/>
                <w:b/>
                <w:szCs w:val="21"/>
              </w:rPr>
              <w:t>3、投标文件的传输递交投标文件的传输递交</w:t>
            </w:r>
            <w:r>
              <w:rPr>
                <w:rFonts w:hint="eastAsia" w:ascii="宋体" w:hAnsi="宋体" w:cs="宋体"/>
                <w:szCs w:val="21"/>
              </w:rPr>
              <w:t>：供应商在投标截止时间前将加密的投标文件上传至政府采购云平台，还可以在投标截止时间前以电子邮件方式提供备份投标文件1份（接收人邮箱：756299071@qq.cpm，接收人：木先生，电话：17551124431），</w:t>
            </w:r>
            <w:r>
              <w:rPr>
                <w:rFonts w:hint="eastAsia" w:ascii="宋体" w:hAnsi="宋体" w:cs="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rPr>
              <w:t>。</w:t>
            </w:r>
          </w:p>
          <w:p>
            <w:pPr>
              <w:snapToGrid w:val="0"/>
              <w:spacing w:line="290" w:lineRule="exact"/>
              <w:ind w:firstLine="420" w:firstLineChars="200"/>
              <w:rPr>
                <w:rFonts w:ascii="宋体" w:hAnsi="宋体" w:cs="宋体"/>
                <w:szCs w:val="21"/>
              </w:rPr>
            </w:pPr>
            <w:r>
              <w:rPr>
                <w:rFonts w:hint="eastAsia" w:ascii="宋体" w:hAnsi="宋体" w:cs="宋体"/>
                <w:b/>
                <w:szCs w:val="21"/>
              </w:rPr>
              <w:t>4、投标文件的解密</w:t>
            </w:r>
            <w:r>
              <w:rPr>
                <w:rFonts w:hint="eastAsia" w:ascii="宋体" w:hAnsi="宋体" w:cs="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rPr>
            </w:pPr>
            <w:r>
              <w:rPr>
                <w:rFonts w:hint="eastAsia" w:ascii="宋体" w:hAnsi="宋体" w:cs="宋体"/>
                <w:b/>
                <w:szCs w:val="21"/>
              </w:rPr>
              <w:t>5、具体操作指南</w:t>
            </w:r>
            <w:r>
              <w:rPr>
                <w:rFonts w:hint="eastAsia" w:ascii="宋体" w:hAnsi="宋体" w:cs="宋体"/>
                <w:szCs w:val="21"/>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rPr>
            </w:pPr>
            <w:r>
              <w:rPr>
                <w:rFonts w:hint="eastAsia" w:ascii="宋体" w:hAnsi="宋体" w:cs="宋体"/>
                <w:szCs w:val="21"/>
              </w:rPr>
              <w:t>（1）供应商在进行上述操作时，如遇技术问题可登录政采云（https://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szCs w:val="21"/>
              </w:rPr>
              <w:t>www.zcygov.cn/</w:t>
            </w:r>
            <w:r>
              <w:rPr>
                <w:rFonts w:hint="eastAsia" w:ascii="宋体" w:hAnsi="宋体" w:cs="宋体"/>
                <w:szCs w:val="21"/>
              </w:rPr>
              <w:fldChar w:fldCharType="end"/>
            </w:r>
            <w:r>
              <w:rPr>
                <w:rFonts w:hint="eastAsia" w:ascii="宋体" w:hAnsi="宋体" w:cs="宋体"/>
                <w:szCs w:val="21"/>
              </w:rPr>
              <w:t>），点击右侧咨询小采，获取采小蜜智能服务管家帮助，或拨打政采云服务热线 400-881-7190 获取热线服务帮助。</w:t>
            </w:r>
          </w:p>
          <w:p>
            <w:pPr>
              <w:pStyle w:val="6"/>
              <w:adjustRightInd/>
              <w:snapToGrid w:val="0"/>
              <w:spacing w:line="290" w:lineRule="exact"/>
              <w:ind w:firstLine="420" w:firstLineChars="200"/>
              <w:textAlignment w:val="auto"/>
              <w:rPr>
                <w:rFonts w:ascii="宋体" w:hAnsi="宋体" w:cs="宋体"/>
                <w:bCs/>
                <w:sz w:val="21"/>
                <w:szCs w:val="21"/>
              </w:rPr>
            </w:pPr>
            <w:r>
              <w:rPr>
                <w:rFonts w:hint="eastAsia" w:ascii="宋体" w:hAnsi="宋体" w:cs="宋体"/>
                <w:bCs/>
                <w:sz w:val="21"/>
                <w:szCs w:val="21"/>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rPr>
            </w:pPr>
            <w:r>
              <w:rPr>
                <w:rFonts w:hint="eastAsia" w:ascii="宋体" w:hAnsi="宋体" w:cs="宋体"/>
                <w:bCs/>
                <w:szCs w:val="21"/>
              </w:rPr>
              <w:t>6、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szCs w:val="21"/>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013" w:type="dxa"/>
            <w:gridSpan w:val="2"/>
            <w:vAlign w:val="center"/>
          </w:tcPr>
          <w:p>
            <w:pPr>
              <w:snapToGrid w:val="0"/>
              <w:spacing w:line="290" w:lineRule="exact"/>
              <w:rPr>
                <w:b/>
                <w:szCs w:val="21"/>
              </w:rPr>
            </w:pPr>
            <w:r>
              <w:rPr>
                <w:rFonts w:hint="eastAsia"/>
                <w:b/>
                <w:szCs w:val="21"/>
              </w:rPr>
              <w:t>备注</w:t>
            </w:r>
          </w:p>
        </w:tc>
        <w:tc>
          <w:tcPr>
            <w:tcW w:w="7299" w:type="dxa"/>
          </w:tcPr>
          <w:p>
            <w:pPr>
              <w:snapToGrid w:val="0"/>
              <w:spacing w:line="290" w:lineRule="exact"/>
              <w:jc w:val="left"/>
              <w:rPr>
                <w:b/>
                <w:szCs w:val="21"/>
              </w:rPr>
            </w:pPr>
            <w:r>
              <w:rPr>
                <w:rFonts w:hint="eastAsia"/>
                <w:b/>
                <w:szCs w:val="21"/>
              </w:rPr>
              <w:t>投标人使用相同IP地址的，一经发现，相关部门将进一步核实，查实后按串通投标处理。</w:t>
            </w:r>
          </w:p>
        </w:tc>
      </w:tr>
    </w:tbl>
    <w:p>
      <w:pPr>
        <w:pageBreakBefore/>
        <w:spacing w:before="312" w:beforeLines="100" w:after="312" w:afterLines="100" w:line="440" w:lineRule="exact"/>
        <w:jc w:val="center"/>
        <w:outlineLvl w:val="1"/>
        <w:rPr>
          <w:rFonts w:ascii="宋体"/>
          <w:b/>
          <w:sz w:val="28"/>
          <w:szCs w:val="32"/>
        </w:rPr>
      </w:pPr>
      <w:bookmarkStart w:id="41" w:name="_Toc111210736"/>
      <w:r>
        <w:rPr>
          <w:rFonts w:hint="eastAsia" w:ascii="宋体"/>
          <w:b/>
          <w:sz w:val="28"/>
          <w:szCs w:val="28"/>
        </w:rPr>
        <w:t>二、投标人须知</w:t>
      </w:r>
      <w:bookmarkEnd w:id="41"/>
    </w:p>
    <w:p>
      <w:pPr>
        <w:spacing w:line="440" w:lineRule="exact"/>
        <w:jc w:val="center"/>
        <w:outlineLvl w:val="2"/>
        <w:rPr>
          <w:rFonts w:ascii="宋体"/>
          <w:sz w:val="28"/>
          <w:szCs w:val="28"/>
        </w:rPr>
      </w:pPr>
      <w:bookmarkStart w:id="42" w:name="_Toc111210737"/>
      <w:bookmarkStart w:id="43" w:name="_Toc111210311"/>
      <w:bookmarkStart w:id="44" w:name="_Toc111210533"/>
      <w:bookmarkStart w:id="45" w:name="_Toc469495724"/>
      <w:r>
        <w:rPr>
          <w:rFonts w:hint="eastAsia" w:ascii="宋体"/>
          <w:b/>
          <w:sz w:val="28"/>
          <w:szCs w:val="28"/>
        </w:rPr>
        <w:t>（一）</w:t>
      </w:r>
      <w:r>
        <w:rPr>
          <w:rFonts w:hint="eastAsia" w:ascii="宋体"/>
          <w:b/>
          <w:sz w:val="28"/>
          <w:szCs w:val="32"/>
        </w:rPr>
        <w:t>总  则</w:t>
      </w:r>
      <w:bookmarkEnd w:id="42"/>
      <w:bookmarkEnd w:id="43"/>
      <w:bookmarkEnd w:id="44"/>
      <w:bookmarkEnd w:id="45"/>
    </w:p>
    <w:p>
      <w:pPr>
        <w:snapToGrid w:val="0"/>
        <w:spacing w:line="440" w:lineRule="exact"/>
        <w:ind w:firstLine="420" w:firstLineChars="200"/>
        <w:rPr>
          <w:rFonts w:ascii="宋体"/>
          <w:b/>
          <w:szCs w:val="21"/>
        </w:rPr>
      </w:pPr>
      <w:r>
        <w:rPr>
          <w:rFonts w:hint="eastAsia" w:ascii="宋体"/>
          <w:b/>
          <w:szCs w:val="21"/>
        </w:rPr>
        <w:t>1.项目概况</w:t>
      </w:r>
    </w:p>
    <w:p>
      <w:pPr>
        <w:snapToGrid w:val="0"/>
        <w:spacing w:line="440" w:lineRule="exact"/>
        <w:ind w:firstLine="420" w:firstLineChars="200"/>
        <w:rPr>
          <w:rFonts w:ascii="宋体"/>
          <w:szCs w:val="21"/>
          <w:u w:val="single"/>
        </w:rPr>
      </w:pPr>
      <w:r>
        <w:rPr>
          <w:rFonts w:hint="eastAsia" w:ascii="宋体"/>
          <w:szCs w:val="21"/>
        </w:rPr>
        <w:t>1.1本次招标采购项目名称：见投标人须知前附表。</w:t>
      </w:r>
    </w:p>
    <w:p>
      <w:pPr>
        <w:snapToGrid w:val="0"/>
        <w:spacing w:line="440" w:lineRule="exact"/>
        <w:ind w:firstLine="420" w:firstLineChars="200"/>
        <w:rPr>
          <w:rFonts w:ascii="宋体"/>
          <w:szCs w:val="21"/>
          <w:u w:val="single"/>
        </w:rPr>
      </w:pPr>
      <w:r>
        <w:rPr>
          <w:rFonts w:hint="eastAsia" w:ascii="宋体"/>
          <w:szCs w:val="21"/>
        </w:rPr>
        <w:t xml:space="preserve">               项目编号：见投标人须知前附表。</w:t>
      </w:r>
    </w:p>
    <w:p>
      <w:pPr>
        <w:snapToGrid w:val="0"/>
        <w:spacing w:line="440" w:lineRule="exact"/>
        <w:ind w:firstLine="420" w:firstLineChars="200"/>
        <w:rPr>
          <w:rFonts w:ascii="宋体"/>
          <w:szCs w:val="21"/>
          <w:u w:val="single"/>
        </w:rPr>
      </w:pPr>
      <w:r>
        <w:rPr>
          <w:rFonts w:hint="eastAsia" w:ascii="宋体"/>
          <w:szCs w:val="21"/>
        </w:rPr>
        <w:t xml:space="preserve">                 招标人：见投标人须知前附表。</w:t>
      </w:r>
    </w:p>
    <w:p>
      <w:pPr>
        <w:snapToGrid w:val="0"/>
        <w:spacing w:line="440" w:lineRule="exact"/>
        <w:ind w:firstLine="420" w:firstLineChars="200"/>
        <w:rPr>
          <w:rFonts w:ascii="宋体"/>
          <w:szCs w:val="21"/>
          <w:u w:val="single"/>
        </w:rPr>
      </w:pPr>
      <w:r>
        <w:rPr>
          <w:rFonts w:hint="eastAsia" w:ascii="宋体"/>
          <w:szCs w:val="21"/>
        </w:rPr>
        <w:t xml:space="preserve">      供货期（服务周期）：见投标人须知前附表。</w:t>
      </w:r>
    </w:p>
    <w:p>
      <w:pPr>
        <w:snapToGrid w:val="0"/>
        <w:spacing w:line="440" w:lineRule="exact"/>
        <w:ind w:firstLine="420" w:firstLineChars="200"/>
        <w:rPr>
          <w:rFonts w:ascii="宋体"/>
          <w:szCs w:val="21"/>
          <w:u w:val="single"/>
        </w:rPr>
      </w:pPr>
      <w:r>
        <w:rPr>
          <w:rFonts w:hint="eastAsia" w:ascii="宋体"/>
          <w:szCs w:val="21"/>
        </w:rPr>
        <w:t xml:space="preserve">               供货地点：见投标人须知前附表。</w:t>
      </w:r>
    </w:p>
    <w:p>
      <w:pPr>
        <w:snapToGrid w:val="0"/>
        <w:spacing w:line="440" w:lineRule="exact"/>
        <w:ind w:firstLine="420" w:firstLineChars="200"/>
        <w:rPr>
          <w:rFonts w:ascii="宋体"/>
          <w:szCs w:val="21"/>
          <w:u w:val="single"/>
        </w:rPr>
      </w:pPr>
      <w:r>
        <w:rPr>
          <w:rFonts w:hint="eastAsia" w:ascii="宋体"/>
          <w:szCs w:val="21"/>
        </w:rPr>
        <w:t>1.2招标人及联系人: 见投标人须知前附表。</w:t>
      </w:r>
    </w:p>
    <w:p>
      <w:pPr>
        <w:snapToGrid w:val="0"/>
        <w:spacing w:line="440" w:lineRule="exact"/>
        <w:ind w:firstLine="525" w:firstLineChars="250"/>
        <w:rPr>
          <w:rFonts w:ascii="宋体"/>
          <w:szCs w:val="21"/>
          <w:u w:val="single"/>
        </w:rPr>
      </w:pPr>
      <w:r>
        <w:rPr>
          <w:rFonts w:hint="eastAsia" w:ascii="宋体"/>
          <w:szCs w:val="21"/>
        </w:rPr>
        <w:t xml:space="preserve"> 代理机构及联系人: 见投标人须知前附表。</w:t>
      </w:r>
    </w:p>
    <w:p>
      <w:pPr>
        <w:snapToGrid w:val="0"/>
        <w:spacing w:line="440" w:lineRule="exact"/>
        <w:ind w:firstLine="420" w:firstLineChars="200"/>
        <w:rPr>
          <w:rFonts w:ascii="宋体"/>
          <w:szCs w:val="21"/>
        </w:rPr>
      </w:pPr>
      <w:r>
        <w:rPr>
          <w:rFonts w:hint="eastAsia" w:ascii="宋体"/>
          <w:szCs w:val="21"/>
        </w:rPr>
        <w:t>1.3资金来源：见投标人须知前附表。</w:t>
      </w:r>
    </w:p>
    <w:p>
      <w:pPr>
        <w:snapToGrid w:val="0"/>
        <w:spacing w:line="440" w:lineRule="exact"/>
        <w:ind w:firstLine="420" w:firstLineChars="200"/>
        <w:rPr>
          <w:rFonts w:ascii="宋体"/>
          <w:szCs w:val="21"/>
        </w:rPr>
      </w:pPr>
      <w:r>
        <w:rPr>
          <w:rFonts w:hint="eastAsia" w:ascii="宋体"/>
          <w:szCs w:val="21"/>
        </w:rPr>
        <w:t>1.4本项目预算：见投标人须知前附表。</w:t>
      </w:r>
    </w:p>
    <w:p>
      <w:pPr>
        <w:snapToGrid w:val="0"/>
        <w:spacing w:line="440" w:lineRule="exact"/>
        <w:ind w:firstLine="420" w:firstLineChars="200"/>
        <w:rPr>
          <w:rFonts w:ascii="宋体"/>
          <w:szCs w:val="21"/>
        </w:rPr>
      </w:pPr>
      <w:r>
        <w:rPr>
          <w:rFonts w:hint="eastAsia" w:ascii="宋体"/>
          <w:szCs w:val="21"/>
        </w:rPr>
        <w:t>1.5本项目控制价：见投标人须知前附表。</w:t>
      </w:r>
    </w:p>
    <w:p>
      <w:pPr>
        <w:snapToGrid w:val="0"/>
        <w:spacing w:line="440" w:lineRule="exact"/>
        <w:ind w:firstLine="420" w:firstLineChars="200"/>
        <w:rPr>
          <w:rFonts w:ascii="宋体"/>
          <w:b/>
          <w:szCs w:val="21"/>
        </w:rPr>
      </w:pPr>
      <w:r>
        <w:rPr>
          <w:rFonts w:hint="eastAsia" w:ascii="宋体"/>
          <w:b/>
          <w:szCs w:val="21"/>
        </w:rPr>
        <w:t>2.招标范围：</w:t>
      </w:r>
    </w:p>
    <w:p>
      <w:pPr>
        <w:snapToGrid w:val="0"/>
        <w:spacing w:line="440" w:lineRule="exact"/>
        <w:ind w:firstLine="420" w:firstLineChars="200"/>
        <w:rPr>
          <w:rFonts w:ascii="宋体"/>
          <w:szCs w:val="21"/>
          <w:u w:val="single"/>
        </w:rPr>
      </w:pPr>
      <w:r>
        <w:rPr>
          <w:rFonts w:hint="eastAsia" w:ascii="宋体"/>
          <w:szCs w:val="21"/>
        </w:rPr>
        <w:t>2.1 采购内容：见投标人须知前附表。</w:t>
      </w:r>
    </w:p>
    <w:p>
      <w:pPr>
        <w:snapToGrid w:val="0"/>
        <w:spacing w:line="440" w:lineRule="exact"/>
        <w:ind w:firstLine="420" w:firstLineChars="200"/>
        <w:rPr>
          <w:rFonts w:ascii="宋体"/>
          <w:szCs w:val="21"/>
        </w:rPr>
      </w:pPr>
      <w:r>
        <w:rPr>
          <w:rFonts w:hint="eastAsia" w:ascii="宋体"/>
          <w:szCs w:val="21"/>
        </w:rPr>
        <w:t>2.2 技术要求：详见采购文件第四章采购内容及技术要求。</w:t>
      </w:r>
    </w:p>
    <w:p>
      <w:pPr>
        <w:snapToGrid w:val="0"/>
        <w:spacing w:line="440" w:lineRule="exact"/>
        <w:ind w:firstLine="420" w:firstLineChars="200"/>
        <w:rPr>
          <w:rFonts w:ascii="宋体"/>
          <w:b/>
          <w:szCs w:val="21"/>
        </w:rPr>
      </w:pPr>
      <w:r>
        <w:rPr>
          <w:rFonts w:hint="eastAsia" w:ascii="宋体"/>
          <w:b/>
          <w:szCs w:val="21"/>
        </w:rPr>
        <w:t>3.标包划分：</w:t>
      </w:r>
    </w:p>
    <w:p>
      <w:pPr>
        <w:snapToGrid w:val="0"/>
        <w:spacing w:line="440" w:lineRule="exact"/>
        <w:ind w:firstLine="420" w:firstLineChars="200"/>
        <w:jc w:val="left"/>
        <w:rPr>
          <w:rFonts w:ascii="宋体"/>
          <w:szCs w:val="21"/>
        </w:rPr>
      </w:pPr>
      <w:r>
        <w:rPr>
          <w:rFonts w:hint="eastAsia" w:ascii="宋体"/>
          <w:szCs w:val="21"/>
        </w:rPr>
        <w:t>3.1本项目划分：</w:t>
      </w:r>
      <w:r>
        <w:rPr>
          <w:rFonts w:hint="eastAsia" w:ascii="宋体"/>
          <w:szCs w:val="21"/>
          <w:u w:val="single"/>
        </w:rPr>
        <w:t xml:space="preserve"> 1 </w:t>
      </w:r>
      <w:r>
        <w:rPr>
          <w:rFonts w:hint="eastAsia" w:ascii="宋体"/>
          <w:szCs w:val="21"/>
        </w:rPr>
        <w:t xml:space="preserve"> </w:t>
      </w:r>
      <w:r>
        <w:rPr>
          <w:rFonts w:hint="eastAsia"/>
          <w:szCs w:val="21"/>
        </w:rPr>
        <w:t>个标包</w:t>
      </w:r>
      <w:r>
        <w:rPr>
          <w:rFonts w:hint="eastAsia" w:ascii="宋体" w:hAnsi="宋体" w:cs="宋体"/>
          <w:kern w:val="0"/>
          <w:szCs w:val="21"/>
        </w:rPr>
        <w:t>。</w:t>
      </w:r>
    </w:p>
    <w:p>
      <w:pPr>
        <w:snapToGrid w:val="0"/>
        <w:spacing w:line="440" w:lineRule="exact"/>
        <w:ind w:firstLine="420" w:firstLineChars="200"/>
        <w:rPr>
          <w:rFonts w:ascii="宋体"/>
          <w:b/>
          <w:szCs w:val="21"/>
        </w:rPr>
      </w:pPr>
      <w:r>
        <w:rPr>
          <w:rFonts w:hint="eastAsia" w:ascii="宋体"/>
          <w:b/>
          <w:szCs w:val="21"/>
        </w:rPr>
        <w:t>4.招标方式：</w:t>
      </w:r>
    </w:p>
    <w:p>
      <w:pPr>
        <w:snapToGrid w:val="0"/>
        <w:spacing w:line="440" w:lineRule="exact"/>
        <w:ind w:firstLine="420" w:firstLineChars="200"/>
        <w:rPr>
          <w:rFonts w:ascii="宋体"/>
          <w:szCs w:val="21"/>
        </w:rPr>
      </w:pPr>
      <w:r>
        <w:rPr>
          <w:rFonts w:hint="eastAsia" w:ascii="宋体"/>
          <w:szCs w:val="21"/>
        </w:rPr>
        <w:t>4.1本项目招标方式：见投标人须知前附表。</w:t>
      </w:r>
    </w:p>
    <w:p>
      <w:pPr>
        <w:snapToGrid w:val="0"/>
        <w:spacing w:line="440" w:lineRule="exact"/>
        <w:ind w:firstLine="420" w:firstLineChars="200"/>
        <w:rPr>
          <w:rFonts w:ascii="宋体"/>
          <w:b/>
          <w:szCs w:val="21"/>
        </w:rPr>
      </w:pPr>
      <w:r>
        <w:rPr>
          <w:rFonts w:hint="eastAsia" w:ascii="宋体"/>
          <w:b/>
          <w:szCs w:val="21"/>
        </w:rPr>
        <w:t>5.计价方式：</w:t>
      </w:r>
    </w:p>
    <w:p>
      <w:pPr>
        <w:snapToGrid w:val="0"/>
        <w:spacing w:line="440" w:lineRule="exact"/>
        <w:ind w:firstLine="420" w:firstLineChars="200"/>
        <w:rPr>
          <w:rFonts w:ascii="宋体"/>
          <w:szCs w:val="21"/>
        </w:rPr>
      </w:pPr>
      <w:r>
        <w:rPr>
          <w:rFonts w:hint="eastAsia" w:ascii="宋体"/>
          <w:szCs w:val="21"/>
        </w:rPr>
        <w:t>5.1本次招标项目合同采用</w:t>
      </w:r>
      <w:r>
        <w:rPr>
          <w:rFonts w:hint="eastAsia" w:ascii="宋体"/>
          <w:szCs w:val="21"/>
          <w:u w:val="single"/>
        </w:rPr>
        <w:t xml:space="preserve">   固定总价 。</w:t>
      </w:r>
    </w:p>
    <w:p>
      <w:pPr>
        <w:snapToGrid w:val="0"/>
        <w:spacing w:line="440" w:lineRule="exact"/>
        <w:ind w:firstLine="420" w:firstLineChars="200"/>
        <w:rPr>
          <w:rFonts w:ascii="宋体"/>
          <w:b/>
          <w:szCs w:val="21"/>
        </w:rPr>
      </w:pPr>
      <w:r>
        <w:rPr>
          <w:rFonts w:hint="eastAsia" w:ascii="宋体"/>
          <w:b/>
          <w:szCs w:val="21"/>
        </w:rPr>
        <w:t>6.评标办法：</w:t>
      </w:r>
    </w:p>
    <w:p>
      <w:pPr>
        <w:snapToGrid w:val="0"/>
        <w:spacing w:line="440" w:lineRule="exact"/>
        <w:ind w:firstLine="420" w:firstLineChars="200"/>
        <w:rPr>
          <w:rFonts w:ascii="宋体"/>
          <w:szCs w:val="21"/>
        </w:rPr>
      </w:pPr>
      <w:r>
        <w:rPr>
          <w:rFonts w:hint="eastAsia" w:ascii="宋体"/>
          <w:szCs w:val="21"/>
        </w:rPr>
        <w:t>6.1本次招标评标采用</w:t>
      </w:r>
      <w:r>
        <w:rPr>
          <w:rFonts w:hint="eastAsia" w:ascii="宋体"/>
          <w:szCs w:val="21"/>
          <w:u w:val="single"/>
        </w:rPr>
        <w:t xml:space="preserve">  综合评分法 </w:t>
      </w:r>
      <w:r>
        <w:rPr>
          <w:rFonts w:hint="eastAsia" w:ascii="宋体"/>
          <w:szCs w:val="21"/>
        </w:rPr>
        <w:t>（详见第三章评标办法）</w:t>
      </w:r>
    </w:p>
    <w:p>
      <w:pPr>
        <w:snapToGrid w:val="0"/>
        <w:spacing w:line="440" w:lineRule="exact"/>
        <w:ind w:firstLine="420" w:firstLineChars="200"/>
        <w:rPr>
          <w:rFonts w:ascii="宋体"/>
          <w:b/>
          <w:szCs w:val="21"/>
        </w:rPr>
      </w:pPr>
      <w:r>
        <w:rPr>
          <w:rFonts w:hint="eastAsia" w:ascii="宋体"/>
          <w:b/>
          <w:szCs w:val="21"/>
        </w:rPr>
        <w:t>7.投标人资格：</w:t>
      </w:r>
    </w:p>
    <w:p>
      <w:pPr>
        <w:snapToGrid w:val="0"/>
        <w:spacing w:line="440" w:lineRule="exact"/>
        <w:ind w:firstLine="420" w:firstLineChars="200"/>
        <w:rPr>
          <w:rFonts w:ascii="宋体"/>
          <w:szCs w:val="21"/>
        </w:rPr>
      </w:pPr>
      <w:r>
        <w:rPr>
          <w:rFonts w:hint="eastAsia" w:ascii="宋体"/>
          <w:szCs w:val="21"/>
        </w:rPr>
        <w:t>7.1参与采购活动的投标人必须是满足《中华人民共和国政府采购法》规定条件的法人、其他组织或者自然人：</w:t>
      </w:r>
    </w:p>
    <w:p>
      <w:pPr>
        <w:snapToGrid w:val="0"/>
        <w:spacing w:line="440" w:lineRule="exact"/>
        <w:ind w:firstLine="420" w:firstLineChars="200"/>
        <w:rPr>
          <w:rFonts w:ascii="宋体"/>
          <w:szCs w:val="21"/>
        </w:rPr>
      </w:pPr>
      <w:r>
        <w:rPr>
          <w:rFonts w:hint="eastAsia" w:ascii="宋体"/>
          <w:szCs w:val="21"/>
        </w:rPr>
        <w:t>7.2由于政府采购项目的差异性，投标人在参与具体政府采购项目活动时，应仔细阅读该项目的资质要求,具体见投标人须知前附表。</w:t>
      </w:r>
    </w:p>
    <w:p>
      <w:pPr>
        <w:snapToGrid w:val="0"/>
        <w:spacing w:line="440" w:lineRule="exact"/>
        <w:ind w:firstLine="420" w:firstLineChars="200"/>
        <w:rPr>
          <w:rFonts w:ascii="宋体"/>
          <w:szCs w:val="21"/>
        </w:rPr>
      </w:pPr>
      <w:r>
        <w:rPr>
          <w:rFonts w:hint="eastAsia" w:ascii="宋体"/>
          <w:szCs w:val="21"/>
        </w:rPr>
        <w:t>7.3根据电子化政府采购的特点，各供应商在开标前应确保成为新疆维吾尔自治区政府采购网正式注册入库供应商</w:t>
      </w:r>
      <w:r>
        <w:rPr>
          <w:rFonts w:hint="eastAsia" w:ascii="宋体" w:hAnsi="宋体" w:cs="宋体"/>
          <w:szCs w:val="21"/>
        </w:rPr>
        <w:t>（已在政采云平台其他省份入驻的供应商无需重复注册）</w:t>
      </w:r>
      <w:r>
        <w:rPr>
          <w:rFonts w:hint="eastAsia" w:ascii="宋体"/>
          <w:szCs w:val="21"/>
        </w:rPr>
        <w:t>，并完成CA数字证书申领。因未注册入库、未办理CA数字证书等原因造成无法投标或投标失败等后果由供应商自行承担。</w:t>
      </w:r>
    </w:p>
    <w:p>
      <w:pPr>
        <w:snapToGrid w:val="0"/>
        <w:spacing w:line="440" w:lineRule="exact"/>
        <w:ind w:firstLine="420" w:firstLineChars="200"/>
        <w:rPr>
          <w:rFonts w:ascii="宋体"/>
          <w:szCs w:val="21"/>
        </w:rPr>
      </w:pPr>
      <w:r>
        <w:rPr>
          <w:rFonts w:hint="eastAsia" w:ascii="宋体"/>
          <w:szCs w:val="21"/>
        </w:rPr>
        <w:t>7.4投标人必须确保自己在信息库中注册的信息真实、准确，并保证投标文件中的有关信息与库中的信息相一致。否则，投标人因此蒙受损失，招标人概不负责。</w:t>
      </w:r>
    </w:p>
    <w:p>
      <w:pPr>
        <w:spacing w:line="440" w:lineRule="exact"/>
        <w:ind w:firstLine="420" w:firstLineChars="200"/>
        <w:rPr>
          <w:b/>
          <w:szCs w:val="21"/>
        </w:rPr>
      </w:pPr>
      <w:r>
        <w:rPr>
          <w:rFonts w:hint="eastAsia"/>
          <w:b/>
          <w:szCs w:val="21"/>
        </w:rPr>
        <w:t>8. 投标费用</w:t>
      </w:r>
    </w:p>
    <w:p>
      <w:pPr>
        <w:snapToGrid w:val="0"/>
        <w:spacing w:line="440" w:lineRule="exact"/>
        <w:ind w:firstLine="420" w:firstLineChars="200"/>
        <w:rPr>
          <w:rFonts w:ascii="宋体"/>
          <w:szCs w:val="21"/>
        </w:rPr>
      </w:pPr>
      <w:r>
        <w:rPr>
          <w:rFonts w:hint="eastAsia" w:ascii="宋体"/>
          <w:szCs w:val="21"/>
        </w:rPr>
        <w:t>8.1投标人准备和参加投标活动发生的费用自理。</w:t>
      </w:r>
    </w:p>
    <w:p>
      <w:pPr>
        <w:spacing w:line="440" w:lineRule="exact"/>
        <w:ind w:firstLine="420" w:firstLineChars="200"/>
        <w:rPr>
          <w:b/>
          <w:szCs w:val="21"/>
        </w:rPr>
      </w:pPr>
      <w:r>
        <w:rPr>
          <w:rFonts w:hint="eastAsia"/>
          <w:b/>
          <w:szCs w:val="21"/>
        </w:rPr>
        <w:t>9.</w:t>
      </w:r>
      <w:bookmarkStart w:id="46" w:name="_Toc144974507"/>
      <w:bookmarkStart w:id="47" w:name="_Toc247527563"/>
      <w:bookmarkStart w:id="48" w:name="_Toc152045539"/>
      <w:bookmarkStart w:id="49" w:name="_Toc247513962"/>
      <w:bookmarkStart w:id="50" w:name="_Toc296602429"/>
      <w:bookmarkStart w:id="51" w:name="_Toc152042315"/>
      <w:bookmarkStart w:id="52" w:name="_Toc247592876"/>
      <w:r>
        <w:rPr>
          <w:rFonts w:hint="eastAsia"/>
          <w:b/>
          <w:szCs w:val="21"/>
        </w:rPr>
        <w:t xml:space="preserve"> 踏勘现场</w:t>
      </w:r>
      <w:bookmarkEnd w:id="46"/>
      <w:bookmarkEnd w:id="47"/>
      <w:bookmarkEnd w:id="48"/>
      <w:bookmarkEnd w:id="49"/>
      <w:bookmarkEnd w:id="50"/>
      <w:bookmarkEnd w:id="51"/>
      <w:bookmarkEnd w:id="52"/>
    </w:p>
    <w:p>
      <w:pPr>
        <w:spacing w:line="440" w:lineRule="exact"/>
        <w:ind w:firstLine="409" w:firstLineChars="195"/>
        <w:rPr>
          <w:rFonts w:ascii="宋体"/>
          <w:szCs w:val="21"/>
        </w:rPr>
      </w:pPr>
      <w:r>
        <w:rPr>
          <w:rFonts w:hint="eastAsia" w:ascii="宋体"/>
          <w:szCs w:val="21"/>
        </w:rPr>
        <w:t>9.1 投标人须知前附表规定组织踏勘现场的，招标人按投标人须知前附表规定的时间、地点组织投标人踏勘项目现场。如需踏勘现场，</w:t>
      </w:r>
      <w:r>
        <w:rPr>
          <w:rFonts w:hint="eastAsia"/>
        </w:rPr>
        <w:t>投标人自行踏勘现场的，可咨询本项目采购人或采购代理机构联系人。</w:t>
      </w:r>
      <w:r>
        <w:rPr>
          <w:rFonts w:hint="eastAsia"/>
          <w:b/>
          <w:bCs/>
        </w:rPr>
        <w:t>投标人自行踏勘现场的，可咨询本项目采购人或采购代理机构联系人。</w:t>
      </w:r>
      <w:r>
        <w:rPr>
          <w:rFonts w:hint="eastAsia" w:ascii="宋体"/>
          <w:b/>
          <w:bCs/>
          <w:szCs w:val="21"/>
        </w:rPr>
        <w:t xml:space="preserve"> </w:t>
      </w:r>
    </w:p>
    <w:p>
      <w:pPr>
        <w:spacing w:line="440" w:lineRule="exact"/>
        <w:ind w:firstLine="409" w:firstLineChars="195"/>
        <w:rPr>
          <w:rFonts w:ascii="宋体"/>
          <w:szCs w:val="21"/>
        </w:rPr>
      </w:pPr>
      <w:r>
        <w:rPr>
          <w:rFonts w:hint="eastAsia" w:ascii="宋体"/>
          <w:szCs w:val="21"/>
        </w:rPr>
        <w:t>9.2 投标人踏勘现场发生的费用自理。</w:t>
      </w:r>
    </w:p>
    <w:p>
      <w:pPr>
        <w:spacing w:line="440" w:lineRule="exact"/>
        <w:ind w:firstLine="409" w:firstLineChars="195"/>
        <w:rPr>
          <w:rFonts w:ascii="宋体"/>
          <w:szCs w:val="21"/>
        </w:rPr>
      </w:pPr>
      <w:r>
        <w:rPr>
          <w:rFonts w:hint="eastAsia" w:ascii="宋体"/>
          <w:szCs w:val="21"/>
        </w:rPr>
        <w:t>9.3 除招标人的原因外，投标人自行负责在踏勘现场中所发生的人员伤亡和财产损失。</w:t>
      </w:r>
    </w:p>
    <w:p>
      <w:pPr>
        <w:spacing w:line="440" w:lineRule="exact"/>
        <w:ind w:firstLine="409" w:firstLineChars="195"/>
        <w:rPr>
          <w:rFonts w:ascii="宋体"/>
          <w:szCs w:val="21"/>
        </w:rPr>
      </w:pPr>
      <w:r>
        <w:rPr>
          <w:rFonts w:hint="eastAsia" w:ascii="宋体"/>
          <w:szCs w:val="21"/>
        </w:rPr>
        <w:t>9.4 招标人在踏勘现场中介绍的场地和相关的周边环境情况，供投标人在编制投标文件时参考，招标人不对投标人据此作出的判断和决策负责。</w:t>
      </w:r>
      <w:bookmarkStart w:id="53" w:name="_Toc144974508"/>
      <w:bookmarkStart w:id="54" w:name="_Toc247592877"/>
      <w:bookmarkStart w:id="55" w:name="_Toc247527564"/>
      <w:bookmarkStart w:id="56" w:name="_Toc296602430"/>
      <w:bookmarkStart w:id="57" w:name="_Toc152042316"/>
      <w:bookmarkStart w:id="58" w:name="_Toc247513963"/>
      <w:bookmarkStart w:id="59" w:name="_Toc152045540"/>
    </w:p>
    <w:p>
      <w:pPr>
        <w:spacing w:line="440" w:lineRule="exact"/>
        <w:ind w:firstLine="420" w:firstLineChars="200"/>
        <w:rPr>
          <w:b/>
          <w:szCs w:val="21"/>
        </w:rPr>
      </w:pPr>
      <w:r>
        <w:rPr>
          <w:rFonts w:hint="eastAsia"/>
          <w:b/>
          <w:szCs w:val="21"/>
        </w:rPr>
        <w:t>10. 投标预备会</w:t>
      </w:r>
      <w:bookmarkEnd w:id="53"/>
      <w:bookmarkEnd w:id="54"/>
      <w:bookmarkEnd w:id="55"/>
      <w:bookmarkEnd w:id="56"/>
      <w:bookmarkEnd w:id="57"/>
      <w:bookmarkEnd w:id="58"/>
      <w:bookmarkEnd w:id="59"/>
    </w:p>
    <w:p>
      <w:pPr>
        <w:spacing w:line="440" w:lineRule="exact"/>
        <w:ind w:firstLine="409" w:firstLineChars="195"/>
        <w:rPr>
          <w:rFonts w:ascii="宋体"/>
          <w:szCs w:val="21"/>
        </w:rPr>
      </w:pPr>
      <w:r>
        <w:rPr>
          <w:rFonts w:hint="eastAsia" w:ascii="宋体"/>
          <w:szCs w:val="21"/>
        </w:rPr>
        <w:t>10.1投标人须知前附表规定召开投标预备会的，招标人按投标人须知前附表规定的时间和地点召开投标预备会，澄清投标人提出的问题。</w:t>
      </w:r>
    </w:p>
    <w:p>
      <w:pPr>
        <w:spacing w:line="440" w:lineRule="exact"/>
        <w:ind w:firstLine="409" w:firstLineChars="195"/>
        <w:rPr>
          <w:rFonts w:ascii="宋体"/>
          <w:szCs w:val="21"/>
        </w:rPr>
      </w:pPr>
      <w:r>
        <w:rPr>
          <w:rFonts w:hint="eastAsia" w:ascii="宋体"/>
          <w:szCs w:val="21"/>
        </w:rPr>
        <w:t>10.2投标人应在投标人须知前附表规定的时间前，将提出的问题送达招标人，以便招标人澄清。</w:t>
      </w:r>
    </w:p>
    <w:p>
      <w:pPr>
        <w:spacing w:line="440" w:lineRule="exact"/>
        <w:ind w:firstLine="409" w:firstLineChars="195"/>
        <w:rPr>
          <w:rFonts w:ascii="宋体"/>
          <w:szCs w:val="21"/>
        </w:rPr>
      </w:pPr>
      <w:r>
        <w:rPr>
          <w:rFonts w:hint="eastAsia" w:ascii="宋体"/>
          <w:szCs w:val="21"/>
        </w:rPr>
        <w:t>10.3招标人在投标人须知前附表规定的时间，将对投标人所提的问题进行澄清。该澄清内容为采购文件的组成部分。</w:t>
      </w:r>
    </w:p>
    <w:p>
      <w:pPr>
        <w:spacing w:line="440" w:lineRule="exact"/>
        <w:ind w:firstLine="420" w:firstLineChars="200"/>
        <w:rPr>
          <w:b/>
          <w:szCs w:val="21"/>
        </w:rPr>
      </w:pPr>
      <w:r>
        <w:rPr>
          <w:rFonts w:hint="eastAsia"/>
          <w:b/>
          <w:szCs w:val="21"/>
        </w:rPr>
        <w:t>11. 联合投标</w:t>
      </w:r>
    </w:p>
    <w:p>
      <w:pPr>
        <w:spacing w:line="440" w:lineRule="exact"/>
        <w:ind w:firstLine="409" w:firstLineChars="195"/>
        <w:rPr>
          <w:rFonts w:ascii="宋体"/>
          <w:color w:val="FF0000"/>
          <w:szCs w:val="21"/>
          <w:highlight w:val="none"/>
        </w:rPr>
      </w:pPr>
      <w:r>
        <w:rPr>
          <w:rFonts w:hint="eastAsia" w:ascii="宋体"/>
          <w:szCs w:val="21"/>
        </w:rPr>
        <w:t>11.1 两个以上投标人可以组成一个投标联合体，以一个投标人的身份投标。以联合体形式参加投标的，联合体各方均应当符合《政府采购法》第二十二条规定的条件。</w:t>
      </w:r>
      <w:r>
        <w:rPr>
          <w:rFonts w:hint="eastAsia" w:hAnsi="宋体" w:cs="宋体"/>
          <w:color w:val="FF0000"/>
          <w:szCs w:val="21"/>
          <w:highlight w:val="none"/>
        </w:rPr>
        <w:t>联合体各单位均需符合前附表第8条投标人资格条件；联合体各单位的资质、人员、业绩、奖项可合并作为联合体有效的资质、人员、业绩、奖项等。</w:t>
      </w:r>
    </w:p>
    <w:p>
      <w:pPr>
        <w:spacing w:line="440" w:lineRule="exact"/>
        <w:ind w:firstLine="409" w:firstLineChars="195"/>
        <w:rPr>
          <w:rFonts w:ascii="宋体"/>
          <w:szCs w:val="21"/>
        </w:rPr>
      </w:pPr>
      <w:r>
        <w:rPr>
          <w:rFonts w:hint="eastAsia" w:ascii="宋体"/>
          <w:szCs w:val="21"/>
        </w:rPr>
        <w:t>11.2联合体各方之间应当签订共同投标协议，明确约定。</w:t>
      </w:r>
    </w:p>
    <w:p>
      <w:pPr>
        <w:spacing w:line="400" w:lineRule="exact"/>
        <w:ind w:firstLine="409" w:firstLineChars="195"/>
        <w:rPr>
          <w:rFonts w:ascii="宋体"/>
          <w:szCs w:val="21"/>
        </w:rPr>
      </w:pPr>
      <w:r>
        <w:rPr>
          <w:rFonts w:hint="eastAsia" w:ascii="宋体"/>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11" w:firstLineChars="196"/>
        <w:rPr>
          <w:rFonts w:ascii="宋体"/>
          <w:szCs w:val="21"/>
        </w:rPr>
      </w:pPr>
      <w:r>
        <w:rPr>
          <w:rFonts w:hint="eastAsia" w:ascii="宋体"/>
          <w:szCs w:val="21"/>
        </w:rPr>
        <w:t>11</w:t>
      </w:r>
      <w:r>
        <w:rPr>
          <w:rFonts w:ascii="宋体"/>
          <w:szCs w:val="21"/>
        </w:rPr>
        <w:t>.</w:t>
      </w:r>
      <w:r>
        <w:rPr>
          <w:rFonts w:hint="eastAsia" w:ascii="宋体"/>
          <w:szCs w:val="21"/>
        </w:rPr>
        <w:t>3 联合体应当确定其中一个单位为投标的全权代表，负责参加投标的一切事务，并承担投标及履约中应承担的全部责任与义务。</w:t>
      </w:r>
    </w:p>
    <w:p>
      <w:pPr>
        <w:pStyle w:val="10"/>
        <w:spacing w:after="0" w:line="400" w:lineRule="exact"/>
        <w:ind w:left="0" w:leftChars="0" w:firstLine="424" w:firstLineChars="202"/>
        <w:rPr>
          <w:rFonts w:ascii="宋体"/>
          <w:szCs w:val="21"/>
        </w:rPr>
      </w:pPr>
      <w:r>
        <w:rPr>
          <w:rFonts w:hint="eastAsia" w:ascii="宋体"/>
          <w:szCs w:val="21"/>
        </w:rPr>
        <w:t>11</w:t>
      </w:r>
      <w:r>
        <w:rPr>
          <w:rFonts w:ascii="宋体"/>
          <w:szCs w:val="21"/>
        </w:rPr>
        <w:t>.</w:t>
      </w:r>
      <w:r>
        <w:rPr>
          <w:rFonts w:hint="eastAsia" w:ascii="宋体"/>
          <w:szCs w:val="21"/>
        </w:rPr>
        <w:t>4 联合体各方应当共同与招标人签订采购合同，就采购合同约定的事项对招标人承担连带责任。</w:t>
      </w:r>
    </w:p>
    <w:p>
      <w:pPr>
        <w:spacing w:line="440" w:lineRule="exact"/>
        <w:ind w:firstLine="420" w:firstLineChars="200"/>
        <w:rPr>
          <w:b/>
          <w:szCs w:val="21"/>
        </w:rPr>
      </w:pPr>
      <w:r>
        <w:rPr>
          <w:rFonts w:hint="eastAsia"/>
          <w:b/>
          <w:szCs w:val="21"/>
        </w:rPr>
        <w:t>1</w:t>
      </w:r>
      <w:r>
        <w:rPr>
          <w:rFonts w:hint="eastAsia"/>
          <w:b/>
          <w:szCs w:val="21"/>
          <w:lang w:val="en-US" w:eastAsia="zh-CN"/>
        </w:rPr>
        <w:t>2</w:t>
      </w:r>
      <w:r>
        <w:rPr>
          <w:rFonts w:hint="eastAsia"/>
          <w:b/>
          <w:szCs w:val="21"/>
        </w:rPr>
        <w:t>.投标人应注意的事项</w:t>
      </w:r>
    </w:p>
    <w:p>
      <w:pPr>
        <w:spacing w:line="440" w:lineRule="exact"/>
        <w:ind w:firstLine="420" w:firstLineChars="200"/>
        <w:rPr>
          <w:rFonts w:ascii="宋体"/>
          <w:bCs/>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pacing w:line="440" w:lineRule="exact"/>
        <w:ind w:firstLine="420" w:firstLineChars="200"/>
        <w:rPr>
          <w:rFonts w:ascii="宋体"/>
          <w:bCs/>
          <w:szCs w:val="21"/>
        </w:rPr>
      </w:pPr>
      <w:r>
        <w:rPr>
          <w:rFonts w:hint="eastAsia" w:ascii="宋体"/>
          <w:bCs/>
          <w:szCs w:val="21"/>
        </w:rPr>
        <w:t>1</w:t>
      </w:r>
      <w:r>
        <w:rPr>
          <w:rFonts w:hint="eastAsia" w:ascii="宋体"/>
          <w:bCs/>
          <w:szCs w:val="21"/>
          <w:lang w:val="en-US" w:eastAsia="zh-CN"/>
        </w:rPr>
        <w:t>2</w:t>
      </w:r>
      <w:r>
        <w:rPr>
          <w:rFonts w:hint="eastAsia" w:ascii="宋体"/>
          <w:bCs/>
          <w:szCs w:val="21"/>
        </w:rPr>
        <w:t>.2 投标人对采购内容中规定的技术参数、规格等要求必须完全响应或优于采购文件中的要求。</w:t>
      </w:r>
    </w:p>
    <w:p>
      <w:pPr>
        <w:spacing w:line="440" w:lineRule="exact"/>
        <w:ind w:firstLine="411" w:firstLineChars="196"/>
        <w:rPr>
          <w:rFonts w:ascii="宋体"/>
          <w:bCs/>
          <w:szCs w:val="21"/>
        </w:rPr>
      </w:pPr>
      <w:r>
        <w:rPr>
          <w:rFonts w:hint="eastAsia" w:ascii="宋体"/>
          <w:bCs/>
          <w:szCs w:val="21"/>
        </w:rPr>
        <w:t>1</w:t>
      </w:r>
      <w:r>
        <w:rPr>
          <w:rFonts w:hint="eastAsia" w:ascii="宋体"/>
          <w:bCs/>
          <w:szCs w:val="21"/>
          <w:lang w:val="en-US" w:eastAsia="zh-CN"/>
        </w:rPr>
        <w:t>2</w:t>
      </w:r>
      <w:r>
        <w:rPr>
          <w:rFonts w:hint="eastAsia" w:ascii="宋体"/>
          <w:bCs/>
          <w:szCs w:val="21"/>
        </w:rPr>
        <w:t>.3所有投标人的投标保证金都应在采购文件规定的投标保证金缴纳截止日期前缴纳。</w:t>
      </w:r>
    </w:p>
    <w:p>
      <w:pPr>
        <w:spacing w:line="440" w:lineRule="exact"/>
        <w:ind w:firstLine="411" w:firstLineChars="196"/>
        <w:rPr>
          <w:rFonts w:ascii="宋体"/>
          <w:bCs/>
          <w:szCs w:val="21"/>
        </w:rPr>
      </w:pPr>
      <w:r>
        <w:rPr>
          <w:rFonts w:hint="eastAsia" w:ascii="宋体"/>
          <w:bCs/>
          <w:szCs w:val="21"/>
        </w:rPr>
        <w:t>1</w:t>
      </w:r>
      <w:r>
        <w:rPr>
          <w:rFonts w:hint="eastAsia" w:ascii="宋体"/>
          <w:bCs/>
          <w:szCs w:val="21"/>
          <w:lang w:val="en-US" w:eastAsia="zh-CN"/>
        </w:rPr>
        <w:t>2</w:t>
      </w:r>
      <w:r>
        <w:rPr>
          <w:rFonts w:hint="eastAsia" w:ascii="宋体"/>
          <w:bCs/>
          <w:szCs w:val="21"/>
        </w:rPr>
        <w:t>.4</w:t>
      </w:r>
      <w:r>
        <w:rPr>
          <w:rFonts w:ascii="宋体"/>
          <w:bCs/>
          <w:szCs w:val="21"/>
        </w:rPr>
        <w:t>单位负责人为同一人或者存在直接控股、管理关系的不同供应商，不得参加同一合同项下的政府采购活动。</w:t>
      </w:r>
      <w:r>
        <w:rPr>
          <w:rFonts w:ascii="宋体" w:hAnsi="宋体" w:cs="宋体"/>
          <w:szCs w:val="21"/>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rPr>
      </w:pPr>
      <w:r>
        <w:rPr>
          <w:rFonts w:hint="eastAsia" w:ascii="宋体"/>
          <w:bCs/>
          <w:szCs w:val="21"/>
        </w:rPr>
        <w:t>1</w:t>
      </w:r>
      <w:r>
        <w:rPr>
          <w:rFonts w:hint="eastAsia" w:ascii="宋体"/>
          <w:bCs/>
          <w:szCs w:val="21"/>
          <w:lang w:val="en-US" w:eastAsia="zh-CN"/>
        </w:rPr>
        <w:t>2</w:t>
      </w:r>
      <w:r>
        <w:rPr>
          <w:rFonts w:hint="eastAsia" w:ascii="宋体"/>
          <w:bCs/>
          <w:szCs w:val="21"/>
        </w:rPr>
        <w:t>.5</w:t>
      </w:r>
      <w:r>
        <w:rPr>
          <w:rFonts w:hint="eastAsia" w:ascii="宋体" w:hAnsi="宋体" w:cs="宋体"/>
          <w:szCs w:val="21"/>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宋体"/>
          <w:szCs w:val="21"/>
        </w:rPr>
        <w:t>。</w:t>
      </w:r>
    </w:p>
    <w:p>
      <w:pPr>
        <w:wordWrap w:val="0"/>
        <w:spacing w:line="440" w:lineRule="exact"/>
        <w:ind w:firstLine="420" w:firstLineChars="200"/>
        <w:rPr>
          <w:rFonts w:ascii="宋体"/>
          <w:bCs/>
          <w:szCs w:val="21"/>
        </w:rPr>
      </w:pPr>
      <w:r>
        <w:rPr>
          <w:rFonts w:hint="eastAsia" w:ascii="宋体"/>
          <w:bCs/>
          <w:szCs w:val="21"/>
        </w:rPr>
        <w:t>1</w:t>
      </w:r>
      <w:r>
        <w:rPr>
          <w:rFonts w:hint="eastAsia" w:ascii="宋体"/>
          <w:bCs/>
          <w:szCs w:val="21"/>
          <w:lang w:val="en-US" w:eastAsia="zh-CN"/>
        </w:rPr>
        <w:t>2</w:t>
      </w:r>
      <w:r>
        <w:rPr>
          <w:rFonts w:hint="eastAsia" w:ascii="宋体"/>
          <w:bCs/>
          <w:szCs w:val="21"/>
        </w:rPr>
        <w:t>.6  投标人被视为充分熟悉本招标项目所在地的与履行合同有关的各种情况，包括但不限于：</w:t>
      </w:r>
    </w:p>
    <w:p>
      <w:pPr>
        <w:spacing w:line="400" w:lineRule="exact"/>
        <w:ind w:firstLine="315" w:firstLineChars="150"/>
        <w:rPr>
          <w:rFonts w:ascii="宋体"/>
          <w:bCs/>
          <w:szCs w:val="21"/>
        </w:rPr>
      </w:pPr>
      <w:r>
        <w:rPr>
          <w:rFonts w:hint="eastAsia" w:ascii="宋体"/>
          <w:bCs/>
          <w:szCs w:val="21"/>
        </w:rPr>
        <w:t>（1）国家对本次投标货物和服务的生产、安装调试、验收、维修等有关法律、法规及行业管理标准；</w:t>
      </w:r>
    </w:p>
    <w:p>
      <w:pPr>
        <w:spacing w:line="400" w:lineRule="exact"/>
        <w:ind w:firstLine="315" w:firstLineChars="150"/>
        <w:rPr>
          <w:rFonts w:ascii="宋体"/>
          <w:bCs/>
          <w:szCs w:val="21"/>
        </w:rPr>
      </w:pPr>
      <w:r>
        <w:rPr>
          <w:rFonts w:hint="eastAsia" w:ascii="宋体"/>
          <w:bCs/>
          <w:szCs w:val="21"/>
        </w:rPr>
        <w:t>（2）本地区有关管理部门的相关规定；</w:t>
      </w:r>
    </w:p>
    <w:p>
      <w:pPr>
        <w:spacing w:line="400" w:lineRule="exact"/>
        <w:ind w:firstLine="315" w:firstLineChars="150"/>
        <w:rPr>
          <w:rFonts w:ascii="宋体"/>
          <w:bCs/>
          <w:szCs w:val="21"/>
        </w:rPr>
      </w:pPr>
      <w:r>
        <w:rPr>
          <w:rFonts w:hint="eastAsia" w:ascii="宋体"/>
          <w:bCs/>
          <w:szCs w:val="21"/>
        </w:rPr>
        <w:t>（3）招标人的相关场地情况、基础建设、电力供应情况及相关设计标准。</w:t>
      </w:r>
    </w:p>
    <w:p>
      <w:pPr>
        <w:spacing w:line="400" w:lineRule="exact"/>
        <w:ind w:firstLine="315" w:firstLineChars="150"/>
        <w:rPr>
          <w:rFonts w:ascii="宋体"/>
          <w:b/>
          <w:sz w:val="28"/>
          <w:szCs w:val="28"/>
        </w:rPr>
      </w:pPr>
      <w:r>
        <w:rPr>
          <w:rFonts w:hint="eastAsia" w:ascii="宋体"/>
          <w:bCs/>
          <w:szCs w:val="21"/>
        </w:rPr>
        <w:t>本采购文件不再对上述情况进行描述。</w:t>
      </w:r>
      <w:bookmarkStart w:id="60" w:name="_Toc469495725"/>
    </w:p>
    <w:p>
      <w:pPr>
        <w:spacing w:before="312" w:beforeLines="100" w:after="312" w:afterLines="100" w:line="440" w:lineRule="exact"/>
        <w:jc w:val="center"/>
        <w:outlineLvl w:val="2"/>
        <w:rPr>
          <w:rFonts w:ascii="宋体"/>
          <w:b/>
          <w:sz w:val="28"/>
          <w:szCs w:val="28"/>
        </w:rPr>
      </w:pPr>
      <w:bookmarkStart w:id="61" w:name="_Toc111210738"/>
      <w:bookmarkStart w:id="62" w:name="_Toc111210312"/>
      <w:bookmarkStart w:id="63" w:name="_Toc111210534"/>
      <w:r>
        <w:rPr>
          <w:rFonts w:hint="eastAsia" w:ascii="宋体"/>
          <w:b/>
          <w:sz w:val="28"/>
          <w:szCs w:val="28"/>
        </w:rPr>
        <w:t>（二）</w:t>
      </w:r>
      <w:bookmarkEnd w:id="60"/>
      <w:r>
        <w:rPr>
          <w:rFonts w:hint="eastAsia" w:ascii="宋体"/>
          <w:b/>
          <w:sz w:val="28"/>
          <w:szCs w:val="28"/>
        </w:rPr>
        <w:t>招标文件</w:t>
      </w:r>
      <w:bookmarkEnd w:id="61"/>
      <w:bookmarkEnd w:id="62"/>
      <w:bookmarkEnd w:id="63"/>
    </w:p>
    <w:p>
      <w:pPr>
        <w:spacing w:line="440" w:lineRule="exact"/>
        <w:ind w:firstLine="420" w:firstLineChars="200"/>
        <w:rPr>
          <w:b/>
          <w:szCs w:val="21"/>
        </w:rPr>
      </w:pPr>
      <w:r>
        <w:rPr>
          <w:rFonts w:hint="eastAsia"/>
          <w:b/>
          <w:szCs w:val="21"/>
        </w:rPr>
        <w:t>15. 采购文件的编制依据</w:t>
      </w:r>
    </w:p>
    <w:p>
      <w:pPr>
        <w:spacing w:line="440" w:lineRule="exact"/>
        <w:ind w:firstLine="420" w:firstLineChars="200"/>
        <w:rPr>
          <w:rFonts w:ascii="宋体"/>
          <w:szCs w:val="21"/>
        </w:rPr>
      </w:pPr>
      <w:r>
        <w:rPr>
          <w:rFonts w:hint="eastAsia" w:ascii="宋体"/>
          <w:szCs w:val="21"/>
        </w:rPr>
        <w:t>根据《中华人民共和国政府采购法》、《政府采购货物和服务招标投标管理办法》和《中华人民共和国合同法》</w:t>
      </w:r>
      <w:r>
        <w:rPr>
          <w:rFonts w:hint="eastAsia" w:ascii="宋体"/>
          <w:spacing w:val="-2"/>
          <w:szCs w:val="21"/>
        </w:rPr>
        <w:t>等相关法律法规和规章及部、省、市级规范性文件的规定，编制本采购文件。</w:t>
      </w:r>
    </w:p>
    <w:p>
      <w:pPr>
        <w:spacing w:line="440" w:lineRule="exact"/>
        <w:ind w:firstLine="420" w:firstLineChars="200"/>
        <w:rPr>
          <w:b/>
          <w:szCs w:val="21"/>
        </w:rPr>
      </w:pPr>
      <w:r>
        <w:rPr>
          <w:rFonts w:hint="eastAsia"/>
          <w:b/>
          <w:szCs w:val="21"/>
        </w:rPr>
        <w:t>16. 采购文件的组成</w:t>
      </w:r>
    </w:p>
    <w:p>
      <w:pPr>
        <w:spacing w:line="440" w:lineRule="exact"/>
        <w:ind w:firstLine="420" w:firstLineChars="200"/>
        <w:rPr>
          <w:rFonts w:ascii="宋体"/>
          <w:szCs w:val="21"/>
        </w:rPr>
      </w:pPr>
      <w:r>
        <w:rPr>
          <w:rFonts w:hint="eastAsia" w:ascii="宋体"/>
          <w:szCs w:val="21"/>
        </w:rPr>
        <w:t>16.1 采购文件包括内容：</w:t>
      </w:r>
    </w:p>
    <w:p>
      <w:pPr>
        <w:spacing w:line="440" w:lineRule="exact"/>
        <w:ind w:firstLine="1470" w:firstLineChars="700"/>
        <w:rPr>
          <w:rFonts w:ascii="宋体"/>
          <w:szCs w:val="21"/>
        </w:rPr>
      </w:pPr>
      <w:r>
        <w:rPr>
          <w:rFonts w:hint="eastAsia" w:ascii="宋体"/>
          <w:szCs w:val="21"/>
        </w:rPr>
        <w:t>第一章  招标公告</w:t>
      </w:r>
    </w:p>
    <w:p>
      <w:pPr>
        <w:spacing w:line="440" w:lineRule="exact"/>
        <w:ind w:firstLine="1470" w:firstLineChars="700"/>
        <w:rPr>
          <w:rFonts w:ascii="宋体"/>
          <w:szCs w:val="21"/>
        </w:rPr>
      </w:pPr>
      <w:r>
        <w:rPr>
          <w:rFonts w:hint="eastAsia" w:ascii="宋体"/>
          <w:szCs w:val="21"/>
        </w:rPr>
        <w:t>第二章  投标须知</w:t>
      </w:r>
    </w:p>
    <w:p>
      <w:pPr>
        <w:spacing w:line="440" w:lineRule="exact"/>
        <w:ind w:firstLine="1470" w:firstLineChars="700"/>
        <w:rPr>
          <w:rFonts w:ascii="宋体"/>
          <w:szCs w:val="21"/>
        </w:rPr>
      </w:pPr>
      <w:r>
        <w:rPr>
          <w:rFonts w:hint="eastAsia" w:ascii="宋体"/>
          <w:szCs w:val="21"/>
        </w:rPr>
        <w:t>第三章  评标办法</w:t>
      </w:r>
    </w:p>
    <w:p>
      <w:pPr>
        <w:spacing w:line="440" w:lineRule="exact"/>
        <w:ind w:firstLine="1470" w:firstLineChars="700"/>
        <w:rPr>
          <w:rFonts w:ascii="宋体"/>
          <w:szCs w:val="21"/>
        </w:rPr>
      </w:pPr>
      <w:r>
        <w:rPr>
          <w:rFonts w:hint="eastAsia" w:ascii="宋体"/>
          <w:szCs w:val="21"/>
        </w:rPr>
        <w:t>第四章  采购内容及技术要求</w:t>
      </w:r>
    </w:p>
    <w:p>
      <w:pPr>
        <w:spacing w:line="440" w:lineRule="exact"/>
        <w:ind w:firstLine="1470" w:firstLineChars="700"/>
        <w:rPr>
          <w:rFonts w:ascii="宋体"/>
          <w:szCs w:val="21"/>
        </w:rPr>
      </w:pPr>
      <w:r>
        <w:rPr>
          <w:rFonts w:hint="eastAsia" w:ascii="宋体"/>
          <w:szCs w:val="21"/>
        </w:rPr>
        <w:t>第五章  合同条款及格式</w:t>
      </w:r>
    </w:p>
    <w:p>
      <w:pPr>
        <w:spacing w:line="440" w:lineRule="exact"/>
        <w:ind w:firstLine="1470" w:firstLineChars="700"/>
        <w:rPr>
          <w:rFonts w:ascii="宋体"/>
          <w:szCs w:val="21"/>
        </w:rPr>
      </w:pPr>
      <w:r>
        <w:rPr>
          <w:rFonts w:hint="eastAsia" w:ascii="宋体"/>
          <w:szCs w:val="21"/>
        </w:rPr>
        <w:t>第六章  投标文件格式文本</w:t>
      </w:r>
    </w:p>
    <w:p>
      <w:pPr>
        <w:spacing w:line="440" w:lineRule="exact"/>
        <w:rPr>
          <w:rFonts w:ascii="宋体"/>
          <w:szCs w:val="21"/>
        </w:rPr>
      </w:pPr>
      <w:r>
        <w:rPr>
          <w:rFonts w:hint="eastAsia" w:ascii="宋体"/>
          <w:szCs w:val="21"/>
        </w:rPr>
        <w:t xml:space="preserve">   16.2 除16.1内容外，招标答疑亦为采购文件的组成部分，对招标人和投标人起约束作用。</w:t>
      </w:r>
    </w:p>
    <w:p>
      <w:pPr>
        <w:pStyle w:val="12"/>
        <w:wordWrap w:val="0"/>
        <w:spacing w:line="400" w:lineRule="exact"/>
        <w:rPr>
          <w:color w:val="auto"/>
          <w:szCs w:val="21"/>
        </w:rPr>
      </w:pPr>
      <w:r>
        <w:rPr>
          <w:rFonts w:hint="eastAsia"/>
          <w:color w:val="auto"/>
          <w:szCs w:val="21"/>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wordWrap w:val="0"/>
        <w:spacing w:line="440" w:lineRule="exact"/>
        <w:rPr>
          <w:rFonts w:ascii="宋体"/>
          <w:szCs w:val="21"/>
        </w:rPr>
      </w:pPr>
      <w:r>
        <w:rPr>
          <w:rFonts w:hint="eastAsia" w:ascii="宋体"/>
          <w:szCs w:val="21"/>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采购文件的澄清将在政采云平台“更正公告”栏目予以公告，但不指明澄清问题的来源。如果澄清内容影响投标文件编制的，将相应延长投标截止时间。</w:t>
      </w:r>
    </w:p>
    <w:p>
      <w:pPr>
        <w:spacing w:line="440" w:lineRule="exact"/>
        <w:ind w:firstLine="420" w:firstLineChars="200"/>
        <w:rPr>
          <w:rFonts w:ascii="宋体"/>
          <w:b/>
          <w:bCs/>
          <w:szCs w:val="21"/>
        </w:rPr>
      </w:pPr>
      <w:r>
        <w:rPr>
          <w:rFonts w:hint="eastAsia" w:ascii="宋体"/>
          <w:b/>
          <w:bCs/>
          <w:szCs w:val="21"/>
        </w:rPr>
        <w:t>17. 采购文件的修改、补充、解释</w:t>
      </w:r>
    </w:p>
    <w:p>
      <w:pPr>
        <w:wordWrap w:val="0"/>
        <w:spacing w:line="400" w:lineRule="exact"/>
        <w:ind w:firstLine="315" w:firstLineChars="150"/>
        <w:rPr>
          <w:rFonts w:ascii="宋体" w:hAnsi="宋体"/>
          <w:szCs w:val="21"/>
        </w:rPr>
      </w:pPr>
      <w:r>
        <w:rPr>
          <w:rFonts w:hint="eastAsia" w:ascii="宋体" w:hAnsi="宋体"/>
          <w:szCs w:val="21"/>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wordWrap w:val="0"/>
        <w:spacing w:line="400" w:lineRule="exact"/>
        <w:ind w:firstLine="315" w:firstLineChars="150"/>
        <w:rPr>
          <w:rFonts w:ascii="宋体" w:hAnsi="宋体"/>
          <w:szCs w:val="21"/>
        </w:rPr>
      </w:pPr>
      <w:r>
        <w:rPr>
          <w:rFonts w:hint="eastAsia" w:ascii="宋体" w:hAnsi="宋体"/>
          <w:szCs w:val="21"/>
        </w:rPr>
        <w:t>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w:t>
      </w:r>
    </w:p>
    <w:p>
      <w:pPr>
        <w:wordWrap w:val="0"/>
        <w:spacing w:line="400" w:lineRule="exact"/>
        <w:ind w:firstLine="315" w:firstLineChars="150"/>
        <w:rPr>
          <w:rFonts w:ascii="宋体" w:hAnsi="宋体"/>
          <w:szCs w:val="21"/>
        </w:rPr>
      </w:pPr>
      <w:r>
        <w:rPr>
          <w:rFonts w:hint="eastAsia" w:ascii="宋体" w:hAnsi="宋体"/>
          <w:bCs/>
          <w:szCs w:val="21"/>
        </w:rPr>
        <w:t xml:space="preserve">17.3 </w:t>
      </w:r>
      <w:r>
        <w:rPr>
          <w:rFonts w:hint="eastAsia" w:ascii="宋体" w:hAnsi="宋体"/>
          <w:szCs w:val="21"/>
        </w:rPr>
        <w:t>供应商在规定的时间内未对采购文件提出疑问、质疑或要求澄清的，将视其为无异议。</w:t>
      </w:r>
    </w:p>
    <w:p>
      <w:pPr>
        <w:spacing w:line="400" w:lineRule="exact"/>
        <w:ind w:firstLine="420" w:firstLineChars="200"/>
        <w:rPr>
          <w:rFonts w:ascii="宋体" w:hAnsi="宋体"/>
          <w:bCs/>
          <w:szCs w:val="21"/>
        </w:rPr>
      </w:pPr>
      <w:r>
        <w:rPr>
          <w:rFonts w:hint="eastAsia" w:ascii="宋体" w:hAnsi="宋体"/>
          <w:bCs/>
          <w:szCs w:val="21"/>
        </w:rPr>
        <w:t>17.4 采购文件的解释</w:t>
      </w:r>
    </w:p>
    <w:p>
      <w:pPr>
        <w:spacing w:line="400" w:lineRule="exact"/>
        <w:ind w:firstLine="420" w:firstLineChars="200"/>
        <w:rPr>
          <w:rFonts w:ascii="宋体" w:hAnsi="宋体"/>
          <w:szCs w:val="21"/>
        </w:rPr>
      </w:pPr>
      <w:r>
        <w:rPr>
          <w:rFonts w:hint="eastAsia" w:ascii="宋体" w:hAnsi="宋体"/>
          <w:szCs w:val="21"/>
        </w:rPr>
        <w:t>本采购文件由招标人（或其委托的招标代理机构）负责解释。</w:t>
      </w:r>
    </w:p>
    <w:p>
      <w:pPr>
        <w:spacing w:line="400" w:lineRule="exact"/>
        <w:rPr>
          <w:rFonts w:ascii="宋体" w:hAnsi="宋体"/>
          <w:b/>
          <w:szCs w:val="21"/>
        </w:rPr>
      </w:pPr>
      <w:r>
        <w:rPr>
          <w:rFonts w:hint="eastAsia" w:ascii="宋体" w:hAnsi="宋体" w:cs="宋体"/>
          <w:b/>
          <w:szCs w:val="21"/>
        </w:rPr>
        <w:t xml:space="preserve">   </w:t>
      </w:r>
      <w:r>
        <w:rPr>
          <w:rFonts w:hint="eastAsia"/>
          <w:b/>
          <w:szCs w:val="21"/>
        </w:rPr>
        <w:t xml:space="preserve">18. </w:t>
      </w:r>
      <w:r>
        <w:rPr>
          <w:rFonts w:hint="eastAsia" w:ascii="宋体" w:hAnsi="宋体"/>
          <w:b/>
          <w:szCs w:val="21"/>
        </w:rPr>
        <w:t>采购文件的发出</w:t>
      </w:r>
    </w:p>
    <w:p>
      <w:pPr>
        <w:spacing w:line="400" w:lineRule="exact"/>
        <w:ind w:firstLine="315" w:firstLineChars="150"/>
        <w:rPr>
          <w:rFonts w:ascii="宋体" w:hAnsi="宋体"/>
          <w:szCs w:val="21"/>
          <w:highlight w:val="green"/>
        </w:rPr>
      </w:pPr>
      <w:r>
        <w:rPr>
          <w:rFonts w:hint="eastAsia" w:ascii="宋体" w:hAnsi="宋体"/>
          <w:szCs w:val="21"/>
        </w:rPr>
        <w:t>18.1  采购文件、采购文件的澄清、修改、补充及招标答疑等均应报相关部门备案后，方可发出。</w:t>
      </w:r>
    </w:p>
    <w:p>
      <w:pPr>
        <w:spacing w:line="440" w:lineRule="exact"/>
        <w:ind w:firstLine="279" w:firstLineChars="133"/>
        <w:rPr>
          <w:rFonts w:ascii="宋体"/>
          <w:szCs w:val="21"/>
        </w:rPr>
      </w:pPr>
      <w:bookmarkStart w:id="64" w:name="_Toc469495726"/>
      <w:r>
        <w:rPr>
          <w:rFonts w:hint="eastAsia"/>
          <w:b/>
          <w:szCs w:val="21"/>
        </w:rPr>
        <w:t xml:space="preserve">19. </w:t>
      </w:r>
      <w:r>
        <w:rPr>
          <w:rFonts w:hint="eastAsia" w:ascii="宋体"/>
          <w:szCs w:val="21"/>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pacing w:line="400" w:lineRule="exact"/>
        <w:ind w:firstLine="420"/>
        <w:rPr>
          <w:rFonts w:ascii="宋体"/>
          <w:szCs w:val="21"/>
        </w:rPr>
      </w:pPr>
      <w:r>
        <w:rPr>
          <w:rFonts w:hint="eastAsia" w:ascii="宋体"/>
          <w:szCs w:val="21"/>
        </w:rPr>
        <w:t>采购文件中应明确样品送检方式、检测费用支付方法、投标人在规定时间内无法提供第三方权威检测机构检测报告的处理方式。（采购人根据项目需求按上述要求自行描述）</w:t>
      </w:r>
    </w:p>
    <w:p>
      <w:pPr>
        <w:spacing w:before="312" w:beforeLines="100" w:after="312" w:afterLines="100" w:line="440" w:lineRule="exact"/>
        <w:jc w:val="center"/>
        <w:outlineLvl w:val="2"/>
        <w:rPr>
          <w:rFonts w:ascii="宋体"/>
          <w:b/>
          <w:sz w:val="28"/>
          <w:szCs w:val="28"/>
        </w:rPr>
      </w:pPr>
      <w:bookmarkStart w:id="65" w:name="_Toc111210535"/>
      <w:bookmarkStart w:id="66" w:name="_Toc111210313"/>
      <w:bookmarkStart w:id="67" w:name="_Toc111210739"/>
      <w:r>
        <w:rPr>
          <w:rFonts w:hint="eastAsia" w:ascii="宋体"/>
          <w:b/>
          <w:sz w:val="28"/>
          <w:szCs w:val="28"/>
        </w:rPr>
        <w:t>（三）投标文件的编制</w:t>
      </w:r>
      <w:bookmarkEnd w:id="64"/>
      <w:bookmarkEnd w:id="65"/>
      <w:bookmarkEnd w:id="66"/>
      <w:bookmarkEnd w:id="67"/>
    </w:p>
    <w:p>
      <w:pPr>
        <w:spacing w:line="440" w:lineRule="exact"/>
        <w:ind w:firstLine="304" w:firstLineChars="145"/>
        <w:rPr>
          <w:rFonts w:ascii="宋体" w:cs="宋体"/>
          <w:b/>
          <w:szCs w:val="21"/>
        </w:rPr>
      </w:pPr>
      <w:r>
        <w:rPr>
          <w:rFonts w:hint="eastAsia"/>
          <w:b/>
          <w:szCs w:val="21"/>
        </w:rPr>
        <w:t xml:space="preserve">20. </w:t>
      </w:r>
      <w:r>
        <w:rPr>
          <w:rFonts w:hint="eastAsia" w:ascii="宋体" w:cs="宋体"/>
          <w:b/>
          <w:szCs w:val="21"/>
        </w:rPr>
        <w:t>投标的语言及度量衡单位</w:t>
      </w:r>
    </w:p>
    <w:p>
      <w:pPr>
        <w:spacing w:line="440" w:lineRule="exact"/>
        <w:ind w:firstLine="283" w:firstLineChars="135"/>
        <w:rPr>
          <w:rFonts w:ascii="宋体"/>
          <w:szCs w:val="21"/>
        </w:rPr>
      </w:pPr>
      <w:r>
        <w:rPr>
          <w:rFonts w:hint="eastAsia" w:ascii="宋体"/>
          <w:szCs w:val="21"/>
        </w:rPr>
        <w:t>20.1</w:t>
      </w:r>
      <w:r>
        <w:rPr>
          <w:rFonts w:ascii="宋体" w:hAnsi="宋体"/>
          <w:szCs w:val="21"/>
        </w:rPr>
        <w:t>投标人</w:t>
      </w:r>
      <w:r>
        <w:rPr>
          <w:rFonts w:hint="eastAsia" w:ascii="宋体" w:hAnsi="宋体"/>
          <w:szCs w:val="21"/>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83" w:firstLineChars="135"/>
        <w:rPr>
          <w:rFonts w:ascii="宋体"/>
          <w:szCs w:val="21"/>
        </w:rPr>
      </w:pPr>
      <w:r>
        <w:rPr>
          <w:rFonts w:hint="eastAsia" w:ascii="宋体"/>
          <w:szCs w:val="21"/>
        </w:rPr>
        <w:t xml:space="preserve"> 20.2除采购文件中另有规定外，投标书所使用的度量衡均须采用法定计量单位。</w:t>
      </w:r>
    </w:p>
    <w:p>
      <w:pPr>
        <w:spacing w:line="400" w:lineRule="exact"/>
        <w:ind w:firstLine="205" w:firstLineChars="98"/>
        <w:rPr>
          <w:rFonts w:ascii="宋体" w:hAnsi="宋体"/>
          <w:b/>
          <w:szCs w:val="21"/>
        </w:rPr>
      </w:pPr>
      <w:r>
        <w:rPr>
          <w:rFonts w:hint="eastAsia"/>
          <w:b/>
          <w:szCs w:val="21"/>
        </w:rPr>
        <w:t xml:space="preserve">21. </w:t>
      </w:r>
      <w:r>
        <w:rPr>
          <w:rFonts w:hint="eastAsia" w:ascii="宋体" w:hAnsi="宋体"/>
          <w:b/>
          <w:szCs w:val="21"/>
        </w:rPr>
        <w:t>投标文件的组成</w:t>
      </w:r>
    </w:p>
    <w:p>
      <w:pPr>
        <w:spacing w:line="400" w:lineRule="exact"/>
        <w:ind w:firstLine="420" w:firstLineChars="200"/>
        <w:rPr>
          <w:rFonts w:ascii="宋体"/>
          <w:szCs w:val="21"/>
        </w:rPr>
      </w:pPr>
      <w:r>
        <w:rPr>
          <w:rFonts w:hint="eastAsia" w:ascii="宋体" w:hAnsi="宋体"/>
          <w:szCs w:val="21"/>
        </w:rPr>
        <w:t>资格证明文件和商务及技术文件两部分。</w:t>
      </w:r>
    </w:p>
    <w:p>
      <w:pPr>
        <w:spacing w:line="440" w:lineRule="exact"/>
        <w:ind w:firstLine="308" w:firstLineChars="147"/>
        <w:rPr>
          <w:rFonts w:ascii="宋体"/>
          <w:b/>
          <w:szCs w:val="21"/>
        </w:rPr>
      </w:pPr>
      <w:r>
        <w:rPr>
          <w:rFonts w:hint="eastAsia" w:ascii="宋体"/>
          <w:b/>
          <w:szCs w:val="21"/>
        </w:rPr>
        <w:t>21.1资格证明文件（包括但不限于）</w:t>
      </w:r>
    </w:p>
    <w:p>
      <w:pPr>
        <w:spacing w:line="440" w:lineRule="exact"/>
        <w:ind w:firstLine="308" w:firstLineChars="147"/>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资格证明文件是证明投标人有资格参加投标和中标后有能力履行合同的文件，这些文件应能满足招标的要求，否则作无效投标处理。</w:t>
      </w:r>
    </w:p>
    <w:p>
      <w:pPr>
        <w:spacing w:line="400" w:lineRule="exact"/>
        <w:ind w:firstLine="210" w:firstLineChars="100"/>
        <w:rPr>
          <w:rFonts w:ascii="宋体" w:hAnsi="宋体"/>
          <w:szCs w:val="21"/>
        </w:rPr>
      </w:pPr>
      <w:r>
        <w:rPr>
          <w:rFonts w:hint="eastAsia" w:ascii="宋体" w:hAnsi="宋体"/>
          <w:szCs w:val="21"/>
        </w:rPr>
        <w:t xml:space="preserve">  （1）开标一览表（见投标文件格式一）;</w:t>
      </w:r>
    </w:p>
    <w:p>
      <w:pPr>
        <w:spacing w:line="400" w:lineRule="exact"/>
        <w:ind w:firstLine="417" w:firstLineChars="199"/>
        <w:rPr>
          <w:rFonts w:ascii="宋体" w:hAnsi="宋体"/>
          <w:szCs w:val="21"/>
        </w:rPr>
      </w:pPr>
      <w:r>
        <w:rPr>
          <w:rFonts w:hint="eastAsia" w:ascii="宋体" w:hAnsi="宋体"/>
          <w:szCs w:val="21"/>
        </w:rPr>
        <w:t>（2）法人或者非法人组织的营业执照等证明文件复印件（须加盖本单位章）或自然人的身份证明复印件;</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color w:val="FF0000"/>
          <w:szCs w:val="21"/>
          <w:highlight w:val="none"/>
        </w:rPr>
        <w:t>法定代表人资格证明证书</w:t>
      </w:r>
      <w:r>
        <w:rPr>
          <w:rFonts w:hint="eastAsia" w:ascii="宋体" w:hAnsi="宋体"/>
          <w:szCs w:val="21"/>
        </w:rPr>
        <w:t>（见投标文件格式二，自然人投标的无需提供）；</w:t>
      </w:r>
    </w:p>
    <w:p>
      <w:pPr>
        <w:spacing w:line="400" w:lineRule="exact"/>
        <w:ind w:firstLine="420" w:firstLineChars="200"/>
        <w:rPr>
          <w:rFonts w:ascii="宋体" w:hAnsi="宋体"/>
          <w:szCs w:val="21"/>
        </w:rPr>
      </w:pPr>
      <w:r>
        <w:rPr>
          <w:rFonts w:hint="eastAsia" w:ascii="宋体" w:hAnsi="宋体"/>
          <w:szCs w:val="21"/>
        </w:rPr>
        <w:t>（4）法定代表人授权书（见投标文件格式三，自然人投标的无需提供）；</w:t>
      </w:r>
    </w:p>
    <w:p>
      <w:pPr>
        <w:spacing w:line="400" w:lineRule="exact"/>
        <w:ind w:firstLine="420" w:firstLineChars="200"/>
        <w:rPr>
          <w:rFonts w:ascii="宋体" w:hAnsi="宋体"/>
          <w:szCs w:val="21"/>
        </w:rPr>
      </w:pPr>
      <w:r>
        <w:rPr>
          <w:rFonts w:hint="eastAsia" w:ascii="宋体" w:hAnsi="宋体"/>
          <w:szCs w:val="21"/>
        </w:rPr>
        <w:t>（5）投标保证金缴纳凭证或投标担保函；</w:t>
      </w:r>
    </w:p>
    <w:p>
      <w:pPr>
        <w:spacing w:line="400" w:lineRule="exact"/>
        <w:ind w:firstLine="420" w:firstLineChars="200"/>
        <w:rPr>
          <w:rFonts w:ascii="宋体" w:hAnsi="宋体"/>
          <w:color w:val="FF0000"/>
          <w:szCs w:val="21"/>
          <w:highlight w:val="none"/>
        </w:rPr>
      </w:pPr>
      <w:r>
        <w:rPr>
          <w:rFonts w:hint="eastAsia" w:ascii="宋体" w:hAnsi="宋体"/>
          <w:color w:val="FF0000"/>
          <w:szCs w:val="21"/>
          <w:highlight w:val="none"/>
        </w:rPr>
        <w:t>（6）参加政府采购活动前3年内在经营活动中没有重大违法记录的书面声明，供应商须提供“信用中国”网站（http://www.creditchina.gov.cn/）、“中国政府采购网”网站（http://www.ccgp.gov.cn）无违法违规行为的查询纪录（提供查询结果网页截图并加盖供应商公章）&lt;自公告发布之日起至投标截止时间从上述网站中查询&gt;；</w:t>
      </w:r>
    </w:p>
    <w:p>
      <w:pPr>
        <w:tabs>
          <w:tab w:val="left" w:pos="5580"/>
        </w:tabs>
        <w:spacing w:line="500" w:lineRule="atLeast"/>
        <w:ind w:left="1" w:firstLine="493" w:firstLineChars="235"/>
        <w:rPr>
          <w:rFonts w:ascii="宋体" w:hAnsi="宋体" w:cs="宋体"/>
          <w:color w:val="FF0000"/>
          <w:szCs w:val="21"/>
          <w:highlight w:val="none"/>
        </w:rPr>
      </w:pPr>
      <w:r>
        <w:rPr>
          <w:rFonts w:hint="eastAsia" w:ascii="宋体" w:hAnsi="宋体" w:cs="宋体"/>
          <w:color w:val="FF0000"/>
          <w:szCs w:val="21"/>
          <w:highlight w:val="none"/>
        </w:rPr>
        <w:t>（7）投标人须具备城乡规划编制甲级资质和测绘（地理信息系统工程、地图编制）资质，或土地规划甲级资质和测绘（地理信息工程、地图编制）资质；</w:t>
      </w:r>
    </w:p>
    <w:p>
      <w:pPr>
        <w:tabs>
          <w:tab w:val="left" w:pos="5580"/>
        </w:tabs>
        <w:spacing w:line="500" w:lineRule="atLeast"/>
        <w:ind w:left="1" w:firstLine="493" w:firstLineChars="235"/>
        <w:rPr>
          <w:rFonts w:ascii="宋体" w:hAnsi="宋体" w:cs="宋体"/>
          <w:color w:val="FF0000"/>
          <w:szCs w:val="21"/>
          <w:highlight w:val="none"/>
        </w:rPr>
      </w:pPr>
      <w:r>
        <w:rPr>
          <w:rFonts w:hint="eastAsia" w:ascii="宋体" w:hAnsi="宋体" w:cs="宋体"/>
          <w:color w:val="FF0000"/>
          <w:szCs w:val="21"/>
          <w:highlight w:val="none"/>
        </w:rPr>
        <w:t>（8）项目负责人不超过2人，整体应具有城乡规划且具有测绘或数据系统相关专业高级职称证书（专业类型以相关人员职称证书专业为准）；</w:t>
      </w:r>
    </w:p>
    <w:p>
      <w:pPr>
        <w:spacing w:line="400" w:lineRule="exact"/>
        <w:ind w:firstLine="420" w:firstLineChars="200"/>
        <w:rPr>
          <w:rFonts w:ascii="宋体" w:hAnsi="宋体"/>
          <w:szCs w:val="21"/>
        </w:rPr>
      </w:pPr>
      <w:r>
        <w:rPr>
          <w:rFonts w:hint="eastAsia" w:ascii="宋体" w:hAnsi="宋体"/>
          <w:szCs w:val="21"/>
        </w:rPr>
        <w:t>（9）有依法缴纳税收和社会保障资金的良好记录(提供承诺函及依法缴纳社会保障资金证明）；</w:t>
      </w:r>
    </w:p>
    <w:p>
      <w:pPr>
        <w:spacing w:line="40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）投标人须知资料表要求的其他资格证明文件；</w:t>
      </w:r>
    </w:p>
    <w:p>
      <w:pPr>
        <w:spacing w:line="440" w:lineRule="exact"/>
        <w:ind w:firstLine="308" w:firstLineChars="147"/>
        <w:rPr>
          <w:rFonts w:hAnsi="宋体"/>
          <w:szCs w:val="21"/>
        </w:rPr>
      </w:pPr>
      <w:r>
        <w:rPr>
          <w:rFonts w:hint="eastAsia" w:ascii="宋体" w:hAnsi="宋体" w:cs="宋体"/>
          <w:b/>
          <w:szCs w:val="21"/>
        </w:rPr>
        <w:t>21.2 商务及技术文件</w:t>
      </w:r>
      <w:r>
        <w:rPr>
          <w:rFonts w:hint="eastAsia" w:ascii="宋体"/>
          <w:b/>
          <w:szCs w:val="21"/>
        </w:rPr>
        <w:t>（包括但不限于）</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1、投标书（投标文件格式五）</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2、报价明细表（投标文件格式六）</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3、供应商基本情况表（附资格审查资料）（投标文件格式七）</w:t>
      </w:r>
    </w:p>
    <w:p>
      <w:pPr>
        <w:spacing w:line="400" w:lineRule="exact"/>
        <w:ind w:firstLine="417" w:firstLineChars="199"/>
        <w:rPr>
          <w:rFonts w:ascii="宋体" w:hAnsi="宋体"/>
          <w:color w:val="FF0000"/>
          <w:szCs w:val="21"/>
          <w:highlight w:val="none"/>
        </w:rPr>
      </w:pPr>
      <w:r>
        <w:rPr>
          <w:rFonts w:hint="eastAsia" w:ascii="宋体" w:hAnsi="宋体"/>
          <w:color w:val="FF0000"/>
          <w:szCs w:val="21"/>
          <w:highlight w:val="none"/>
        </w:rPr>
        <w:t>4、拟投入项目负责人简历表</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5、拟投入本项目主要人员汇总表</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6、拟投入本项目的主要人员简历表</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7、企业业绩</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8、技术标准偏离表（投标文件格式八）</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9、商务条款偏离表（投标文件格式九）</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10、《投标人企业（单位）类型声明函》</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11、《残疾人福利性单位声明函》</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12、投标人关联单位的说明（格式自拟）</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13、评分标准和细则中技术部分证明材料（格式自拟）</w:t>
      </w:r>
    </w:p>
    <w:p>
      <w:pPr>
        <w:spacing w:line="400" w:lineRule="exact"/>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14、评分标准和细则中商务部分证明材料（格式自拟）</w:t>
      </w:r>
    </w:p>
    <w:p>
      <w:pPr>
        <w:spacing w:line="400" w:lineRule="exact"/>
        <w:ind w:firstLine="417" w:firstLineChars="199"/>
        <w:rPr>
          <w:rFonts w:ascii="宋体" w:hAnsi="宋体"/>
          <w:color w:val="FF0000"/>
          <w:szCs w:val="21"/>
          <w:highlight w:val="none"/>
        </w:rPr>
      </w:pPr>
      <w:r>
        <w:rPr>
          <w:rFonts w:hint="eastAsia" w:ascii="宋体" w:hAnsi="宋体"/>
          <w:color w:val="FF0000"/>
          <w:szCs w:val="21"/>
          <w:highlight w:val="none"/>
        </w:rPr>
        <w:t>15、投标人认为有必要提供的其他证明材料（格式自拟）</w:t>
      </w:r>
    </w:p>
    <w:p>
      <w:pPr>
        <w:spacing w:line="400" w:lineRule="exact"/>
        <w:ind w:firstLine="417" w:firstLineChars="199"/>
        <w:rPr>
          <w:rFonts w:ascii="宋体"/>
          <w:szCs w:val="21"/>
        </w:rPr>
      </w:pPr>
      <w:r>
        <w:rPr>
          <w:rFonts w:hint="eastAsia" w:ascii="宋体" w:hAnsi="宋体" w:cs="宋体"/>
          <w:b/>
          <w:kern w:val="0"/>
          <w:szCs w:val="21"/>
          <w:u w:val="single"/>
        </w:rPr>
        <w:t>注：以上材料须逐页加盖单位公章。</w:t>
      </w:r>
    </w:p>
    <w:p>
      <w:pPr>
        <w:spacing w:line="400" w:lineRule="exact"/>
        <w:ind w:firstLine="417" w:firstLineChars="199"/>
        <w:rPr>
          <w:rFonts w:ascii="宋体" w:hAnsi="宋体"/>
          <w:szCs w:val="21"/>
        </w:rPr>
      </w:pPr>
      <w:r>
        <w:rPr>
          <w:rFonts w:hint="eastAsia" w:ascii="宋体"/>
          <w:szCs w:val="21"/>
        </w:rPr>
        <w:t>21.3</w:t>
      </w:r>
      <w:r>
        <w:rPr>
          <w:rFonts w:hint="eastAsia" w:ascii="宋体" w:hAnsi="宋体"/>
          <w:szCs w:val="21"/>
        </w:rPr>
        <w:t>投标文件的要求</w:t>
      </w:r>
    </w:p>
    <w:p>
      <w:pPr>
        <w:spacing w:line="400" w:lineRule="exact"/>
        <w:ind w:firstLine="417" w:firstLineChars="199"/>
        <w:rPr>
          <w:rFonts w:ascii="宋体" w:hAnsi="宋体"/>
          <w:szCs w:val="21"/>
        </w:rPr>
      </w:pPr>
      <w:r>
        <w:rPr>
          <w:rFonts w:hint="eastAsia" w:ascii="宋体" w:hAnsi="宋体"/>
          <w:szCs w:val="21"/>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17" w:firstLineChars="199"/>
        <w:rPr>
          <w:rFonts w:ascii="宋体" w:hAnsi="宋体"/>
          <w:szCs w:val="21"/>
        </w:rPr>
      </w:pPr>
      <w:r>
        <w:rPr>
          <w:rFonts w:hint="eastAsia" w:ascii="宋体" w:hAnsi="宋体"/>
          <w:szCs w:val="21"/>
        </w:rPr>
        <w:t>（2）投标文件格式应按本采购文件第六章格式要求编制，不得对采购文件格式进行增删更改，否则按无效标处理。</w:t>
      </w:r>
    </w:p>
    <w:p>
      <w:pPr>
        <w:spacing w:line="400" w:lineRule="exact"/>
        <w:ind w:firstLine="417" w:firstLineChars="199"/>
        <w:rPr>
          <w:rFonts w:ascii="宋体" w:hAnsi="宋体"/>
          <w:szCs w:val="21"/>
        </w:rPr>
      </w:pPr>
      <w:r>
        <w:rPr>
          <w:rFonts w:hint="eastAsia" w:ascii="宋体" w:hAnsi="宋体"/>
          <w:szCs w:val="21"/>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17" w:firstLineChars="199"/>
        <w:rPr>
          <w:rFonts w:ascii="宋体" w:hAnsi="宋体"/>
          <w:szCs w:val="21"/>
        </w:rPr>
      </w:pPr>
      <w:r>
        <w:rPr>
          <w:rFonts w:hint="eastAsia" w:ascii="宋体" w:hAnsi="宋体"/>
          <w:szCs w:val="21"/>
        </w:rPr>
        <w:t>（4）投标文件为电子投标文件，电子投标文件按“政采云供应商项目采购-电子招投标操作指南”及本采购文件要求制作、加密传输。</w:t>
      </w:r>
    </w:p>
    <w:p>
      <w:pPr>
        <w:spacing w:line="400" w:lineRule="exact"/>
        <w:ind w:firstLine="417" w:firstLineChars="199"/>
        <w:rPr>
          <w:rFonts w:ascii="宋体"/>
          <w:szCs w:val="21"/>
        </w:rPr>
      </w:pPr>
      <w:r>
        <w:rPr>
          <w:rFonts w:hint="eastAsia" w:ascii="宋体" w:hAnsi="宋体"/>
          <w:szCs w:val="21"/>
        </w:rPr>
        <w:t>（5）投标文件未在投标截止时间前完成传输的，视为投标文件撤回；投标文件未按时解密也未提供备份投标文件的，亦视为投标文件撤回。</w:t>
      </w:r>
    </w:p>
    <w:p>
      <w:pPr>
        <w:spacing w:line="440" w:lineRule="exact"/>
        <w:ind w:firstLine="420" w:firstLineChars="200"/>
        <w:rPr>
          <w:rFonts w:ascii="宋体"/>
          <w:szCs w:val="21"/>
        </w:rPr>
      </w:pPr>
      <w:r>
        <w:rPr>
          <w:rFonts w:hint="eastAsia" w:ascii="宋体"/>
          <w:b/>
          <w:szCs w:val="21"/>
        </w:rPr>
        <w:t>22</w:t>
      </w:r>
      <w:r>
        <w:rPr>
          <w:rFonts w:hint="eastAsia" w:ascii="宋体"/>
          <w:szCs w:val="21"/>
        </w:rPr>
        <w:t>.</w:t>
      </w:r>
      <w:r>
        <w:rPr>
          <w:rFonts w:hint="eastAsia" w:ascii="宋体"/>
          <w:b/>
          <w:szCs w:val="21"/>
        </w:rPr>
        <w:t>投标报价</w:t>
      </w:r>
    </w:p>
    <w:p>
      <w:pPr>
        <w:spacing w:line="440" w:lineRule="exact"/>
        <w:ind w:firstLine="420" w:firstLineChars="200"/>
        <w:rPr>
          <w:rFonts w:ascii="宋体"/>
          <w:szCs w:val="21"/>
        </w:rPr>
      </w:pPr>
      <w:r>
        <w:rPr>
          <w:rFonts w:hint="eastAsia" w:ascii="宋体"/>
          <w:szCs w:val="21"/>
        </w:rPr>
        <w:t>22.1投标报价文件中的单价和总价全部采用人民币表示。</w:t>
      </w:r>
    </w:p>
    <w:p>
      <w:pPr>
        <w:spacing w:line="440" w:lineRule="exact"/>
        <w:ind w:firstLine="420" w:firstLineChars="200"/>
        <w:rPr>
          <w:rFonts w:ascii="宋体"/>
          <w:szCs w:val="21"/>
        </w:rPr>
      </w:pPr>
      <w:r>
        <w:rPr>
          <w:rFonts w:hint="eastAsia" w:ascii="宋体"/>
          <w:szCs w:val="21"/>
        </w:rPr>
        <w:t>22.2投标报价表上应清楚地标明投标人拟提供货物的名称、型号、生产厂家、数量、单价和总价。</w:t>
      </w:r>
    </w:p>
    <w:p>
      <w:pPr>
        <w:spacing w:line="440" w:lineRule="exact"/>
        <w:ind w:firstLine="420" w:firstLineChars="200"/>
        <w:rPr>
          <w:rFonts w:ascii="宋体"/>
          <w:szCs w:val="21"/>
        </w:rPr>
      </w:pPr>
      <w:r>
        <w:rPr>
          <w:rFonts w:hint="eastAsia" w:ascii="宋体"/>
          <w:szCs w:val="21"/>
        </w:rPr>
        <w:t>22.3投标人只允许有一个方案、一个报价。</w:t>
      </w:r>
    </w:p>
    <w:p>
      <w:pPr>
        <w:spacing w:line="440" w:lineRule="exact"/>
        <w:ind w:firstLine="420" w:firstLineChars="200"/>
        <w:rPr>
          <w:rFonts w:ascii="宋体"/>
          <w:szCs w:val="21"/>
        </w:rPr>
      </w:pPr>
      <w:r>
        <w:rPr>
          <w:rFonts w:hint="eastAsia" w:ascii="宋体"/>
          <w:szCs w:val="21"/>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20" w:firstLineChars="200"/>
        <w:rPr>
          <w:rFonts w:ascii="宋体"/>
          <w:szCs w:val="21"/>
        </w:rPr>
      </w:pPr>
      <w:r>
        <w:rPr>
          <w:rFonts w:hint="eastAsia" w:ascii="宋体"/>
          <w:szCs w:val="21"/>
        </w:rPr>
        <w:t>22.5投标报价的价格是货物交货地验收价格，其总价即为履行合同的固定总价。</w:t>
      </w:r>
    </w:p>
    <w:p>
      <w:pPr>
        <w:spacing w:line="440" w:lineRule="exact"/>
        <w:ind w:firstLine="420" w:firstLineChars="200"/>
        <w:rPr>
          <w:rFonts w:ascii="宋体"/>
          <w:szCs w:val="21"/>
        </w:rPr>
      </w:pPr>
      <w:r>
        <w:rPr>
          <w:rFonts w:hint="eastAsia" w:ascii="宋体"/>
          <w:szCs w:val="21"/>
        </w:rPr>
        <w:t>22.6技术要求中规定的安装、调试和培训费用应包括在投标价格中。投标文件报价为含税价，招标人不再为此次招标支付任何费用。</w:t>
      </w:r>
    </w:p>
    <w:p>
      <w:pPr>
        <w:spacing w:line="440" w:lineRule="exact"/>
        <w:ind w:firstLine="420" w:firstLineChars="200"/>
        <w:rPr>
          <w:rFonts w:ascii="宋体"/>
          <w:szCs w:val="21"/>
        </w:rPr>
      </w:pPr>
      <w:r>
        <w:rPr>
          <w:rFonts w:hint="eastAsia" w:ascii="宋体"/>
          <w:szCs w:val="21"/>
        </w:rPr>
        <w:t>22.7投标报价应由法定代表人或被授权人签署。</w:t>
      </w:r>
    </w:p>
    <w:p>
      <w:pPr>
        <w:spacing w:line="440" w:lineRule="exact"/>
        <w:ind w:firstLine="420" w:firstLineChars="200"/>
        <w:rPr>
          <w:rFonts w:ascii="宋体"/>
          <w:bCs/>
          <w:szCs w:val="21"/>
        </w:rPr>
      </w:pPr>
      <w:r>
        <w:rPr>
          <w:rFonts w:hint="eastAsia" w:ascii="宋体"/>
          <w:bCs/>
          <w:szCs w:val="21"/>
        </w:rPr>
        <w:t>22.8</w:t>
      </w:r>
      <w:r>
        <w:rPr>
          <w:rFonts w:hint="eastAsia" w:ascii="宋体" w:hAnsi="宋体"/>
          <w:b/>
          <w:szCs w:val="21"/>
        </w:rPr>
        <w:t>投标人投标总报价，不得高于本次招标设置的最高限价，</w:t>
      </w:r>
      <w:r>
        <w:rPr>
          <w:rFonts w:hint="eastAsia" w:ascii="宋体" w:hAnsi="宋体"/>
          <w:b/>
          <w:bCs/>
          <w:szCs w:val="21"/>
        </w:rPr>
        <w:t>否则将作为无效投标处理。</w:t>
      </w:r>
    </w:p>
    <w:p>
      <w:pPr>
        <w:spacing w:line="440" w:lineRule="exact"/>
        <w:ind w:firstLine="420" w:firstLineChars="200"/>
        <w:rPr>
          <w:rFonts w:ascii="宋体"/>
          <w:szCs w:val="21"/>
        </w:rPr>
      </w:pPr>
      <w:r>
        <w:rPr>
          <w:rFonts w:hint="eastAsia" w:ascii="宋体"/>
          <w:szCs w:val="21"/>
        </w:rPr>
        <w:t>22.9如投标文件中未列明全面实现投标货物功能而必须配置的配套或辅助设施及相应技术措施的费用，这些费用将被视为已包含在总投标价中。</w:t>
      </w:r>
    </w:p>
    <w:p>
      <w:pPr>
        <w:spacing w:line="440" w:lineRule="exact"/>
        <w:ind w:firstLine="420" w:firstLineChars="200"/>
        <w:rPr>
          <w:rFonts w:ascii="宋体"/>
          <w:szCs w:val="21"/>
        </w:rPr>
      </w:pPr>
      <w:r>
        <w:rPr>
          <w:rFonts w:hint="eastAsia" w:ascii="宋体"/>
          <w:szCs w:val="21"/>
        </w:rPr>
        <w:t>22.10总投标价中不得包含采购文件要求以外的内容，否则，在评标时不予核减，但在授予合同时，招标人有权将这部分价格从其中标价格中扣除。</w:t>
      </w:r>
    </w:p>
    <w:p>
      <w:pPr>
        <w:spacing w:line="440" w:lineRule="exact"/>
        <w:ind w:firstLine="403" w:firstLineChars="192"/>
        <w:rPr>
          <w:rFonts w:ascii="宋体"/>
          <w:szCs w:val="21"/>
        </w:rPr>
      </w:pPr>
      <w:r>
        <w:rPr>
          <w:rFonts w:hint="eastAsia" w:ascii="宋体"/>
          <w:szCs w:val="21"/>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03" w:firstLineChars="192"/>
        <w:rPr>
          <w:rFonts w:ascii="宋体"/>
          <w:szCs w:val="21"/>
        </w:rPr>
      </w:pPr>
      <w:r>
        <w:rPr>
          <w:rFonts w:hint="eastAsia" w:ascii="宋体"/>
          <w:szCs w:val="21"/>
        </w:rPr>
        <w:t>22.12投标人不得对从第三方采购货物的随机备品、备件另行收费，否则在计算评标价时这部分费用将不予扣除，在授予合同时将从中标价格中扣除该部分费用。</w:t>
      </w:r>
    </w:p>
    <w:p>
      <w:pPr>
        <w:spacing w:line="440" w:lineRule="exact"/>
        <w:ind w:firstLine="403" w:firstLineChars="192"/>
        <w:rPr>
          <w:rFonts w:ascii="宋体"/>
          <w:szCs w:val="21"/>
        </w:rPr>
      </w:pPr>
      <w:r>
        <w:rPr>
          <w:rFonts w:hint="eastAsia" w:ascii="宋体"/>
          <w:szCs w:val="21"/>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440" w:lineRule="exact"/>
        <w:ind w:firstLine="420" w:firstLineChars="200"/>
        <w:rPr>
          <w:rFonts w:ascii="宋体"/>
          <w:b/>
          <w:szCs w:val="21"/>
        </w:rPr>
      </w:pPr>
      <w:r>
        <w:rPr>
          <w:rFonts w:hint="eastAsia" w:ascii="宋体"/>
          <w:b/>
          <w:szCs w:val="21"/>
        </w:rPr>
        <w:t>23. 投标有效期</w:t>
      </w:r>
    </w:p>
    <w:p>
      <w:pPr>
        <w:spacing w:line="440" w:lineRule="exact"/>
        <w:ind w:firstLine="420" w:firstLineChars="200"/>
        <w:rPr>
          <w:rFonts w:ascii="宋体"/>
          <w:szCs w:val="21"/>
        </w:rPr>
      </w:pPr>
      <w:r>
        <w:rPr>
          <w:rFonts w:hint="eastAsia" w:ascii="宋体"/>
          <w:szCs w:val="21"/>
        </w:rPr>
        <w:t>23.1 除投标人须知前附表另有规定外，投标有效期为60天。</w:t>
      </w:r>
    </w:p>
    <w:p>
      <w:pPr>
        <w:spacing w:line="440" w:lineRule="exact"/>
        <w:ind w:firstLine="420" w:firstLineChars="200"/>
        <w:rPr>
          <w:rFonts w:ascii="宋体"/>
          <w:szCs w:val="21"/>
        </w:rPr>
      </w:pPr>
      <w:r>
        <w:rPr>
          <w:rFonts w:hint="eastAsia" w:ascii="宋体"/>
          <w:szCs w:val="21"/>
        </w:rPr>
        <w:t>23.2在投标有效期内，投标人撤销或修改其投标文件的，应承担采购文件和法律规定的责任。</w:t>
      </w:r>
    </w:p>
    <w:p>
      <w:pPr>
        <w:spacing w:line="440" w:lineRule="exact"/>
        <w:ind w:firstLine="420" w:firstLineChars="200"/>
        <w:rPr>
          <w:rFonts w:ascii="宋体"/>
          <w:szCs w:val="21"/>
        </w:rPr>
      </w:pPr>
      <w:r>
        <w:rPr>
          <w:rFonts w:hint="eastAsia" w:ascii="宋体"/>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firstLine="403" w:firstLineChars="192"/>
        <w:rPr>
          <w:rFonts w:ascii="宋体"/>
          <w:b/>
          <w:szCs w:val="21"/>
        </w:rPr>
      </w:pPr>
      <w:r>
        <w:rPr>
          <w:rFonts w:hint="eastAsia" w:ascii="宋体"/>
          <w:b/>
          <w:szCs w:val="21"/>
        </w:rPr>
        <w:t>24. 投标保证金</w:t>
      </w:r>
    </w:p>
    <w:p>
      <w:pPr>
        <w:spacing w:line="400" w:lineRule="exact"/>
        <w:ind w:firstLine="420" w:firstLineChars="200"/>
        <w:rPr>
          <w:rFonts w:ascii="宋体"/>
          <w:szCs w:val="21"/>
        </w:rPr>
      </w:pPr>
      <w:r>
        <w:rPr>
          <w:rFonts w:hint="eastAsia" w:ascii="宋体"/>
          <w:szCs w:val="21"/>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00" w:lineRule="exact"/>
        <w:ind w:firstLine="420" w:firstLineChars="200"/>
        <w:rPr>
          <w:rFonts w:ascii="宋体"/>
          <w:szCs w:val="21"/>
        </w:rPr>
      </w:pPr>
      <w:r>
        <w:rPr>
          <w:rFonts w:hint="eastAsia" w:ascii="宋体"/>
          <w:szCs w:val="21"/>
        </w:rPr>
        <w:t>24.2自中标通知书发出之日起5个工作日内退还未中标投标人的投标保证金，自政府采购合同签订之日起5个工作日内退还中标人的投标保证金。</w:t>
      </w:r>
    </w:p>
    <w:p>
      <w:pPr>
        <w:spacing w:line="400" w:lineRule="exact"/>
        <w:ind w:firstLine="420" w:firstLineChars="200"/>
        <w:rPr>
          <w:rFonts w:ascii="宋体"/>
          <w:szCs w:val="21"/>
        </w:rPr>
      </w:pPr>
      <w:r>
        <w:rPr>
          <w:rFonts w:hint="eastAsia" w:ascii="宋体"/>
          <w:szCs w:val="21"/>
        </w:rPr>
        <w:t xml:space="preserve">24.3有下列情形之一的，投标保证金将不予退还： </w:t>
      </w:r>
    </w:p>
    <w:p>
      <w:pPr>
        <w:spacing w:line="400" w:lineRule="exact"/>
        <w:ind w:firstLine="420" w:firstLineChars="200"/>
        <w:rPr>
          <w:rFonts w:ascii="宋体"/>
          <w:szCs w:val="21"/>
        </w:rPr>
      </w:pPr>
      <w:r>
        <w:rPr>
          <w:rFonts w:hint="eastAsia" w:ascii="宋体"/>
          <w:szCs w:val="21"/>
        </w:rPr>
        <w:t>（1）投标人在规定的投标有效期内撤回或修改其投标文件；</w:t>
      </w:r>
    </w:p>
    <w:p>
      <w:pPr>
        <w:spacing w:line="400" w:lineRule="exact"/>
        <w:ind w:firstLine="420" w:firstLineChars="200"/>
        <w:rPr>
          <w:rFonts w:ascii="宋体"/>
          <w:szCs w:val="21"/>
        </w:rPr>
      </w:pPr>
      <w:r>
        <w:rPr>
          <w:rFonts w:hint="eastAsia" w:ascii="宋体"/>
          <w:szCs w:val="21"/>
        </w:rPr>
        <w:t>（2）中标通知书发出后三十天内，中标人无正当理由拒签合同协议书或未按采购文件规定提交履约担保。</w:t>
      </w:r>
    </w:p>
    <w:p>
      <w:pPr>
        <w:spacing w:line="400" w:lineRule="exact"/>
        <w:ind w:firstLine="420" w:firstLineChars="200"/>
        <w:rPr>
          <w:rFonts w:ascii="宋体"/>
          <w:szCs w:val="21"/>
        </w:rPr>
      </w:pPr>
      <w:r>
        <w:rPr>
          <w:rFonts w:hint="eastAsia" w:ascii="宋体"/>
          <w:szCs w:val="21"/>
        </w:rPr>
        <w:t>（3）提供虚假材料谋取中标的；</w:t>
      </w:r>
    </w:p>
    <w:p>
      <w:pPr>
        <w:spacing w:line="400" w:lineRule="exact"/>
        <w:ind w:firstLine="420" w:firstLineChars="200"/>
        <w:rPr>
          <w:rFonts w:ascii="宋体"/>
          <w:szCs w:val="21"/>
        </w:rPr>
      </w:pPr>
      <w:r>
        <w:rPr>
          <w:rFonts w:hint="eastAsia" w:ascii="宋体"/>
          <w:szCs w:val="21"/>
        </w:rPr>
        <w:t>（4）经查实属于陪标、串通投标的等。</w:t>
      </w:r>
    </w:p>
    <w:p>
      <w:pPr>
        <w:spacing w:line="400" w:lineRule="exact"/>
        <w:ind w:firstLine="420" w:firstLineChars="200"/>
        <w:rPr>
          <w:rFonts w:ascii="宋体"/>
          <w:szCs w:val="21"/>
        </w:rPr>
      </w:pPr>
      <w:bookmarkStart w:id="68" w:name="_Toc469495727"/>
      <w:r>
        <w:rPr>
          <w:rFonts w:hint="eastAsia" w:ascii="宋体"/>
          <w:szCs w:val="21"/>
        </w:rPr>
        <w:t>24.4投标保证金按投标人须知前附表第24条规定执行。</w:t>
      </w:r>
    </w:p>
    <w:p>
      <w:pPr>
        <w:pStyle w:val="3"/>
        <w:jc w:val="center"/>
        <w:rPr>
          <w:sz w:val="28"/>
          <w:szCs w:val="28"/>
        </w:rPr>
      </w:pPr>
      <w:bookmarkStart w:id="69" w:name="_Toc111210740"/>
      <w:bookmarkStart w:id="70" w:name="_Toc111210536"/>
      <w:bookmarkStart w:id="71" w:name="_Toc111210314"/>
      <w:r>
        <w:rPr>
          <w:rFonts w:hint="eastAsia"/>
          <w:sz w:val="28"/>
          <w:szCs w:val="28"/>
        </w:rPr>
        <w:t>（四）</w:t>
      </w:r>
      <w:bookmarkEnd w:id="68"/>
      <w:r>
        <w:rPr>
          <w:rFonts w:hint="eastAsia"/>
          <w:sz w:val="28"/>
          <w:szCs w:val="28"/>
        </w:rPr>
        <w:t>投标文件的制作、上传及递交要求</w:t>
      </w:r>
      <w:bookmarkEnd w:id="69"/>
      <w:bookmarkEnd w:id="70"/>
      <w:bookmarkEnd w:id="71"/>
    </w:p>
    <w:p>
      <w:pPr>
        <w:snapToGrid w:val="0"/>
        <w:spacing w:line="360" w:lineRule="auto"/>
        <w:ind w:firstLine="420" w:firstLineChars="200"/>
        <w:rPr>
          <w:rFonts w:ascii="宋体" w:hAnsi="宋体" w:cs="宋体"/>
          <w:b/>
          <w:szCs w:val="21"/>
        </w:rPr>
      </w:pPr>
      <w:r>
        <w:rPr>
          <w:rFonts w:hint="eastAsia" w:ascii="宋体" w:hAnsi="宋体" w:cs="宋体"/>
          <w:b/>
          <w:bCs/>
          <w:szCs w:val="21"/>
        </w:rPr>
        <w:t>25.投标文件的制作要求</w:t>
      </w:r>
    </w:p>
    <w:p>
      <w:pPr>
        <w:pStyle w:val="6"/>
        <w:snapToGrid w:val="0"/>
        <w:spacing w:line="360" w:lineRule="auto"/>
        <w:rPr>
          <w:rFonts w:ascii="宋体" w:hAnsi="宋体" w:cs="宋体"/>
          <w:sz w:val="21"/>
          <w:szCs w:val="21"/>
        </w:rPr>
      </w:pPr>
      <w:r>
        <w:rPr>
          <w:rFonts w:hint="eastAsia" w:ascii="宋体" w:hAnsi="宋体" w:cs="宋体"/>
          <w:bCs/>
          <w:sz w:val="21"/>
          <w:szCs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0" w:firstLineChars="200"/>
        <w:rPr>
          <w:rFonts w:ascii="宋体" w:hAnsi="宋体" w:cs="宋体"/>
          <w:sz w:val="21"/>
          <w:szCs w:val="21"/>
        </w:rPr>
      </w:pPr>
      <w:r>
        <w:rPr>
          <w:rFonts w:hint="eastAsia" w:ascii="宋体" w:hAnsi="宋体" w:cs="宋体"/>
          <w:bCs/>
          <w:sz w:val="21"/>
          <w:szCs w:val="21"/>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20" w:firstLineChars="200"/>
        <w:rPr>
          <w:rFonts w:ascii="宋体" w:hAnsi="宋体" w:cs="宋体"/>
          <w:bCs/>
          <w:sz w:val="21"/>
          <w:szCs w:val="21"/>
        </w:rPr>
      </w:pPr>
      <w:r>
        <w:rPr>
          <w:rFonts w:hint="eastAsia" w:ascii="宋体" w:hAnsi="宋体" w:cs="宋体"/>
          <w:bCs/>
          <w:sz w:val="21"/>
          <w:szCs w:val="21"/>
        </w:rPr>
        <w:t>备份电子投标文件：通过“政采云”平台电子投标工具制作投标文件所产生的备份文件。</w:t>
      </w:r>
    </w:p>
    <w:p>
      <w:pPr>
        <w:pStyle w:val="6"/>
        <w:snapToGrid w:val="0"/>
        <w:spacing w:line="360" w:lineRule="auto"/>
        <w:rPr>
          <w:rFonts w:ascii="宋体" w:hAnsi="宋体" w:cs="宋体"/>
          <w:bCs/>
          <w:color w:val="FF0000"/>
          <w:sz w:val="21"/>
          <w:szCs w:val="21"/>
          <w:highlight w:val="none"/>
        </w:rPr>
      </w:pPr>
      <w:r>
        <w:rPr>
          <w:rFonts w:hint="eastAsia" w:ascii="宋体" w:hAnsi="宋体" w:cs="宋体"/>
          <w:bCs/>
          <w:color w:val="FF0000"/>
          <w:sz w:val="21"/>
          <w:szCs w:val="21"/>
          <w:highlight w:val="none"/>
        </w:rPr>
        <w:t>（2）供应商应对所提供的全部资料的真实性、有效性承担法律责任，电子投标文件中所须加盖公章部分均采用CA签章。联合体投标的，确定其中一个单位为投标的全权代表，另一个单位的材料可以线下盖章后扫描上传。</w:t>
      </w:r>
    </w:p>
    <w:p>
      <w:pPr>
        <w:pStyle w:val="6"/>
        <w:snapToGrid w:val="0"/>
        <w:spacing w:line="360" w:lineRule="auto"/>
        <w:rPr>
          <w:rFonts w:ascii="宋体" w:hAnsi="宋体" w:cs="宋体"/>
          <w:bCs/>
          <w:sz w:val="21"/>
          <w:szCs w:val="21"/>
        </w:rPr>
      </w:pPr>
      <w:r>
        <w:rPr>
          <w:rFonts w:hint="eastAsia" w:ascii="宋体" w:hAnsi="宋体" w:cs="宋体"/>
          <w:bCs/>
          <w:sz w:val="21"/>
          <w:szCs w:val="21"/>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cs="宋体"/>
          <w:bCs/>
          <w:sz w:val="21"/>
          <w:szCs w:val="21"/>
        </w:rPr>
      </w:pPr>
      <w:r>
        <w:rPr>
          <w:rFonts w:hint="eastAsia" w:ascii="宋体" w:hAnsi="宋体" w:cs="宋体"/>
          <w:bCs/>
          <w:sz w:val="21"/>
          <w:szCs w:val="21"/>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cs="宋体"/>
          <w:bCs/>
          <w:sz w:val="21"/>
          <w:szCs w:val="21"/>
        </w:rPr>
      </w:pPr>
      <w:r>
        <w:rPr>
          <w:rFonts w:hint="eastAsia" w:ascii="宋体" w:hAnsi="宋体" w:cs="宋体"/>
          <w:bCs/>
          <w:sz w:val="21"/>
          <w:szCs w:val="21"/>
        </w:rPr>
        <w:t>（5）若供应商不按采购文件的要求提供资格审查材料，其风险由供应商自行承担。</w:t>
      </w:r>
    </w:p>
    <w:p>
      <w:pPr>
        <w:pStyle w:val="6"/>
        <w:snapToGrid w:val="0"/>
        <w:spacing w:line="360" w:lineRule="auto"/>
        <w:rPr>
          <w:rFonts w:ascii="宋体" w:hAnsi="宋体" w:cs="宋体"/>
          <w:bCs/>
          <w:sz w:val="21"/>
          <w:szCs w:val="21"/>
        </w:rPr>
      </w:pPr>
      <w:r>
        <w:rPr>
          <w:rFonts w:hint="eastAsia" w:ascii="宋体" w:hAnsi="宋体" w:cs="宋体"/>
          <w:bCs/>
          <w:sz w:val="21"/>
          <w:szCs w:val="21"/>
        </w:rPr>
        <w:t>（6）与本次投标无关的内容请不要制作在内，确保投标文件有针对性、简洁明了。</w:t>
      </w:r>
    </w:p>
    <w:p>
      <w:pPr>
        <w:snapToGrid w:val="0"/>
        <w:spacing w:line="360" w:lineRule="auto"/>
        <w:ind w:firstLine="420" w:firstLineChars="200"/>
        <w:rPr>
          <w:rFonts w:ascii="宋体" w:hAnsi="宋体" w:cs="宋体"/>
          <w:b/>
          <w:szCs w:val="21"/>
        </w:rPr>
      </w:pPr>
      <w:r>
        <w:rPr>
          <w:rFonts w:hint="eastAsia" w:ascii="宋体" w:hAnsi="宋体" w:cs="宋体"/>
          <w:b/>
          <w:bCs/>
          <w:szCs w:val="21"/>
        </w:rPr>
        <w:t>26.投标文件的上传</w:t>
      </w:r>
    </w:p>
    <w:p>
      <w:pPr>
        <w:pStyle w:val="6"/>
        <w:snapToGrid w:val="0"/>
        <w:spacing w:line="360" w:lineRule="auto"/>
        <w:rPr>
          <w:rFonts w:ascii="宋体" w:hAnsi="宋体" w:cs="宋体"/>
          <w:b/>
          <w:bCs/>
          <w:sz w:val="21"/>
          <w:szCs w:val="21"/>
        </w:rPr>
      </w:pPr>
      <w:r>
        <w:rPr>
          <w:rFonts w:hint="eastAsia" w:ascii="宋体" w:hAnsi="宋体" w:cs="宋体"/>
          <w:b/>
          <w:bCs/>
          <w:sz w:val="21"/>
          <w:szCs w:val="21"/>
        </w:rPr>
        <w:t>（1）</w:t>
      </w:r>
      <w:r>
        <w:rPr>
          <w:rFonts w:hint="eastAsia" w:ascii="宋体" w:hAnsi="宋体" w:cs="宋体"/>
          <w:b/>
          <w:bCs/>
          <w:sz w:val="21"/>
          <w:szCs w:val="21"/>
          <w:lang w:bidi="zh-CN"/>
        </w:rPr>
        <w:t>电子加密投标文件（“.jmbs”格式）</w:t>
      </w:r>
      <w:r>
        <w:rPr>
          <w:rFonts w:hint="eastAsia" w:ascii="宋体" w:hAnsi="宋体" w:cs="宋体"/>
          <w:b/>
          <w:bCs/>
          <w:sz w:val="21"/>
          <w:szCs w:val="21"/>
        </w:rPr>
        <w:t>：</w:t>
      </w:r>
    </w:p>
    <w:p>
      <w:pPr>
        <w:pStyle w:val="6"/>
        <w:snapToGrid w:val="0"/>
        <w:spacing w:line="360" w:lineRule="auto"/>
        <w:ind w:firstLine="525" w:firstLineChars="250"/>
        <w:rPr>
          <w:rFonts w:ascii="宋体" w:hAnsi="宋体" w:cs="宋体"/>
          <w:bCs/>
          <w:sz w:val="21"/>
          <w:szCs w:val="21"/>
          <w:lang w:bidi="zh-CN"/>
        </w:rPr>
      </w:pPr>
      <w:r>
        <w:rPr>
          <w:rFonts w:hint="eastAsia" w:ascii="宋体" w:hAnsi="宋体" w:cs="宋体"/>
          <w:bCs/>
          <w:sz w:val="21"/>
          <w:szCs w:val="21"/>
          <w:lang w:bidi="zh-CN"/>
        </w:rPr>
        <w:t>a.</w:t>
      </w:r>
      <w:r>
        <w:rPr>
          <w:rFonts w:hint="eastAsia" w:ascii="宋体" w:hAnsi="宋体" w:cs="宋体"/>
          <w:bCs/>
          <w:sz w:val="21"/>
          <w:szCs w:val="21"/>
        </w:rPr>
        <w:t xml:space="preserve"> </w:t>
      </w:r>
      <w:r>
        <w:rPr>
          <w:rFonts w:hint="eastAsia" w:ascii="宋体" w:hAnsi="宋体" w:cs="宋体"/>
          <w:bCs/>
          <w:sz w:val="21"/>
          <w:szCs w:val="21"/>
          <w:lang w:bidi="zh-CN"/>
        </w:rPr>
        <w:t>供应商应在投标截止时间前将电子加密投标文件成功上传递交至新疆政府采购云平台，否则投标无效；</w:t>
      </w:r>
    </w:p>
    <w:p>
      <w:pPr>
        <w:pStyle w:val="6"/>
        <w:snapToGrid w:val="0"/>
        <w:spacing w:line="360" w:lineRule="auto"/>
        <w:ind w:firstLine="525" w:firstLineChars="250"/>
        <w:rPr>
          <w:rFonts w:ascii="宋体" w:hAnsi="宋体" w:cs="宋体"/>
          <w:bCs/>
          <w:sz w:val="21"/>
          <w:szCs w:val="21"/>
        </w:rPr>
      </w:pPr>
      <w:r>
        <w:rPr>
          <w:rFonts w:hint="eastAsia" w:ascii="宋体" w:hAnsi="宋体" w:cs="宋体"/>
          <w:bCs/>
          <w:sz w:val="21"/>
          <w:szCs w:val="21"/>
          <w:lang w:bidi="zh-CN"/>
        </w:rPr>
        <w:t>b.供应商成功上传电子加密投标文件后，可自行打印投标文件接收回执。</w:t>
      </w:r>
    </w:p>
    <w:p>
      <w:pPr>
        <w:pStyle w:val="6"/>
        <w:snapToGrid w:val="0"/>
        <w:spacing w:line="360" w:lineRule="auto"/>
        <w:rPr>
          <w:rFonts w:ascii="宋体" w:hAnsi="宋体" w:cs="宋体"/>
          <w:b/>
          <w:bCs/>
          <w:sz w:val="21"/>
          <w:szCs w:val="21"/>
          <w:lang w:bidi="zh-CN"/>
        </w:rPr>
      </w:pPr>
      <w:r>
        <w:rPr>
          <w:rFonts w:hint="eastAsia" w:ascii="宋体" w:hAnsi="宋体" w:cs="宋体"/>
          <w:b/>
          <w:bCs/>
          <w:sz w:val="21"/>
          <w:szCs w:val="21"/>
        </w:rPr>
        <w:t>（2）</w:t>
      </w:r>
      <w:r>
        <w:rPr>
          <w:rFonts w:hint="eastAsia" w:ascii="宋体" w:hAnsi="宋体" w:cs="宋体"/>
          <w:b/>
          <w:bCs/>
          <w:sz w:val="21"/>
          <w:szCs w:val="21"/>
          <w:lang w:bidi="zh-CN"/>
        </w:rPr>
        <w:t>备份投标文件（“.bfbs”格式）：</w:t>
      </w:r>
    </w:p>
    <w:p>
      <w:pPr>
        <w:pStyle w:val="6"/>
        <w:snapToGrid w:val="0"/>
        <w:spacing w:line="360" w:lineRule="auto"/>
        <w:ind w:firstLine="525" w:firstLineChars="250"/>
        <w:rPr>
          <w:rFonts w:ascii="宋体" w:hAnsi="宋体" w:cs="宋体"/>
          <w:sz w:val="21"/>
          <w:szCs w:val="21"/>
          <w:lang w:bidi="zh-CN"/>
        </w:rPr>
      </w:pPr>
      <w:r>
        <w:rPr>
          <w:rFonts w:hint="eastAsia" w:ascii="宋体" w:hAnsi="宋体" w:cs="宋体"/>
          <w:bCs/>
          <w:sz w:val="21"/>
          <w:szCs w:val="21"/>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cs="宋体"/>
          <w:sz w:val="21"/>
          <w:szCs w:val="21"/>
          <w:lang w:bidi="zh-CN"/>
        </w:rPr>
        <w:t>“备份投标文件”以投标截止时间前指定接收邮箱最终收到的文件为准，逾期或未按要求提供的视为未提供，建议供应商提前1日办理邮件提供事宜（接收人邮箱：</w:t>
      </w:r>
      <w:r>
        <w:fldChar w:fldCharType="begin"/>
      </w:r>
      <w:r>
        <w:instrText xml:space="preserve"> HYPERLINK "mailto:3265613387@qq.com，接收人：赵先生，电话：1" </w:instrText>
      </w:r>
      <w:r>
        <w:fldChar w:fldCharType="separate"/>
      </w:r>
      <w:r>
        <w:rPr>
          <w:rStyle w:val="33"/>
          <w:rFonts w:hint="eastAsia" w:ascii="宋体" w:hAnsi="宋体" w:cs="宋体"/>
          <w:color w:val="auto"/>
          <w:sz w:val="21"/>
          <w:szCs w:val="21"/>
          <w:lang w:bidi="zh-CN"/>
        </w:rPr>
        <w:t>756299071@qq.com，接收人：木先生，电话：</w:t>
      </w:r>
      <w:r>
        <w:rPr>
          <w:rStyle w:val="33"/>
          <w:rFonts w:hint="eastAsia" w:ascii="宋体" w:hAnsi="宋体" w:cs="宋体"/>
          <w:color w:val="auto"/>
          <w:sz w:val="21"/>
          <w:szCs w:val="21"/>
          <w:lang w:bidi="zh-CN"/>
        </w:rPr>
        <w:fldChar w:fldCharType="end"/>
      </w:r>
      <w:r>
        <w:rPr>
          <w:rFonts w:hint="eastAsia" w:ascii="宋体" w:hAnsi="宋体" w:cs="宋体"/>
          <w:szCs w:val="21"/>
          <w:u w:val="single"/>
          <w:shd w:val="clear" w:color="auto" w:fill="FFFFFF"/>
        </w:rPr>
        <w:t xml:space="preserve"> </w:t>
      </w:r>
      <w:r>
        <w:rPr>
          <w:rFonts w:hint="eastAsia" w:ascii="宋体" w:hAnsi="宋体" w:cs="宋体"/>
          <w:sz w:val="21"/>
          <w:szCs w:val="21"/>
          <w:u w:val="single"/>
          <w:shd w:val="clear" w:color="auto" w:fill="FFFFFF"/>
        </w:rPr>
        <w:t>17551124431</w:t>
      </w:r>
      <w:r>
        <w:rPr>
          <w:rFonts w:hint="eastAsia" w:ascii="宋体" w:hAnsi="宋体" w:cs="宋体"/>
          <w:sz w:val="21"/>
          <w:szCs w:val="21"/>
          <w:lang w:bidi="zh-CN"/>
        </w:rPr>
        <w:t>）；</w:t>
      </w:r>
    </w:p>
    <w:p>
      <w:pPr>
        <w:pStyle w:val="6"/>
        <w:snapToGrid w:val="0"/>
        <w:spacing w:line="360" w:lineRule="auto"/>
        <w:ind w:firstLine="525" w:firstLineChars="250"/>
        <w:rPr>
          <w:rFonts w:ascii="宋体" w:hAnsi="宋体" w:cs="宋体"/>
          <w:bCs/>
          <w:sz w:val="21"/>
          <w:szCs w:val="21"/>
          <w:lang w:bidi="zh-CN"/>
        </w:rPr>
      </w:pPr>
      <w:r>
        <w:rPr>
          <w:rFonts w:hint="eastAsia" w:ascii="宋体" w:hAnsi="宋体" w:cs="宋体"/>
          <w:bCs/>
          <w:sz w:val="21"/>
          <w:szCs w:val="21"/>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20" w:firstLineChars="200"/>
        <w:rPr>
          <w:rFonts w:ascii="宋体" w:hAnsi="宋体" w:cs="宋体"/>
          <w:b/>
          <w:szCs w:val="21"/>
        </w:rPr>
      </w:pPr>
      <w:r>
        <w:rPr>
          <w:rFonts w:hint="eastAsia" w:ascii="宋体" w:hAnsi="宋体" w:cs="宋体"/>
          <w:b/>
          <w:bCs/>
          <w:szCs w:val="21"/>
        </w:rPr>
        <w:t>27.</w:t>
      </w:r>
      <w:r>
        <w:rPr>
          <w:rFonts w:hint="eastAsia" w:ascii="宋体" w:hAnsi="宋体" w:cs="宋体"/>
          <w:b/>
          <w:szCs w:val="21"/>
        </w:rPr>
        <w:t>投标文件的递交要求</w:t>
      </w:r>
    </w:p>
    <w:p>
      <w:pPr>
        <w:snapToGrid w:val="0"/>
        <w:spacing w:line="360" w:lineRule="auto"/>
        <w:ind w:firstLine="420" w:firstLineChars="200"/>
        <w:rPr>
          <w:rFonts w:ascii="宋体" w:hAnsi="宋体" w:cs="宋体"/>
          <w:szCs w:val="21"/>
        </w:rPr>
      </w:pPr>
      <w:r>
        <w:rPr>
          <w:rFonts w:hint="eastAsia" w:ascii="宋体" w:hAnsi="宋体" w:cs="宋体"/>
          <w:szCs w:val="21"/>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cs="宋体"/>
          <w:szCs w:val="21"/>
        </w:rPr>
        <w:t>（3）如有特殊情况，采购组织机构延长截止时间和开标时间，采购组织机构和供应商的权利和义务将受到新的截止时间和开标时间的约束。</w:t>
      </w:r>
    </w:p>
    <w:p>
      <w:pPr>
        <w:snapToGrid w:val="0"/>
        <w:spacing w:line="360" w:lineRule="auto"/>
        <w:ind w:firstLine="420" w:firstLineChars="200"/>
        <w:rPr>
          <w:rFonts w:ascii="宋体" w:hAnsi="宋体" w:cs="宋体"/>
          <w:b/>
          <w:bCs/>
          <w:szCs w:val="21"/>
        </w:rPr>
      </w:pPr>
      <w:r>
        <w:rPr>
          <w:rFonts w:hint="eastAsia" w:ascii="宋体" w:hAnsi="宋体" w:cs="宋体"/>
          <w:b/>
          <w:bCs/>
          <w:szCs w:val="21"/>
        </w:rPr>
        <w:t>28．投标文件的补充、修改与撤回</w:t>
      </w:r>
    </w:p>
    <w:p>
      <w:pPr>
        <w:tabs>
          <w:tab w:val="left" w:pos="960"/>
          <w:tab w:val="left" w:pos="1418"/>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pacing w:before="312" w:beforeLines="100" w:after="312" w:afterLines="100" w:line="440" w:lineRule="exact"/>
        <w:jc w:val="center"/>
        <w:outlineLvl w:val="2"/>
        <w:rPr>
          <w:rFonts w:ascii="黑体" w:eastAsia="黑体"/>
          <w:sz w:val="28"/>
          <w:szCs w:val="28"/>
        </w:rPr>
      </w:pPr>
      <w:bookmarkStart w:id="72" w:name="_Toc469495728"/>
      <w:bookmarkStart w:id="73" w:name="_Toc111210537"/>
      <w:bookmarkStart w:id="74" w:name="_Toc111210315"/>
      <w:bookmarkStart w:id="75" w:name="_Toc111210741"/>
      <w:r>
        <w:rPr>
          <w:rFonts w:hint="eastAsia" w:ascii="黑体" w:eastAsia="黑体"/>
          <w:sz w:val="28"/>
          <w:szCs w:val="28"/>
        </w:rPr>
        <w:t>（五）开标、评标和定标</w:t>
      </w:r>
      <w:bookmarkEnd w:id="72"/>
      <w:bookmarkEnd w:id="73"/>
      <w:bookmarkEnd w:id="74"/>
      <w:bookmarkEnd w:id="75"/>
    </w:p>
    <w:p>
      <w:pPr>
        <w:snapToGrid w:val="0"/>
        <w:spacing w:line="360" w:lineRule="auto"/>
        <w:ind w:firstLine="420" w:firstLineChars="200"/>
        <w:rPr>
          <w:rFonts w:ascii="宋体" w:hAnsi="宋体" w:cs="宋体"/>
          <w:b/>
          <w:bCs/>
          <w:szCs w:val="21"/>
        </w:rPr>
      </w:pPr>
      <w:r>
        <w:rPr>
          <w:rFonts w:hint="eastAsia" w:ascii="宋体" w:hAnsi="宋体" w:cs="宋体"/>
          <w:b/>
          <w:bCs/>
          <w:szCs w:val="21"/>
        </w:rPr>
        <w:t>29. 开标</w:t>
      </w:r>
    </w:p>
    <w:p>
      <w:pPr>
        <w:snapToGrid w:val="0"/>
        <w:spacing w:line="360" w:lineRule="auto"/>
        <w:ind w:firstLine="420" w:firstLineChars="200"/>
        <w:rPr>
          <w:rFonts w:ascii="宋体" w:hAnsi="宋体" w:cs="宋体"/>
          <w:b/>
          <w:bCs/>
          <w:szCs w:val="21"/>
        </w:rPr>
      </w:pPr>
      <w:bookmarkStart w:id="76" w:name="_Toc73975822"/>
      <w:r>
        <w:rPr>
          <w:rFonts w:hint="eastAsia" w:ascii="宋体" w:hAnsi="宋体" w:cs="宋体"/>
          <w:b/>
          <w:bCs/>
          <w:szCs w:val="21"/>
        </w:rPr>
        <w:t>29.1开标邀请</w:t>
      </w:r>
      <w:bookmarkEnd w:id="76"/>
    </w:p>
    <w:p>
      <w:pPr>
        <w:pStyle w:val="12"/>
        <w:snapToGrid w:val="0"/>
        <w:spacing w:line="360" w:lineRule="auto"/>
        <w:ind w:firstLine="420" w:firstLineChars="200"/>
        <w:rPr>
          <w:rFonts w:hAnsi="宋体" w:cs="宋体"/>
          <w:bCs/>
          <w:color w:val="auto"/>
          <w:szCs w:val="21"/>
        </w:rPr>
      </w:pPr>
      <w:r>
        <w:rPr>
          <w:rFonts w:hint="eastAsia" w:hAnsi="宋体" w:cs="宋体"/>
          <w:bCs/>
          <w:color w:val="auto"/>
          <w:szCs w:val="21"/>
        </w:rPr>
        <w:t>（1）开标准备：本项目开标的准备工作由采购组织机构负责落实，开标过程由采购组织机构负责记录；</w:t>
      </w:r>
    </w:p>
    <w:p>
      <w:pPr>
        <w:pStyle w:val="12"/>
        <w:snapToGrid w:val="0"/>
        <w:spacing w:line="360" w:lineRule="auto"/>
        <w:ind w:firstLine="420" w:firstLineChars="200"/>
        <w:rPr>
          <w:rFonts w:hAnsi="宋体" w:cs="宋体"/>
          <w:bCs/>
          <w:color w:val="auto"/>
          <w:szCs w:val="21"/>
        </w:rPr>
      </w:pPr>
      <w:r>
        <w:rPr>
          <w:rFonts w:hint="eastAsia" w:hAnsi="宋体" w:cs="宋体"/>
          <w:bCs/>
          <w:color w:val="auto"/>
          <w:szCs w:val="21"/>
        </w:rPr>
        <w:t>（2）开标主持：本项目开标由采购人或者采购代理机构主持；</w:t>
      </w:r>
    </w:p>
    <w:p>
      <w:pPr>
        <w:pStyle w:val="12"/>
        <w:snapToGrid w:val="0"/>
        <w:spacing w:line="360" w:lineRule="auto"/>
        <w:ind w:firstLine="420" w:firstLineChars="200"/>
        <w:rPr>
          <w:rFonts w:hAnsi="宋体" w:cs="宋体"/>
          <w:color w:val="auto"/>
          <w:szCs w:val="21"/>
        </w:rPr>
      </w:pPr>
      <w:r>
        <w:rPr>
          <w:rFonts w:hint="eastAsia" w:hAnsi="宋体" w:cs="宋体"/>
          <w:color w:val="auto"/>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33"/>
          <w:rFonts w:hint="eastAsia" w:hAnsi="宋体" w:cs="宋体"/>
          <w:color w:val="auto"/>
          <w:szCs w:val="21"/>
          <w:u w:val="none"/>
        </w:rPr>
        <w:t>www.zcygov.cn</w:t>
      </w:r>
      <w:r>
        <w:rPr>
          <w:rStyle w:val="33"/>
          <w:rFonts w:hint="eastAsia" w:hAnsi="宋体" w:cs="宋体"/>
          <w:color w:val="auto"/>
          <w:szCs w:val="21"/>
          <w:u w:val="none"/>
        </w:rPr>
        <w:fldChar w:fldCharType="end"/>
      </w:r>
      <w:r>
        <w:rPr>
          <w:rFonts w:hint="eastAsia" w:hAnsi="宋体" w:cs="宋体"/>
          <w:color w:val="auto"/>
          <w:szCs w:val="21"/>
        </w:rPr>
        <w:t>”组织开标、开启投标响应文件，所有供应商均应当准时在线参加。</w:t>
      </w:r>
    </w:p>
    <w:p>
      <w:pPr>
        <w:pStyle w:val="12"/>
        <w:snapToGrid w:val="0"/>
        <w:spacing w:line="360" w:lineRule="auto"/>
        <w:ind w:firstLine="420" w:firstLineChars="200"/>
        <w:rPr>
          <w:rFonts w:hAnsi="宋体" w:cs="宋体"/>
          <w:color w:val="auto"/>
          <w:szCs w:val="21"/>
        </w:rPr>
      </w:pPr>
      <w:r>
        <w:rPr>
          <w:rFonts w:hint="eastAsia" w:hAnsi="宋体" w:cs="宋体"/>
          <w:color w:val="auto"/>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0" w:firstLineChars="200"/>
        <w:outlineLvl w:val="2"/>
        <w:rPr>
          <w:rFonts w:ascii="宋体" w:hAnsi="宋体" w:cs="宋体"/>
          <w:b/>
          <w:szCs w:val="21"/>
        </w:rPr>
      </w:pPr>
      <w:bookmarkStart w:id="77" w:name="_Toc73975823"/>
      <w:bookmarkStart w:id="78" w:name="_Toc111210538"/>
      <w:bookmarkStart w:id="79" w:name="_Toc111210742"/>
      <w:bookmarkStart w:id="80" w:name="_Toc111210316"/>
      <w:r>
        <w:rPr>
          <w:rFonts w:hint="eastAsia" w:ascii="宋体" w:hAnsi="宋体" w:cs="宋体"/>
          <w:b/>
          <w:szCs w:val="21"/>
        </w:rPr>
        <w:t>29.2</w:t>
      </w:r>
      <w:r>
        <w:rPr>
          <w:rFonts w:hint="eastAsia" w:ascii="宋体" w:hAnsi="宋体" w:cs="宋体"/>
          <w:b/>
          <w:bCs/>
          <w:szCs w:val="21"/>
        </w:rPr>
        <w:t>开标程序（先资格、商务技术后报价）</w:t>
      </w:r>
      <w:bookmarkEnd w:id="77"/>
      <w:bookmarkEnd w:id="78"/>
      <w:bookmarkEnd w:id="79"/>
      <w:bookmarkEnd w:id="80"/>
    </w:p>
    <w:p>
      <w:pPr>
        <w:snapToGrid w:val="0"/>
        <w:spacing w:line="360" w:lineRule="auto"/>
        <w:ind w:firstLine="420" w:firstLineChars="200"/>
        <w:rPr>
          <w:rFonts w:ascii="宋体" w:hAnsi="宋体" w:cs="宋体"/>
          <w:szCs w:val="21"/>
        </w:rPr>
      </w:pPr>
      <w:r>
        <w:rPr>
          <w:rFonts w:hint="eastAsia" w:ascii="宋体" w:hAnsi="宋体" w:cs="宋体"/>
          <w:szCs w:val="21"/>
        </w:rPr>
        <w:t>（1）开标时间到后，主持人宣布开标会议开始。</w:t>
      </w:r>
    </w:p>
    <w:p>
      <w:pPr>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投标文件解密（</w:t>
      </w:r>
      <w:r>
        <w:rPr>
          <w:rFonts w:hint="eastAsia" w:ascii="宋体" w:hAnsi="宋体" w:cs="宋体"/>
          <w:b/>
          <w:kern w:val="0"/>
          <w:szCs w:val="21"/>
        </w:rPr>
        <w:t>解密规定见《供应商须知前附表》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投标文件解密异常情况处理（</w:t>
      </w:r>
      <w:r>
        <w:rPr>
          <w:rFonts w:hint="eastAsia" w:ascii="宋体" w:hAnsi="宋体" w:cs="宋体"/>
          <w:b/>
          <w:kern w:val="0"/>
          <w:szCs w:val="21"/>
        </w:rPr>
        <w:t>处理办法见《供应商须知前附表》</w:t>
      </w:r>
      <w:r>
        <w:rPr>
          <w:rFonts w:hint="eastAsia" w:ascii="宋体" w:hAnsi="宋体" w:cs="宋体"/>
          <w:kern w:val="0"/>
          <w:szCs w:val="21"/>
        </w:rPr>
        <w:t>）</w:t>
      </w:r>
      <w:r>
        <w:rPr>
          <w:rFonts w:hint="eastAsia" w:ascii="宋体" w:hAnsi="宋体" w:cs="宋体"/>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（4）公布投标文件解密情况（投标文件成功解密的供应商名单等信息），组织签署</w:t>
      </w:r>
      <w:r>
        <w:rPr>
          <w:rFonts w:hint="eastAsia" w:ascii="宋体" w:hAnsi="宋体" w:cs="宋体"/>
          <w:b/>
          <w:bCs/>
          <w:kern w:val="0"/>
          <w:szCs w:val="21"/>
        </w:rPr>
        <w:t>《政府采购活动现场确认声明书》（将通过电子邮件形式组织签署），供应商应在20分钟内通过邮件形式将经签署的《政府采购活动现场确认声明书》发送至采购代理机构指定邮箱756299071@qq.com ，逾期发送或未发送的视为无异议</w:t>
      </w:r>
      <w:r>
        <w:rPr>
          <w:rFonts w:hint="eastAsia" w:ascii="宋体" w:hAnsi="宋体" w:cs="宋体"/>
          <w:kern w:val="0"/>
          <w:szCs w:val="21"/>
        </w:rPr>
        <w:t>。</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（5）开启标书信息（资格证明文件、商务技术文件）。标书信息开启后，首先由采购人或采购代理机构或评审小组依法对投标供应商的资格证明文件进行审查，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（6）商务技术评审结束后，主持人公布商务技术评审无效投标供应商名单和商务技术评审有效投标供应商名单及其商务技术得分情况</w:t>
      </w:r>
      <w:r>
        <w:rPr>
          <w:rFonts w:hint="eastAsia" w:ascii="宋体" w:hAnsi="宋体" w:cs="宋体"/>
          <w:szCs w:val="21"/>
        </w:rPr>
        <w:t>。</w:t>
      </w:r>
      <w:r>
        <w:rPr>
          <w:rFonts w:hint="eastAsia" w:ascii="宋体" w:hAnsi="宋体" w:cs="宋体"/>
          <w:kern w:val="0"/>
          <w:szCs w:val="21"/>
        </w:rPr>
        <w:t>商务技术评审无效的供应商，其报价不再进入评审。</w:t>
      </w:r>
    </w:p>
    <w:p>
      <w:pPr>
        <w:snapToGrid w:val="0"/>
        <w:spacing w:line="360" w:lineRule="auto"/>
        <w:ind w:firstLine="420" w:firstLineChars="200"/>
        <w:jc w:val="left"/>
        <w:rPr>
          <w:rFonts w:ascii="宋体" w:hAnsi="宋体" w:cs="宋体"/>
          <w:szCs w:val="21"/>
        </w:rPr>
      </w:pPr>
      <w:r>
        <w:rPr>
          <w:rFonts w:hint="eastAsia" w:ascii="宋体" w:hAnsi="宋体" w:cs="宋体"/>
          <w:kern w:val="0"/>
          <w:szCs w:val="21"/>
        </w:rPr>
        <w:t>（7）开启有效投标供应商的报价，公布开标一览表有关内容，</w:t>
      </w:r>
      <w:r>
        <w:rPr>
          <w:rFonts w:hint="eastAsia" w:ascii="宋体" w:hAnsi="宋体" w:cs="宋体"/>
          <w:szCs w:val="21"/>
          <w:lang w:bidi="zh-CN"/>
        </w:rPr>
        <w:t>并【开启签字时段】，供应商对开标纪录进行在线签字确认（不予确认的应说明理由，否则视为无异议）</w:t>
      </w:r>
      <w:r>
        <w:rPr>
          <w:rFonts w:hint="eastAsia" w:ascii="宋体" w:hAnsi="宋体" w:cs="宋体"/>
          <w:kern w:val="0"/>
          <w:szCs w:val="21"/>
        </w:rPr>
        <w:t>。开标结束后，由评标委员会对报价的合理性、准确性等进行审查核实</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评审结束后，采购代理机构在系统上公布评审结果。</w:t>
      </w:r>
    </w:p>
    <w:p>
      <w:pPr>
        <w:snapToGrid w:val="0"/>
        <w:spacing w:line="360" w:lineRule="auto"/>
        <w:ind w:left="480"/>
        <w:rPr>
          <w:rFonts w:ascii="宋体" w:hAnsi="宋体" w:cs="宋体"/>
          <w:b/>
          <w:szCs w:val="21"/>
        </w:rPr>
      </w:pPr>
      <w:r>
        <w:rPr>
          <w:rFonts w:hint="eastAsia" w:ascii="宋体" w:hAnsi="宋体" w:cs="宋体"/>
          <w:b/>
          <w:szCs w:val="21"/>
        </w:rPr>
        <w:t>特别情况说明：</w:t>
      </w:r>
    </w:p>
    <w:p>
      <w:pPr>
        <w:snapToGrid w:val="0"/>
        <w:spacing w:line="360" w:lineRule="auto"/>
        <w:ind w:firstLine="371" w:firstLineChars="177"/>
        <w:jc w:val="left"/>
        <w:rPr>
          <w:rFonts w:ascii="宋体" w:hAnsi="宋体" w:cs="宋体"/>
          <w:b/>
          <w:kern w:val="0"/>
          <w:szCs w:val="21"/>
        </w:rPr>
      </w:pPr>
      <w:r>
        <w:rPr>
          <w:rFonts w:hint="eastAsia" w:ascii="宋体" w:hAnsi="宋体" w:cs="宋体"/>
          <w:b/>
          <w:kern w:val="0"/>
          <w:szCs w:val="21"/>
        </w:rPr>
        <w:t>（1）本项目采用电子交易，如遇“新疆政府采购云平台”电子化开标或评审程序调整的，按调整后程序执行。</w:t>
      </w:r>
    </w:p>
    <w:p>
      <w:pPr>
        <w:snapToGrid w:val="0"/>
        <w:spacing w:line="360" w:lineRule="auto"/>
        <w:ind w:firstLine="371" w:firstLineChars="177"/>
        <w:jc w:val="left"/>
        <w:rPr>
          <w:rFonts w:ascii="宋体" w:hAnsi="宋体" w:cs="宋体"/>
          <w:b/>
          <w:kern w:val="0"/>
          <w:szCs w:val="21"/>
        </w:rPr>
      </w:pPr>
      <w:r>
        <w:rPr>
          <w:rFonts w:hint="eastAsia" w:ascii="宋体" w:hAnsi="宋体" w:cs="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rPr>
        <w:t>。</w:t>
      </w:r>
    </w:p>
    <w:p>
      <w:pPr>
        <w:snapToGrid w:val="0"/>
        <w:spacing w:line="360" w:lineRule="auto"/>
        <w:ind w:firstLine="420" w:firstLineChars="200"/>
        <w:rPr>
          <w:rFonts w:ascii="宋体" w:hAnsi="宋体" w:cs="宋体"/>
          <w:b/>
          <w:kern w:val="0"/>
          <w:szCs w:val="21"/>
        </w:rPr>
      </w:pPr>
      <w:r>
        <w:rPr>
          <w:rFonts w:hint="eastAsia" w:ascii="宋体" w:hAnsi="宋体" w:cs="宋体"/>
          <w:b/>
          <w:kern w:val="0"/>
          <w:szCs w:val="21"/>
        </w:rPr>
        <w:t>29.3 投标供应商资格审查：</w:t>
      </w:r>
    </w:p>
    <w:p>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kern w:val="0"/>
          <w:szCs w:val="21"/>
        </w:rPr>
        <w:t>开标（标书信息开启）后，采购人或采购代理机构或</w:t>
      </w:r>
      <w:r>
        <w:rPr>
          <w:rFonts w:hint="eastAsia" w:ascii="宋体" w:hAnsi="宋体" w:cs="宋体"/>
          <w:kern w:val="0"/>
          <w:szCs w:val="21"/>
        </w:rPr>
        <w:t>评审小组</w:t>
      </w:r>
      <w:r>
        <w:rPr>
          <w:rFonts w:hint="eastAsia" w:ascii="宋体" w:hAnsi="宋体" w:cs="宋体"/>
          <w:bCs/>
          <w:kern w:val="0"/>
          <w:szCs w:val="21"/>
        </w:rPr>
        <w:t>首先依法对投标供应商的资格文件进行审查，审查各投标供应商的资格符合情况。</w:t>
      </w:r>
      <w:r>
        <w:rPr>
          <w:rFonts w:hint="eastAsia" w:ascii="宋体" w:hAnsi="宋体" w:cs="宋体"/>
          <w:szCs w:val="21"/>
        </w:rPr>
        <w:t>采购人或采购代理机构</w:t>
      </w:r>
      <w:r>
        <w:rPr>
          <w:rFonts w:hint="eastAsia" w:ascii="宋体" w:hAnsi="宋体" w:cs="宋体"/>
          <w:bCs/>
          <w:kern w:val="0"/>
          <w:szCs w:val="21"/>
        </w:rPr>
        <w:t>或</w:t>
      </w:r>
      <w:r>
        <w:rPr>
          <w:rFonts w:hint="eastAsia" w:ascii="宋体" w:hAnsi="宋体" w:cs="宋体"/>
          <w:kern w:val="0"/>
          <w:szCs w:val="21"/>
        </w:rPr>
        <w:t>评审小组</w:t>
      </w:r>
      <w:r>
        <w:rPr>
          <w:rFonts w:hint="eastAsia" w:ascii="宋体" w:hAnsi="宋体" w:cs="宋体"/>
          <w:szCs w:val="21"/>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ascii="宋体" w:hAnsi="宋体" w:cs="宋体"/>
          <w:bCs/>
          <w:sz w:val="21"/>
          <w:szCs w:val="21"/>
        </w:rPr>
      </w:pPr>
      <w:r>
        <w:rPr>
          <w:rFonts w:hint="eastAsia" w:ascii="宋体" w:hAnsi="宋体" w:cs="宋体"/>
          <w:bCs/>
          <w:sz w:val="21"/>
          <w:szCs w:val="21"/>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ascii="宋体" w:hAnsi="宋体" w:cs="宋体"/>
          <w:bCs/>
          <w:sz w:val="21"/>
          <w:szCs w:val="21"/>
        </w:rPr>
      </w:pPr>
      <w:r>
        <w:rPr>
          <w:rFonts w:hint="eastAsia" w:ascii="宋体" w:hAnsi="宋体" w:cs="宋体"/>
          <w:bCs/>
          <w:sz w:val="21"/>
          <w:szCs w:val="21"/>
        </w:rPr>
        <w:t>（3）供应商信用记录查询与使用：见《供应商须知前附表》。</w:t>
      </w:r>
    </w:p>
    <w:p>
      <w:pPr>
        <w:widowControl/>
        <w:spacing w:line="440" w:lineRule="exact"/>
        <w:ind w:firstLine="210" w:firstLineChars="100"/>
        <w:rPr>
          <w:rFonts w:ascii="宋体"/>
          <w:b/>
          <w:bCs/>
          <w:szCs w:val="21"/>
        </w:rPr>
      </w:pPr>
      <w:r>
        <w:rPr>
          <w:rFonts w:hint="eastAsia" w:ascii="宋体"/>
          <w:b/>
          <w:bCs/>
          <w:szCs w:val="21"/>
        </w:rPr>
        <w:t>30.评审工作的组织</w:t>
      </w:r>
    </w:p>
    <w:p>
      <w:pPr>
        <w:widowControl/>
        <w:spacing w:line="440" w:lineRule="exact"/>
        <w:ind w:firstLine="210" w:firstLineChars="1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pPr>
        <w:widowControl/>
        <w:spacing w:line="440" w:lineRule="exact"/>
        <w:ind w:firstLine="210" w:firstLineChars="100"/>
        <w:rPr>
          <w:rFonts w:ascii="宋体"/>
          <w:b/>
          <w:bCs/>
          <w:szCs w:val="21"/>
        </w:rPr>
      </w:pPr>
      <w:r>
        <w:rPr>
          <w:rFonts w:hint="eastAsia" w:ascii="宋体"/>
          <w:b/>
          <w:bCs/>
          <w:szCs w:val="21"/>
        </w:rPr>
        <w:t>31. 评标委员会的组建</w:t>
      </w:r>
    </w:p>
    <w:p>
      <w:pPr>
        <w:widowControl/>
        <w:spacing w:line="440" w:lineRule="exact"/>
        <w:ind w:firstLine="210" w:firstLineChars="100"/>
        <w:rPr>
          <w:rFonts w:ascii="宋体"/>
          <w:szCs w:val="21"/>
        </w:rPr>
      </w:pPr>
      <w:r>
        <w:rPr>
          <w:rFonts w:hint="eastAsia" w:ascii="宋体"/>
          <w:szCs w:val="21"/>
        </w:rPr>
        <w:t>31.1评标委员会由采购人或采购代理机构依法组建，成员由采购人代表和评审专家组成，成员人数为五人或以上单数，其中评审专家不少于成员总数的三分之二。</w:t>
      </w:r>
    </w:p>
    <w:p>
      <w:pPr>
        <w:widowControl/>
        <w:spacing w:line="440" w:lineRule="exact"/>
        <w:ind w:firstLine="210" w:firstLineChars="100"/>
        <w:rPr>
          <w:rFonts w:ascii="宋体"/>
          <w:szCs w:val="21"/>
        </w:rPr>
      </w:pPr>
      <w:r>
        <w:rPr>
          <w:rFonts w:hint="eastAsia" w:ascii="宋体"/>
          <w:szCs w:val="21"/>
        </w:rPr>
        <w:t>31.2评审专家从新疆政府采购云平台专家库中通过随机方式抽取产生。评标委员会成员名单在采购结果公告前保密。</w:t>
      </w:r>
    </w:p>
    <w:p>
      <w:pPr>
        <w:widowControl/>
        <w:spacing w:line="440" w:lineRule="exact"/>
        <w:ind w:firstLine="210" w:firstLineChars="100"/>
        <w:rPr>
          <w:rFonts w:ascii="宋体"/>
          <w:b/>
          <w:bCs/>
          <w:szCs w:val="21"/>
        </w:rPr>
      </w:pPr>
      <w:r>
        <w:rPr>
          <w:rFonts w:hint="eastAsia" w:ascii="宋体"/>
          <w:b/>
          <w:bCs/>
          <w:szCs w:val="21"/>
        </w:rPr>
        <w:t>32.评标委员会的职责</w:t>
      </w:r>
    </w:p>
    <w:p>
      <w:pPr>
        <w:widowControl/>
        <w:spacing w:line="440" w:lineRule="exact"/>
        <w:ind w:firstLine="210" w:firstLineChars="100"/>
        <w:rPr>
          <w:rFonts w:ascii="宋体"/>
          <w:szCs w:val="21"/>
        </w:rPr>
      </w:pPr>
      <w:r>
        <w:rPr>
          <w:rFonts w:hint="eastAsia" w:ascii="宋体"/>
          <w:szCs w:val="21"/>
        </w:rPr>
        <w:t>32.1审查、评价投标文件是否符合采购文件的商务、技术等实质性要求。</w:t>
      </w:r>
    </w:p>
    <w:p>
      <w:pPr>
        <w:widowControl/>
        <w:spacing w:line="440" w:lineRule="exact"/>
        <w:ind w:firstLine="210" w:firstLineChars="100"/>
        <w:rPr>
          <w:rFonts w:ascii="宋体"/>
          <w:szCs w:val="21"/>
        </w:rPr>
      </w:pPr>
      <w:r>
        <w:rPr>
          <w:rFonts w:hint="eastAsia" w:ascii="宋体"/>
          <w:szCs w:val="21"/>
        </w:rPr>
        <w:t>32.2要求供应商对投标文件有关事项作出澄清或者说明。</w:t>
      </w:r>
    </w:p>
    <w:p>
      <w:pPr>
        <w:widowControl/>
        <w:spacing w:line="440" w:lineRule="exact"/>
        <w:ind w:firstLine="210" w:firstLineChars="100"/>
        <w:rPr>
          <w:rFonts w:ascii="宋体"/>
          <w:szCs w:val="21"/>
        </w:rPr>
      </w:pPr>
      <w:r>
        <w:rPr>
          <w:rFonts w:hint="eastAsia" w:ascii="宋体"/>
          <w:szCs w:val="21"/>
        </w:rPr>
        <w:t>32.3对投标文件进行比较和评价。</w:t>
      </w:r>
    </w:p>
    <w:p>
      <w:pPr>
        <w:widowControl/>
        <w:spacing w:line="440" w:lineRule="exact"/>
        <w:ind w:firstLine="210" w:firstLineChars="100"/>
        <w:rPr>
          <w:rFonts w:ascii="宋体"/>
          <w:szCs w:val="21"/>
        </w:rPr>
      </w:pPr>
      <w:r>
        <w:rPr>
          <w:rFonts w:hint="eastAsia" w:ascii="宋体"/>
          <w:szCs w:val="21"/>
        </w:rPr>
        <w:t>32.4确定中标候选人名单，以及根据采购人委托直接确定中标人。</w:t>
      </w:r>
    </w:p>
    <w:p>
      <w:pPr>
        <w:widowControl/>
        <w:spacing w:line="440" w:lineRule="exact"/>
        <w:ind w:firstLine="210" w:firstLineChars="100"/>
        <w:rPr>
          <w:rFonts w:ascii="宋体"/>
          <w:szCs w:val="21"/>
        </w:rPr>
      </w:pPr>
      <w:r>
        <w:rPr>
          <w:rFonts w:hint="eastAsia" w:ascii="宋体"/>
          <w:szCs w:val="21"/>
        </w:rPr>
        <w:t>32.5向采购人、采购代理机构或者有关部门报告评审中发现的违法行为。</w:t>
      </w:r>
    </w:p>
    <w:p>
      <w:pPr>
        <w:widowControl/>
        <w:spacing w:line="440" w:lineRule="exact"/>
        <w:ind w:firstLine="210" w:firstLineChars="100"/>
        <w:rPr>
          <w:rFonts w:ascii="宋体"/>
          <w:b/>
          <w:bCs/>
          <w:szCs w:val="21"/>
        </w:rPr>
      </w:pPr>
      <w:r>
        <w:rPr>
          <w:rFonts w:hint="eastAsia" w:ascii="宋体"/>
          <w:b/>
          <w:bCs/>
          <w:szCs w:val="21"/>
        </w:rPr>
        <w:t>33. 评标原则</w:t>
      </w:r>
    </w:p>
    <w:p>
      <w:pPr>
        <w:widowControl/>
        <w:spacing w:line="440" w:lineRule="exact"/>
        <w:ind w:firstLine="210" w:firstLineChars="100"/>
        <w:rPr>
          <w:rFonts w:ascii="宋体"/>
          <w:szCs w:val="21"/>
        </w:rPr>
      </w:pPr>
      <w:r>
        <w:rPr>
          <w:rFonts w:hint="eastAsia" w:ascii="宋体"/>
          <w:szCs w:val="21"/>
        </w:rPr>
        <w:t>33.1评标委员会将遵循公平、公正、科学的原则，对供应商提交的投标文件进行综合评审，评标委员会按照采购文件规定的评标细则进行评分。</w:t>
      </w:r>
    </w:p>
    <w:p>
      <w:pPr>
        <w:widowControl/>
        <w:spacing w:line="440" w:lineRule="exact"/>
        <w:ind w:firstLine="210" w:firstLineChars="100"/>
        <w:rPr>
          <w:rFonts w:ascii="宋体"/>
          <w:szCs w:val="21"/>
        </w:rPr>
      </w:pPr>
      <w:r>
        <w:rPr>
          <w:rFonts w:hint="eastAsia" w:ascii="宋体"/>
          <w:szCs w:val="21"/>
        </w:rPr>
        <w:t xml:space="preserve">33.2客观公正对待所有供应商，对所有投标评价均采用相同的程序和标准。 </w:t>
      </w:r>
    </w:p>
    <w:p>
      <w:pPr>
        <w:widowControl/>
        <w:spacing w:line="440" w:lineRule="exact"/>
        <w:ind w:firstLine="210" w:firstLineChars="100"/>
        <w:rPr>
          <w:rFonts w:ascii="宋体"/>
          <w:szCs w:val="21"/>
        </w:rPr>
      </w:pPr>
      <w:r>
        <w:rPr>
          <w:rFonts w:hint="eastAsia" w:ascii="宋体"/>
          <w:szCs w:val="21"/>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10" w:firstLineChars="100"/>
        <w:rPr>
          <w:rFonts w:ascii="宋体"/>
          <w:szCs w:val="21"/>
        </w:rPr>
      </w:pPr>
      <w:r>
        <w:rPr>
          <w:rFonts w:hint="eastAsia" w:ascii="宋体"/>
          <w:szCs w:val="21"/>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10" w:firstLineChars="100"/>
        <w:rPr>
          <w:rFonts w:ascii="宋体"/>
          <w:szCs w:val="21"/>
        </w:rPr>
      </w:pPr>
      <w:r>
        <w:rPr>
          <w:rFonts w:hint="eastAsia" w:ascii="宋体"/>
          <w:szCs w:val="21"/>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10" w:firstLineChars="100"/>
        <w:rPr>
          <w:rFonts w:ascii="宋体"/>
          <w:b/>
          <w:bCs/>
          <w:szCs w:val="21"/>
        </w:rPr>
      </w:pPr>
      <w:r>
        <w:rPr>
          <w:rFonts w:hint="eastAsia" w:ascii="宋体"/>
          <w:b/>
          <w:bCs/>
          <w:szCs w:val="21"/>
        </w:rPr>
        <w:t>34. 评委纪律</w:t>
      </w:r>
    </w:p>
    <w:p>
      <w:pPr>
        <w:widowControl/>
        <w:spacing w:line="440" w:lineRule="exact"/>
        <w:ind w:firstLine="210" w:firstLineChars="100"/>
        <w:rPr>
          <w:rFonts w:ascii="宋体"/>
          <w:szCs w:val="21"/>
        </w:rPr>
      </w:pPr>
      <w:r>
        <w:rPr>
          <w:rFonts w:hint="eastAsia" w:ascii="宋体"/>
          <w:szCs w:val="21"/>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pPr>
        <w:widowControl/>
        <w:spacing w:line="440" w:lineRule="exact"/>
        <w:ind w:firstLine="210" w:firstLineChars="100"/>
        <w:rPr>
          <w:rFonts w:ascii="宋体"/>
          <w:b/>
          <w:bCs/>
          <w:szCs w:val="21"/>
        </w:rPr>
      </w:pPr>
      <w:r>
        <w:rPr>
          <w:rFonts w:hint="eastAsia" w:ascii="宋体"/>
          <w:b/>
          <w:bCs/>
          <w:szCs w:val="21"/>
        </w:rPr>
        <w:t>35.评标程序</w:t>
      </w:r>
    </w:p>
    <w:p>
      <w:pPr>
        <w:widowControl/>
        <w:spacing w:line="440" w:lineRule="exact"/>
        <w:ind w:firstLine="210" w:firstLineChars="100"/>
        <w:rPr>
          <w:rFonts w:ascii="宋体"/>
          <w:szCs w:val="21"/>
        </w:rPr>
      </w:pPr>
      <w:r>
        <w:rPr>
          <w:rFonts w:hint="eastAsia" w:ascii="宋体"/>
          <w:szCs w:val="21"/>
        </w:rPr>
        <w:t>35.1 在评审专家中推选评标委员会组长，采购人代表不得担任评标委员会组长。</w:t>
      </w:r>
    </w:p>
    <w:p>
      <w:pPr>
        <w:widowControl/>
        <w:spacing w:line="440" w:lineRule="exact"/>
        <w:ind w:firstLine="210" w:firstLineChars="100"/>
        <w:rPr>
          <w:rFonts w:ascii="宋体"/>
          <w:szCs w:val="21"/>
        </w:rPr>
      </w:pPr>
      <w:r>
        <w:rPr>
          <w:rFonts w:hint="eastAsia" w:ascii="宋体"/>
          <w:szCs w:val="21"/>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10" w:firstLineChars="100"/>
        <w:rPr>
          <w:rFonts w:ascii="宋体"/>
          <w:szCs w:val="21"/>
        </w:rPr>
      </w:pPr>
      <w:r>
        <w:rPr>
          <w:rFonts w:hint="eastAsia" w:ascii="宋体"/>
          <w:szCs w:val="21"/>
        </w:rPr>
        <w:t>35.3 评审人员对符合资格的供应商的投标文件的有效性、符合性、完整性和响应程度进行审查，确定是否对采购文件作出实质性响应。</w:t>
      </w:r>
    </w:p>
    <w:p>
      <w:pPr>
        <w:widowControl/>
        <w:spacing w:line="440" w:lineRule="exact"/>
        <w:ind w:firstLine="210" w:firstLineChars="100"/>
        <w:rPr>
          <w:rFonts w:ascii="宋体"/>
          <w:szCs w:val="21"/>
        </w:rPr>
      </w:pPr>
      <w:r>
        <w:rPr>
          <w:rFonts w:hint="eastAsia" w:ascii="宋体"/>
          <w:szCs w:val="21"/>
        </w:rPr>
        <w:t>35.4 评审人员按采购文件规定的评审方法和评审标准，依法独立对供应商投标文件进行评估、比较，并给予评价或打分，不受任何单位和个人的干预。</w:t>
      </w:r>
    </w:p>
    <w:p>
      <w:pPr>
        <w:widowControl/>
        <w:spacing w:line="440" w:lineRule="exact"/>
        <w:ind w:firstLine="420" w:firstLineChars="200"/>
        <w:rPr>
          <w:rFonts w:ascii="宋体" w:hAnsi="宋体" w:cs="宋体"/>
          <w:kern w:val="0"/>
          <w:szCs w:val="21"/>
        </w:rPr>
      </w:pPr>
      <w:r>
        <w:rPr>
          <w:rFonts w:hint="eastAsia" w:ascii="宋体" w:hAnsi="宋体" w:cs="宋体"/>
          <w:kern w:val="0"/>
          <w:szCs w:val="21"/>
        </w:rPr>
        <w:t>综合评分法服务项目的价格分值占总分值的比重(即权值)为10％，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rPr>
      </w:pPr>
      <w:r>
        <w:rPr>
          <w:rFonts w:hint="eastAsia" w:ascii="宋体" w:hAnsi="宋体" w:cs="宋体"/>
          <w:kern w:val="0"/>
          <w:szCs w:val="21"/>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宋体" w:hAnsi="宋体" w:cs="宋体"/>
          <w:kern w:val="0"/>
          <w:szCs w:val="21"/>
        </w:rPr>
      </w:pPr>
      <w:r>
        <w:rPr>
          <w:rFonts w:hint="eastAsia" w:ascii="宋体" w:hAnsi="宋体" w:cs="宋体"/>
          <w:kern w:val="0"/>
          <w:szCs w:val="21"/>
        </w:rPr>
        <w:t>投标报价得分=（基准价/投标报价）×价格权值×100</w:t>
      </w:r>
    </w:p>
    <w:p>
      <w:pPr>
        <w:widowControl/>
        <w:spacing w:line="440" w:lineRule="exact"/>
        <w:ind w:firstLine="480"/>
        <w:rPr>
          <w:rFonts w:ascii="宋体"/>
          <w:szCs w:val="21"/>
        </w:rPr>
      </w:pPr>
      <w:r>
        <w:rPr>
          <w:rFonts w:hint="eastAsia" w:ascii="宋体" w:hAnsi="宋体" w:cs="宋体"/>
          <w:kern w:val="0"/>
          <w:szCs w:val="21"/>
        </w:rPr>
        <w:t>项目评审过程中，不得去掉最后报价中的最高报价和最低报价。</w:t>
      </w:r>
    </w:p>
    <w:p>
      <w:pPr>
        <w:widowControl/>
        <w:spacing w:line="440" w:lineRule="exact"/>
        <w:ind w:firstLine="210" w:firstLineChars="100"/>
        <w:rPr>
          <w:rFonts w:ascii="宋体"/>
          <w:szCs w:val="21"/>
        </w:rPr>
      </w:pPr>
      <w:r>
        <w:rPr>
          <w:rFonts w:hint="eastAsia" w:ascii="宋体"/>
          <w:szCs w:val="21"/>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10" w:firstLineChars="100"/>
        <w:rPr>
          <w:rFonts w:ascii="宋体"/>
          <w:szCs w:val="21"/>
        </w:rPr>
      </w:pPr>
      <w:r>
        <w:rPr>
          <w:rFonts w:hint="eastAsia" w:ascii="宋体"/>
          <w:szCs w:val="21"/>
        </w:rPr>
        <w:t>35.6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pacing w:line="440" w:lineRule="exact"/>
        <w:ind w:firstLine="210" w:firstLineChars="100"/>
        <w:rPr>
          <w:rFonts w:ascii="宋体"/>
          <w:szCs w:val="21"/>
        </w:rPr>
      </w:pPr>
      <w:r>
        <w:rPr>
          <w:rFonts w:hint="eastAsia" w:ascii="宋体"/>
          <w:szCs w:val="21"/>
        </w:rPr>
        <w:t>35.7 评标委员会根据评审汇总情况和采购文件规定确定中标候选供应商排序名单。</w:t>
      </w:r>
    </w:p>
    <w:p>
      <w:pPr>
        <w:widowControl/>
        <w:spacing w:line="440" w:lineRule="exact"/>
        <w:ind w:firstLine="210" w:firstLineChars="100"/>
        <w:rPr>
          <w:rFonts w:ascii="宋体"/>
          <w:szCs w:val="21"/>
        </w:rPr>
      </w:pPr>
      <w:r>
        <w:rPr>
          <w:rFonts w:hint="eastAsia" w:ascii="宋体"/>
          <w:szCs w:val="21"/>
        </w:rPr>
        <w:t xml:space="preserve">35.8 起草评审报告，所有评审人员须在评审报告上签字确认，对自己的评审意见承担法律责任。 </w:t>
      </w:r>
    </w:p>
    <w:p>
      <w:pPr>
        <w:widowControl/>
        <w:spacing w:line="440" w:lineRule="exact"/>
        <w:ind w:firstLine="210" w:firstLineChars="100"/>
        <w:rPr>
          <w:rFonts w:ascii="宋体"/>
          <w:szCs w:val="21"/>
        </w:rPr>
      </w:pPr>
      <w:r>
        <w:rPr>
          <w:rFonts w:hint="eastAsia" w:ascii="宋体"/>
          <w:szCs w:val="21"/>
        </w:rPr>
        <w:t>35.9 采购组织机构对评标委员会评审专家进行评价。</w:t>
      </w:r>
    </w:p>
    <w:p>
      <w:pPr>
        <w:widowControl/>
        <w:spacing w:line="440" w:lineRule="exact"/>
        <w:ind w:firstLine="210" w:firstLineChars="100"/>
        <w:rPr>
          <w:rFonts w:ascii="宋体"/>
          <w:szCs w:val="21"/>
        </w:rPr>
      </w:pPr>
      <w:r>
        <w:rPr>
          <w:rFonts w:hint="eastAsia" w:ascii="宋体"/>
          <w:szCs w:val="21"/>
        </w:rPr>
        <w:t>35.10 修改评审结果</w:t>
      </w:r>
    </w:p>
    <w:p>
      <w:pPr>
        <w:widowControl/>
        <w:spacing w:line="440" w:lineRule="exact"/>
        <w:ind w:firstLine="210" w:firstLineChars="100"/>
        <w:rPr>
          <w:rFonts w:ascii="宋体"/>
          <w:szCs w:val="21"/>
        </w:rPr>
      </w:pPr>
      <w:r>
        <w:rPr>
          <w:rFonts w:hint="eastAsia" w:ascii="宋体"/>
          <w:szCs w:val="21"/>
        </w:rPr>
        <w:t>评标结果汇总完成后，除下列情形外，任何人不得修改评标结果：</w:t>
      </w:r>
    </w:p>
    <w:p>
      <w:pPr>
        <w:widowControl/>
        <w:spacing w:line="440" w:lineRule="exact"/>
        <w:ind w:firstLine="210" w:firstLineChars="100"/>
        <w:rPr>
          <w:rFonts w:ascii="宋体"/>
          <w:szCs w:val="21"/>
        </w:rPr>
      </w:pPr>
      <w:r>
        <w:rPr>
          <w:rFonts w:hint="eastAsia" w:ascii="宋体"/>
          <w:szCs w:val="21"/>
        </w:rPr>
        <w:t>（1）分值汇总计算错误的；</w:t>
      </w:r>
    </w:p>
    <w:p>
      <w:pPr>
        <w:widowControl/>
        <w:spacing w:line="440" w:lineRule="exact"/>
        <w:ind w:firstLine="210" w:firstLineChars="100"/>
        <w:rPr>
          <w:rFonts w:ascii="宋体"/>
          <w:szCs w:val="21"/>
        </w:rPr>
      </w:pPr>
      <w:r>
        <w:rPr>
          <w:rFonts w:hint="eastAsia" w:ascii="宋体"/>
          <w:szCs w:val="21"/>
        </w:rPr>
        <w:t>（2）分项评分超出评分标准范围的；</w:t>
      </w:r>
    </w:p>
    <w:p>
      <w:pPr>
        <w:widowControl/>
        <w:spacing w:line="440" w:lineRule="exact"/>
        <w:ind w:firstLine="210" w:firstLineChars="100"/>
        <w:rPr>
          <w:rFonts w:ascii="宋体"/>
          <w:szCs w:val="21"/>
        </w:rPr>
      </w:pPr>
      <w:r>
        <w:rPr>
          <w:rFonts w:hint="eastAsia" w:ascii="宋体"/>
          <w:szCs w:val="21"/>
        </w:rPr>
        <w:t>（3）评标委员会成员对客观评审因素评分不一致的；</w:t>
      </w:r>
    </w:p>
    <w:p>
      <w:pPr>
        <w:widowControl/>
        <w:spacing w:line="440" w:lineRule="exact"/>
        <w:ind w:firstLine="210" w:firstLineChars="100"/>
        <w:rPr>
          <w:rFonts w:ascii="宋体"/>
          <w:szCs w:val="21"/>
        </w:rPr>
      </w:pPr>
      <w:r>
        <w:rPr>
          <w:rFonts w:hint="eastAsia" w:ascii="宋体"/>
          <w:szCs w:val="21"/>
        </w:rPr>
        <w:t>（4）经评标委员会认定评分畸高、畸低的。</w:t>
      </w:r>
    </w:p>
    <w:p>
      <w:pPr>
        <w:widowControl/>
        <w:spacing w:line="440" w:lineRule="exact"/>
        <w:ind w:firstLine="210" w:firstLineChars="100"/>
        <w:rPr>
          <w:rFonts w:ascii="宋体"/>
          <w:szCs w:val="21"/>
        </w:rPr>
      </w:pPr>
      <w:r>
        <w:rPr>
          <w:rFonts w:hint="eastAsia" w:ascii="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10" w:firstLineChars="100"/>
        <w:jc w:val="left"/>
        <w:rPr>
          <w:rFonts w:ascii="宋体"/>
          <w:b/>
          <w:bCs/>
          <w:szCs w:val="21"/>
        </w:rPr>
      </w:pPr>
      <w:r>
        <w:rPr>
          <w:rFonts w:hint="eastAsia" w:ascii="宋体"/>
          <w:b/>
          <w:bCs/>
          <w:szCs w:val="21"/>
        </w:rPr>
        <w:t>36．澄清、说明或补正的形式</w:t>
      </w:r>
    </w:p>
    <w:p>
      <w:pPr>
        <w:spacing w:line="440" w:lineRule="exact"/>
        <w:ind w:firstLine="210" w:firstLineChars="100"/>
        <w:jc w:val="left"/>
        <w:rPr>
          <w:rFonts w:ascii="宋体"/>
          <w:szCs w:val="21"/>
        </w:rPr>
      </w:pPr>
      <w:r>
        <w:rPr>
          <w:rFonts w:hint="eastAsia" w:ascii="宋体"/>
          <w:szCs w:val="21"/>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szCs w:val="21"/>
        </w:rPr>
        <w:t>投标供应商澄清、说明或补正时间为20分钟</w:t>
      </w:r>
      <w:r>
        <w:rPr>
          <w:rFonts w:hint="eastAsia" w:ascii="宋体"/>
          <w:szCs w:val="21"/>
        </w:rPr>
        <w:t>。</w:t>
      </w:r>
    </w:p>
    <w:p>
      <w:pPr>
        <w:spacing w:line="440" w:lineRule="exact"/>
        <w:ind w:firstLine="210" w:firstLineChars="100"/>
        <w:jc w:val="left"/>
        <w:rPr>
          <w:rFonts w:ascii="宋体"/>
          <w:szCs w:val="21"/>
        </w:rPr>
      </w:pPr>
      <w:r>
        <w:rPr>
          <w:rFonts w:hint="eastAsia" w:ascii="宋体"/>
          <w:szCs w:val="21"/>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0" w:firstLineChars="100"/>
        <w:jc w:val="left"/>
        <w:rPr>
          <w:rFonts w:ascii="宋体"/>
          <w:szCs w:val="21"/>
        </w:rPr>
      </w:pPr>
      <w:r>
        <w:rPr>
          <w:rFonts w:hint="eastAsia" w:ascii="宋体"/>
          <w:szCs w:val="21"/>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0" w:firstLineChars="100"/>
        <w:jc w:val="left"/>
        <w:rPr>
          <w:rFonts w:ascii="宋体"/>
          <w:b/>
          <w:bCs/>
          <w:szCs w:val="21"/>
        </w:rPr>
      </w:pPr>
      <w:r>
        <w:rPr>
          <w:rFonts w:hint="eastAsia" w:ascii="宋体"/>
          <w:b/>
          <w:bCs/>
          <w:szCs w:val="21"/>
        </w:rPr>
        <w:t>37．错误修正的原则</w:t>
      </w:r>
    </w:p>
    <w:p>
      <w:pPr>
        <w:spacing w:line="440" w:lineRule="exact"/>
        <w:ind w:firstLine="210"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pPr>
        <w:spacing w:line="440" w:lineRule="exact"/>
        <w:ind w:firstLine="210" w:firstLineChars="100"/>
        <w:jc w:val="left"/>
        <w:rPr>
          <w:rFonts w:ascii="宋体"/>
          <w:szCs w:val="21"/>
        </w:rPr>
      </w:pPr>
      <w:r>
        <w:rPr>
          <w:rFonts w:hint="eastAsia" w:ascii="宋体"/>
          <w:szCs w:val="21"/>
        </w:rPr>
        <w:t>投标文件报价出现前后不一致的，除采购文件另有规定外，按照下列规定修正：</w:t>
      </w:r>
    </w:p>
    <w:p>
      <w:pPr>
        <w:spacing w:line="440" w:lineRule="exact"/>
        <w:ind w:firstLine="210" w:firstLineChars="100"/>
        <w:jc w:val="left"/>
        <w:rPr>
          <w:rFonts w:ascii="宋体"/>
          <w:szCs w:val="21"/>
        </w:rPr>
      </w:pPr>
      <w:r>
        <w:rPr>
          <w:rFonts w:hint="eastAsia" w:ascii="宋体"/>
          <w:szCs w:val="21"/>
        </w:rPr>
        <w:t>37.1 投标函中表述的内容与报价表中不一致的，以报价表为准；报价表中的内容与报价明细表不一致的，以报价表为准；</w:t>
      </w:r>
    </w:p>
    <w:p>
      <w:pPr>
        <w:spacing w:line="440" w:lineRule="exact"/>
        <w:ind w:firstLine="210" w:firstLineChars="100"/>
        <w:jc w:val="left"/>
        <w:rPr>
          <w:rFonts w:ascii="宋体"/>
          <w:szCs w:val="21"/>
        </w:rPr>
      </w:pPr>
      <w:r>
        <w:rPr>
          <w:rFonts w:hint="eastAsia" w:ascii="宋体"/>
          <w:szCs w:val="21"/>
        </w:rPr>
        <w:t>37.2 投标文件中的大写金额和小写金额不一致的，以大写金额为准；</w:t>
      </w:r>
    </w:p>
    <w:p>
      <w:pPr>
        <w:spacing w:line="440" w:lineRule="exact"/>
        <w:ind w:firstLine="210" w:firstLineChars="100"/>
        <w:jc w:val="left"/>
        <w:rPr>
          <w:rFonts w:ascii="宋体"/>
          <w:szCs w:val="21"/>
        </w:rPr>
      </w:pPr>
      <w:r>
        <w:rPr>
          <w:rFonts w:hint="eastAsia" w:ascii="宋体"/>
          <w:szCs w:val="21"/>
        </w:rPr>
        <w:t>37.3 单价金额小数点或者百分比有明显错位的，以开标一览表的总价为准，并修改单价；</w:t>
      </w:r>
    </w:p>
    <w:p>
      <w:pPr>
        <w:spacing w:line="440" w:lineRule="exact"/>
        <w:ind w:firstLine="210" w:firstLineChars="100"/>
        <w:jc w:val="left"/>
        <w:rPr>
          <w:rFonts w:ascii="宋体"/>
          <w:szCs w:val="21"/>
        </w:rPr>
      </w:pPr>
      <w:r>
        <w:rPr>
          <w:rFonts w:hint="eastAsia" w:ascii="宋体"/>
          <w:szCs w:val="21"/>
        </w:rPr>
        <w:t>37.4 总价金额与按单价汇总金额不一致的，以单价金额计算结果为准；</w:t>
      </w:r>
    </w:p>
    <w:p>
      <w:pPr>
        <w:spacing w:line="440" w:lineRule="exact"/>
        <w:ind w:firstLine="210" w:firstLineChars="100"/>
        <w:jc w:val="left"/>
        <w:rPr>
          <w:rFonts w:ascii="宋体"/>
          <w:szCs w:val="21"/>
        </w:rPr>
      </w:pPr>
      <w:r>
        <w:rPr>
          <w:rFonts w:hint="eastAsia" w:ascii="宋体"/>
          <w:szCs w:val="21"/>
        </w:rPr>
        <w:t>37.5 若用文字表示的数值与用数字表示的数值不一致，以文字表示的数值为准；</w:t>
      </w:r>
    </w:p>
    <w:p>
      <w:pPr>
        <w:spacing w:line="440" w:lineRule="exact"/>
        <w:ind w:firstLine="210" w:firstLineChars="100"/>
        <w:jc w:val="left"/>
        <w:rPr>
          <w:rFonts w:ascii="宋体"/>
          <w:szCs w:val="21"/>
        </w:rPr>
      </w:pPr>
      <w:r>
        <w:rPr>
          <w:rFonts w:hint="eastAsia" w:ascii="宋体"/>
          <w:szCs w:val="21"/>
        </w:rPr>
        <w:t>37.6 如有多报（指数量超出采购文件需求）、重报（指同一货物重复报价），其投标总价在评标过程中不予调整，如其中标，其合同价按其投标单价予以调整；</w:t>
      </w:r>
    </w:p>
    <w:p>
      <w:pPr>
        <w:spacing w:line="440" w:lineRule="exact"/>
        <w:ind w:firstLine="210" w:firstLineChars="100"/>
        <w:jc w:val="left"/>
        <w:rPr>
          <w:rFonts w:ascii="宋体"/>
          <w:szCs w:val="21"/>
        </w:rPr>
      </w:pPr>
      <w:r>
        <w:rPr>
          <w:rFonts w:hint="eastAsia" w:ascii="宋体"/>
          <w:szCs w:val="21"/>
        </w:rPr>
        <w:t>37.7 对不同文字文本投标文件的解释发生异议的，以中文文本为准；</w:t>
      </w:r>
    </w:p>
    <w:p>
      <w:pPr>
        <w:spacing w:line="440" w:lineRule="exact"/>
        <w:ind w:firstLine="210" w:firstLineChars="100"/>
        <w:jc w:val="left"/>
        <w:rPr>
          <w:rFonts w:ascii="宋体"/>
          <w:b/>
          <w:bCs/>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szCs w:val="21"/>
        </w:rPr>
        <w:t>修正应当采用电子询标的形式，并加盖公章（电子印章）。</w:t>
      </w:r>
    </w:p>
    <w:p>
      <w:pPr>
        <w:spacing w:line="440" w:lineRule="exact"/>
        <w:ind w:firstLine="210" w:firstLineChars="100"/>
        <w:jc w:val="left"/>
        <w:rPr>
          <w:rFonts w:ascii="宋体"/>
          <w:b/>
          <w:bCs/>
          <w:szCs w:val="21"/>
        </w:rPr>
      </w:pPr>
      <w:r>
        <w:rPr>
          <w:rFonts w:hint="eastAsia" w:ascii="宋体"/>
          <w:b/>
          <w:bCs/>
          <w:szCs w:val="21"/>
        </w:rPr>
        <w:t>38．无效投标文件</w:t>
      </w:r>
    </w:p>
    <w:p>
      <w:pPr>
        <w:spacing w:line="440" w:lineRule="exact"/>
        <w:ind w:firstLine="210" w:firstLineChars="100"/>
        <w:jc w:val="left"/>
        <w:rPr>
          <w:rFonts w:ascii="宋体"/>
          <w:szCs w:val="21"/>
        </w:rPr>
      </w:pPr>
      <w:r>
        <w:rPr>
          <w:rFonts w:hint="eastAsia" w:ascii="宋体"/>
          <w:szCs w:val="21"/>
        </w:rPr>
        <w:t>有下列情形之一的，投标文件按无效标处理：</w:t>
      </w:r>
    </w:p>
    <w:p>
      <w:pPr>
        <w:spacing w:line="440" w:lineRule="exact"/>
        <w:ind w:firstLine="210" w:firstLineChars="100"/>
        <w:jc w:val="left"/>
        <w:rPr>
          <w:rFonts w:ascii="宋体"/>
          <w:szCs w:val="21"/>
        </w:rPr>
      </w:pPr>
      <w:r>
        <w:rPr>
          <w:rFonts w:hint="eastAsia" w:ascii="宋体"/>
          <w:szCs w:val="21"/>
        </w:rPr>
        <w:t>38.1 报名的投标人与参加投标的投标人发生实质性变更的且未提供有效证明的；</w:t>
      </w:r>
    </w:p>
    <w:p>
      <w:pPr>
        <w:spacing w:line="440" w:lineRule="exact"/>
        <w:ind w:firstLine="210" w:firstLineChars="100"/>
        <w:jc w:val="left"/>
        <w:rPr>
          <w:rFonts w:ascii="宋体"/>
          <w:szCs w:val="21"/>
        </w:rPr>
      </w:pPr>
      <w:r>
        <w:rPr>
          <w:rFonts w:hint="eastAsia" w:ascii="宋体"/>
          <w:szCs w:val="21"/>
        </w:rPr>
        <w:t>38.2投标人提交两份或两份以上内容不同的投标文件，未声明哪一份有效的；</w:t>
      </w:r>
    </w:p>
    <w:p>
      <w:pPr>
        <w:spacing w:line="440" w:lineRule="exact"/>
        <w:ind w:firstLine="210" w:firstLineChars="100"/>
        <w:jc w:val="left"/>
        <w:rPr>
          <w:rFonts w:ascii="宋体"/>
          <w:szCs w:val="21"/>
        </w:rPr>
      </w:pPr>
      <w:r>
        <w:rPr>
          <w:rFonts w:hint="eastAsia" w:ascii="宋体"/>
          <w:szCs w:val="21"/>
        </w:rPr>
        <w:t>38.3 投标文件非投标人法定代表人签署的，未提供或提供无效的法定代表人授权书；</w:t>
      </w:r>
    </w:p>
    <w:p>
      <w:pPr>
        <w:spacing w:line="440" w:lineRule="exact"/>
        <w:ind w:firstLine="210" w:firstLineChars="100"/>
        <w:jc w:val="left"/>
        <w:rPr>
          <w:rFonts w:ascii="宋体"/>
          <w:szCs w:val="21"/>
        </w:rPr>
      </w:pPr>
      <w:r>
        <w:rPr>
          <w:rFonts w:hint="eastAsia" w:ascii="宋体"/>
          <w:szCs w:val="21"/>
        </w:rPr>
        <w:t>38.4 未按招标文件规定装订；</w:t>
      </w:r>
    </w:p>
    <w:p>
      <w:pPr>
        <w:spacing w:line="440" w:lineRule="exact"/>
        <w:ind w:firstLine="210" w:firstLineChars="100"/>
        <w:jc w:val="left"/>
        <w:rPr>
          <w:rFonts w:ascii="宋体"/>
          <w:szCs w:val="21"/>
        </w:rPr>
      </w:pPr>
      <w:r>
        <w:rPr>
          <w:rFonts w:hint="eastAsia" w:ascii="宋体"/>
          <w:szCs w:val="21"/>
        </w:rPr>
        <w:t>38.5 投标文件内容未按招标文件规定签字或盖章的；</w:t>
      </w:r>
    </w:p>
    <w:p>
      <w:pPr>
        <w:spacing w:line="440" w:lineRule="exact"/>
        <w:ind w:firstLine="210" w:firstLineChars="100"/>
        <w:jc w:val="left"/>
        <w:rPr>
          <w:rFonts w:ascii="宋体"/>
          <w:szCs w:val="21"/>
        </w:rPr>
      </w:pPr>
      <w:r>
        <w:rPr>
          <w:rFonts w:hint="eastAsia" w:ascii="宋体"/>
          <w:szCs w:val="21"/>
        </w:rPr>
        <w:t>38.6 投标文件组成漏项或未按规定的格式编制或投标文件正、副本份数不足或内容不全或内容字迹模糊辨认不清的等而导致评标活动无法正常进行；</w:t>
      </w:r>
    </w:p>
    <w:p>
      <w:pPr>
        <w:spacing w:line="440" w:lineRule="exact"/>
        <w:ind w:firstLine="210" w:firstLineChars="100"/>
        <w:jc w:val="left"/>
        <w:rPr>
          <w:rFonts w:ascii="宋体"/>
          <w:szCs w:val="21"/>
        </w:rPr>
      </w:pPr>
      <w:r>
        <w:rPr>
          <w:rFonts w:hint="eastAsia" w:ascii="宋体"/>
          <w:szCs w:val="21"/>
        </w:rPr>
        <w:t>38.7 投标人未按招标文件变更通知更改投标文件的；</w:t>
      </w:r>
    </w:p>
    <w:p>
      <w:pPr>
        <w:spacing w:line="440" w:lineRule="exact"/>
        <w:ind w:firstLine="210" w:firstLineChars="100"/>
        <w:jc w:val="left"/>
        <w:rPr>
          <w:rFonts w:ascii="宋体"/>
          <w:szCs w:val="21"/>
        </w:rPr>
      </w:pPr>
      <w:r>
        <w:rPr>
          <w:rFonts w:hint="eastAsia" w:ascii="宋体"/>
          <w:szCs w:val="21"/>
        </w:rPr>
        <w:t>38.8 《开标一览表》和《投标分项报价表》内容不完整且不接受修正意见或字迹不能辨认的或未提供；</w:t>
      </w:r>
    </w:p>
    <w:p>
      <w:pPr>
        <w:spacing w:line="440" w:lineRule="exact"/>
        <w:ind w:firstLine="210" w:firstLineChars="100"/>
        <w:jc w:val="left"/>
        <w:rPr>
          <w:rFonts w:ascii="宋体"/>
          <w:szCs w:val="21"/>
        </w:rPr>
      </w:pPr>
      <w:r>
        <w:rPr>
          <w:rFonts w:hint="eastAsia" w:ascii="宋体"/>
          <w:szCs w:val="21"/>
        </w:rPr>
        <w:t>38.9 标项投标报价超过招标文件规定的预算金额或最高限价</w:t>
      </w:r>
    </w:p>
    <w:p>
      <w:pPr>
        <w:spacing w:line="440" w:lineRule="exact"/>
        <w:ind w:firstLine="210" w:firstLineChars="100"/>
        <w:jc w:val="left"/>
        <w:rPr>
          <w:rFonts w:ascii="宋体"/>
          <w:szCs w:val="21"/>
        </w:rPr>
      </w:pPr>
      <w:r>
        <w:rPr>
          <w:rFonts w:hint="eastAsia" w:ascii="宋体"/>
          <w:szCs w:val="21"/>
        </w:rPr>
        <w:t>38.10 因投标人原因编制错误造成经评标委员会修正后的报价达到或超过投标报价的0.5%；</w:t>
      </w:r>
    </w:p>
    <w:p>
      <w:pPr>
        <w:spacing w:line="440" w:lineRule="exact"/>
        <w:ind w:firstLine="210" w:firstLineChars="100"/>
        <w:jc w:val="left"/>
        <w:rPr>
          <w:rFonts w:ascii="宋体"/>
          <w:szCs w:val="21"/>
        </w:rPr>
      </w:pPr>
      <w:r>
        <w:rPr>
          <w:rFonts w:hint="eastAsia" w:ascii="宋体"/>
          <w:szCs w:val="21"/>
        </w:rPr>
        <w:t>38.11 投标人的报价明显低于其他通过符合性审查投标人的报价，有可能影响产品质量或者不能诚信履约的，且在规定时间内不能合理说明原因并提供证明材料的；</w:t>
      </w:r>
    </w:p>
    <w:p>
      <w:pPr>
        <w:spacing w:line="440" w:lineRule="exact"/>
        <w:ind w:firstLine="210" w:firstLineChars="100"/>
        <w:jc w:val="left"/>
        <w:rPr>
          <w:rFonts w:ascii="宋体"/>
          <w:szCs w:val="21"/>
        </w:rPr>
      </w:pPr>
      <w:r>
        <w:rPr>
          <w:rFonts w:hint="eastAsia" w:ascii="宋体"/>
          <w:szCs w:val="21"/>
        </w:rPr>
        <w:t>38.12 未实质性响应招标文件中条款要求的投标文件；</w:t>
      </w:r>
    </w:p>
    <w:p>
      <w:pPr>
        <w:spacing w:line="440" w:lineRule="exact"/>
        <w:ind w:firstLine="210" w:firstLineChars="100"/>
        <w:jc w:val="left"/>
        <w:rPr>
          <w:rFonts w:ascii="宋体"/>
          <w:szCs w:val="21"/>
        </w:rPr>
      </w:pPr>
      <w:r>
        <w:rPr>
          <w:rFonts w:hint="eastAsia" w:ascii="宋体"/>
          <w:szCs w:val="21"/>
        </w:rPr>
        <w:t>38.13 不符合招标范围、技术规格、技术标准的要求无法满足采购人使用要求；</w:t>
      </w:r>
    </w:p>
    <w:p>
      <w:pPr>
        <w:spacing w:line="440" w:lineRule="exact"/>
        <w:ind w:firstLine="210" w:firstLineChars="100"/>
        <w:jc w:val="left"/>
        <w:rPr>
          <w:rFonts w:ascii="宋体"/>
          <w:szCs w:val="21"/>
        </w:rPr>
      </w:pPr>
      <w:r>
        <w:rPr>
          <w:rFonts w:hint="eastAsia" w:ascii="宋体"/>
          <w:szCs w:val="21"/>
        </w:rPr>
        <w:t>38.14 投标文件附有采购人不能接受的条款；</w:t>
      </w:r>
    </w:p>
    <w:p>
      <w:pPr>
        <w:spacing w:line="440" w:lineRule="exact"/>
        <w:ind w:firstLine="210" w:firstLineChars="100"/>
        <w:jc w:val="left"/>
        <w:rPr>
          <w:rFonts w:ascii="宋体"/>
          <w:szCs w:val="21"/>
        </w:rPr>
      </w:pPr>
      <w:r>
        <w:rPr>
          <w:rFonts w:hint="eastAsia" w:ascii="宋体"/>
          <w:szCs w:val="21"/>
        </w:rPr>
        <w:t>38.15 投标文件中提供了赠品或者与本项目采购无关的其他商品、服务；</w:t>
      </w:r>
    </w:p>
    <w:p>
      <w:pPr>
        <w:spacing w:line="440" w:lineRule="exact"/>
        <w:ind w:firstLine="210" w:firstLineChars="100"/>
        <w:jc w:val="left"/>
        <w:rPr>
          <w:rFonts w:ascii="宋体"/>
          <w:szCs w:val="21"/>
        </w:rPr>
      </w:pPr>
      <w:r>
        <w:rPr>
          <w:rFonts w:hint="eastAsia" w:ascii="宋体"/>
          <w:szCs w:val="21"/>
        </w:rPr>
        <w:t>38.16 投标文件中承诺的投标有效期少于招标文件中载明的投标有效期；</w:t>
      </w:r>
    </w:p>
    <w:p>
      <w:pPr>
        <w:spacing w:line="440" w:lineRule="exact"/>
        <w:ind w:firstLine="210" w:firstLineChars="100"/>
        <w:jc w:val="left"/>
        <w:rPr>
          <w:rFonts w:ascii="宋体"/>
          <w:szCs w:val="21"/>
        </w:rPr>
      </w:pPr>
      <w:r>
        <w:rPr>
          <w:rFonts w:hint="eastAsia" w:ascii="宋体"/>
          <w:szCs w:val="21"/>
        </w:rPr>
        <w:t>38.17投标人串通投标，妨碍其他投标人的竞争行为，损害采购人或者其他投标人的合法权益；</w:t>
      </w:r>
    </w:p>
    <w:p>
      <w:pPr>
        <w:spacing w:line="440" w:lineRule="exact"/>
        <w:ind w:firstLine="210" w:firstLineChars="100"/>
        <w:jc w:val="left"/>
        <w:rPr>
          <w:rFonts w:ascii="宋体"/>
          <w:szCs w:val="21"/>
        </w:rPr>
      </w:pPr>
      <w:r>
        <w:rPr>
          <w:rFonts w:hint="eastAsia" w:ascii="宋体"/>
          <w:szCs w:val="21"/>
        </w:rPr>
        <w:t>38.18违反国家及政府部门相关法律、法规、文件规定或经评标委员会认定的其他属于重大偏离；</w:t>
      </w:r>
    </w:p>
    <w:p>
      <w:pPr>
        <w:spacing w:line="440" w:lineRule="exact"/>
        <w:ind w:firstLine="210" w:firstLineChars="100"/>
        <w:jc w:val="left"/>
        <w:rPr>
          <w:rFonts w:ascii="宋体"/>
          <w:b/>
          <w:bCs/>
          <w:szCs w:val="21"/>
        </w:rPr>
      </w:pPr>
      <w:r>
        <w:rPr>
          <w:rFonts w:hint="eastAsia" w:ascii="宋体"/>
          <w:b/>
          <w:bCs/>
          <w:szCs w:val="21"/>
        </w:rPr>
        <w:t>39．废标</w:t>
      </w:r>
    </w:p>
    <w:p>
      <w:pPr>
        <w:spacing w:line="440" w:lineRule="exact"/>
        <w:ind w:firstLine="210" w:firstLineChars="100"/>
        <w:jc w:val="left"/>
        <w:rPr>
          <w:rFonts w:ascii="宋体"/>
          <w:szCs w:val="21"/>
        </w:rPr>
      </w:pPr>
      <w:r>
        <w:rPr>
          <w:rFonts w:hint="eastAsia" w:ascii="宋体"/>
          <w:szCs w:val="21"/>
        </w:rPr>
        <w:t>39.1 符合招标文件规定废标情形的；</w:t>
      </w:r>
    </w:p>
    <w:p>
      <w:pPr>
        <w:spacing w:line="440" w:lineRule="exact"/>
        <w:ind w:firstLine="210" w:firstLineChars="100"/>
        <w:jc w:val="left"/>
        <w:rPr>
          <w:rFonts w:ascii="宋体"/>
          <w:szCs w:val="21"/>
        </w:rPr>
      </w:pPr>
      <w:r>
        <w:rPr>
          <w:rFonts w:hint="eastAsia" w:ascii="宋体"/>
          <w:szCs w:val="21"/>
        </w:rPr>
        <w:t>39.2 出现影响采购公正的违法、违规行为的；</w:t>
      </w:r>
    </w:p>
    <w:p>
      <w:pPr>
        <w:spacing w:line="440" w:lineRule="exact"/>
        <w:ind w:firstLine="210" w:firstLineChars="100"/>
        <w:jc w:val="left"/>
        <w:rPr>
          <w:rFonts w:ascii="宋体"/>
          <w:szCs w:val="21"/>
        </w:rPr>
      </w:pPr>
      <w:r>
        <w:rPr>
          <w:rFonts w:hint="eastAsia" w:ascii="宋体"/>
          <w:szCs w:val="21"/>
        </w:rPr>
        <w:t>39.3 供应商的报价均超过了采购预算（或最高限价），采购人不能支付的;</w:t>
      </w:r>
    </w:p>
    <w:p>
      <w:pPr>
        <w:spacing w:line="440" w:lineRule="exact"/>
        <w:ind w:firstLine="210" w:firstLineChars="100"/>
        <w:jc w:val="left"/>
        <w:rPr>
          <w:rFonts w:ascii="宋体"/>
          <w:szCs w:val="21"/>
        </w:rPr>
      </w:pPr>
      <w:r>
        <w:rPr>
          <w:rFonts w:hint="eastAsia" w:ascii="宋体"/>
          <w:szCs w:val="21"/>
        </w:rPr>
        <w:t>39.4 因重大变故，采购任务取消的。</w:t>
      </w:r>
    </w:p>
    <w:p>
      <w:pPr>
        <w:spacing w:line="440" w:lineRule="exact"/>
        <w:ind w:firstLine="210" w:firstLineChars="100"/>
        <w:jc w:val="left"/>
        <w:rPr>
          <w:rFonts w:ascii="宋体"/>
          <w:b/>
          <w:bCs/>
          <w:szCs w:val="21"/>
        </w:rPr>
      </w:pPr>
      <w:r>
        <w:rPr>
          <w:rFonts w:hint="eastAsia" w:ascii="宋体"/>
          <w:b/>
          <w:bCs/>
          <w:szCs w:val="21"/>
        </w:rPr>
        <w:t>40．突发情况处理</w:t>
      </w:r>
    </w:p>
    <w:p>
      <w:pPr>
        <w:spacing w:line="440" w:lineRule="exact"/>
        <w:ind w:firstLine="210" w:firstLineChars="100"/>
        <w:jc w:val="left"/>
        <w:rPr>
          <w:rFonts w:ascii="宋体"/>
          <w:szCs w:val="21"/>
        </w:rPr>
      </w:pPr>
      <w:r>
        <w:rPr>
          <w:rFonts w:hint="eastAsia" w:ascii="宋体"/>
          <w:szCs w:val="21"/>
        </w:rPr>
        <w:t>40.1 采购过程中出现以下情形，导致电子交易平台无法正常运行，或者无法保证电子交易的公平、公正和安全时，采购组织机构可中止电子交易活动：</w:t>
      </w:r>
    </w:p>
    <w:p>
      <w:pPr>
        <w:spacing w:line="440" w:lineRule="exact"/>
        <w:ind w:firstLine="210" w:firstLineChars="100"/>
        <w:jc w:val="left"/>
        <w:rPr>
          <w:rFonts w:ascii="宋体"/>
          <w:szCs w:val="21"/>
        </w:rPr>
      </w:pPr>
      <w:r>
        <w:rPr>
          <w:rFonts w:hint="eastAsia" w:ascii="宋体"/>
          <w:szCs w:val="21"/>
        </w:rPr>
        <w:t xml:space="preserve">（1）电子交易平台发生故障而无法登录访问的； </w:t>
      </w:r>
    </w:p>
    <w:p>
      <w:pPr>
        <w:spacing w:line="440" w:lineRule="exact"/>
        <w:ind w:firstLine="210" w:firstLineChars="100"/>
        <w:jc w:val="left"/>
        <w:rPr>
          <w:rFonts w:ascii="宋体"/>
          <w:szCs w:val="21"/>
        </w:rPr>
      </w:pPr>
      <w:r>
        <w:rPr>
          <w:rFonts w:hint="eastAsia" w:ascii="宋体"/>
          <w:szCs w:val="21"/>
        </w:rPr>
        <w:t>（2）电子交易平台应用或数据库出现错误，不能进行正常操作的；</w:t>
      </w:r>
    </w:p>
    <w:p>
      <w:pPr>
        <w:spacing w:line="440" w:lineRule="exact"/>
        <w:ind w:firstLine="210" w:firstLineChars="100"/>
        <w:jc w:val="left"/>
        <w:rPr>
          <w:rFonts w:ascii="宋体"/>
          <w:szCs w:val="21"/>
        </w:rPr>
      </w:pPr>
      <w:r>
        <w:rPr>
          <w:rFonts w:hint="eastAsia" w:ascii="宋体"/>
          <w:szCs w:val="21"/>
        </w:rPr>
        <w:t>（3）电子交易平台发现严重安全漏洞，有潜在泄密危险的；</w:t>
      </w:r>
    </w:p>
    <w:p>
      <w:pPr>
        <w:spacing w:line="440" w:lineRule="exact"/>
        <w:ind w:firstLine="210" w:firstLineChars="100"/>
        <w:jc w:val="left"/>
        <w:rPr>
          <w:rFonts w:ascii="宋体"/>
          <w:szCs w:val="21"/>
        </w:rPr>
      </w:pPr>
      <w:r>
        <w:rPr>
          <w:rFonts w:hint="eastAsia" w:ascii="宋体"/>
          <w:szCs w:val="21"/>
        </w:rPr>
        <w:t xml:space="preserve">（4）病毒发作导致不能进行正常操作的； </w:t>
      </w:r>
    </w:p>
    <w:p>
      <w:pPr>
        <w:spacing w:line="440" w:lineRule="exact"/>
        <w:ind w:firstLine="210" w:firstLineChars="100"/>
        <w:jc w:val="left"/>
        <w:rPr>
          <w:rFonts w:ascii="宋体"/>
          <w:szCs w:val="21"/>
        </w:rPr>
      </w:pPr>
      <w:r>
        <w:rPr>
          <w:rFonts w:hint="eastAsia" w:ascii="宋体"/>
          <w:szCs w:val="21"/>
        </w:rPr>
        <w:t>（5）其他无法保证电子交易的公平、公正和安全的情况。</w:t>
      </w:r>
    </w:p>
    <w:p>
      <w:pPr>
        <w:spacing w:line="440" w:lineRule="exact"/>
        <w:ind w:firstLine="210" w:firstLineChars="100"/>
        <w:jc w:val="left"/>
        <w:rPr>
          <w:rFonts w:ascii="宋体"/>
          <w:szCs w:val="21"/>
        </w:rPr>
      </w:pPr>
      <w:r>
        <w:rPr>
          <w:rFonts w:hint="eastAsia" w:ascii="宋体"/>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10" w:firstLineChars="100"/>
        <w:jc w:val="left"/>
        <w:rPr>
          <w:rFonts w:ascii="宋体"/>
          <w:szCs w:val="21"/>
        </w:rPr>
      </w:pPr>
      <w:r>
        <w:rPr>
          <w:rFonts w:hint="eastAsia" w:ascii="宋体"/>
          <w:szCs w:val="21"/>
        </w:rPr>
        <w:t>40.2 采购代理机构或评审小组因不可抗力（不可抗力包括但不限于自然灾害、断电、传播疫病等）原因造成电子交易活动无法正常运行的，将采取以下措施：</w:t>
      </w:r>
    </w:p>
    <w:p>
      <w:pPr>
        <w:spacing w:line="440" w:lineRule="exact"/>
        <w:ind w:firstLine="210" w:firstLineChars="100"/>
        <w:jc w:val="left"/>
        <w:rPr>
          <w:rFonts w:ascii="宋体"/>
          <w:szCs w:val="21"/>
        </w:rPr>
      </w:pPr>
      <w:r>
        <w:rPr>
          <w:rFonts w:hint="eastAsia" w:ascii="宋体"/>
          <w:szCs w:val="21"/>
        </w:rPr>
        <w:t xml:space="preserve">（1）短时间内能消除不可抗力因素的，采购代理机构或评审小组在消除不可抗力因素后继续组织电子交易活动； </w:t>
      </w:r>
    </w:p>
    <w:p>
      <w:pPr>
        <w:spacing w:line="440" w:lineRule="exact"/>
        <w:ind w:firstLine="210" w:firstLineChars="100"/>
        <w:jc w:val="left"/>
        <w:rPr>
          <w:rFonts w:ascii="宋体"/>
          <w:szCs w:val="21"/>
        </w:rPr>
      </w:pPr>
      <w:r>
        <w:rPr>
          <w:rFonts w:hint="eastAsia" w:ascii="宋体"/>
          <w:szCs w:val="21"/>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宋体"/>
          <w:b/>
          <w:szCs w:val="21"/>
        </w:rPr>
      </w:pPr>
      <w:r>
        <w:rPr>
          <w:rFonts w:hint="eastAsia" w:ascii="宋体"/>
          <w:b/>
          <w:szCs w:val="21"/>
        </w:rPr>
        <w:t>41. 定标</w:t>
      </w:r>
    </w:p>
    <w:p>
      <w:pPr>
        <w:spacing w:line="440" w:lineRule="exact"/>
        <w:ind w:firstLine="210" w:firstLineChars="100"/>
        <w:jc w:val="left"/>
        <w:rPr>
          <w:rFonts w:ascii="宋体"/>
          <w:szCs w:val="21"/>
        </w:rPr>
      </w:pPr>
      <w:r>
        <w:rPr>
          <w:rFonts w:hint="eastAsia" w:ascii="宋体"/>
          <w:szCs w:val="21"/>
        </w:rPr>
        <w:t xml:space="preserve">    </w:t>
      </w:r>
      <w:bookmarkStart w:id="81" w:name="_Toc469495729"/>
      <w:r>
        <w:rPr>
          <w:rFonts w:hint="eastAsia" w:ascii="宋体"/>
          <w:szCs w:val="21"/>
        </w:rPr>
        <w:t>41.1采购结果确认（确定中标供应商）</w:t>
      </w:r>
    </w:p>
    <w:p>
      <w:pPr>
        <w:spacing w:line="440" w:lineRule="exact"/>
        <w:ind w:firstLine="210" w:firstLineChars="100"/>
        <w:jc w:val="left"/>
        <w:rPr>
          <w:rFonts w:ascii="宋体"/>
          <w:szCs w:val="21"/>
        </w:rPr>
      </w:pPr>
      <w:r>
        <w:rPr>
          <w:rFonts w:hint="eastAsia" w:ascii="宋体"/>
          <w:szCs w:val="21"/>
        </w:rPr>
        <w:t>采购结果确认（确定中标供应商）：本项目由采购人根据评标委员会提交的《评审报告》，通过“政府采购云平台”依法确认采购结果、确定中标供应商。具体流程如下：</w:t>
      </w:r>
    </w:p>
    <w:p>
      <w:pPr>
        <w:spacing w:line="440" w:lineRule="exact"/>
        <w:ind w:firstLine="210" w:firstLineChars="100"/>
        <w:jc w:val="left"/>
        <w:rPr>
          <w:rFonts w:ascii="宋体"/>
          <w:szCs w:val="21"/>
        </w:rPr>
      </w:pPr>
      <w:r>
        <w:rPr>
          <w:rFonts w:hint="eastAsia" w:ascii="宋体"/>
          <w:szCs w:val="21"/>
        </w:rPr>
        <w:t>（1）采购代理机构将在评审结束后2个工作日内将评审报告送采购人。</w:t>
      </w:r>
    </w:p>
    <w:p>
      <w:pPr>
        <w:spacing w:line="440" w:lineRule="exact"/>
        <w:ind w:firstLine="210" w:firstLineChars="100"/>
        <w:jc w:val="left"/>
        <w:rPr>
          <w:rFonts w:ascii="宋体"/>
          <w:szCs w:val="21"/>
        </w:rPr>
      </w:pPr>
      <w:r>
        <w:rPr>
          <w:rFonts w:hint="eastAsia" w:ascii="宋体"/>
          <w:szCs w:val="21"/>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10" w:firstLineChars="100"/>
        <w:jc w:val="left"/>
        <w:rPr>
          <w:rFonts w:ascii="宋体"/>
          <w:b/>
          <w:bCs/>
          <w:szCs w:val="21"/>
        </w:rPr>
      </w:pPr>
      <w:r>
        <w:rPr>
          <w:rFonts w:hint="eastAsia" w:ascii="宋体"/>
          <w:szCs w:val="21"/>
        </w:rPr>
        <w:t>41.2采购结果经采购人确认后2个工作日内，采购代理机构将在</w:t>
      </w:r>
      <w:r>
        <w:rPr>
          <w:rFonts w:hint="eastAsia" w:ascii="宋体"/>
          <w:b/>
          <w:bCs/>
          <w:szCs w:val="21"/>
        </w:rPr>
        <w:t>克州公共资源交易网、新疆政府采购网（www.zjzfcg.gov.cn）上公告采购结果，中标公告期限为1个工作日。</w:t>
      </w:r>
    </w:p>
    <w:p>
      <w:pPr>
        <w:spacing w:line="440" w:lineRule="exact"/>
        <w:ind w:firstLine="210" w:firstLineChars="100"/>
        <w:jc w:val="left"/>
        <w:rPr>
          <w:rFonts w:ascii="宋体"/>
          <w:szCs w:val="21"/>
        </w:rPr>
      </w:pPr>
      <w:r>
        <w:rPr>
          <w:rFonts w:hint="eastAsia" w:ascii="宋体"/>
          <w:szCs w:val="21"/>
        </w:rPr>
        <w:t>42. 中标通知书</w:t>
      </w:r>
    </w:p>
    <w:p>
      <w:pPr>
        <w:spacing w:line="440" w:lineRule="exact"/>
        <w:ind w:firstLine="210" w:firstLineChars="100"/>
        <w:jc w:val="left"/>
        <w:rPr>
          <w:rFonts w:ascii="宋体"/>
          <w:szCs w:val="21"/>
        </w:rPr>
      </w:pPr>
      <w:r>
        <w:rPr>
          <w:rFonts w:hint="eastAsia" w:ascii="宋体"/>
          <w:szCs w:val="21"/>
        </w:rPr>
        <w:t>42.1</w:t>
      </w:r>
      <w:r>
        <w:rPr>
          <w:rFonts w:hint="eastAsia" w:ascii="宋体" w:hAnsi="宋体" w:cs="宋体"/>
          <w:szCs w:val="21"/>
        </w:rPr>
        <w:t>在中标通知书发出前，招标人将中标侯选人的情况在克州公共资源交易网、新疆政府采购网予以公示，</w:t>
      </w:r>
      <w:r>
        <w:rPr>
          <w:rFonts w:hint="eastAsia" w:ascii="宋体" w:hAnsi="宋体" w:cs="宋体"/>
          <w:b/>
          <w:bCs/>
          <w:szCs w:val="21"/>
        </w:rPr>
        <w:t>公示期为一个工作日。待公示期结束后，</w:t>
      </w:r>
      <w:r>
        <w:rPr>
          <w:rFonts w:hint="eastAsia" w:ascii="宋体"/>
          <w:szCs w:val="21"/>
        </w:rPr>
        <w:t>采购组织机构向中标人发出中标通知书。</w:t>
      </w:r>
    </w:p>
    <w:p>
      <w:pPr>
        <w:spacing w:line="440" w:lineRule="exact"/>
        <w:ind w:firstLine="210" w:firstLineChars="100"/>
        <w:jc w:val="left"/>
        <w:rPr>
          <w:rFonts w:ascii="宋体"/>
          <w:szCs w:val="21"/>
        </w:rPr>
      </w:pPr>
      <w:r>
        <w:rPr>
          <w:rFonts w:hint="eastAsia" w:ascii="宋体"/>
          <w:szCs w:val="21"/>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156" w:beforeLines="50" w:line="440" w:lineRule="exact"/>
        <w:jc w:val="center"/>
        <w:outlineLvl w:val="2"/>
        <w:rPr>
          <w:rFonts w:ascii="黑体" w:eastAsia="黑体"/>
          <w:sz w:val="24"/>
        </w:rPr>
      </w:pPr>
      <w:bookmarkStart w:id="82" w:name="_Toc111210539"/>
      <w:bookmarkStart w:id="83" w:name="_Toc111210317"/>
      <w:bookmarkStart w:id="84" w:name="_Toc111210743"/>
      <w:r>
        <w:rPr>
          <w:rFonts w:hint="eastAsia" w:ascii="黑体" w:eastAsia="黑体"/>
          <w:sz w:val="28"/>
          <w:szCs w:val="28"/>
        </w:rPr>
        <w:t>（六）合同的授予</w:t>
      </w:r>
      <w:bookmarkEnd w:id="81"/>
      <w:bookmarkEnd w:id="82"/>
      <w:bookmarkEnd w:id="83"/>
      <w:bookmarkEnd w:id="84"/>
    </w:p>
    <w:p>
      <w:pPr>
        <w:spacing w:line="440" w:lineRule="exact"/>
        <w:ind w:firstLine="210" w:firstLineChars="100"/>
        <w:jc w:val="left"/>
        <w:rPr>
          <w:rFonts w:ascii="宋体"/>
          <w:b/>
          <w:bCs/>
          <w:szCs w:val="21"/>
        </w:rPr>
      </w:pPr>
      <w:bookmarkStart w:id="85" w:name="_Toc73975842"/>
      <w:bookmarkStart w:id="86" w:name="_Toc469495730"/>
      <w:r>
        <w:rPr>
          <w:rFonts w:hint="eastAsia" w:ascii="宋体"/>
          <w:b/>
          <w:bCs/>
          <w:szCs w:val="21"/>
        </w:rPr>
        <w:t>43．履约保证金</w:t>
      </w:r>
      <w:bookmarkEnd w:id="85"/>
    </w:p>
    <w:p>
      <w:pPr>
        <w:spacing w:line="440" w:lineRule="exact"/>
        <w:ind w:firstLine="210" w:firstLineChars="100"/>
        <w:jc w:val="left"/>
        <w:rPr>
          <w:rFonts w:ascii="宋体"/>
          <w:szCs w:val="21"/>
        </w:rPr>
      </w:pPr>
      <w:r>
        <w:rPr>
          <w:rFonts w:hint="eastAsia" w:ascii="宋体"/>
          <w:szCs w:val="21"/>
        </w:rPr>
        <w:t>43.1</w:t>
      </w:r>
      <w:r>
        <w:rPr>
          <w:rFonts w:ascii="宋体"/>
          <w:szCs w:val="21"/>
        </w:rPr>
        <w:t xml:space="preserve"> </w:t>
      </w:r>
      <w:r>
        <w:rPr>
          <w:rFonts w:hint="eastAsia" w:ascii="宋体"/>
          <w:szCs w:val="21"/>
        </w:rPr>
        <w:t>采购人要求中标人提供履约保证金的，应当在招标文件中予以约定。中标人履约完毕后，采购人应于五日内无息退还其履约保证金。</w:t>
      </w:r>
    </w:p>
    <w:p>
      <w:pPr>
        <w:spacing w:line="440" w:lineRule="exact"/>
        <w:ind w:firstLine="210" w:firstLineChars="100"/>
        <w:jc w:val="left"/>
        <w:rPr>
          <w:rFonts w:ascii="宋体"/>
          <w:szCs w:val="21"/>
        </w:rPr>
      </w:pPr>
      <w:bookmarkStart w:id="87" w:name="_Toc73975843"/>
      <w:r>
        <w:rPr>
          <w:rFonts w:hint="eastAsia" w:ascii="宋体"/>
          <w:szCs w:val="21"/>
        </w:rPr>
        <w:t>44．签订合同及公告</w:t>
      </w:r>
      <w:bookmarkEnd w:id="87"/>
    </w:p>
    <w:p>
      <w:pPr>
        <w:spacing w:line="440" w:lineRule="exact"/>
        <w:ind w:firstLine="210" w:firstLineChars="100"/>
        <w:jc w:val="left"/>
        <w:rPr>
          <w:rFonts w:ascii="宋体"/>
          <w:szCs w:val="21"/>
        </w:rPr>
      </w:pPr>
      <w:r>
        <w:rPr>
          <w:rFonts w:hint="eastAsia" w:ascii="宋体"/>
          <w:szCs w:val="21"/>
        </w:rPr>
        <w:t>44.1采购人在中标通知书发出之日起30日内与中标供应商签订合同。</w:t>
      </w:r>
    </w:p>
    <w:p>
      <w:pPr>
        <w:spacing w:line="440" w:lineRule="exact"/>
        <w:ind w:firstLine="210" w:firstLineChars="100"/>
        <w:jc w:val="left"/>
        <w:rPr>
          <w:rFonts w:ascii="宋体"/>
          <w:szCs w:val="21"/>
        </w:rPr>
      </w:pPr>
      <w:r>
        <w:rPr>
          <w:rFonts w:hint="eastAsia" w:ascii="宋体"/>
          <w:szCs w:val="21"/>
        </w:rPr>
        <w:t>44.2中标供应商拖延、拒签合同的,取消中标资格。</w:t>
      </w:r>
    </w:p>
    <w:p>
      <w:pPr>
        <w:spacing w:line="440" w:lineRule="exact"/>
        <w:ind w:firstLine="210" w:firstLineChars="100"/>
        <w:jc w:val="left"/>
        <w:rPr>
          <w:rFonts w:ascii="宋体"/>
          <w:szCs w:val="21"/>
        </w:rPr>
      </w:pPr>
      <w:r>
        <w:rPr>
          <w:rFonts w:hint="eastAsia" w:ascii="宋体"/>
          <w:szCs w:val="21"/>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10" w:firstLineChars="100"/>
        <w:jc w:val="left"/>
        <w:rPr>
          <w:rFonts w:ascii="宋体"/>
          <w:szCs w:val="21"/>
        </w:rPr>
      </w:pPr>
      <w:r>
        <w:rPr>
          <w:rFonts w:hint="eastAsia" w:ascii="宋体"/>
          <w:szCs w:val="21"/>
        </w:rPr>
        <w:t>44.4采购人应当自政府采购合同签订之日起2个工作日内，在省级以上财政部门指定的政府采购信息发布媒体及相关网站上公告。</w:t>
      </w:r>
    </w:p>
    <w:p>
      <w:pPr>
        <w:spacing w:line="440" w:lineRule="exact"/>
        <w:ind w:firstLine="210" w:firstLineChars="100"/>
        <w:jc w:val="left"/>
        <w:rPr>
          <w:rFonts w:ascii="宋体"/>
          <w:szCs w:val="21"/>
        </w:rPr>
      </w:pPr>
      <w:r>
        <w:rPr>
          <w:rFonts w:hint="eastAsia" w:ascii="宋体"/>
          <w:szCs w:val="21"/>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黑体" w:eastAsia="黑体"/>
          <w:sz w:val="28"/>
          <w:szCs w:val="28"/>
        </w:rPr>
      </w:pPr>
      <w:bookmarkStart w:id="88" w:name="_Toc111210318"/>
      <w:bookmarkStart w:id="89" w:name="_Toc111210744"/>
      <w:bookmarkStart w:id="90" w:name="_Toc111210540"/>
      <w:r>
        <w:rPr>
          <w:rFonts w:hint="eastAsia" w:ascii="黑体" w:eastAsia="黑体"/>
          <w:sz w:val="28"/>
          <w:szCs w:val="28"/>
        </w:rPr>
        <w:t>（七）纪律和监督</w:t>
      </w:r>
      <w:bookmarkEnd w:id="86"/>
      <w:bookmarkEnd w:id="88"/>
      <w:bookmarkEnd w:id="89"/>
      <w:bookmarkEnd w:id="90"/>
    </w:p>
    <w:p>
      <w:pPr>
        <w:spacing w:line="440" w:lineRule="exact"/>
        <w:ind w:firstLine="308" w:firstLineChars="147"/>
        <w:jc w:val="left"/>
        <w:rPr>
          <w:rFonts w:ascii="宋体"/>
          <w:b/>
          <w:szCs w:val="21"/>
        </w:rPr>
      </w:pPr>
      <w:r>
        <w:rPr>
          <w:rFonts w:hint="eastAsia" w:ascii="宋体"/>
          <w:b/>
          <w:szCs w:val="21"/>
        </w:rPr>
        <w:t xml:space="preserve">45. 对招标人的纪律要求 </w:t>
      </w:r>
    </w:p>
    <w:p>
      <w:pPr>
        <w:adjustRightInd w:val="0"/>
        <w:snapToGrid w:val="0"/>
        <w:spacing w:line="440" w:lineRule="exact"/>
        <w:ind w:firstLine="315" w:firstLineChars="150"/>
        <w:rPr>
          <w:rFonts w:ascii="宋体"/>
          <w:kern w:val="10"/>
          <w:szCs w:val="21"/>
        </w:rPr>
      </w:pPr>
      <w:r>
        <w:rPr>
          <w:rFonts w:hint="eastAsia" w:ascii="宋体"/>
          <w:kern w:val="10"/>
          <w:szCs w:val="21"/>
        </w:rPr>
        <w:t xml:space="preserve">45.1招标人不得泄漏招标投标活动中应当保密的情况和资料，不得与投标人串通损害国家利益，社会公共利益或者他人合法权益。 </w:t>
      </w:r>
    </w:p>
    <w:p>
      <w:pPr>
        <w:spacing w:line="440" w:lineRule="exact"/>
        <w:ind w:firstLine="308" w:firstLineChars="147"/>
        <w:jc w:val="left"/>
        <w:rPr>
          <w:rFonts w:ascii="宋体"/>
          <w:b/>
          <w:szCs w:val="21"/>
        </w:rPr>
      </w:pPr>
      <w:r>
        <w:rPr>
          <w:rFonts w:hint="eastAsia" w:ascii="宋体"/>
          <w:b/>
          <w:szCs w:val="21"/>
        </w:rPr>
        <w:t xml:space="preserve">46. 对投标人的纪律要求 </w:t>
      </w:r>
    </w:p>
    <w:p>
      <w:pPr>
        <w:adjustRightInd w:val="0"/>
        <w:snapToGrid w:val="0"/>
        <w:spacing w:line="440" w:lineRule="exact"/>
        <w:ind w:firstLine="315" w:firstLineChars="150"/>
        <w:rPr>
          <w:rFonts w:ascii="宋体"/>
          <w:kern w:val="10"/>
          <w:szCs w:val="21"/>
        </w:rPr>
      </w:pPr>
      <w:r>
        <w:rPr>
          <w:rFonts w:hint="eastAsia" w:ascii="宋体"/>
          <w:kern w:val="10"/>
          <w:szCs w:val="21"/>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308" w:firstLineChars="147"/>
        <w:jc w:val="left"/>
        <w:rPr>
          <w:rFonts w:ascii="宋体"/>
          <w:b/>
          <w:szCs w:val="21"/>
        </w:rPr>
      </w:pPr>
      <w:r>
        <w:rPr>
          <w:rFonts w:hint="eastAsia" w:ascii="宋体"/>
          <w:b/>
          <w:szCs w:val="21"/>
        </w:rPr>
        <w:t xml:space="preserve">47. 对评标委员会成员的纪律要求 </w:t>
      </w:r>
    </w:p>
    <w:p>
      <w:pPr>
        <w:adjustRightInd w:val="0"/>
        <w:snapToGrid w:val="0"/>
        <w:spacing w:line="440" w:lineRule="exact"/>
        <w:ind w:firstLine="315" w:firstLineChars="150"/>
        <w:rPr>
          <w:rFonts w:ascii="宋体"/>
          <w:kern w:val="10"/>
          <w:szCs w:val="21"/>
        </w:rPr>
      </w:pPr>
      <w:r>
        <w:rPr>
          <w:rFonts w:hint="eastAsia" w:ascii="宋体"/>
          <w:kern w:val="10"/>
          <w:szCs w:val="21"/>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15" w:firstLineChars="150"/>
        <w:rPr>
          <w:rFonts w:ascii="宋体"/>
          <w:kern w:val="10"/>
          <w:szCs w:val="21"/>
        </w:rPr>
      </w:pPr>
      <w:r>
        <w:rPr>
          <w:rFonts w:hint="eastAsia" w:ascii="宋体"/>
          <w:kern w:val="10"/>
          <w:szCs w:val="21"/>
        </w:rPr>
        <w:t xml:space="preserve">47.2在评标活动中，评标委员会成员不得擅离职守，影响评标程序正常进行，不得使用第三章“评标办法”没有规定的评审因素和标准进行评标。 </w:t>
      </w:r>
    </w:p>
    <w:p>
      <w:pPr>
        <w:spacing w:line="440" w:lineRule="exact"/>
        <w:ind w:firstLine="308" w:firstLineChars="147"/>
        <w:jc w:val="left"/>
        <w:rPr>
          <w:rFonts w:ascii="宋体"/>
          <w:b/>
          <w:szCs w:val="21"/>
        </w:rPr>
      </w:pPr>
      <w:r>
        <w:rPr>
          <w:rFonts w:hint="eastAsia" w:ascii="宋体"/>
          <w:b/>
          <w:szCs w:val="21"/>
        </w:rPr>
        <w:t xml:space="preserve">48. 对与评标活动有关的工作人员的纪律要求 </w:t>
      </w:r>
    </w:p>
    <w:p>
      <w:pPr>
        <w:adjustRightInd w:val="0"/>
        <w:snapToGrid w:val="0"/>
        <w:spacing w:line="440" w:lineRule="exact"/>
        <w:ind w:firstLine="315" w:firstLineChars="150"/>
        <w:rPr>
          <w:rFonts w:ascii="宋体"/>
          <w:kern w:val="10"/>
          <w:szCs w:val="21"/>
        </w:rPr>
      </w:pPr>
      <w:r>
        <w:rPr>
          <w:rFonts w:hint="eastAsia" w:ascii="宋体"/>
          <w:kern w:val="10"/>
          <w:szCs w:val="21"/>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156" w:beforeLines="50" w:after="156" w:afterLines="50" w:line="500" w:lineRule="exact"/>
        <w:ind w:firstLine="840" w:firstLineChars="300"/>
        <w:jc w:val="center"/>
        <w:rPr>
          <w:rFonts w:ascii="黑体" w:eastAsia="黑体"/>
          <w:sz w:val="28"/>
          <w:szCs w:val="28"/>
        </w:rPr>
      </w:pPr>
    </w:p>
    <w:p>
      <w:pPr>
        <w:spacing w:before="156" w:beforeLines="50" w:after="156" w:afterLines="50" w:line="500" w:lineRule="exact"/>
        <w:ind w:firstLine="840" w:firstLineChars="300"/>
        <w:jc w:val="center"/>
        <w:rPr>
          <w:rFonts w:ascii="黑体" w:hAnsi="宋体" w:eastAsia="黑体"/>
          <w:sz w:val="28"/>
          <w:szCs w:val="28"/>
        </w:rPr>
      </w:pPr>
      <w:r>
        <w:rPr>
          <w:rFonts w:hint="eastAsia" w:ascii="黑体" w:eastAsia="黑体"/>
          <w:sz w:val="28"/>
          <w:szCs w:val="28"/>
        </w:rPr>
        <w:t>（八）</w:t>
      </w:r>
      <w:r>
        <w:rPr>
          <w:rFonts w:hint="eastAsia" w:ascii="黑体" w:hAnsi="宋体" w:eastAsia="黑体"/>
          <w:sz w:val="28"/>
          <w:szCs w:val="28"/>
        </w:rPr>
        <w:t>质疑与投诉</w:t>
      </w:r>
    </w:p>
    <w:p>
      <w:pPr>
        <w:spacing w:line="440" w:lineRule="exact"/>
        <w:ind w:firstLine="210" w:firstLineChars="100"/>
        <w:jc w:val="left"/>
        <w:rPr>
          <w:rFonts w:ascii="宋体"/>
          <w:b/>
          <w:bCs/>
          <w:szCs w:val="21"/>
        </w:rPr>
      </w:pPr>
      <w:r>
        <w:rPr>
          <w:rFonts w:hint="eastAsia" w:ascii="宋体"/>
          <w:b/>
          <w:bCs/>
          <w:szCs w:val="21"/>
        </w:rPr>
        <w:t>49．质疑和投诉</w:t>
      </w:r>
    </w:p>
    <w:p>
      <w:pPr>
        <w:spacing w:line="440" w:lineRule="exact"/>
        <w:ind w:firstLine="210" w:firstLineChars="100"/>
        <w:jc w:val="left"/>
        <w:rPr>
          <w:rFonts w:ascii="宋体"/>
          <w:szCs w:val="21"/>
        </w:rPr>
      </w:pPr>
      <w:r>
        <w:rPr>
          <w:rFonts w:hint="eastAsia" w:ascii="宋体"/>
          <w:szCs w:val="21"/>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10" w:firstLineChars="100"/>
        <w:jc w:val="left"/>
        <w:rPr>
          <w:rFonts w:ascii="宋体"/>
          <w:szCs w:val="21"/>
        </w:rPr>
      </w:pPr>
      <w:r>
        <w:rPr>
          <w:rFonts w:hint="eastAsia" w:ascii="宋体"/>
          <w:szCs w:val="21"/>
        </w:rPr>
        <w:t>（一）对可以质疑的采购文件提出质疑的，为收到采购文件之日或者采购文件公告期限届满之日；</w:t>
      </w:r>
    </w:p>
    <w:p>
      <w:pPr>
        <w:spacing w:line="440" w:lineRule="exact"/>
        <w:ind w:firstLine="210" w:firstLineChars="100"/>
        <w:jc w:val="left"/>
        <w:rPr>
          <w:rFonts w:ascii="宋体"/>
          <w:szCs w:val="21"/>
        </w:rPr>
      </w:pPr>
      <w:r>
        <w:rPr>
          <w:rFonts w:hint="eastAsia" w:ascii="宋体"/>
          <w:szCs w:val="21"/>
        </w:rPr>
        <w:t>（二）对采购过程提出质疑的，为各采购程序环节结束之日；</w:t>
      </w:r>
    </w:p>
    <w:p>
      <w:pPr>
        <w:spacing w:line="440" w:lineRule="exact"/>
        <w:ind w:firstLine="210" w:firstLineChars="100"/>
        <w:jc w:val="left"/>
        <w:rPr>
          <w:rFonts w:ascii="宋体"/>
          <w:szCs w:val="21"/>
        </w:rPr>
      </w:pPr>
      <w:r>
        <w:rPr>
          <w:rFonts w:hint="eastAsia" w:ascii="宋体"/>
          <w:szCs w:val="21"/>
        </w:rPr>
        <w:t>（三）对中标或者成交结果提出质疑的，为中标或者成交结果公告期限届满之日。</w:t>
      </w:r>
    </w:p>
    <w:p>
      <w:pPr>
        <w:spacing w:line="440" w:lineRule="exact"/>
        <w:ind w:firstLine="210" w:firstLineChars="100"/>
        <w:jc w:val="left"/>
        <w:rPr>
          <w:rFonts w:ascii="宋体"/>
          <w:szCs w:val="21"/>
        </w:rPr>
      </w:pPr>
      <w:r>
        <w:rPr>
          <w:rFonts w:hint="eastAsia" w:ascii="宋体"/>
          <w:szCs w:val="21"/>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10" w:firstLineChars="100"/>
        <w:jc w:val="left"/>
        <w:rPr>
          <w:rFonts w:ascii="宋体"/>
          <w:szCs w:val="21"/>
        </w:rPr>
      </w:pPr>
      <w:r>
        <w:rPr>
          <w:rFonts w:hint="eastAsia" w:ascii="宋体"/>
          <w:szCs w:val="21"/>
        </w:rPr>
        <w:t>供应商为自然人的，应当由本人签字；供应商为法人或者其他组织的，应当由法定代表人、主要负责人，或者其授权代表签字或者盖章，并加盖公章。</w:t>
      </w:r>
    </w:p>
    <w:p>
      <w:pPr>
        <w:spacing w:line="440" w:lineRule="exact"/>
        <w:ind w:firstLine="210" w:firstLineChars="100"/>
        <w:jc w:val="left"/>
        <w:rPr>
          <w:rFonts w:ascii="宋体"/>
          <w:szCs w:val="21"/>
        </w:rPr>
      </w:pPr>
      <w:r>
        <w:rPr>
          <w:rFonts w:hint="eastAsia" w:ascii="宋体"/>
          <w:szCs w:val="21"/>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10" w:firstLineChars="100"/>
        <w:jc w:val="left"/>
        <w:rPr>
          <w:rFonts w:ascii="宋体"/>
          <w:szCs w:val="21"/>
        </w:rPr>
      </w:pPr>
      <w:r>
        <w:rPr>
          <w:rFonts w:hint="eastAsia" w:ascii="宋体"/>
          <w:szCs w:val="21"/>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10" w:firstLineChars="100"/>
        <w:jc w:val="left"/>
        <w:rPr>
          <w:rFonts w:ascii="宋体"/>
          <w:szCs w:val="21"/>
        </w:rPr>
      </w:pPr>
      <w:r>
        <w:rPr>
          <w:rFonts w:hint="eastAsia" w:ascii="宋体"/>
          <w:szCs w:val="21"/>
        </w:rPr>
        <w:t>49.5供应商有下列情形之一的，将其列入不良行为记录名单：</w:t>
      </w:r>
    </w:p>
    <w:p>
      <w:pPr>
        <w:spacing w:line="440" w:lineRule="exact"/>
        <w:ind w:firstLine="210" w:firstLineChars="100"/>
        <w:jc w:val="left"/>
        <w:rPr>
          <w:rFonts w:ascii="宋体"/>
          <w:szCs w:val="21"/>
        </w:rPr>
      </w:pPr>
      <w:r>
        <w:rPr>
          <w:rFonts w:hint="eastAsia" w:ascii="宋体"/>
          <w:szCs w:val="21"/>
        </w:rPr>
        <w:t>（一）一年内三次以上质疑均查无实据的；</w:t>
      </w:r>
    </w:p>
    <w:p>
      <w:pPr>
        <w:spacing w:line="440" w:lineRule="exact"/>
        <w:ind w:firstLine="210" w:firstLineChars="100"/>
        <w:jc w:val="left"/>
        <w:rPr>
          <w:rFonts w:ascii="宋体"/>
          <w:szCs w:val="21"/>
        </w:rPr>
      </w:pPr>
      <w:r>
        <w:rPr>
          <w:rFonts w:hint="eastAsia" w:ascii="宋体"/>
          <w:szCs w:val="21"/>
        </w:rPr>
        <w:t>（二）捏造事实或者提供虚假质疑材料的。</w:t>
      </w:r>
    </w:p>
    <w:p>
      <w:pPr>
        <w:spacing w:line="440" w:lineRule="exact"/>
        <w:ind w:firstLine="210" w:firstLineChars="100"/>
        <w:jc w:val="left"/>
        <w:rPr>
          <w:rFonts w:ascii="宋体"/>
          <w:szCs w:val="21"/>
        </w:rPr>
      </w:pPr>
      <w:r>
        <w:rPr>
          <w:rFonts w:hint="eastAsia" w:ascii="宋体"/>
          <w:szCs w:val="21"/>
        </w:rPr>
        <w:t>（三）以非法手段取得证明材料。证据来源的合法性存在明显疑问，质疑人无法证明其取得方式合法的，视为以非法手段取得证明材料。</w:t>
      </w:r>
    </w:p>
    <w:p>
      <w:pPr>
        <w:spacing w:line="360" w:lineRule="exact"/>
        <w:jc w:val="center"/>
        <w:rPr>
          <w:rFonts w:ascii="黑体" w:eastAsia="黑体"/>
          <w:sz w:val="30"/>
          <w:szCs w:val="30"/>
        </w:rPr>
      </w:pPr>
    </w:p>
    <w:p>
      <w:pPr>
        <w:pStyle w:val="42"/>
        <w:rPr>
          <w:rFonts w:ascii="黑体" w:eastAsia="黑体"/>
          <w:sz w:val="30"/>
          <w:szCs w:val="30"/>
        </w:rPr>
      </w:pPr>
    </w:p>
    <w:p>
      <w:pPr>
        <w:pStyle w:val="42"/>
        <w:rPr>
          <w:rFonts w:ascii="黑体" w:eastAsia="黑体"/>
          <w:sz w:val="30"/>
          <w:szCs w:val="30"/>
        </w:rPr>
      </w:pPr>
    </w:p>
    <w:p>
      <w:pPr>
        <w:pStyle w:val="42"/>
        <w:rPr>
          <w:rFonts w:ascii="黑体" w:eastAsia="黑体"/>
          <w:sz w:val="30"/>
          <w:szCs w:val="30"/>
        </w:rPr>
      </w:pP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jc w:val="left"/>
        <w:rPr>
          <w:rFonts w:ascii="宋体" w:hAnsi="宋体" w:cs="宋体"/>
          <w:b/>
          <w:bCs/>
          <w:szCs w:val="21"/>
        </w:rPr>
      </w:pPr>
    </w:p>
    <w:p>
      <w:pPr>
        <w:pStyle w:val="22"/>
      </w:pPr>
    </w:p>
    <w:p>
      <w:pPr>
        <w:jc w:val="left"/>
        <w:rPr>
          <w:rFonts w:ascii="宋体" w:hAnsi="宋体" w:cs="宋体"/>
          <w:b/>
          <w:bCs/>
          <w:szCs w:val="21"/>
        </w:rPr>
      </w:pPr>
    </w:p>
    <w:p>
      <w:pPr>
        <w:jc w:val="left"/>
        <w:rPr>
          <w:rFonts w:ascii="宋体" w:hAnsi="宋体" w:cs="宋体"/>
          <w:b/>
          <w:bCs/>
          <w:szCs w:val="21"/>
        </w:rPr>
      </w:pPr>
    </w:p>
    <w:p>
      <w:pPr>
        <w:jc w:val="left"/>
        <w:rPr>
          <w:rFonts w:ascii="宋体" w:hAnsi="宋体" w:cs="宋体"/>
          <w:b/>
          <w:bCs/>
          <w:szCs w:val="21"/>
        </w:rPr>
      </w:pPr>
      <w:r>
        <w:rPr>
          <w:rFonts w:hint="eastAsia" w:ascii="宋体" w:hAnsi="宋体" w:cs="宋体"/>
          <w:b/>
          <w:bCs/>
          <w:szCs w:val="21"/>
        </w:rPr>
        <w:t>附件：</w:t>
      </w:r>
    </w:p>
    <w:p>
      <w:pPr>
        <w:jc w:val="center"/>
        <w:rPr>
          <w:rFonts w:ascii="宋体" w:hAnsi="宋体" w:cs="宋体"/>
          <w:b/>
          <w:bCs/>
          <w:sz w:val="28"/>
          <w:szCs w:val="28"/>
        </w:rPr>
      </w:pPr>
      <w:r>
        <w:rPr>
          <w:rFonts w:hint="eastAsia" w:ascii="宋体" w:hAnsi="宋体" w:cs="宋体"/>
          <w:b/>
          <w:bCs/>
          <w:sz w:val="32"/>
          <w:szCs w:val="32"/>
        </w:rPr>
        <w:t>政府采购投诉书（范本）、质疑函范本</w:t>
      </w:r>
    </w:p>
    <w:p>
      <w:pPr>
        <w:spacing w:line="400" w:lineRule="exact"/>
        <w:jc w:val="center"/>
        <w:rPr>
          <w:rFonts w:ascii="宋体" w:hAnsi="宋体" w:cs="宋体"/>
          <w:sz w:val="24"/>
          <w:u w:val="single"/>
        </w:rPr>
      </w:pPr>
      <w:r>
        <w:rPr>
          <w:rFonts w:hint="eastAsia" w:ascii="宋体" w:hAnsi="宋体" w:cs="宋体"/>
          <w:b/>
          <w:bCs/>
          <w:sz w:val="28"/>
          <w:szCs w:val="28"/>
        </w:rPr>
        <w:t>政府采购投诉书（范本）</w:t>
      </w:r>
    </w:p>
    <w:p>
      <w:pPr>
        <w:spacing w:line="400" w:lineRule="exact"/>
        <w:rPr>
          <w:rFonts w:ascii="宋体" w:hAnsi="宋体" w:cs="宋体"/>
          <w:szCs w:val="21"/>
        </w:rPr>
      </w:pPr>
      <w:r>
        <w:rPr>
          <w:rFonts w:hint="eastAsia" w:ascii="宋体" w:hAnsi="宋体" w:cs="宋体"/>
          <w:szCs w:val="21"/>
        </w:rPr>
        <w:t>投诉人：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委托代理人姓名：</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1"/>
        </w:rPr>
        <w:t>住址：</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被投诉人：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pPr>
        <w:spacing w:line="400" w:lineRule="exact"/>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电话：</w:t>
      </w:r>
      <w:r>
        <w:rPr>
          <w:rFonts w:hint="eastAsia" w:ascii="宋体" w:hAnsi="宋体" w:cs="宋体"/>
          <w:szCs w:val="21"/>
          <w:u w:val="single"/>
        </w:rPr>
        <w:t xml:space="preserve">               </w:t>
      </w: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r>
        <w:rPr>
          <w:rFonts w:hint="eastAsia" w:ascii="宋体" w:hAnsi="宋体" w:cs="宋体"/>
          <w:szCs w:val="21"/>
        </w:rPr>
        <w:t>我公司参加了</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日被投诉人组织的</w:t>
      </w:r>
      <w:r>
        <w:rPr>
          <w:rFonts w:hint="eastAsia" w:ascii="宋体" w:hAnsi="宋体" w:cs="宋体"/>
          <w:szCs w:val="21"/>
          <w:u w:val="single"/>
        </w:rPr>
        <w:t>（采购人）（项目名称）（项目编号）</w:t>
      </w:r>
      <w:r>
        <w:rPr>
          <w:rFonts w:hint="eastAsia" w:ascii="宋体" w:hAnsi="宋体" w:cs="宋体"/>
          <w:szCs w:val="21"/>
        </w:rPr>
        <w:t>的采购活动，我公司认为该项目的</w:t>
      </w:r>
      <w:r>
        <w:rPr>
          <w:rFonts w:hint="eastAsia" w:ascii="宋体" w:hAnsi="宋体" w:cs="宋体"/>
          <w:szCs w:val="21"/>
          <w:u w:val="single"/>
        </w:rPr>
        <w:t>（采购文件/采购过程/中标（中标）结果）</w:t>
      </w:r>
      <w:r>
        <w:rPr>
          <w:rFonts w:hint="eastAsia" w:ascii="宋体" w:hAnsi="宋体" w:cs="宋体"/>
          <w:szCs w:val="21"/>
        </w:rPr>
        <w:t>损害了我公司权益，对此，我公司于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日向</w:t>
      </w:r>
      <w:r>
        <w:rPr>
          <w:rFonts w:hint="eastAsia" w:ascii="宋体" w:hAnsi="宋体" w:cs="宋体"/>
          <w:szCs w:val="21"/>
          <w:u w:val="single"/>
        </w:rPr>
        <w:t>（采购人或者政府采购代理机构）</w:t>
      </w:r>
      <w:r>
        <w:rPr>
          <w:rFonts w:hint="eastAsia" w:ascii="宋体" w:hAnsi="宋体" w:cs="宋体"/>
          <w:szCs w:val="21"/>
        </w:rPr>
        <w:t>提出了质疑，</w:t>
      </w:r>
      <w:r>
        <w:rPr>
          <w:rFonts w:hint="eastAsia" w:ascii="宋体" w:hAnsi="宋体" w:cs="宋体"/>
          <w:szCs w:val="21"/>
          <w:u w:val="single"/>
        </w:rPr>
        <w:t>（其于    年  月  日作出书面答复，因对其作出的答复不满意）/（被质疑人未在法定期内予以答复，按照政府采购有关规定）</w:t>
      </w:r>
      <w:r>
        <w:rPr>
          <w:rFonts w:hint="eastAsia" w:ascii="宋体" w:hAnsi="宋体" w:cs="宋体"/>
          <w:szCs w:val="21"/>
        </w:rPr>
        <w:t>，现向贵机关提起投诉：</w:t>
      </w:r>
    </w:p>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具体的投诉事项及事实依据；</w:t>
      </w:r>
    </w:p>
    <w:p>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质疑和质疑答复情况简要描述；</w:t>
      </w:r>
    </w:p>
    <w:p>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投诉请求。</w:t>
      </w:r>
    </w:p>
    <w:p>
      <w:pPr>
        <w:spacing w:line="400" w:lineRule="exact"/>
        <w:rPr>
          <w:rFonts w:ascii="宋体" w:hAnsi="宋体" w:cs="宋体"/>
          <w:szCs w:val="21"/>
        </w:rPr>
      </w:pPr>
      <w:r>
        <w:rPr>
          <w:rFonts w:hint="eastAsia" w:ascii="宋体" w:hAnsi="宋体" w:cs="宋体"/>
          <w:szCs w:val="21"/>
        </w:rPr>
        <w:t>附件：</w:t>
      </w:r>
    </w:p>
    <w:p>
      <w:pPr>
        <w:spacing w:line="400" w:lineRule="exact"/>
        <w:rPr>
          <w:rFonts w:ascii="宋体" w:hAnsi="宋体" w:cs="宋体"/>
          <w:szCs w:val="21"/>
        </w:rPr>
      </w:pPr>
      <w:r>
        <w:rPr>
          <w:rFonts w:hint="eastAsia" w:ascii="宋体" w:hAnsi="宋体" w:cs="宋体"/>
          <w:szCs w:val="21"/>
        </w:rPr>
        <w:t>1.质疑书和质疑答复书；</w:t>
      </w:r>
    </w:p>
    <w:p>
      <w:pPr>
        <w:spacing w:line="400" w:lineRule="exact"/>
        <w:rPr>
          <w:rFonts w:ascii="宋体" w:hAnsi="宋体" w:cs="宋体"/>
          <w:szCs w:val="21"/>
        </w:rPr>
      </w:pPr>
      <w:r>
        <w:rPr>
          <w:rFonts w:hint="eastAsia" w:ascii="宋体" w:hAnsi="宋体" w:cs="宋体"/>
          <w:szCs w:val="21"/>
        </w:rPr>
        <w:t>2.证据材料（需注明证据来源），证人的姓名、住址和联系方式等；</w:t>
      </w:r>
    </w:p>
    <w:p>
      <w:pPr>
        <w:spacing w:line="400" w:lineRule="exact"/>
        <w:rPr>
          <w:rFonts w:ascii="宋体" w:hAnsi="宋体" w:cs="宋体"/>
          <w:szCs w:val="21"/>
        </w:rPr>
      </w:pPr>
      <w:r>
        <w:rPr>
          <w:rFonts w:hint="eastAsia" w:ascii="宋体" w:hAnsi="宋体" w:cs="宋体"/>
          <w:szCs w:val="21"/>
        </w:rPr>
        <w:t>3.营业执照；</w:t>
      </w:r>
    </w:p>
    <w:p>
      <w:pPr>
        <w:spacing w:line="400" w:lineRule="exact"/>
        <w:rPr>
          <w:rFonts w:ascii="宋体" w:hAnsi="宋体" w:cs="宋体"/>
          <w:szCs w:val="21"/>
        </w:rPr>
      </w:pPr>
      <w:r>
        <w:rPr>
          <w:rFonts w:hint="eastAsia" w:ascii="宋体" w:hAnsi="宋体" w:cs="宋体"/>
          <w:szCs w:val="21"/>
        </w:rPr>
        <w:t>4.法定代表人身份证明函</w:t>
      </w:r>
    </w:p>
    <w:p>
      <w:pPr>
        <w:spacing w:line="400" w:lineRule="exact"/>
        <w:rPr>
          <w:rFonts w:ascii="宋体" w:hAnsi="宋体" w:cs="宋体"/>
          <w:szCs w:val="21"/>
        </w:rPr>
      </w:pPr>
      <w:r>
        <w:rPr>
          <w:rFonts w:hint="eastAsia" w:ascii="宋体" w:hAnsi="宋体" w:cs="宋体"/>
          <w:szCs w:val="21"/>
        </w:rPr>
        <w:t>5.法定代表人授权委托书（包含法定代表人和委托代理人的身份证复印件）；</w:t>
      </w:r>
    </w:p>
    <w:p>
      <w:pPr>
        <w:spacing w:line="400" w:lineRule="exact"/>
        <w:rPr>
          <w:rFonts w:ascii="宋体" w:hAnsi="宋体" w:cs="宋体"/>
          <w:szCs w:val="21"/>
        </w:rPr>
      </w:pPr>
      <w:r>
        <w:rPr>
          <w:rFonts w:hint="eastAsia" w:ascii="宋体" w:hAnsi="宋体" w:cs="宋体"/>
          <w:szCs w:val="21"/>
        </w:rPr>
        <w:t>6.政府采购监管部门认为应当提供的其它材料。</w:t>
      </w:r>
    </w:p>
    <w:p>
      <w:pPr>
        <w:spacing w:line="400" w:lineRule="exact"/>
        <w:jc w:val="right"/>
        <w:rPr>
          <w:rFonts w:ascii="宋体" w:hAnsi="宋体" w:cs="宋体"/>
          <w:szCs w:val="21"/>
        </w:rPr>
      </w:pPr>
      <w:r>
        <w:rPr>
          <w:rFonts w:hint="eastAsia" w:ascii="宋体" w:hAnsi="宋体" w:cs="宋体"/>
          <w:szCs w:val="21"/>
        </w:rPr>
        <w:t>投诉供应商：（盖章）</w:t>
      </w:r>
    </w:p>
    <w:p>
      <w:pPr>
        <w:spacing w:line="400" w:lineRule="exact"/>
        <w:rPr>
          <w:rFonts w:ascii="宋体" w:hAnsi="宋体" w:cs="宋体"/>
          <w:szCs w:val="21"/>
        </w:rPr>
      </w:pPr>
      <w:r>
        <w:rPr>
          <w:rFonts w:hint="eastAsia" w:ascii="宋体" w:hAnsi="宋体" w:cs="宋体"/>
          <w:szCs w:val="21"/>
        </w:rPr>
        <w:t xml:space="preserve">                  法定代表人（或主要负责人）：（签字）</w:t>
      </w:r>
    </w:p>
    <w:p>
      <w:pPr>
        <w:spacing w:line="400" w:lineRule="exact"/>
        <w:ind w:firstLine="3360" w:firstLineChars="16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szCs w:val="21"/>
        </w:rPr>
      </w:pPr>
    </w:p>
    <w:p>
      <w:pPr>
        <w:spacing w:line="400" w:lineRule="exact"/>
        <w:jc w:val="right"/>
        <w:rPr>
          <w:rFonts w:ascii="宋体" w:hAnsi="宋体" w:cs="宋体"/>
          <w:szCs w:val="21"/>
        </w:rPr>
      </w:pPr>
      <w:r>
        <w:rPr>
          <w:rFonts w:hint="eastAsia" w:ascii="宋体" w:hAnsi="宋体" w:cs="宋体"/>
          <w:szCs w:val="21"/>
        </w:rPr>
        <w:t>本投诉书正本叁份，副本</w:t>
      </w:r>
      <w:r>
        <w:rPr>
          <w:rFonts w:hint="eastAsia" w:ascii="宋体" w:hAnsi="宋体" w:cs="宋体"/>
          <w:szCs w:val="21"/>
          <w:u w:val="single"/>
        </w:rPr>
        <w:t xml:space="preserve">   </w:t>
      </w:r>
      <w:r>
        <w:rPr>
          <w:rFonts w:hint="eastAsia" w:ascii="宋体" w:hAnsi="宋体" w:cs="宋体"/>
          <w:szCs w:val="21"/>
        </w:rPr>
        <w:t>份并附电子文档。</w:t>
      </w:r>
    </w:p>
    <w:p>
      <w:pPr>
        <w:ind w:left="7951" w:hanging="7920" w:hangingChars="1800"/>
        <w:jc w:val="center"/>
        <w:rPr>
          <w:rFonts w:ascii="宋体" w:hAnsi="宋体" w:cs="宋体"/>
          <w:b/>
          <w:bCs/>
          <w:sz w:val="44"/>
          <w:szCs w:val="44"/>
        </w:rPr>
      </w:pPr>
    </w:p>
    <w:p>
      <w:pPr>
        <w:ind w:left="7951" w:hanging="7920" w:hangingChars="1800"/>
        <w:jc w:val="center"/>
        <w:rPr>
          <w:rFonts w:ascii="宋体" w:hAnsi="宋体" w:cs="宋体"/>
          <w:b/>
          <w:bCs/>
          <w:sz w:val="44"/>
          <w:szCs w:val="44"/>
        </w:rPr>
      </w:pPr>
    </w:p>
    <w:p>
      <w:pPr>
        <w:ind w:left="5783" w:hanging="5760" w:hangingChars="1800"/>
        <w:jc w:val="center"/>
        <w:outlineLvl w:val="0"/>
        <w:rPr>
          <w:rFonts w:ascii="宋体" w:hAnsi="宋体" w:cs="宋体"/>
          <w:b/>
          <w:bCs/>
          <w:sz w:val="32"/>
          <w:szCs w:val="32"/>
        </w:rPr>
      </w:pPr>
      <w:bookmarkStart w:id="91" w:name="_Toc17515"/>
    </w:p>
    <w:p>
      <w:pPr>
        <w:ind w:left="5783" w:hanging="5760" w:hangingChars="1800"/>
        <w:jc w:val="center"/>
        <w:outlineLvl w:val="0"/>
        <w:rPr>
          <w:rFonts w:ascii="宋体" w:hAnsi="宋体" w:cs="宋体"/>
          <w:sz w:val="32"/>
          <w:szCs w:val="32"/>
        </w:rPr>
      </w:pPr>
      <w:bookmarkStart w:id="92" w:name="_Toc111210319"/>
      <w:bookmarkStart w:id="93" w:name="_Toc111210745"/>
      <w:bookmarkStart w:id="94" w:name="_Toc111210541"/>
      <w:r>
        <w:rPr>
          <w:rFonts w:hint="eastAsia" w:ascii="宋体" w:hAnsi="宋体" w:cs="宋体"/>
          <w:b/>
          <w:bCs/>
          <w:sz w:val="32"/>
          <w:szCs w:val="32"/>
        </w:rPr>
        <w:t>投诉相关说明</w:t>
      </w:r>
      <w:bookmarkEnd w:id="91"/>
      <w:bookmarkEnd w:id="92"/>
      <w:bookmarkEnd w:id="93"/>
      <w:bookmarkEnd w:id="94"/>
    </w:p>
    <w:p>
      <w:pPr>
        <w:widowControl/>
        <w:spacing w:line="400" w:lineRule="exact"/>
        <w:ind w:firstLine="420"/>
        <w:jc w:val="left"/>
        <w:rPr>
          <w:rFonts w:ascii="宋体" w:hAnsi="宋体" w:cs="宋体"/>
          <w:szCs w:val="21"/>
        </w:rPr>
      </w:pPr>
      <w:r>
        <w:rPr>
          <w:rFonts w:hint="eastAsia" w:ascii="宋体" w:hAnsi="宋体" w:cs="宋体"/>
          <w:szCs w:val="21"/>
        </w:rPr>
        <w:t>投诉人应当满足《政府采购法》、《政府采购法实施条例》和《政府采购供应商投诉处理办法》的相关规定。</w:t>
      </w:r>
    </w:p>
    <w:p>
      <w:pPr>
        <w:numPr>
          <w:ilvl w:val="0"/>
          <w:numId w:val="1"/>
        </w:numPr>
        <w:spacing w:line="400" w:lineRule="exact"/>
        <w:ind w:left="3998" w:leftChars="304" w:hanging="3360" w:hangingChars="1600"/>
        <w:outlineLvl w:val="0"/>
        <w:rPr>
          <w:rFonts w:ascii="宋体" w:hAnsi="宋体" w:cs="宋体"/>
          <w:b/>
          <w:bCs/>
          <w:szCs w:val="21"/>
        </w:rPr>
      </w:pPr>
      <w:bookmarkStart w:id="95" w:name="_Toc111210542"/>
      <w:bookmarkStart w:id="96" w:name="_Toc11499"/>
      <w:bookmarkStart w:id="97" w:name="_Toc111210320"/>
      <w:bookmarkStart w:id="98" w:name="_Toc111210746"/>
      <w:r>
        <w:rPr>
          <w:rFonts w:hint="eastAsia" w:ascii="宋体" w:hAnsi="宋体" w:cs="宋体"/>
          <w:b/>
          <w:bCs/>
          <w:szCs w:val="21"/>
        </w:rPr>
        <w:t>质疑前置及时间要求</w:t>
      </w:r>
      <w:bookmarkEnd w:id="95"/>
      <w:bookmarkEnd w:id="96"/>
      <w:bookmarkEnd w:id="97"/>
      <w:bookmarkEnd w:id="98"/>
    </w:p>
    <w:p>
      <w:pPr>
        <w:widowControl/>
        <w:spacing w:line="400" w:lineRule="exact"/>
        <w:ind w:firstLine="420"/>
        <w:jc w:val="left"/>
        <w:rPr>
          <w:rFonts w:ascii="宋体" w:hAnsi="宋体" w:cs="宋体"/>
          <w:kern w:val="0"/>
          <w:szCs w:val="21"/>
          <w:shd w:val="clear" w:color="auto" w:fill="FFFFFF"/>
        </w:rPr>
      </w:pPr>
      <w:r>
        <w:rPr>
          <w:rFonts w:hint="eastAsia" w:ascii="宋体" w:hAnsi="宋体" w:cs="宋体"/>
          <w:szCs w:val="21"/>
        </w:rPr>
        <w:t>《中华人民共和国政府采购法》</w:t>
      </w:r>
      <w:r>
        <w:rPr>
          <w:rFonts w:hint="eastAsia" w:ascii="宋体" w:hAnsi="宋体" w:cs="宋体"/>
          <w:kern w:val="0"/>
          <w:szCs w:val="21"/>
          <w:shd w:val="clear" w:color="auto" w:fill="FFFFFF"/>
        </w:rPr>
        <w:t>第五十一条：供应商对政府采购活动事项有疑问的，可以向采购人提出询问，采购人应当及时作出答复，但答复的内容不得涉及商业秘密。</w:t>
      </w:r>
    </w:p>
    <w:p>
      <w:pPr>
        <w:widowControl/>
        <w:spacing w:line="400" w:lineRule="exact"/>
        <w:ind w:firstLine="420"/>
        <w:jc w:val="left"/>
        <w:rPr>
          <w:rFonts w:ascii="宋体" w:hAnsi="宋体" w:cs="宋体"/>
          <w:szCs w:val="21"/>
        </w:rPr>
      </w:pPr>
      <w:r>
        <w:rPr>
          <w:rFonts w:hint="eastAsia" w:ascii="宋体" w:hAnsi="宋体" w:cs="宋体"/>
          <w:kern w:val="0"/>
          <w:szCs w:val="21"/>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《政府采购实施条例》第五十五条：供应商质疑、投诉应当有明确的请求和必要的证明材料。供应商投诉的事项不得超出质疑事项的范围。</w:t>
      </w:r>
    </w:p>
    <w:p>
      <w:pPr>
        <w:spacing w:line="400" w:lineRule="exact"/>
        <w:rPr>
          <w:rFonts w:ascii="宋体" w:hAnsi="宋体" w:cs="宋体"/>
          <w:szCs w:val="21"/>
        </w:rPr>
      </w:pPr>
    </w:p>
    <w:p>
      <w:pPr>
        <w:spacing w:line="400" w:lineRule="exact"/>
        <w:ind w:left="3780" w:hanging="3780" w:hangingChars="1800"/>
        <w:outlineLvl w:val="0"/>
        <w:rPr>
          <w:rFonts w:ascii="宋体" w:hAnsi="宋体" w:cs="宋体"/>
          <w:szCs w:val="21"/>
        </w:rPr>
      </w:pPr>
      <w:r>
        <w:rPr>
          <w:rFonts w:hint="eastAsia" w:ascii="宋体" w:hAnsi="宋体" w:cs="宋体"/>
          <w:szCs w:val="21"/>
        </w:rPr>
        <w:t xml:space="preserve"> </w:t>
      </w:r>
      <w:r>
        <w:rPr>
          <w:rFonts w:hint="eastAsia" w:ascii="宋体" w:hAnsi="宋体" w:cs="宋体"/>
          <w:b/>
          <w:bCs/>
          <w:szCs w:val="21"/>
        </w:rPr>
        <w:t xml:space="preserve">   </w:t>
      </w:r>
      <w:bookmarkStart w:id="99" w:name="_Toc111210747"/>
      <w:bookmarkStart w:id="100" w:name="_Toc111210321"/>
      <w:bookmarkStart w:id="101" w:name="_Toc111210543"/>
      <w:bookmarkStart w:id="102" w:name="_Toc13508"/>
      <w:r>
        <w:rPr>
          <w:rFonts w:hint="eastAsia" w:ascii="宋体" w:hAnsi="宋体" w:cs="宋体"/>
          <w:b/>
          <w:bCs/>
          <w:szCs w:val="21"/>
        </w:rPr>
        <w:t>二、书面方式</w:t>
      </w:r>
      <w:bookmarkEnd w:id="99"/>
      <w:bookmarkEnd w:id="100"/>
      <w:bookmarkEnd w:id="101"/>
      <w:bookmarkEnd w:id="102"/>
    </w:p>
    <w:p>
      <w:pPr>
        <w:spacing w:line="400" w:lineRule="exact"/>
        <w:ind w:left="3780" w:hanging="3780" w:hangingChars="1800"/>
        <w:rPr>
          <w:rFonts w:ascii="宋体" w:hAnsi="宋体" w:cs="宋体"/>
          <w:szCs w:val="21"/>
        </w:rPr>
      </w:pPr>
      <w:r>
        <w:rPr>
          <w:rFonts w:hint="eastAsia" w:ascii="宋体" w:hAnsi="宋体" w:cs="宋体"/>
          <w:szCs w:val="21"/>
        </w:rPr>
        <w:t xml:space="preserve">    《政府采购供应商投诉处理办法》第八条：投诉人投诉</w:t>
      </w:r>
    </w:p>
    <w:p>
      <w:pPr>
        <w:spacing w:line="400" w:lineRule="exact"/>
        <w:rPr>
          <w:rFonts w:ascii="宋体" w:hAnsi="宋体" w:cs="宋体"/>
          <w:szCs w:val="21"/>
        </w:rPr>
      </w:pPr>
      <w:r>
        <w:rPr>
          <w:rFonts w:hint="eastAsia" w:ascii="宋体" w:hAnsi="宋体" w:cs="宋体"/>
          <w:szCs w:val="21"/>
        </w:rPr>
        <w:t>时，应当提交投诉书，并按照被投诉人以及与投诉事项有关的供应商数量提供投诉书的副本。</w:t>
      </w:r>
    </w:p>
    <w:p>
      <w:pPr>
        <w:spacing w:line="400" w:lineRule="exact"/>
        <w:ind w:left="3780" w:hanging="3780" w:hangingChars="1800"/>
        <w:rPr>
          <w:rFonts w:ascii="宋体" w:hAnsi="宋体" w:cs="宋体"/>
          <w:szCs w:val="21"/>
        </w:rPr>
      </w:pPr>
      <w:r>
        <w:rPr>
          <w:rFonts w:hint="eastAsia" w:ascii="宋体" w:hAnsi="宋体" w:cs="宋体"/>
          <w:szCs w:val="21"/>
        </w:rPr>
        <w:t xml:space="preserve">   投诉书应当包括下列主要内容：</w:t>
      </w:r>
    </w:p>
    <w:p>
      <w:pPr>
        <w:numPr>
          <w:ilvl w:val="0"/>
          <w:numId w:val="2"/>
        </w:numPr>
        <w:spacing w:line="400" w:lineRule="exact"/>
        <w:rPr>
          <w:rFonts w:ascii="宋体" w:hAnsi="宋体" w:cs="宋体"/>
          <w:szCs w:val="21"/>
        </w:rPr>
      </w:pPr>
      <w:r>
        <w:rPr>
          <w:rFonts w:hint="eastAsia" w:ascii="宋体" w:hAnsi="宋体" w:cs="宋体"/>
          <w:szCs w:val="21"/>
        </w:rPr>
        <w:t>投诉人和被投诉人的名称、地址、电话等；</w:t>
      </w:r>
    </w:p>
    <w:p>
      <w:pPr>
        <w:numPr>
          <w:ilvl w:val="0"/>
          <w:numId w:val="2"/>
        </w:numPr>
        <w:spacing w:line="400" w:lineRule="exact"/>
        <w:rPr>
          <w:rFonts w:ascii="宋体" w:hAnsi="宋体" w:cs="宋体"/>
          <w:szCs w:val="21"/>
        </w:rPr>
      </w:pPr>
      <w:r>
        <w:rPr>
          <w:rFonts w:hint="eastAsia" w:ascii="宋体" w:hAnsi="宋体" w:cs="宋体"/>
          <w:szCs w:val="21"/>
        </w:rPr>
        <w:t>具体的投诉事项及事实依据；</w:t>
      </w:r>
    </w:p>
    <w:p>
      <w:pPr>
        <w:numPr>
          <w:ilvl w:val="0"/>
          <w:numId w:val="2"/>
        </w:numPr>
        <w:spacing w:line="400" w:lineRule="exact"/>
        <w:rPr>
          <w:rFonts w:ascii="宋体" w:hAnsi="宋体" w:cs="宋体"/>
          <w:szCs w:val="21"/>
        </w:rPr>
      </w:pPr>
      <w:r>
        <w:rPr>
          <w:rFonts w:hint="eastAsia" w:ascii="宋体" w:hAnsi="宋体" w:cs="宋体"/>
          <w:szCs w:val="21"/>
        </w:rPr>
        <w:t>质疑和质疑答复情况及相关证明材料；</w:t>
      </w:r>
    </w:p>
    <w:p>
      <w:pPr>
        <w:numPr>
          <w:ilvl w:val="0"/>
          <w:numId w:val="2"/>
        </w:numPr>
        <w:spacing w:line="400" w:lineRule="exact"/>
        <w:rPr>
          <w:rFonts w:ascii="宋体" w:hAnsi="宋体" w:cs="宋体"/>
          <w:szCs w:val="21"/>
        </w:rPr>
      </w:pPr>
      <w:r>
        <w:rPr>
          <w:rFonts w:hint="eastAsia" w:ascii="宋体" w:hAnsi="宋体" w:cs="宋体"/>
          <w:szCs w:val="21"/>
        </w:rPr>
        <w:t>提起投诉的日期。</w:t>
      </w:r>
    </w:p>
    <w:p>
      <w:pPr>
        <w:spacing w:line="400" w:lineRule="exact"/>
        <w:ind w:firstLine="645"/>
        <w:rPr>
          <w:rFonts w:ascii="宋体" w:hAnsi="宋体" w:cs="宋体"/>
          <w:szCs w:val="21"/>
        </w:rPr>
      </w:pPr>
      <w:r>
        <w:rPr>
          <w:rFonts w:hint="eastAsia" w:ascii="宋体" w:hAnsi="宋体" w:cs="宋体"/>
          <w:szCs w:val="21"/>
        </w:rPr>
        <w:t>投诉书应当署名。投诉人为自然人，应当由本人签字；投诉人为法人或者其他组织的，应当由法定代表人或者主要负责人签字并加盖公章。</w:t>
      </w:r>
    </w:p>
    <w:p>
      <w:pPr>
        <w:spacing w:line="400" w:lineRule="exact"/>
        <w:ind w:firstLine="645"/>
        <w:rPr>
          <w:rFonts w:ascii="宋体" w:hAnsi="宋体" w:cs="宋体"/>
          <w:szCs w:val="21"/>
        </w:rPr>
      </w:pPr>
      <w:r>
        <w:rPr>
          <w:rFonts w:hint="eastAsia" w:ascii="宋体" w:hAnsi="宋体" w:cs="宋体"/>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宋体" w:hAnsi="宋体" w:cs="宋体"/>
          <w:szCs w:val="21"/>
        </w:rPr>
      </w:pPr>
      <w:r>
        <w:rPr>
          <w:rFonts w:hint="eastAsia" w:ascii="宋体" w:hAnsi="宋体" w:cs="宋体"/>
          <w:szCs w:val="21"/>
        </w:rPr>
        <w:t>《政府采购供应商投诉处理办法》第十条：投诉人提起投诉应当符合下列条件：</w:t>
      </w:r>
    </w:p>
    <w:p>
      <w:pPr>
        <w:numPr>
          <w:ilvl w:val="0"/>
          <w:numId w:val="3"/>
        </w:numPr>
        <w:spacing w:line="400" w:lineRule="exact"/>
        <w:rPr>
          <w:rFonts w:ascii="宋体" w:hAnsi="宋体" w:cs="宋体"/>
          <w:szCs w:val="21"/>
        </w:rPr>
      </w:pPr>
      <w:r>
        <w:rPr>
          <w:rFonts w:hint="eastAsia" w:ascii="宋体" w:hAnsi="宋体" w:cs="宋体"/>
          <w:szCs w:val="21"/>
        </w:rPr>
        <w:t>投诉人是参与所投诉政府采购活动的供应商；</w:t>
      </w:r>
    </w:p>
    <w:p>
      <w:pPr>
        <w:numPr>
          <w:ilvl w:val="0"/>
          <w:numId w:val="3"/>
        </w:numPr>
        <w:spacing w:line="400" w:lineRule="exact"/>
        <w:rPr>
          <w:rFonts w:ascii="宋体" w:hAnsi="宋体" w:cs="宋体"/>
          <w:szCs w:val="21"/>
        </w:rPr>
      </w:pPr>
      <w:r>
        <w:rPr>
          <w:rFonts w:hint="eastAsia" w:ascii="宋体" w:hAnsi="宋体" w:cs="宋体"/>
          <w:szCs w:val="21"/>
        </w:rPr>
        <w:t>提起投诉诉前已依法进行质疑；</w:t>
      </w:r>
    </w:p>
    <w:p>
      <w:pPr>
        <w:numPr>
          <w:ilvl w:val="0"/>
          <w:numId w:val="3"/>
        </w:numPr>
        <w:spacing w:line="400" w:lineRule="exact"/>
        <w:rPr>
          <w:rFonts w:ascii="宋体" w:hAnsi="宋体" w:cs="宋体"/>
          <w:szCs w:val="21"/>
        </w:rPr>
      </w:pPr>
      <w:r>
        <w:rPr>
          <w:rFonts w:hint="eastAsia" w:ascii="宋体" w:hAnsi="宋体" w:cs="宋体"/>
          <w:szCs w:val="21"/>
        </w:rPr>
        <w:t>投诉书内容符合本办法的规定；</w:t>
      </w:r>
    </w:p>
    <w:p>
      <w:pPr>
        <w:numPr>
          <w:ilvl w:val="0"/>
          <w:numId w:val="3"/>
        </w:numPr>
        <w:spacing w:line="400" w:lineRule="exact"/>
        <w:rPr>
          <w:rFonts w:ascii="宋体" w:hAnsi="宋体" w:cs="宋体"/>
          <w:szCs w:val="21"/>
        </w:rPr>
      </w:pPr>
      <w:r>
        <w:rPr>
          <w:rFonts w:hint="eastAsia" w:ascii="宋体" w:hAnsi="宋体" w:cs="宋体"/>
          <w:szCs w:val="21"/>
        </w:rPr>
        <w:t>在投诉有效期内提起投诉；</w:t>
      </w:r>
    </w:p>
    <w:p>
      <w:pPr>
        <w:numPr>
          <w:ilvl w:val="0"/>
          <w:numId w:val="3"/>
        </w:numPr>
        <w:spacing w:line="400" w:lineRule="exact"/>
        <w:rPr>
          <w:rFonts w:ascii="宋体" w:hAnsi="宋体" w:cs="宋体"/>
          <w:szCs w:val="21"/>
        </w:rPr>
      </w:pPr>
      <w:r>
        <w:rPr>
          <w:rFonts w:hint="eastAsia" w:ascii="宋体" w:hAnsi="宋体" w:cs="宋体"/>
          <w:szCs w:val="21"/>
        </w:rPr>
        <w:t>属于本级财政部门管辖；</w:t>
      </w:r>
    </w:p>
    <w:p>
      <w:pPr>
        <w:numPr>
          <w:ilvl w:val="0"/>
          <w:numId w:val="3"/>
        </w:numPr>
        <w:spacing w:line="400" w:lineRule="exact"/>
        <w:rPr>
          <w:rFonts w:ascii="宋体" w:hAnsi="宋体" w:cs="宋体"/>
          <w:szCs w:val="21"/>
        </w:rPr>
      </w:pPr>
      <w:r>
        <w:rPr>
          <w:rFonts w:hint="eastAsia" w:ascii="宋体" w:hAnsi="宋体" w:cs="宋体"/>
          <w:szCs w:val="21"/>
        </w:rPr>
        <w:t>同一投诉事项未经财政部门投诉处理；</w:t>
      </w:r>
    </w:p>
    <w:p>
      <w:pPr>
        <w:numPr>
          <w:ilvl w:val="0"/>
          <w:numId w:val="3"/>
        </w:numPr>
        <w:spacing w:line="400" w:lineRule="exact"/>
        <w:rPr>
          <w:rFonts w:ascii="宋体" w:hAnsi="宋体" w:cs="宋体"/>
          <w:szCs w:val="21"/>
        </w:rPr>
      </w:pPr>
      <w:r>
        <w:rPr>
          <w:rFonts w:hint="eastAsia" w:ascii="宋体" w:hAnsi="宋体" w:cs="宋体"/>
          <w:szCs w:val="21"/>
        </w:rPr>
        <w:t>国务院财政部门规定的其他条件。</w:t>
      </w:r>
    </w:p>
    <w:p>
      <w:pPr>
        <w:spacing w:line="400" w:lineRule="exact"/>
        <w:ind w:left="3780" w:hanging="3780" w:hangingChars="1800"/>
        <w:rPr>
          <w:rFonts w:ascii="宋体" w:hAnsi="宋体" w:cs="宋体"/>
          <w:szCs w:val="21"/>
        </w:rPr>
      </w:pPr>
      <w:r>
        <w:rPr>
          <w:rFonts w:hint="eastAsia" w:ascii="宋体" w:hAnsi="宋体" w:cs="宋体"/>
          <w:szCs w:val="21"/>
        </w:rPr>
        <w:t xml:space="preserve">   </w:t>
      </w:r>
    </w:p>
    <w:p>
      <w:pPr>
        <w:outlineLvl w:val="0"/>
        <w:rPr>
          <w:szCs w:val="21"/>
        </w:rPr>
      </w:pPr>
      <w:r>
        <w:rPr>
          <w:rFonts w:hint="eastAsia"/>
          <w:szCs w:val="21"/>
        </w:rPr>
        <w:t xml:space="preserve"> </w:t>
      </w:r>
      <w:r>
        <w:rPr>
          <w:rFonts w:hint="eastAsia" w:ascii="宋体" w:hAnsi="宋体" w:cs="宋体"/>
          <w:b/>
          <w:bCs/>
          <w:szCs w:val="21"/>
        </w:rPr>
        <w:t xml:space="preserve">   </w:t>
      </w:r>
      <w:bookmarkStart w:id="103" w:name="_Toc5978"/>
      <w:bookmarkStart w:id="104" w:name="_Toc111210322"/>
      <w:bookmarkStart w:id="105" w:name="_Toc111210544"/>
      <w:bookmarkStart w:id="106" w:name="_Toc111210748"/>
      <w:r>
        <w:rPr>
          <w:rFonts w:hint="eastAsia" w:ascii="宋体" w:hAnsi="宋体" w:cs="宋体"/>
          <w:b/>
          <w:bCs/>
          <w:szCs w:val="21"/>
        </w:rPr>
        <w:t>三、虚假、恶意投诉法律责任</w:t>
      </w:r>
      <w:bookmarkEnd w:id="103"/>
      <w:bookmarkEnd w:id="104"/>
      <w:bookmarkEnd w:id="105"/>
      <w:bookmarkEnd w:id="106"/>
    </w:p>
    <w:p>
      <w:pPr>
        <w:spacing w:line="400" w:lineRule="exact"/>
        <w:ind w:firstLine="420" w:firstLineChars="200"/>
        <w:rPr>
          <w:rFonts w:ascii="宋体" w:hAnsi="宋体" w:cs="宋体"/>
          <w:szCs w:val="21"/>
        </w:rPr>
      </w:pPr>
      <w:r>
        <w:rPr>
          <w:rFonts w:hint="eastAsia" w:ascii="宋体" w:hAnsi="宋体" w:cs="宋体"/>
          <w:szCs w:val="21"/>
        </w:rPr>
        <w:t>第七十三条：供应商捏造实施、提供虚假材料或者以非法手段取得证明材料进行投诉的，由财政部门列入不良行为记录名单，禁止其1至3年内参加政府采购活动。</w:t>
      </w:r>
    </w:p>
    <w:p>
      <w:pPr>
        <w:spacing w:line="400" w:lineRule="exact"/>
        <w:ind w:firstLine="420" w:firstLineChars="200"/>
        <w:rPr>
          <w:rFonts w:ascii="宋体" w:hAnsi="宋体" w:cs="宋体"/>
          <w:szCs w:val="21"/>
        </w:rPr>
      </w:pPr>
      <w:r>
        <w:rPr>
          <w:rFonts w:hint="eastAsia" w:ascii="宋体" w:hAnsi="宋体" w:cs="宋体"/>
          <w:szCs w:val="21"/>
        </w:rPr>
        <w:t>《政府采购供应商投诉处理办法》第二十六条：投诉人有下列情形之一的，属于虚假、恶意投诉，财政部门应当驳回投诉，将其列入不良行为记录名单，并依法予以处罚：</w:t>
      </w:r>
    </w:p>
    <w:p>
      <w:pPr>
        <w:spacing w:line="400" w:lineRule="exact"/>
        <w:ind w:firstLine="420" w:firstLineChars="200"/>
        <w:rPr>
          <w:rFonts w:ascii="宋体" w:hAnsi="宋体" w:cs="宋体"/>
          <w:szCs w:val="21"/>
        </w:rPr>
      </w:pPr>
      <w:r>
        <w:rPr>
          <w:rFonts w:hint="eastAsia" w:ascii="宋体" w:hAnsi="宋体" w:cs="宋体"/>
          <w:szCs w:val="21"/>
        </w:rPr>
        <w:t>（一）1年内3次以上投诉均查无实据的；</w:t>
      </w:r>
    </w:p>
    <w:p>
      <w:pPr>
        <w:spacing w:line="400" w:lineRule="exact"/>
        <w:ind w:firstLine="420" w:firstLineChars="200"/>
        <w:rPr>
          <w:rFonts w:ascii="宋体" w:hAnsi="宋体" w:cs="宋体"/>
          <w:szCs w:val="21"/>
        </w:rPr>
      </w:pPr>
      <w:r>
        <w:rPr>
          <w:rFonts w:hint="eastAsia" w:ascii="宋体" w:hAnsi="宋体" w:cs="宋体"/>
          <w:szCs w:val="21"/>
        </w:rPr>
        <w:t>（二）捏造事实或者提供虚假投诉材料的。</w:t>
      </w:r>
    </w:p>
    <w:p>
      <w:pPr>
        <w:spacing w:line="400" w:lineRule="exact"/>
        <w:rPr>
          <w:rFonts w:ascii="宋体" w:hAnsi="宋体" w:cs="宋体"/>
          <w:szCs w:val="21"/>
        </w:rPr>
      </w:pPr>
    </w:p>
    <w:p>
      <w:pPr>
        <w:spacing w:line="400" w:lineRule="exact"/>
        <w:rPr>
          <w:rFonts w:ascii="宋体" w:hAnsi="宋体" w:cs="宋体"/>
          <w:szCs w:val="21"/>
        </w:rPr>
      </w:pPr>
    </w:p>
    <w:p>
      <w:pPr>
        <w:rPr>
          <w:rFonts w:ascii="宋体" w:hAnsi="宋体" w:cs="宋体"/>
          <w:szCs w:val="21"/>
        </w:rPr>
      </w:pPr>
      <w:r>
        <w:rPr>
          <w:rFonts w:hint="eastAsia" w:ascii="宋体" w:hAnsi="宋体" w:cs="宋体"/>
          <w:szCs w:val="21"/>
        </w:rPr>
        <w:t>递交投诉书地址：克州财政局政府采购办监管办公室</w:t>
      </w:r>
    </w:p>
    <w:p>
      <w:pPr>
        <w:jc w:val="right"/>
        <w:rPr>
          <w:rFonts w:ascii="宋体" w:hAnsi="宋体" w:cs="宋体"/>
          <w:sz w:val="32"/>
          <w:szCs w:val="32"/>
        </w:rPr>
      </w:pPr>
    </w:p>
    <w:p>
      <w:pPr>
        <w:spacing w:line="540" w:lineRule="exact"/>
        <w:jc w:val="center"/>
        <w:rPr>
          <w:rFonts w:ascii="宋体" w:hAnsi="宋体" w:cs="宋体"/>
          <w:b/>
          <w:bCs/>
          <w:sz w:val="44"/>
          <w:szCs w:val="44"/>
        </w:rPr>
      </w:pPr>
    </w:p>
    <w:p>
      <w:pPr>
        <w:spacing w:line="540" w:lineRule="exact"/>
        <w:jc w:val="center"/>
        <w:rPr>
          <w:rFonts w:ascii="宋体" w:hAnsi="宋体" w:cs="宋体"/>
          <w:b/>
          <w:bCs/>
          <w:sz w:val="44"/>
          <w:szCs w:val="44"/>
        </w:rPr>
      </w:pPr>
    </w:p>
    <w:p>
      <w:pPr>
        <w:spacing w:line="540" w:lineRule="exact"/>
        <w:jc w:val="center"/>
        <w:rPr>
          <w:rFonts w:ascii="宋体" w:hAnsi="宋体" w:cs="宋体"/>
          <w:b/>
          <w:bCs/>
          <w:sz w:val="44"/>
          <w:szCs w:val="44"/>
        </w:rPr>
      </w:pPr>
    </w:p>
    <w:p>
      <w:pPr>
        <w:spacing w:line="540" w:lineRule="exact"/>
        <w:jc w:val="center"/>
        <w:rPr>
          <w:rFonts w:ascii="宋体" w:hAnsi="宋体" w:cs="宋体"/>
          <w:b/>
          <w:bCs/>
          <w:sz w:val="44"/>
          <w:szCs w:val="44"/>
        </w:rPr>
      </w:pPr>
    </w:p>
    <w:p>
      <w:pPr>
        <w:spacing w:line="540" w:lineRule="exact"/>
        <w:jc w:val="center"/>
        <w:rPr>
          <w:rFonts w:ascii="宋体" w:hAnsi="宋体" w:cs="宋体"/>
          <w:b/>
          <w:bCs/>
          <w:sz w:val="44"/>
          <w:szCs w:val="44"/>
        </w:rPr>
      </w:pPr>
    </w:p>
    <w:p>
      <w:pPr>
        <w:spacing w:line="540" w:lineRule="exact"/>
        <w:jc w:val="center"/>
        <w:rPr>
          <w:rFonts w:ascii="宋体" w:hAnsi="宋体" w:cs="宋体"/>
          <w:b/>
          <w:bCs/>
          <w:sz w:val="44"/>
          <w:szCs w:val="44"/>
        </w:rPr>
      </w:pPr>
    </w:p>
    <w:p>
      <w:pPr>
        <w:spacing w:line="540" w:lineRule="exact"/>
        <w:outlineLvl w:val="0"/>
        <w:rPr>
          <w:rFonts w:ascii="宋体" w:hAnsi="宋体" w:cs="宋体"/>
          <w:b/>
          <w:bCs/>
          <w:sz w:val="44"/>
          <w:szCs w:val="44"/>
        </w:rPr>
      </w:pPr>
      <w:bookmarkStart w:id="107" w:name="_Toc1697"/>
    </w:p>
    <w:p>
      <w:pPr>
        <w:spacing w:line="540" w:lineRule="exact"/>
        <w:jc w:val="center"/>
        <w:outlineLvl w:val="0"/>
        <w:rPr>
          <w:rFonts w:ascii="宋体" w:hAnsi="宋体" w:cs="宋体"/>
          <w:b/>
          <w:bCs/>
          <w:sz w:val="32"/>
          <w:szCs w:val="32"/>
        </w:rPr>
      </w:pPr>
      <w:bookmarkStart w:id="108" w:name="_Toc111210749"/>
      <w:bookmarkStart w:id="109" w:name="_Toc111210545"/>
      <w:bookmarkStart w:id="110" w:name="_Toc111210323"/>
    </w:p>
    <w:p>
      <w:pPr>
        <w:spacing w:line="540" w:lineRule="exact"/>
        <w:jc w:val="center"/>
        <w:outlineLvl w:val="0"/>
        <w:rPr>
          <w:rFonts w:ascii="宋体" w:hAnsi="宋体" w:cs="宋体"/>
          <w:b/>
          <w:bCs/>
          <w:sz w:val="32"/>
          <w:szCs w:val="32"/>
        </w:rPr>
      </w:pPr>
    </w:p>
    <w:p>
      <w:pPr>
        <w:spacing w:line="540" w:lineRule="exact"/>
        <w:jc w:val="center"/>
        <w:outlineLvl w:val="0"/>
        <w:rPr>
          <w:rFonts w:ascii="宋体" w:hAnsi="宋体" w:cs="宋体"/>
          <w:b/>
          <w:bCs/>
          <w:sz w:val="32"/>
          <w:szCs w:val="32"/>
        </w:rPr>
      </w:pPr>
    </w:p>
    <w:p>
      <w:pPr>
        <w:spacing w:line="540" w:lineRule="exact"/>
        <w:jc w:val="center"/>
        <w:outlineLvl w:val="0"/>
        <w:rPr>
          <w:rFonts w:ascii="宋体" w:hAnsi="宋体" w:cs="宋体"/>
          <w:b/>
          <w:bCs/>
          <w:sz w:val="32"/>
          <w:szCs w:val="32"/>
        </w:rPr>
      </w:pPr>
    </w:p>
    <w:p>
      <w:pPr>
        <w:spacing w:line="540" w:lineRule="exact"/>
        <w:jc w:val="center"/>
        <w:outlineLvl w:val="0"/>
        <w:rPr>
          <w:rFonts w:ascii="宋体" w:hAnsi="宋体" w:cs="宋体"/>
          <w:b/>
          <w:bCs/>
          <w:sz w:val="32"/>
          <w:szCs w:val="32"/>
        </w:rPr>
      </w:pPr>
    </w:p>
    <w:p>
      <w:pPr>
        <w:spacing w:line="540" w:lineRule="exact"/>
        <w:outlineLvl w:val="0"/>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spacing w:line="540" w:lineRule="exact"/>
        <w:jc w:val="center"/>
        <w:outlineLvl w:val="0"/>
        <w:rPr>
          <w:rFonts w:ascii="宋体" w:hAnsi="宋体" w:cs="宋体"/>
          <w:b/>
          <w:bCs/>
          <w:sz w:val="32"/>
          <w:szCs w:val="32"/>
        </w:rPr>
      </w:pPr>
      <w:r>
        <w:rPr>
          <w:rFonts w:hint="eastAsia" w:ascii="宋体" w:hAnsi="宋体" w:cs="宋体"/>
          <w:b/>
          <w:bCs/>
          <w:sz w:val="32"/>
          <w:szCs w:val="32"/>
        </w:rPr>
        <w:t>质疑函范本</w:t>
      </w:r>
      <w:bookmarkEnd w:id="107"/>
      <w:bookmarkEnd w:id="108"/>
      <w:bookmarkEnd w:id="109"/>
      <w:bookmarkEnd w:id="110"/>
    </w:p>
    <w:p>
      <w:pPr>
        <w:adjustRightInd w:val="0"/>
        <w:snapToGrid w:val="0"/>
        <w:spacing w:before="312" w:beforeLines="100" w:line="540" w:lineRule="exact"/>
        <w:ind w:firstLine="420" w:firstLineChars="200"/>
        <w:outlineLvl w:val="0"/>
        <w:rPr>
          <w:rFonts w:ascii="宋体" w:hAnsi="宋体" w:cs="宋体"/>
          <w:bCs/>
          <w:szCs w:val="21"/>
        </w:rPr>
      </w:pPr>
      <w:bookmarkStart w:id="111" w:name="_Toc9061"/>
      <w:bookmarkStart w:id="112" w:name="_Toc111210750"/>
      <w:bookmarkStart w:id="113" w:name="_Toc111210546"/>
      <w:bookmarkStart w:id="114" w:name="_Toc111210324"/>
      <w:r>
        <w:rPr>
          <w:rFonts w:hint="eastAsia" w:ascii="宋体" w:hAnsi="宋体" w:cs="宋体"/>
          <w:bCs/>
          <w:szCs w:val="21"/>
        </w:rPr>
        <w:t>一、质疑供应商基本信息</w:t>
      </w:r>
      <w:bookmarkEnd w:id="111"/>
      <w:bookmarkEnd w:id="112"/>
      <w:bookmarkEnd w:id="113"/>
      <w:bookmarkEnd w:id="114"/>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质疑供应商：</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授权代表：</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 xml:space="preserve">地址： </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pPr>
        <w:adjustRightInd w:val="0"/>
        <w:snapToGrid w:val="0"/>
        <w:spacing w:line="540" w:lineRule="exact"/>
        <w:ind w:firstLine="420" w:firstLineChars="200"/>
        <w:outlineLvl w:val="0"/>
        <w:rPr>
          <w:rFonts w:ascii="宋体" w:hAnsi="宋体" w:cs="宋体"/>
          <w:bCs/>
          <w:szCs w:val="21"/>
        </w:rPr>
      </w:pPr>
      <w:bookmarkStart w:id="115" w:name="_Toc111210325"/>
      <w:bookmarkStart w:id="116" w:name="_Toc15938"/>
      <w:bookmarkStart w:id="117" w:name="_Toc111210751"/>
      <w:bookmarkStart w:id="118" w:name="_Toc111210547"/>
      <w:r>
        <w:rPr>
          <w:rFonts w:hint="eastAsia" w:ascii="宋体" w:hAnsi="宋体" w:cs="宋体"/>
          <w:bCs/>
          <w:szCs w:val="21"/>
        </w:rPr>
        <w:t>二、质疑项目基本情况</w:t>
      </w:r>
      <w:bookmarkEnd w:id="115"/>
      <w:bookmarkEnd w:id="116"/>
      <w:bookmarkEnd w:id="117"/>
      <w:bookmarkEnd w:id="118"/>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质疑项目的名称：</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质疑项目的编号：</w:t>
      </w:r>
      <w:r>
        <w:rPr>
          <w:rFonts w:hint="eastAsia" w:ascii="宋体" w:hAnsi="宋体" w:cs="宋体"/>
          <w:szCs w:val="21"/>
          <w:u w:val="dotted"/>
        </w:rPr>
        <w:t xml:space="preserve">               </w:t>
      </w:r>
      <w:r>
        <w:rPr>
          <w:rFonts w:hint="eastAsia" w:ascii="宋体" w:hAnsi="宋体" w:cs="宋体"/>
          <w:szCs w:val="21"/>
        </w:rPr>
        <w:t>包号：</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采购人名称：</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采购文件获取日期：</w:t>
      </w:r>
      <w:r>
        <w:rPr>
          <w:rFonts w:hint="eastAsia" w:ascii="宋体" w:hAnsi="宋体" w:cs="宋体"/>
          <w:szCs w:val="21"/>
          <w:u w:val="dotted"/>
        </w:rPr>
        <w:t xml:space="preserve">                                   </w:t>
      </w:r>
    </w:p>
    <w:p>
      <w:pPr>
        <w:adjustRightInd w:val="0"/>
        <w:snapToGrid w:val="0"/>
        <w:spacing w:line="540" w:lineRule="exact"/>
        <w:ind w:firstLine="420" w:firstLineChars="200"/>
        <w:outlineLvl w:val="0"/>
        <w:rPr>
          <w:rFonts w:ascii="宋体" w:hAnsi="宋体" w:cs="宋体"/>
          <w:bCs/>
          <w:szCs w:val="21"/>
        </w:rPr>
      </w:pPr>
      <w:bookmarkStart w:id="119" w:name="_Toc18271"/>
      <w:bookmarkStart w:id="120" w:name="_Toc111210752"/>
      <w:bookmarkStart w:id="121" w:name="_Toc111210548"/>
      <w:bookmarkStart w:id="122" w:name="_Toc111210326"/>
      <w:r>
        <w:rPr>
          <w:rFonts w:hint="eastAsia" w:ascii="宋体" w:hAnsi="宋体" w:cs="宋体"/>
          <w:bCs/>
          <w:szCs w:val="21"/>
        </w:rPr>
        <w:t>三、质疑事项具体内容</w:t>
      </w:r>
      <w:bookmarkEnd w:id="119"/>
      <w:bookmarkEnd w:id="120"/>
      <w:bookmarkEnd w:id="121"/>
      <w:bookmarkEnd w:id="122"/>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质疑事项1：</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事实依据：</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法律依据：</w:t>
      </w:r>
      <w:r>
        <w:rPr>
          <w:rFonts w:hint="eastAsia" w:ascii="宋体" w:hAnsi="宋体" w:cs="宋体"/>
          <w:szCs w:val="21"/>
          <w:u w:val="dotted"/>
        </w:rPr>
        <w:t xml:space="preserve">                                           </w:t>
      </w:r>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质疑事项2</w:t>
      </w:r>
    </w:p>
    <w:p>
      <w:pPr>
        <w:adjustRightInd w:val="0"/>
        <w:snapToGrid w:val="0"/>
        <w:spacing w:line="540" w:lineRule="exact"/>
        <w:ind w:firstLine="420" w:firstLineChars="200"/>
        <w:rPr>
          <w:rFonts w:ascii="宋体" w:hAnsi="宋体" w:cs="宋体"/>
          <w:szCs w:val="21"/>
        </w:rPr>
      </w:pPr>
      <w:r>
        <w:rPr>
          <w:rFonts w:hint="eastAsia" w:ascii="宋体" w:hAnsi="宋体" w:cs="宋体"/>
          <w:szCs w:val="21"/>
        </w:rPr>
        <w:t>……</w:t>
      </w:r>
    </w:p>
    <w:p>
      <w:pPr>
        <w:adjustRightInd w:val="0"/>
        <w:snapToGrid w:val="0"/>
        <w:spacing w:line="540" w:lineRule="exact"/>
        <w:ind w:firstLine="420" w:firstLineChars="200"/>
        <w:outlineLvl w:val="0"/>
        <w:rPr>
          <w:rFonts w:ascii="宋体" w:hAnsi="宋体" w:cs="宋体"/>
          <w:bCs/>
          <w:szCs w:val="21"/>
        </w:rPr>
      </w:pPr>
      <w:bookmarkStart w:id="123" w:name="_Toc111210549"/>
      <w:bookmarkStart w:id="124" w:name="_Toc22365"/>
      <w:bookmarkStart w:id="125" w:name="_Toc111210327"/>
      <w:bookmarkStart w:id="126" w:name="_Toc111210753"/>
      <w:r>
        <w:rPr>
          <w:rFonts w:hint="eastAsia" w:ascii="宋体" w:hAnsi="宋体" w:cs="宋体"/>
          <w:bCs/>
          <w:szCs w:val="21"/>
        </w:rPr>
        <w:t>四、与质疑事项相关的质疑请求</w:t>
      </w:r>
      <w:bookmarkEnd w:id="123"/>
      <w:bookmarkEnd w:id="124"/>
      <w:bookmarkEnd w:id="125"/>
      <w:bookmarkEnd w:id="126"/>
    </w:p>
    <w:p>
      <w:pPr>
        <w:adjustRightInd w:val="0"/>
        <w:snapToGrid w:val="0"/>
        <w:spacing w:line="540" w:lineRule="exact"/>
        <w:ind w:firstLine="420" w:firstLineChars="200"/>
        <w:rPr>
          <w:rFonts w:ascii="宋体" w:hAnsi="宋体" w:cs="宋体"/>
          <w:szCs w:val="21"/>
          <w:u w:val="dotted"/>
        </w:rPr>
      </w:pPr>
      <w:r>
        <w:rPr>
          <w:rFonts w:hint="eastAsia" w:ascii="宋体" w:hAnsi="宋体" w:cs="宋体"/>
          <w:szCs w:val="21"/>
        </w:rPr>
        <w:t>请求：</w:t>
      </w:r>
      <w:r>
        <w:rPr>
          <w:rFonts w:hint="eastAsia" w:ascii="宋体" w:hAnsi="宋体" w:cs="宋体"/>
          <w:szCs w:val="21"/>
          <w:u w:val="dotted"/>
        </w:rPr>
        <w:t xml:space="preserve">                                               </w:t>
      </w:r>
    </w:p>
    <w:p>
      <w:pPr>
        <w:spacing w:line="540" w:lineRule="exact"/>
        <w:ind w:firstLine="420" w:firstLineChars="200"/>
        <w:rPr>
          <w:rFonts w:ascii="宋体" w:hAnsi="宋体" w:cs="宋体"/>
          <w:szCs w:val="21"/>
        </w:rPr>
      </w:pPr>
      <w:r>
        <w:rPr>
          <w:rFonts w:hint="eastAsia" w:ascii="宋体" w:hAnsi="宋体" w:cs="宋体"/>
          <w:szCs w:val="21"/>
        </w:rPr>
        <w:t xml:space="preserve">签字(签章)：                   公章：                      </w:t>
      </w:r>
    </w:p>
    <w:p>
      <w:pPr>
        <w:spacing w:line="540" w:lineRule="exact"/>
        <w:ind w:firstLine="420" w:firstLineChars="200"/>
        <w:rPr>
          <w:rFonts w:ascii="宋体" w:hAnsi="宋体" w:cs="宋体"/>
          <w:b/>
          <w:bCs/>
          <w:szCs w:val="21"/>
        </w:rPr>
      </w:pPr>
      <w:r>
        <w:rPr>
          <w:rFonts w:hint="eastAsia" w:ascii="宋体" w:hAnsi="宋体" w:cs="宋体"/>
          <w:szCs w:val="21"/>
        </w:rPr>
        <w:t xml:space="preserve">日期：    </w:t>
      </w:r>
    </w:p>
    <w:p>
      <w:pPr>
        <w:pageBreakBefore/>
        <w:spacing w:line="440" w:lineRule="exact"/>
        <w:ind w:firstLine="3900" w:firstLineChars="1300"/>
        <w:outlineLvl w:val="0"/>
        <w:rPr>
          <w:rFonts w:ascii="黑体" w:eastAsia="黑体"/>
          <w:sz w:val="30"/>
          <w:szCs w:val="30"/>
        </w:rPr>
      </w:pPr>
      <w:bookmarkStart w:id="127" w:name="_Toc111210754"/>
      <w:r>
        <w:rPr>
          <w:rFonts w:hint="eastAsia" w:ascii="黑体" w:eastAsia="黑体"/>
          <w:sz w:val="30"/>
          <w:szCs w:val="30"/>
        </w:rPr>
        <w:t>第三章  评标办法</w:t>
      </w:r>
      <w:bookmarkEnd w:id="127"/>
    </w:p>
    <w:p>
      <w:pPr>
        <w:jc w:val="center"/>
        <w:outlineLvl w:val="1"/>
        <w:rPr>
          <w:rFonts w:ascii="宋体"/>
          <w:b/>
          <w:sz w:val="28"/>
          <w:szCs w:val="28"/>
        </w:rPr>
      </w:pPr>
      <w:bookmarkStart w:id="128" w:name="_Toc111210755"/>
      <w:bookmarkStart w:id="129" w:name="_Toc362983802"/>
      <w:bookmarkStart w:id="130" w:name="_Toc267320058"/>
      <w:bookmarkStart w:id="131" w:name="_Toc363135205"/>
      <w:r>
        <w:rPr>
          <w:rFonts w:hint="eastAsia" w:ascii="宋体"/>
          <w:b/>
          <w:sz w:val="28"/>
          <w:szCs w:val="28"/>
        </w:rPr>
        <w:t>一  总  则</w:t>
      </w:r>
      <w:bookmarkEnd w:id="128"/>
    </w:p>
    <w:p>
      <w:pPr>
        <w:tabs>
          <w:tab w:val="left" w:pos="567"/>
          <w:tab w:val="left" w:pos="600"/>
        </w:tabs>
        <w:spacing w:line="440" w:lineRule="exact"/>
        <w:ind w:firstLine="535" w:firstLineChars="255"/>
        <w:rPr>
          <w:rFonts w:ascii="宋体" w:hAnsi="宋体" w:cs="宋体"/>
          <w:b/>
          <w:bCs/>
          <w:szCs w:val="21"/>
        </w:rPr>
      </w:pPr>
      <w:r>
        <w:rPr>
          <w:rFonts w:hint="eastAsia" w:ascii="宋体" w:hAnsi="宋体" w:cs="宋体"/>
          <w:b/>
          <w:bCs/>
          <w:szCs w:val="21"/>
        </w:rPr>
        <w:t>1、一般规定</w:t>
      </w:r>
    </w:p>
    <w:p>
      <w:pPr>
        <w:spacing w:line="440" w:lineRule="exact"/>
        <w:ind w:firstLine="535" w:firstLineChars="255"/>
        <w:rPr>
          <w:rFonts w:ascii="宋体" w:hAnsi="宋体" w:cs="宋体"/>
          <w:szCs w:val="21"/>
        </w:rPr>
      </w:pPr>
      <w:r>
        <w:rPr>
          <w:rFonts w:hint="eastAsia" w:ascii="宋体" w:hAnsi="宋体" w:cs="宋体"/>
          <w:szCs w:val="21"/>
        </w:rPr>
        <w:t>1.1本项目的招标按照《中华人民共和国政府采购法》、《政府采购货物和服务招标投标管理办法》及政府采购的有关规定进行。</w:t>
      </w:r>
    </w:p>
    <w:p>
      <w:pPr>
        <w:spacing w:line="440" w:lineRule="exact"/>
        <w:ind w:firstLine="535" w:firstLineChars="255"/>
        <w:rPr>
          <w:rFonts w:ascii="宋体" w:hAnsi="宋体" w:cs="宋体"/>
          <w:szCs w:val="21"/>
        </w:rPr>
      </w:pPr>
      <w:r>
        <w:rPr>
          <w:rFonts w:hint="eastAsia" w:ascii="宋体" w:hAnsi="宋体" w:cs="宋体"/>
          <w:szCs w:val="21"/>
        </w:rPr>
        <w:t>1.2评标必须遵循邀请、公平、公正、诚实信用的原则。</w:t>
      </w:r>
    </w:p>
    <w:p>
      <w:pPr>
        <w:spacing w:line="440" w:lineRule="exact"/>
        <w:ind w:firstLine="535" w:firstLineChars="255"/>
        <w:rPr>
          <w:rFonts w:ascii="宋体" w:hAnsi="宋体" w:cs="宋体"/>
          <w:szCs w:val="21"/>
        </w:rPr>
      </w:pPr>
      <w:r>
        <w:rPr>
          <w:rFonts w:hint="eastAsia" w:ascii="宋体" w:hAnsi="宋体" w:cs="宋体"/>
          <w:szCs w:val="21"/>
        </w:rPr>
        <w:t>1.3招标代理机构组织招标、开标、评标工作，全过程接受政府采购有关部门的监督、管理和指导。</w:t>
      </w:r>
    </w:p>
    <w:p>
      <w:pPr>
        <w:spacing w:line="440" w:lineRule="exact"/>
        <w:ind w:firstLine="535" w:firstLineChars="255"/>
        <w:rPr>
          <w:rFonts w:ascii="宋体" w:hAnsi="宋体" w:cs="宋体"/>
          <w:szCs w:val="21"/>
        </w:rPr>
      </w:pPr>
      <w:r>
        <w:rPr>
          <w:rFonts w:hint="eastAsia" w:ascii="宋体" w:hAnsi="宋体" w:cs="宋体"/>
          <w:szCs w:val="21"/>
        </w:rPr>
        <w:t>1.4本办法的评标对象是指投标人按照招标文件要求提供的有效投标文件，包括投标人应评标委员会要求对原投标文件作出的正式书面澄清文件。</w:t>
      </w:r>
    </w:p>
    <w:p>
      <w:pPr>
        <w:tabs>
          <w:tab w:val="left" w:pos="567"/>
          <w:tab w:val="left" w:pos="1145"/>
        </w:tabs>
        <w:spacing w:line="440" w:lineRule="exact"/>
        <w:ind w:firstLine="535" w:firstLineChars="255"/>
        <w:rPr>
          <w:rFonts w:ascii="宋体" w:hAnsi="宋体" w:cs="宋体"/>
          <w:b/>
          <w:bCs/>
          <w:szCs w:val="21"/>
        </w:rPr>
      </w:pPr>
      <w:r>
        <w:rPr>
          <w:rFonts w:hint="eastAsia" w:ascii="宋体" w:hAnsi="宋体" w:cs="宋体"/>
          <w:b/>
          <w:bCs/>
          <w:szCs w:val="21"/>
        </w:rPr>
        <w:t>2、评标组织机构的组成</w:t>
      </w:r>
    </w:p>
    <w:p>
      <w:pPr>
        <w:widowControl/>
        <w:spacing w:line="440" w:lineRule="exact"/>
        <w:ind w:firstLine="480"/>
        <w:rPr>
          <w:rFonts w:ascii="宋体" w:hAnsi="宋体" w:cs="宋体"/>
          <w:b/>
          <w:bCs/>
          <w:kern w:val="0"/>
          <w:szCs w:val="21"/>
        </w:rPr>
      </w:pPr>
      <w:r>
        <w:rPr>
          <w:rFonts w:hint="eastAsia" w:ascii="宋体" w:hAnsi="宋体" w:cs="宋体"/>
          <w:b/>
          <w:bCs/>
          <w:szCs w:val="21"/>
        </w:rPr>
        <w:t>2.1</w:t>
      </w:r>
      <w:r>
        <w:rPr>
          <w:rFonts w:hint="eastAsia" w:ascii="宋体" w:hAnsi="宋体" w:cs="宋体"/>
          <w:spacing w:val="-2"/>
          <w:sz w:val="24"/>
        </w:rPr>
        <w:t xml:space="preserve"> </w:t>
      </w:r>
      <w:r>
        <w:rPr>
          <w:rFonts w:hint="eastAsia" w:ascii="宋体" w:hAnsi="宋体" w:cs="宋体"/>
          <w:kern w:val="0"/>
          <w:szCs w:val="21"/>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535" w:firstLineChars="255"/>
        <w:rPr>
          <w:rFonts w:ascii="宋体" w:hAnsi="宋体" w:cs="宋体"/>
          <w:szCs w:val="21"/>
        </w:rPr>
      </w:pPr>
      <w:r>
        <w:rPr>
          <w:rFonts w:hint="eastAsia" w:ascii="宋体" w:hAnsi="宋体" w:cs="宋体"/>
          <w:szCs w:val="21"/>
        </w:rPr>
        <w:t>2.2评标工作组由招标人及有关专家组成，由评标委员会确认，并接受其领导。</w:t>
      </w:r>
    </w:p>
    <w:p>
      <w:pPr>
        <w:tabs>
          <w:tab w:val="left" w:pos="567"/>
          <w:tab w:val="left" w:pos="1145"/>
        </w:tabs>
        <w:spacing w:line="440" w:lineRule="exact"/>
        <w:ind w:firstLine="535" w:firstLineChars="255"/>
        <w:rPr>
          <w:rFonts w:ascii="宋体" w:hAnsi="宋体" w:cs="宋体"/>
          <w:szCs w:val="21"/>
        </w:rPr>
      </w:pPr>
      <w:r>
        <w:rPr>
          <w:rFonts w:hint="eastAsia" w:ascii="宋体" w:hAnsi="宋体" w:cs="宋体"/>
          <w:szCs w:val="21"/>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ascii="宋体" w:hAnsi="宋体" w:cs="宋体"/>
          <w:b/>
          <w:bCs/>
          <w:szCs w:val="21"/>
        </w:rPr>
      </w:pPr>
      <w:r>
        <w:rPr>
          <w:rFonts w:hint="eastAsia" w:ascii="宋体" w:hAnsi="宋体" w:cs="宋体"/>
          <w:b/>
          <w:bCs/>
          <w:szCs w:val="21"/>
        </w:rPr>
        <w:t>3、评标委员会职责</w:t>
      </w:r>
    </w:p>
    <w:p>
      <w:pPr>
        <w:pStyle w:val="49"/>
        <w:spacing w:before="0" w:beforeAutospacing="0" w:after="0" w:afterAutospacing="0" w:line="440" w:lineRule="exact"/>
        <w:ind w:firstLine="535" w:firstLineChars="255"/>
        <w:rPr>
          <w:rFonts w:ascii="宋体" w:hAnsi="宋体" w:cs="宋体"/>
          <w:color w:val="auto"/>
          <w:sz w:val="21"/>
          <w:szCs w:val="21"/>
        </w:rPr>
      </w:pPr>
      <w:r>
        <w:rPr>
          <w:rFonts w:hint="eastAsia" w:ascii="宋体" w:hAnsi="宋体" w:cs="宋体"/>
          <w:color w:val="auto"/>
          <w:sz w:val="21"/>
          <w:szCs w:val="21"/>
        </w:rPr>
        <w:t>3.1审查投标文件是否符合招标文件要求，并作出评价；</w:t>
      </w:r>
    </w:p>
    <w:p>
      <w:pPr>
        <w:pStyle w:val="49"/>
        <w:spacing w:before="0" w:beforeAutospacing="0" w:after="0" w:afterAutospacing="0" w:line="440" w:lineRule="exact"/>
        <w:ind w:firstLine="535" w:firstLineChars="255"/>
        <w:rPr>
          <w:rFonts w:ascii="宋体" w:hAnsi="宋体" w:cs="宋体"/>
          <w:color w:val="auto"/>
          <w:sz w:val="21"/>
          <w:szCs w:val="21"/>
        </w:rPr>
      </w:pPr>
      <w:r>
        <w:rPr>
          <w:rFonts w:hint="eastAsia" w:ascii="宋体" w:hAnsi="宋体" w:cs="宋体"/>
          <w:color w:val="auto"/>
          <w:sz w:val="21"/>
          <w:szCs w:val="21"/>
        </w:rPr>
        <w:t>3.2要求投标人对投标文件有关事项作出解释或者澄清；</w:t>
      </w:r>
    </w:p>
    <w:p>
      <w:pPr>
        <w:pStyle w:val="49"/>
        <w:spacing w:before="0" w:beforeAutospacing="0" w:after="0" w:afterAutospacing="0" w:line="440" w:lineRule="exact"/>
        <w:ind w:firstLine="535" w:firstLineChars="255"/>
        <w:rPr>
          <w:rFonts w:ascii="宋体" w:hAnsi="宋体" w:cs="宋体"/>
          <w:color w:val="auto"/>
          <w:sz w:val="21"/>
          <w:szCs w:val="21"/>
        </w:rPr>
      </w:pPr>
      <w:r>
        <w:rPr>
          <w:rFonts w:hint="eastAsia" w:ascii="宋体" w:hAnsi="宋体" w:cs="宋体"/>
          <w:color w:val="auto"/>
          <w:sz w:val="21"/>
          <w:szCs w:val="21"/>
        </w:rPr>
        <w:t>3.3推荐中标候选人名单；</w:t>
      </w:r>
    </w:p>
    <w:p>
      <w:pPr>
        <w:pStyle w:val="49"/>
        <w:spacing w:before="0" w:beforeAutospacing="0" w:after="0" w:afterAutospacing="0" w:line="440" w:lineRule="exact"/>
        <w:ind w:firstLine="535" w:firstLineChars="255"/>
        <w:rPr>
          <w:rFonts w:ascii="宋体" w:hAnsi="宋体" w:cs="宋体"/>
          <w:color w:val="auto"/>
          <w:sz w:val="21"/>
          <w:szCs w:val="21"/>
        </w:rPr>
      </w:pPr>
      <w:r>
        <w:rPr>
          <w:rFonts w:hint="eastAsia" w:ascii="宋体" w:hAnsi="宋体" w:cs="宋体"/>
          <w:color w:val="auto"/>
          <w:sz w:val="21"/>
          <w:szCs w:val="21"/>
        </w:rPr>
        <w:t>3.4向招标人、招标代理机构或者有关部门报告非法干预评标工作的行为。</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4、评标委员会义务</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4.1遵纪守法，客观、公正、廉洁地履行职责；</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4.2按照招标文件规定的评标方法和评标标准进行评标，对评审意见承担个人责任；</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4.3对评标过程和结果，以及投标人的商业秘密保密；</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4.4参与评标报告的起草；</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4.5配合有关部门的投诉处理工作；</w:t>
      </w:r>
    </w:p>
    <w:p>
      <w:pPr>
        <w:tabs>
          <w:tab w:val="left" w:pos="567"/>
          <w:tab w:val="left" w:pos="600"/>
        </w:tabs>
        <w:spacing w:line="440" w:lineRule="exact"/>
        <w:ind w:firstLine="535" w:firstLineChars="255"/>
        <w:rPr>
          <w:rFonts w:ascii="宋体" w:hAnsi="宋体" w:cs="宋体"/>
          <w:szCs w:val="21"/>
        </w:rPr>
      </w:pPr>
      <w:r>
        <w:rPr>
          <w:rFonts w:hint="eastAsia" w:ascii="宋体" w:hAnsi="宋体" w:cs="宋体"/>
          <w:szCs w:val="21"/>
        </w:rPr>
        <w:t>4.6配合招标人、招标代理机构答复投标供应商提出的质疑。</w:t>
      </w:r>
    </w:p>
    <w:p>
      <w:pPr>
        <w:tabs>
          <w:tab w:val="left" w:pos="1547"/>
        </w:tabs>
        <w:spacing w:line="440" w:lineRule="exact"/>
        <w:ind w:firstLine="535" w:firstLineChars="255"/>
        <w:rPr>
          <w:rFonts w:ascii="宋体" w:hAnsi="宋体" w:cs="宋体"/>
          <w:b/>
          <w:bCs/>
          <w:szCs w:val="21"/>
        </w:rPr>
      </w:pPr>
      <w:r>
        <w:rPr>
          <w:rFonts w:hint="eastAsia" w:ascii="宋体" w:hAnsi="宋体" w:cs="宋体"/>
          <w:b/>
          <w:bCs/>
          <w:szCs w:val="21"/>
        </w:rPr>
        <w:t>5、 评标程序</w:t>
      </w:r>
    </w:p>
    <w:p>
      <w:pPr>
        <w:pStyle w:val="19"/>
        <w:tabs>
          <w:tab w:val="left" w:pos="720"/>
          <w:tab w:val="clear" w:pos="0"/>
        </w:tabs>
        <w:spacing w:line="440" w:lineRule="exact"/>
        <w:ind w:firstLine="535" w:firstLineChars="255"/>
        <w:rPr>
          <w:rFonts w:ascii="宋体" w:hAnsi="宋体" w:cs="宋体"/>
          <w:bCs/>
          <w:color w:val="auto"/>
          <w:szCs w:val="21"/>
        </w:rPr>
      </w:pPr>
      <w:r>
        <w:rPr>
          <w:rFonts w:hint="eastAsia" w:ascii="宋体" w:hAnsi="宋体" w:cs="宋体"/>
          <w:bCs/>
          <w:color w:val="auto"/>
          <w:szCs w:val="21"/>
        </w:rPr>
        <w:t>5.1本次评标首先由评标委员会对投标人的投标文件进行初审，对未能通过初审的投标文件作无效标处理；</w:t>
      </w:r>
    </w:p>
    <w:p>
      <w:pPr>
        <w:tabs>
          <w:tab w:val="left" w:pos="720"/>
        </w:tabs>
        <w:spacing w:line="440" w:lineRule="exact"/>
        <w:ind w:firstLine="535" w:firstLineChars="255"/>
        <w:rPr>
          <w:rFonts w:ascii="宋体" w:hAnsi="宋体" w:cs="宋体"/>
          <w:szCs w:val="21"/>
        </w:rPr>
      </w:pPr>
      <w:r>
        <w:rPr>
          <w:rFonts w:hint="eastAsia" w:ascii="宋体" w:hAnsi="宋体" w:cs="宋体"/>
          <w:szCs w:val="21"/>
        </w:rPr>
        <w:t>5.2对通过初审的投标人的投标文件进行详细的比较和评价。如需要，进行必要的澄清工作；</w:t>
      </w:r>
    </w:p>
    <w:p>
      <w:pPr>
        <w:widowControl/>
        <w:spacing w:line="360" w:lineRule="exact"/>
        <w:ind w:firstLine="482"/>
        <w:rPr>
          <w:rFonts w:ascii="宋体" w:hAnsi="宋体" w:cs="宋体"/>
          <w:b/>
          <w:bCs/>
          <w:kern w:val="0"/>
          <w:sz w:val="36"/>
          <w:szCs w:val="36"/>
        </w:rPr>
      </w:pPr>
      <w:r>
        <w:rPr>
          <w:rFonts w:hint="eastAsia" w:ascii="宋体" w:hAnsi="宋体" w:cs="宋体"/>
          <w:szCs w:val="21"/>
        </w:rPr>
        <w:t>5.3依据评分标准以及各项权值，各位评委单独就每个投标人的</w:t>
      </w:r>
      <w:r>
        <w:rPr>
          <w:rFonts w:hint="eastAsia" w:ascii="宋体" w:hAnsi="宋体" w:cs="宋体"/>
          <w:kern w:val="0"/>
          <w:szCs w:val="21"/>
        </w:rPr>
        <w:t>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宋体" w:hAnsi="宋体" w:cs="宋体"/>
          <w:kern w:val="0"/>
          <w:szCs w:val="21"/>
        </w:rPr>
        <w:t>财务状况</w:t>
      </w:r>
      <w:r>
        <w:rPr>
          <w:rFonts w:hint="eastAsia" w:ascii="宋体" w:hAnsi="宋体" w:cs="宋体"/>
          <w:kern w:val="0"/>
          <w:szCs w:val="21"/>
        </w:rPr>
        <w:fldChar w:fldCharType="end"/>
      </w:r>
      <w:r>
        <w:rPr>
          <w:rFonts w:hint="eastAsia" w:ascii="宋体" w:hAnsi="宋体" w:cs="宋体"/>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jc w:val="center"/>
        <w:outlineLvl w:val="1"/>
        <w:rPr>
          <w:rFonts w:ascii="宋体"/>
          <w:b/>
          <w:sz w:val="28"/>
          <w:szCs w:val="28"/>
        </w:rPr>
      </w:pPr>
    </w:p>
    <w:p>
      <w:pPr>
        <w:jc w:val="center"/>
        <w:outlineLvl w:val="1"/>
        <w:rPr>
          <w:rFonts w:ascii="宋体"/>
          <w:b/>
          <w:sz w:val="28"/>
          <w:szCs w:val="28"/>
        </w:rPr>
      </w:pPr>
      <w:bookmarkStart w:id="132" w:name="_Toc111210756"/>
      <w:r>
        <w:rPr>
          <w:rFonts w:hint="eastAsia" w:ascii="宋体"/>
          <w:b/>
          <w:sz w:val="28"/>
          <w:szCs w:val="28"/>
        </w:rPr>
        <w:t>二  投标文件初审</w:t>
      </w:r>
      <w:bookmarkEnd w:id="129"/>
      <w:bookmarkEnd w:id="132"/>
    </w:p>
    <w:p>
      <w:pPr>
        <w:spacing w:line="400" w:lineRule="exact"/>
        <w:ind w:firstLine="308" w:firstLineChars="147"/>
        <w:rPr>
          <w:rFonts w:ascii="宋体"/>
          <w:b/>
          <w:szCs w:val="21"/>
        </w:rPr>
      </w:pPr>
      <w:r>
        <w:rPr>
          <w:rFonts w:hint="eastAsia" w:ascii="宋体"/>
          <w:b/>
          <w:szCs w:val="21"/>
        </w:rPr>
        <w:t>6.资格性审查:</w:t>
      </w:r>
    </w:p>
    <w:p>
      <w:pPr>
        <w:spacing w:line="400" w:lineRule="exact"/>
        <w:ind w:firstLine="308" w:firstLineChars="147"/>
        <w:rPr>
          <w:szCs w:val="21"/>
        </w:rPr>
      </w:pPr>
      <w:r>
        <w:rPr>
          <w:rFonts w:hint="eastAsia" w:ascii="宋体"/>
          <w:szCs w:val="21"/>
        </w:rPr>
        <w:t>6.1</w:t>
      </w:r>
      <w:r>
        <w:rPr>
          <w:rFonts w:hint="eastAsia"/>
          <w:szCs w:val="21"/>
        </w:rPr>
        <w:t>评审细则</w:t>
      </w:r>
    </w:p>
    <w:tbl>
      <w:tblPr>
        <w:tblStyle w:val="23"/>
        <w:tblpPr w:leftFromText="180" w:rightFromText="180" w:vertAnchor="text" w:tblpXSpec="center" w:tblpY="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81" w:type="dxa"/>
            <w:vMerge w:val="restart"/>
            <w:vAlign w:val="center"/>
          </w:tcPr>
          <w:p>
            <w:pPr>
              <w:jc w:val="center"/>
              <w:rPr>
                <w:rFonts w:ascii="宋体" w:hAnsi="宋体" w:cs="宋体"/>
                <w:b/>
                <w:szCs w:val="21"/>
              </w:rPr>
            </w:pPr>
            <w:r>
              <w:rPr>
                <w:rFonts w:hint="eastAsia" w:ascii="宋体" w:hAnsi="宋体" w:cs="宋体"/>
                <w:b/>
                <w:szCs w:val="21"/>
              </w:rPr>
              <w:t>项目</w:t>
            </w:r>
          </w:p>
        </w:tc>
        <w:tc>
          <w:tcPr>
            <w:tcW w:w="7196" w:type="dxa"/>
            <w:gridSpan w:val="2"/>
            <w:vMerge w:val="restart"/>
            <w:vAlign w:val="center"/>
          </w:tcPr>
          <w:p>
            <w:pPr>
              <w:jc w:val="center"/>
              <w:rPr>
                <w:rFonts w:ascii="宋体" w:hAnsi="宋体" w:cs="宋体"/>
                <w:b/>
                <w:szCs w:val="21"/>
              </w:rPr>
            </w:pPr>
            <w:r>
              <w:rPr>
                <w:rFonts w:hint="eastAsia" w:ascii="宋体" w:hAnsi="宋体" w:cs="宋体"/>
                <w:b/>
                <w:szCs w:val="21"/>
              </w:rPr>
              <w:t>评审内容</w:t>
            </w:r>
          </w:p>
        </w:tc>
        <w:tc>
          <w:tcPr>
            <w:tcW w:w="1209" w:type="dxa"/>
            <w:gridSpan w:val="2"/>
            <w:vAlign w:val="center"/>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1" w:type="dxa"/>
            <w:vMerge w:val="continue"/>
            <w:vAlign w:val="center"/>
          </w:tcPr>
          <w:p>
            <w:pPr>
              <w:rPr>
                <w:rFonts w:ascii="宋体" w:hAnsi="宋体" w:cs="宋体"/>
                <w:sz w:val="18"/>
                <w:szCs w:val="21"/>
              </w:rPr>
            </w:pPr>
          </w:p>
        </w:tc>
        <w:tc>
          <w:tcPr>
            <w:tcW w:w="7196" w:type="dxa"/>
            <w:gridSpan w:val="2"/>
            <w:vMerge w:val="continue"/>
          </w:tcPr>
          <w:p>
            <w:pPr>
              <w:rPr>
                <w:rFonts w:ascii="宋体" w:hAnsi="宋体" w:cs="宋体"/>
                <w:sz w:val="18"/>
                <w:szCs w:val="21"/>
              </w:rPr>
            </w:pPr>
          </w:p>
        </w:tc>
        <w:tc>
          <w:tcPr>
            <w:tcW w:w="555" w:type="dxa"/>
            <w:vAlign w:val="center"/>
          </w:tcPr>
          <w:p>
            <w:pPr>
              <w:jc w:val="center"/>
              <w:rPr>
                <w:rFonts w:ascii="宋体" w:hAnsi="宋体" w:cs="宋体"/>
                <w:b/>
                <w:szCs w:val="21"/>
              </w:rPr>
            </w:pPr>
            <w:r>
              <w:rPr>
                <w:rFonts w:hint="eastAsia" w:ascii="宋体" w:hAnsi="宋体" w:cs="宋体"/>
                <w:b/>
                <w:szCs w:val="21"/>
              </w:rPr>
              <w:t>是</w:t>
            </w:r>
          </w:p>
        </w:tc>
        <w:tc>
          <w:tcPr>
            <w:tcW w:w="654" w:type="dxa"/>
            <w:vAlign w:val="center"/>
          </w:tcPr>
          <w:p>
            <w:pPr>
              <w:jc w:val="center"/>
              <w:rPr>
                <w:rFonts w:ascii="宋体" w:hAnsi="宋体" w:cs="宋体"/>
                <w:b/>
                <w:szCs w:val="21"/>
              </w:rPr>
            </w:pPr>
            <w:r>
              <w:rPr>
                <w:rFonts w:hint="eastAsia" w:ascii="宋体" w:hAnsi="宋体" w:cs="宋体"/>
                <w:b/>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1" w:type="dxa"/>
            <w:vMerge w:val="restart"/>
            <w:vAlign w:val="center"/>
          </w:tcPr>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p>
            <w:pPr>
              <w:jc w:val="center"/>
              <w:rPr>
                <w:rFonts w:ascii="宋体" w:hAnsi="宋体" w:cs="宋体"/>
                <w:szCs w:val="21"/>
              </w:rPr>
            </w:pPr>
            <w:r>
              <w:rPr>
                <w:rFonts w:hint="eastAsia" w:ascii="宋体" w:hAnsi="宋体" w:cs="宋体"/>
                <w:szCs w:val="21"/>
              </w:rPr>
              <w:t>标</w:t>
            </w:r>
          </w:p>
          <w:p>
            <w:pPr>
              <w:jc w:val="center"/>
              <w:rPr>
                <w:rFonts w:ascii="宋体" w:hAnsi="宋体" w:cs="宋体"/>
                <w:szCs w:val="21"/>
              </w:rPr>
            </w:pPr>
            <w:r>
              <w:rPr>
                <w:rFonts w:hint="eastAsia" w:ascii="宋体" w:hAnsi="宋体" w:cs="宋体"/>
                <w:szCs w:val="21"/>
              </w:rPr>
              <w:t>准</w:t>
            </w:r>
          </w:p>
          <w:p>
            <w:pPr>
              <w:jc w:val="center"/>
              <w:rPr>
                <w:rFonts w:ascii="宋体" w:hAnsi="宋体" w:cs="宋体"/>
                <w:szCs w:val="21"/>
              </w:rPr>
            </w:pPr>
            <w:r>
              <w:rPr>
                <w:rFonts w:hint="eastAsia" w:ascii="宋体" w:hAnsi="宋体" w:cs="宋体"/>
                <w:szCs w:val="21"/>
              </w:rPr>
              <w:t>(适</w:t>
            </w:r>
          </w:p>
          <w:p>
            <w:pPr>
              <w:jc w:val="center"/>
              <w:rPr>
                <w:rFonts w:ascii="宋体" w:hAnsi="宋体" w:cs="宋体"/>
                <w:szCs w:val="21"/>
              </w:rPr>
            </w:pPr>
            <w:r>
              <w:rPr>
                <w:rFonts w:hint="eastAsia" w:ascii="宋体" w:hAnsi="宋体" w:cs="宋体"/>
                <w:szCs w:val="21"/>
              </w:rPr>
              <w:t>用</w:t>
            </w:r>
          </w:p>
          <w:p>
            <w:pPr>
              <w:jc w:val="center"/>
              <w:rPr>
                <w:rFonts w:ascii="宋体" w:hAnsi="宋体" w:cs="宋体"/>
                <w:szCs w:val="21"/>
              </w:rPr>
            </w:pPr>
            <w:r>
              <w:rPr>
                <w:rFonts w:hint="eastAsia" w:ascii="宋体" w:hAnsi="宋体" w:cs="宋体"/>
                <w:szCs w:val="21"/>
              </w:rPr>
              <w:t>于</w:t>
            </w:r>
          </w:p>
          <w:p>
            <w:pPr>
              <w:jc w:val="center"/>
              <w:rPr>
                <w:rFonts w:ascii="宋体" w:hAnsi="宋体" w:cs="宋体"/>
                <w:szCs w:val="21"/>
              </w:rPr>
            </w:pPr>
            <w:r>
              <w:rPr>
                <w:rFonts w:hint="eastAsia" w:ascii="宋体" w:hAnsi="宋体" w:cs="宋体"/>
                <w:szCs w:val="21"/>
              </w:rPr>
              <w:t>资</w:t>
            </w:r>
          </w:p>
          <w:p>
            <w:pPr>
              <w:jc w:val="center"/>
              <w:rPr>
                <w:rFonts w:ascii="宋体" w:hAnsi="宋体" w:cs="宋体"/>
                <w:szCs w:val="21"/>
              </w:rPr>
            </w:pPr>
            <w:r>
              <w:rPr>
                <w:rFonts w:hint="eastAsia" w:ascii="宋体" w:hAnsi="宋体" w:cs="宋体"/>
                <w:szCs w:val="21"/>
              </w:rPr>
              <w:t>格</w:t>
            </w:r>
          </w:p>
          <w:p>
            <w:pPr>
              <w:jc w:val="center"/>
              <w:rPr>
                <w:rFonts w:ascii="宋体" w:hAnsi="宋体" w:cs="宋体"/>
                <w:szCs w:val="21"/>
              </w:rPr>
            </w:pPr>
            <w:r>
              <w:rPr>
                <w:rFonts w:hint="eastAsia" w:ascii="宋体" w:hAnsi="宋体" w:cs="宋体"/>
                <w:szCs w:val="21"/>
              </w:rPr>
              <w:t>后</w:t>
            </w:r>
          </w:p>
          <w:p>
            <w:pPr>
              <w:jc w:val="center"/>
              <w:rPr>
                <w:rFonts w:ascii="宋体" w:hAnsi="宋体" w:cs="宋体"/>
                <w:szCs w:val="21"/>
              </w:rPr>
            </w:pPr>
            <w:r>
              <w:rPr>
                <w:rFonts w:hint="eastAsia" w:ascii="宋体" w:hAnsi="宋体" w:cs="宋体"/>
                <w:szCs w:val="21"/>
              </w:rPr>
              <w:t>审)</w:t>
            </w:r>
          </w:p>
        </w:tc>
        <w:tc>
          <w:tcPr>
            <w:tcW w:w="547" w:type="dxa"/>
            <w:vAlign w:val="center"/>
          </w:tcPr>
          <w:p>
            <w:pPr>
              <w:jc w:val="center"/>
              <w:rPr>
                <w:rFonts w:ascii="宋体" w:hAnsi="宋体" w:cs="宋体"/>
                <w:szCs w:val="21"/>
              </w:rPr>
            </w:pPr>
            <w:r>
              <w:rPr>
                <w:rFonts w:hint="eastAsia" w:ascii="宋体" w:hAnsi="宋体" w:cs="宋体"/>
                <w:szCs w:val="21"/>
              </w:rPr>
              <w:t>1</w:t>
            </w:r>
          </w:p>
        </w:tc>
        <w:tc>
          <w:tcPr>
            <w:tcW w:w="6649" w:type="dxa"/>
            <w:vAlign w:val="center"/>
          </w:tcPr>
          <w:p>
            <w:pPr>
              <w:widowControl/>
              <w:jc w:val="left"/>
              <w:textAlignment w:val="center"/>
              <w:rPr>
                <w:rFonts w:ascii="宋体" w:hAnsi="宋体" w:cs="宋体"/>
                <w:szCs w:val="21"/>
              </w:rPr>
            </w:pPr>
            <w:r>
              <w:rPr>
                <w:rFonts w:hint="eastAsia" w:ascii="宋体" w:hAnsi="宋体" w:cs="宋体"/>
                <w:kern w:val="0"/>
                <w:szCs w:val="21"/>
              </w:rPr>
              <w:t>（三证合一）营业执照</w:t>
            </w:r>
            <w:r>
              <w:rPr>
                <w:rFonts w:hint="eastAsia" w:ascii="宋体" w:hAnsi="宋体" w:cs="宋体"/>
                <w:kern w:val="0"/>
                <w:szCs w:val="21"/>
                <w:highlight w:val="none"/>
              </w:rPr>
              <w:t>（副本或电子营业执照）</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2</w:t>
            </w:r>
          </w:p>
        </w:tc>
        <w:tc>
          <w:tcPr>
            <w:tcW w:w="6649" w:type="dxa"/>
            <w:vAlign w:val="center"/>
          </w:tcPr>
          <w:p>
            <w:pPr>
              <w:widowControl/>
              <w:jc w:val="left"/>
              <w:textAlignment w:val="center"/>
              <w:rPr>
                <w:rFonts w:ascii="宋体" w:hAnsi="宋体" w:cs="宋体"/>
                <w:kern w:val="0"/>
                <w:szCs w:val="21"/>
              </w:rPr>
            </w:pPr>
            <w:r>
              <w:rPr>
                <w:rFonts w:hint="eastAsia" w:ascii="宋体" w:hAnsi="宋体" w:cs="宋体"/>
                <w:kern w:val="0"/>
                <w:szCs w:val="21"/>
              </w:rPr>
              <w:t>保证金收据或保函等票据</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3</w:t>
            </w:r>
          </w:p>
        </w:tc>
        <w:tc>
          <w:tcPr>
            <w:tcW w:w="6649" w:type="dxa"/>
            <w:vAlign w:val="center"/>
          </w:tcPr>
          <w:p>
            <w:pPr>
              <w:widowControl/>
              <w:jc w:val="left"/>
              <w:textAlignment w:val="center"/>
              <w:rPr>
                <w:rFonts w:ascii="宋体" w:hAnsi="宋体" w:cs="宋体"/>
                <w:kern w:val="0"/>
                <w:szCs w:val="21"/>
              </w:rPr>
            </w:pPr>
            <w:r>
              <w:rPr>
                <w:rFonts w:hint="eastAsia" w:ascii="宋体" w:hAnsi="宋体" w:cs="宋体"/>
                <w:kern w:val="0"/>
                <w:szCs w:val="21"/>
              </w:rPr>
              <w:t>法定代表人投标需提供法定代表人资格证明书，委托代理人投标需提供法定代表人授权委托书</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4</w:t>
            </w:r>
          </w:p>
        </w:tc>
        <w:tc>
          <w:tcPr>
            <w:tcW w:w="6649" w:type="dxa"/>
            <w:vAlign w:val="center"/>
          </w:tcPr>
          <w:p>
            <w:pPr>
              <w:widowControl/>
              <w:jc w:val="left"/>
              <w:textAlignment w:val="center"/>
              <w:rPr>
                <w:rFonts w:ascii="宋体" w:hAnsi="宋体" w:cs="宋体"/>
                <w:kern w:val="0"/>
                <w:szCs w:val="21"/>
              </w:rPr>
            </w:pPr>
            <w:r>
              <w:rPr>
                <w:rFonts w:hint="eastAsia" w:ascii="宋体" w:hAnsi="宋体" w:cs="宋体"/>
                <w:kern w:val="0"/>
                <w:szCs w:val="21"/>
              </w:rPr>
              <w:t>参加采购活动前三年内，在经营活动中没有重大违法记录，供应商须提供 “信用中国”网站（http://www.creditchina.gov.cn/）、“中国政府采购网”网站（http://www.ccgp.gov.cn）无违法违规行为的查询纪录（提供查询结果网页截图并加盖供应商公章）&lt;自公告发布之日起至投标截止时间从上述网站中查询&gt;</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5</w:t>
            </w:r>
          </w:p>
        </w:tc>
        <w:tc>
          <w:tcPr>
            <w:tcW w:w="6649" w:type="dxa"/>
            <w:vAlign w:val="center"/>
          </w:tcPr>
          <w:p>
            <w:pPr>
              <w:widowControl/>
              <w:jc w:val="left"/>
              <w:textAlignment w:val="center"/>
              <w:rPr>
                <w:rFonts w:ascii="宋体" w:hAnsi="宋体" w:cs="宋体"/>
                <w:kern w:val="0"/>
                <w:szCs w:val="21"/>
              </w:rPr>
            </w:pPr>
            <w:r>
              <w:rPr>
                <w:rFonts w:hint="eastAsia" w:ascii="宋体" w:hAnsi="宋体" w:cs="宋体"/>
                <w:kern w:val="0"/>
                <w:szCs w:val="21"/>
              </w:rPr>
              <w:t>有依法缴纳税收和社会保障资金的良好记录(提供承诺函及依法缴纳社会保障资金证明）</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6</w:t>
            </w:r>
          </w:p>
        </w:tc>
        <w:tc>
          <w:tcPr>
            <w:tcW w:w="6649" w:type="dxa"/>
            <w:vAlign w:val="center"/>
          </w:tcPr>
          <w:p>
            <w:pPr>
              <w:pStyle w:val="2"/>
              <w:rPr>
                <w:rFonts w:ascii="ˎ̥" w:hAnsi="ˎ̥"/>
                <w:color w:val="FF0000"/>
                <w:sz w:val="21"/>
                <w:szCs w:val="21"/>
                <w:highlight w:val="none"/>
              </w:rPr>
            </w:pPr>
            <w:r>
              <w:rPr>
                <w:rFonts w:hint="eastAsia" w:ascii="ˎ̥" w:hAnsi="ˎ̥"/>
                <w:color w:val="FF0000"/>
                <w:sz w:val="21"/>
                <w:szCs w:val="21"/>
                <w:highlight w:val="none"/>
              </w:rPr>
              <w:t>投标人须具备城乡规划编制甲级资质和测绘（地理信息系统工程、地图编制）资质，或土地规划甲级资质和测绘（地理信息工程、地图编制）资质</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81" w:type="dxa"/>
            <w:vMerge w:val="continue"/>
            <w:vAlign w:val="center"/>
          </w:tcPr>
          <w:p>
            <w:pPr>
              <w:rPr>
                <w:rFonts w:ascii="宋体" w:hAnsi="宋体" w:cs="宋体"/>
              </w:rPr>
            </w:pPr>
          </w:p>
        </w:tc>
        <w:tc>
          <w:tcPr>
            <w:tcW w:w="547" w:type="dxa"/>
            <w:vAlign w:val="center"/>
          </w:tcPr>
          <w:p>
            <w:pPr>
              <w:jc w:val="center"/>
              <w:rPr>
                <w:rFonts w:ascii="宋体" w:hAnsi="宋体" w:cs="宋体"/>
                <w:szCs w:val="21"/>
              </w:rPr>
            </w:pPr>
            <w:r>
              <w:rPr>
                <w:rFonts w:hint="eastAsia" w:ascii="宋体" w:hAnsi="宋体" w:cs="宋体"/>
                <w:szCs w:val="21"/>
              </w:rPr>
              <w:t>7</w:t>
            </w:r>
          </w:p>
        </w:tc>
        <w:tc>
          <w:tcPr>
            <w:tcW w:w="6649" w:type="dxa"/>
            <w:vAlign w:val="center"/>
          </w:tcPr>
          <w:p>
            <w:pPr>
              <w:widowControl/>
              <w:jc w:val="left"/>
              <w:textAlignment w:val="center"/>
              <w:rPr>
                <w:rFonts w:ascii="宋体" w:hAnsi="宋体" w:cs="宋体"/>
                <w:kern w:val="0"/>
                <w:szCs w:val="21"/>
                <w:highlight w:val="none"/>
              </w:rPr>
            </w:pPr>
            <w:r>
              <w:rPr>
                <w:rFonts w:hint="eastAsia" w:ascii="ˎ̥" w:hAnsi="ˎ̥"/>
                <w:color w:val="FF0000"/>
                <w:szCs w:val="21"/>
                <w:highlight w:val="none"/>
              </w:rPr>
              <w:t>项目负责人不超过2人，整体应具有城乡规划且具有测绘或数据系统相关专业高级职称证书（专业类型以相关人员职称证书专业为准）</w:t>
            </w:r>
          </w:p>
        </w:tc>
        <w:tc>
          <w:tcPr>
            <w:tcW w:w="555" w:type="dxa"/>
          </w:tcPr>
          <w:p>
            <w:pPr>
              <w:rPr>
                <w:rFonts w:ascii="宋体" w:hAnsi="宋体" w:cs="宋体"/>
                <w:szCs w:val="21"/>
              </w:rPr>
            </w:pPr>
          </w:p>
        </w:tc>
        <w:tc>
          <w:tcPr>
            <w:tcW w:w="6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81" w:type="dxa"/>
            <w:vAlign w:val="center"/>
          </w:tcPr>
          <w:p>
            <w:pPr>
              <w:jc w:val="center"/>
              <w:rPr>
                <w:rFonts w:ascii="宋体" w:hAnsi="宋体" w:cs="宋体"/>
                <w:szCs w:val="21"/>
              </w:rPr>
            </w:pPr>
          </w:p>
        </w:tc>
        <w:tc>
          <w:tcPr>
            <w:tcW w:w="547" w:type="dxa"/>
          </w:tcPr>
          <w:p>
            <w:pPr>
              <w:spacing w:line="440" w:lineRule="exact"/>
              <w:rPr>
                <w:rFonts w:ascii="宋体" w:hAnsi="宋体" w:cs="宋体"/>
                <w:szCs w:val="21"/>
              </w:rPr>
            </w:pPr>
          </w:p>
        </w:tc>
        <w:tc>
          <w:tcPr>
            <w:tcW w:w="6649" w:type="dxa"/>
          </w:tcPr>
          <w:p>
            <w:pPr>
              <w:rPr>
                <w:rFonts w:ascii="宋体" w:hAnsi="宋体" w:cs="宋体"/>
                <w:szCs w:val="21"/>
              </w:rPr>
            </w:pPr>
            <w:r>
              <w:rPr>
                <w:rFonts w:hint="eastAsia" w:ascii="宋体" w:hAnsi="宋体" w:cs="宋体"/>
                <w:szCs w:val="21"/>
              </w:rPr>
              <w:t>结论：是否通过评审（须填写通过或不通过）</w:t>
            </w:r>
          </w:p>
          <w:p>
            <w:pPr>
              <w:rPr>
                <w:rFonts w:ascii="宋体" w:hAnsi="宋体" w:cs="宋体"/>
                <w:szCs w:val="21"/>
              </w:rPr>
            </w:pPr>
            <w:r>
              <w:rPr>
                <w:rFonts w:hint="eastAsia" w:ascii="宋体" w:hAnsi="宋体" w:cs="宋体"/>
                <w:szCs w:val="21"/>
              </w:rPr>
              <w:t>注：如有一项不合格，作废标处理。</w:t>
            </w:r>
          </w:p>
        </w:tc>
        <w:tc>
          <w:tcPr>
            <w:tcW w:w="1209" w:type="dxa"/>
            <w:gridSpan w:val="2"/>
          </w:tcPr>
          <w:p>
            <w:pPr>
              <w:rPr>
                <w:rFonts w:ascii="宋体" w:hAnsi="宋体" w:cs="宋体"/>
                <w:szCs w:val="21"/>
              </w:rPr>
            </w:pPr>
          </w:p>
        </w:tc>
      </w:tr>
    </w:tbl>
    <w:p>
      <w:pPr>
        <w:spacing w:line="400" w:lineRule="exact"/>
        <w:ind w:firstLine="506" w:firstLineChars="241"/>
        <w:rPr>
          <w:rFonts w:ascii="宋体"/>
          <w:b/>
          <w:szCs w:val="21"/>
        </w:rPr>
      </w:pPr>
      <w:r>
        <w:rPr>
          <w:rFonts w:hint="eastAsia" w:ascii="宋体" w:hAnsi="宋体"/>
          <w:b/>
          <w:szCs w:val="21"/>
        </w:rPr>
        <w:t>6.2如评标专家在检验电子标书过程中，如果由于投标人自身原因导致评标专家无法查看并检验电子标书中以上相关资料的，否决其投标。即使投标单位将原件携带至现场的，同样按无效投标处理。</w:t>
      </w:r>
    </w:p>
    <w:p>
      <w:pPr>
        <w:spacing w:before="156" w:beforeLines="50" w:line="440" w:lineRule="exact"/>
        <w:ind w:firstLine="308" w:firstLineChars="147"/>
        <w:rPr>
          <w:rFonts w:ascii="宋体"/>
          <w:b/>
          <w:szCs w:val="21"/>
        </w:rPr>
      </w:pPr>
    </w:p>
    <w:p>
      <w:pPr>
        <w:spacing w:before="156" w:beforeLines="50" w:line="440" w:lineRule="exact"/>
        <w:ind w:firstLine="308" w:firstLineChars="147"/>
        <w:rPr>
          <w:rFonts w:ascii="宋体"/>
          <w:b/>
          <w:szCs w:val="21"/>
        </w:rPr>
      </w:pPr>
    </w:p>
    <w:p>
      <w:pPr>
        <w:pStyle w:val="39"/>
      </w:pPr>
    </w:p>
    <w:p>
      <w:pPr>
        <w:spacing w:before="156" w:beforeLines="50" w:line="440" w:lineRule="exact"/>
        <w:ind w:firstLine="308" w:firstLineChars="147"/>
        <w:rPr>
          <w:rFonts w:ascii="宋体"/>
          <w:b/>
          <w:szCs w:val="21"/>
        </w:rPr>
      </w:pPr>
    </w:p>
    <w:p>
      <w:pPr>
        <w:spacing w:before="156" w:beforeLines="50" w:line="440" w:lineRule="exact"/>
        <w:ind w:firstLine="308" w:firstLineChars="147"/>
        <w:rPr>
          <w:rFonts w:ascii="宋体"/>
          <w:b/>
          <w:szCs w:val="21"/>
        </w:rPr>
      </w:pPr>
      <w:r>
        <w:rPr>
          <w:rFonts w:hint="eastAsia" w:ascii="宋体"/>
          <w:b/>
          <w:szCs w:val="21"/>
        </w:rPr>
        <w:t>7.符合性审查</w:t>
      </w:r>
    </w:p>
    <w:p>
      <w:pPr>
        <w:spacing w:line="440" w:lineRule="exact"/>
        <w:ind w:firstLine="315" w:firstLineChars="150"/>
        <w:rPr>
          <w:rFonts w:ascii="宋体"/>
          <w:szCs w:val="21"/>
        </w:rPr>
      </w:pPr>
      <w:r>
        <w:rPr>
          <w:rFonts w:hint="eastAsia" w:ascii="宋体"/>
          <w:szCs w:val="21"/>
        </w:rPr>
        <w:t>7．1评审细则</w:t>
      </w:r>
    </w:p>
    <w:tbl>
      <w:tblPr>
        <w:tblStyle w:val="23"/>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vAlign w:val="center"/>
          </w:tcPr>
          <w:p>
            <w:pPr>
              <w:jc w:val="center"/>
              <w:rPr>
                <w:rFonts w:ascii="宋体" w:hAnsi="宋体" w:cs="宋体"/>
                <w:b/>
                <w:sz w:val="24"/>
              </w:rPr>
            </w:pPr>
            <w:r>
              <w:rPr>
                <w:rFonts w:hint="eastAsia" w:ascii="宋体" w:hAnsi="宋体" w:cs="宋体"/>
                <w:b/>
                <w:sz w:val="24"/>
              </w:rPr>
              <w:t>项目</w:t>
            </w:r>
          </w:p>
        </w:tc>
        <w:tc>
          <w:tcPr>
            <w:tcW w:w="6832" w:type="dxa"/>
            <w:gridSpan w:val="2"/>
            <w:tcBorders>
              <w:top w:val="single" w:color="auto" w:sz="4" w:space="0"/>
            </w:tcBorders>
            <w:vAlign w:val="center"/>
          </w:tcPr>
          <w:p>
            <w:pPr>
              <w:jc w:val="center"/>
              <w:rPr>
                <w:rFonts w:ascii="宋体" w:hAnsi="宋体" w:cs="宋体"/>
                <w:b/>
                <w:sz w:val="24"/>
              </w:rPr>
            </w:pPr>
            <w:r>
              <w:rPr>
                <w:rFonts w:hint="eastAsia" w:ascii="宋体" w:hAnsi="宋体" w:cs="宋体"/>
                <w:b/>
                <w:sz w:val="24"/>
              </w:rPr>
              <w:t>评审内容</w:t>
            </w:r>
          </w:p>
        </w:tc>
        <w:tc>
          <w:tcPr>
            <w:tcW w:w="1366" w:type="dxa"/>
            <w:gridSpan w:val="2"/>
            <w:tcBorders>
              <w:top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vAlign w:val="center"/>
          </w:tcPr>
          <w:p>
            <w:pPr>
              <w:rPr>
                <w:rFonts w:ascii="宋体" w:hAnsi="宋体" w:cs="宋体"/>
              </w:rPr>
            </w:pPr>
          </w:p>
        </w:tc>
        <w:tc>
          <w:tcPr>
            <w:tcW w:w="6832" w:type="dxa"/>
            <w:gridSpan w:val="2"/>
            <w:tcBorders>
              <w:bottom w:val="single" w:color="auto" w:sz="4" w:space="0"/>
            </w:tcBorders>
          </w:tcPr>
          <w:p>
            <w:pPr>
              <w:rPr>
                <w:rFonts w:ascii="宋体" w:hAnsi="宋体" w:cs="宋体"/>
              </w:rPr>
            </w:pPr>
          </w:p>
        </w:tc>
        <w:tc>
          <w:tcPr>
            <w:tcW w:w="482" w:type="dxa"/>
            <w:vAlign w:val="center"/>
          </w:tcPr>
          <w:p>
            <w:pPr>
              <w:jc w:val="center"/>
              <w:rPr>
                <w:rFonts w:ascii="宋体" w:hAnsi="宋体" w:cs="宋体"/>
                <w:b/>
                <w:sz w:val="24"/>
              </w:rPr>
            </w:pPr>
            <w:r>
              <w:rPr>
                <w:rFonts w:hint="eastAsia" w:ascii="宋体" w:hAnsi="宋体" w:cs="宋体"/>
                <w:b/>
                <w:sz w:val="24"/>
              </w:rPr>
              <w:t>是</w:t>
            </w:r>
          </w:p>
        </w:tc>
        <w:tc>
          <w:tcPr>
            <w:tcW w:w="884"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p>
            <w:pPr>
              <w:jc w:val="center"/>
              <w:rPr>
                <w:rFonts w:ascii="宋体" w:hAnsi="宋体" w:cs="宋体"/>
                <w:szCs w:val="21"/>
              </w:rPr>
            </w:pPr>
            <w:r>
              <w:rPr>
                <w:rFonts w:hint="eastAsia" w:ascii="宋体" w:hAnsi="宋体" w:cs="宋体"/>
                <w:szCs w:val="21"/>
              </w:rPr>
              <w:t>标</w:t>
            </w:r>
          </w:p>
          <w:p>
            <w:pPr>
              <w:jc w:val="center"/>
              <w:rPr>
                <w:rFonts w:ascii="宋体" w:hAnsi="宋体" w:cs="宋体"/>
                <w:szCs w:val="21"/>
              </w:rPr>
            </w:pPr>
            <w:r>
              <w:rPr>
                <w:rFonts w:hint="eastAsia" w:ascii="宋体" w:hAnsi="宋体" w:cs="宋体"/>
                <w:szCs w:val="21"/>
              </w:rPr>
              <w:t>准</w:t>
            </w:r>
          </w:p>
        </w:tc>
        <w:tc>
          <w:tcPr>
            <w:tcW w:w="454" w:type="dxa"/>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w:t>
            </w:r>
          </w:p>
        </w:tc>
        <w:tc>
          <w:tcPr>
            <w:tcW w:w="6378"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由政府立项核准、审批的采购项目, 报价高于设定的采购预算价的；</w:t>
            </w:r>
          </w:p>
        </w:tc>
        <w:tc>
          <w:tcPr>
            <w:tcW w:w="482" w:type="dxa"/>
            <w:tcBorders>
              <w:left w:val="single" w:color="auto" w:sz="4" w:space="0"/>
              <w:right w:val="single" w:color="auto" w:sz="4" w:space="0"/>
            </w:tcBorders>
          </w:tcPr>
          <w:p>
            <w:pPr>
              <w:jc w:val="center"/>
              <w:rPr>
                <w:rFonts w:ascii="宋体" w:hAnsi="宋体" w:cs="宋体"/>
                <w:b/>
                <w:szCs w:val="21"/>
              </w:rPr>
            </w:pPr>
          </w:p>
        </w:tc>
        <w:tc>
          <w:tcPr>
            <w:tcW w:w="884" w:type="dxa"/>
            <w:tcBorders>
              <w:left w:val="single" w:color="auto" w:sz="4" w:space="0"/>
              <w:right w:val="single" w:color="auto" w:sz="4" w:space="0"/>
            </w:tcBorders>
          </w:tcPr>
          <w:p>
            <w:pPr>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vAlign w:val="center"/>
          </w:tcPr>
          <w:p>
            <w:pPr>
              <w:rPr>
                <w:rFonts w:ascii="宋体" w:hAnsi="宋体" w:cs="宋体"/>
              </w:rPr>
            </w:pPr>
          </w:p>
        </w:tc>
        <w:tc>
          <w:tcPr>
            <w:tcW w:w="4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法定代表人身份证明及授权委托书有效，且符合招标文件规定的格式。</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6378"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只有一个方案投标。</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lef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6378" w:type="dxa"/>
            <w:tcBorders>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投标文件内容齐全、无遗漏。</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left w:val="single" w:color="auto" w:sz="4" w:space="0"/>
              <w:bottom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6378" w:type="dxa"/>
            <w:tcBorders>
              <w:bottom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对招标文件规定的招标内容全部作出响应。</w:t>
            </w:r>
          </w:p>
        </w:tc>
        <w:tc>
          <w:tcPr>
            <w:tcW w:w="482" w:type="dxa"/>
            <w:tcBorders>
              <w:left w:val="single" w:color="auto" w:sz="4" w:space="0"/>
              <w:bottom w:val="single" w:color="auto" w:sz="4" w:space="0"/>
            </w:tcBorders>
          </w:tcPr>
          <w:p>
            <w:pPr>
              <w:rPr>
                <w:rFonts w:ascii="宋体" w:hAnsi="宋体" w:cs="宋体"/>
                <w:szCs w:val="21"/>
              </w:rPr>
            </w:pPr>
          </w:p>
        </w:tc>
        <w:tc>
          <w:tcPr>
            <w:tcW w:w="884" w:type="dxa"/>
            <w:tcBorders>
              <w:bottom w:val="single" w:color="auto" w:sz="4" w:space="0"/>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88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6378" w:type="dxa"/>
            <w:tcBorders>
              <w:top w:val="single" w:color="auto" w:sz="4" w:space="0"/>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完成期限满足招标文件要求。</w:t>
            </w:r>
          </w:p>
        </w:tc>
        <w:tc>
          <w:tcPr>
            <w:tcW w:w="482" w:type="dxa"/>
            <w:tcBorders>
              <w:top w:val="single" w:color="auto" w:sz="4" w:space="0"/>
              <w:left w:val="single" w:color="auto" w:sz="4" w:space="0"/>
            </w:tcBorders>
          </w:tcPr>
          <w:p>
            <w:pPr>
              <w:rPr>
                <w:rFonts w:ascii="宋体" w:hAnsi="宋体" w:cs="宋体"/>
                <w:szCs w:val="21"/>
              </w:rPr>
            </w:pPr>
          </w:p>
        </w:tc>
        <w:tc>
          <w:tcPr>
            <w:tcW w:w="884" w:type="dxa"/>
            <w:tcBorders>
              <w:top w:val="single" w:color="auto" w:sz="4" w:space="0"/>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lef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6378" w:type="dxa"/>
            <w:tcBorders>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服务满足招标文件要求。</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lef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6378" w:type="dxa"/>
            <w:tcBorders>
              <w:right w:val="single" w:color="auto"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投标有效期满足招标文件要求。</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rPr>
                <w:rFonts w:ascii="宋体" w:hAnsi="宋体" w:cs="宋体"/>
                <w:szCs w:val="21"/>
              </w:rPr>
            </w:pPr>
          </w:p>
        </w:tc>
        <w:tc>
          <w:tcPr>
            <w:tcW w:w="454" w:type="dxa"/>
            <w:tcBorders>
              <w:lef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6378" w:type="dxa"/>
            <w:tcBorders>
              <w:right w:val="single" w:color="auto" w:sz="4" w:space="0"/>
            </w:tcBorders>
            <w:vAlign w:val="center"/>
          </w:tcPr>
          <w:p>
            <w:pPr>
              <w:widowControl/>
              <w:jc w:val="left"/>
              <w:textAlignment w:val="center"/>
              <w:rPr>
                <w:rFonts w:ascii="宋体" w:hAnsi="宋体" w:cs="宋体"/>
                <w:szCs w:val="21"/>
              </w:rPr>
            </w:pPr>
            <w:r>
              <w:rPr>
                <w:rFonts w:hint="eastAsia" w:ascii="宋体" w:hAnsi="宋体" w:cs="宋体"/>
                <w:bCs/>
                <w:kern w:val="0"/>
                <w:szCs w:val="21"/>
              </w:rPr>
              <w:t>投标人详细地址、联系人、电话</w:t>
            </w:r>
          </w:p>
        </w:tc>
        <w:tc>
          <w:tcPr>
            <w:tcW w:w="482" w:type="dxa"/>
            <w:tcBorders>
              <w:left w:val="single" w:color="auto" w:sz="4" w:space="0"/>
            </w:tcBorders>
          </w:tcPr>
          <w:p>
            <w:pPr>
              <w:rPr>
                <w:rFonts w:ascii="宋体" w:hAnsi="宋体" w:cs="宋体"/>
                <w:szCs w:val="21"/>
              </w:rPr>
            </w:pPr>
          </w:p>
        </w:tc>
        <w:tc>
          <w:tcPr>
            <w:tcW w:w="884" w:type="dxa"/>
            <w:tcBorders>
              <w:righ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832" w:type="dxa"/>
            <w:gridSpan w:val="2"/>
            <w:tcBorders>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结论：是否通过评审（须填写通过或不通过）</w:t>
            </w:r>
          </w:p>
          <w:p>
            <w:pPr>
              <w:rPr>
                <w:rFonts w:ascii="宋体" w:hAnsi="宋体" w:cs="宋体"/>
                <w:szCs w:val="21"/>
              </w:rPr>
            </w:pPr>
            <w:r>
              <w:rPr>
                <w:rFonts w:hint="eastAsia" w:ascii="宋体" w:hAnsi="宋体" w:cs="宋体"/>
                <w:szCs w:val="21"/>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宋体" w:hAnsi="宋体" w:cs="宋体"/>
                <w:szCs w:val="21"/>
              </w:rPr>
            </w:pPr>
          </w:p>
        </w:tc>
      </w:tr>
    </w:tbl>
    <w:p>
      <w:pPr>
        <w:rPr>
          <w:szCs w:val="21"/>
        </w:rPr>
      </w:pPr>
    </w:p>
    <w:p>
      <w:pPr>
        <w:spacing w:line="400" w:lineRule="exact"/>
        <w:ind w:firstLine="506" w:firstLineChars="241"/>
        <w:rPr>
          <w:rFonts w:ascii="宋体"/>
          <w:szCs w:val="21"/>
        </w:rPr>
      </w:pPr>
      <w:r>
        <w:rPr>
          <w:rFonts w:hint="eastAsia" w:ascii="宋体"/>
          <w:szCs w:val="21"/>
        </w:rPr>
        <w:t>7.2评委会判定投标文件的响应性只根据投标文件本身的内容，而不寻求外部的证据，但投标有不真实不正确的内容时除外。</w:t>
      </w:r>
    </w:p>
    <w:p>
      <w:pPr>
        <w:spacing w:line="400" w:lineRule="exact"/>
        <w:ind w:firstLine="506" w:firstLineChars="241"/>
        <w:rPr>
          <w:rFonts w:ascii="宋体"/>
          <w:szCs w:val="21"/>
        </w:rPr>
      </w:pPr>
      <w:r>
        <w:rPr>
          <w:rFonts w:hint="eastAsia" w:ascii="宋体"/>
          <w:szCs w:val="21"/>
        </w:rPr>
        <w:t>7.3如果投标文件实质上没有响应采购文件的要求，评委会将予以拒绝，投标人不得通过修正或撤销不符合要求的偏离或保留，而使其投标成为实质上响应的投标。</w:t>
      </w:r>
    </w:p>
    <w:p>
      <w:pPr>
        <w:spacing w:line="400" w:lineRule="exact"/>
        <w:ind w:firstLine="420" w:firstLineChars="200"/>
        <w:rPr>
          <w:rFonts w:ascii="宋体"/>
          <w:szCs w:val="21"/>
        </w:rPr>
      </w:pPr>
      <w:r>
        <w:rPr>
          <w:rFonts w:hint="eastAsia" w:ascii="宋体"/>
          <w:szCs w:val="21"/>
        </w:rPr>
        <w:t xml:space="preserve"> 7.4投标人可在现场20分钟内对评标委员会的评审结论提出异议，评标委员会根据采购文件及有关规定对投标人的异议进行复议</w:t>
      </w:r>
    </w:p>
    <w:p>
      <w:pPr>
        <w:spacing w:line="400" w:lineRule="exact"/>
        <w:ind w:firstLine="525" w:firstLineChars="250"/>
        <w:rPr>
          <w:rFonts w:ascii="宋体"/>
          <w:szCs w:val="21"/>
        </w:rPr>
      </w:pPr>
      <w:r>
        <w:rPr>
          <w:rFonts w:hint="eastAsia" w:ascii="宋体"/>
          <w:szCs w:val="21"/>
        </w:rPr>
        <w:t>7.5只有通过初审的投标人才能进入下一步评标程序。</w:t>
      </w:r>
    </w:p>
    <w:p>
      <w:pPr>
        <w:spacing w:line="400" w:lineRule="exact"/>
        <w:ind w:firstLine="420" w:firstLineChars="200"/>
        <w:rPr>
          <w:rFonts w:ascii="宋体"/>
          <w:szCs w:val="21"/>
        </w:rPr>
      </w:pPr>
      <w:r>
        <w:rPr>
          <w:rFonts w:hint="eastAsia" w:ascii="宋体" w:hAnsi="宋体"/>
          <w:b/>
          <w:szCs w:val="21"/>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pacing w:before="156" w:beforeLines="50" w:line="400" w:lineRule="exact"/>
        <w:jc w:val="center"/>
        <w:outlineLvl w:val="1"/>
        <w:rPr>
          <w:rFonts w:ascii="宋体"/>
          <w:b/>
          <w:sz w:val="24"/>
        </w:rPr>
      </w:pPr>
      <w:bookmarkStart w:id="133" w:name="_Toc362983803"/>
      <w:bookmarkStart w:id="134" w:name="_Toc111210757"/>
      <w:r>
        <w:rPr>
          <w:rFonts w:hint="eastAsia" w:ascii="宋体"/>
          <w:b/>
          <w:sz w:val="28"/>
          <w:szCs w:val="28"/>
        </w:rPr>
        <w:t xml:space="preserve">三  </w:t>
      </w:r>
      <w:r>
        <w:rPr>
          <w:rFonts w:hint="eastAsia" w:ascii="宋体"/>
          <w:b/>
          <w:sz w:val="24"/>
        </w:rPr>
        <w:t>投标文件的澄清和补正</w:t>
      </w:r>
      <w:bookmarkEnd w:id="133"/>
      <w:bookmarkEnd w:id="134"/>
    </w:p>
    <w:p>
      <w:pPr>
        <w:spacing w:line="440" w:lineRule="exact"/>
        <w:ind w:firstLine="210" w:firstLineChars="100"/>
        <w:jc w:val="left"/>
        <w:rPr>
          <w:rFonts w:ascii="宋体"/>
          <w:b/>
          <w:bCs/>
          <w:szCs w:val="21"/>
        </w:rPr>
      </w:pPr>
      <w:r>
        <w:rPr>
          <w:rFonts w:hint="eastAsia" w:ascii="宋体"/>
          <w:b/>
          <w:bCs/>
          <w:szCs w:val="21"/>
        </w:rPr>
        <w:t>8．澄清、说明或补正的形式</w:t>
      </w:r>
    </w:p>
    <w:p>
      <w:pPr>
        <w:spacing w:line="440" w:lineRule="exact"/>
        <w:ind w:firstLine="210" w:firstLineChars="100"/>
        <w:jc w:val="left"/>
        <w:rPr>
          <w:rFonts w:ascii="宋体"/>
          <w:szCs w:val="21"/>
        </w:rPr>
      </w:pPr>
      <w:r>
        <w:rPr>
          <w:rFonts w:hint="eastAsia" w:ascii="宋体"/>
          <w:szCs w:val="21"/>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10" w:firstLineChars="100"/>
        <w:jc w:val="left"/>
        <w:rPr>
          <w:rFonts w:ascii="宋体"/>
          <w:szCs w:val="21"/>
        </w:rPr>
      </w:pPr>
      <w:r>
        <w:rPr>
          <w:rFonts w:hint="eastAsia" w:ascii="宋体"/>
          <w:szCs w:val="21"/>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0" w:firstLineChars="100"/>
        <w:jc w:val="left"/>
        <w:rPr>
          <w:rFonts w:ascii="宋体"/>
          <w:szCs w:val="21"/>
        </w:rPr>
      </w:pPr>
      <w:r>
        <w:rPr>
          <w:rFonts w:hint="eastAsia" w:ascii="宋体"/>
          <w:szCs w:val="21"/>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0" w:firstLineChars="100"/>
        <w:jc w:val="left"/>
        <w:rPr>
          <w:rFonts w:ascii="宋体"/>
          <w:b/>
          <w:bCs/>
          <w:szCs w:val="21"/>
        </w:rPr>
      </w:pPr>
      <w:r>
        <w:rPr>
          <w:rFonts w:hint="eastAsia" w:ascii="宋体"/>
          <w:b/>
          <w:bCs/>
          <w:szCs w:val="21"/>
        </w:rPr>
        <w:t>9．错误修正的原则</w:t>
      </w:r>
    </w:p>
    <w:p>
      <w:pPr>
        <w:spacing w:line="440" w:lineRule="exact"/>
        <w:ind w:firstLine="210"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pPr>
        <w:spacing w:line="440" w:lineRule="exact"/>
        <w:ind w:firstLine="210" w:firstLineChars="100"/>
        <w:jc w:val="left"/>
        <w:rPr>
          <w:rFonts w:ascii="宋体"/>
          <w:szCs w:val="21"/>
        </w:rPr>
      </w:pPr>
      <w:r>
        <w:rPr>
          <w:rFonts w:hint="eastAsia" w:ascii="宋体"/>
          <w:szCs w:val="21"/>
        </w:rPr>
        <w:t>投标文件报价出现前后不一致的，除采购文件另有规定外，按照下列规定修正：</w:t>
      </w:r>
    </w:p>
    <w:p>
      <w:pPr>
        <w:spacing w:line="440" w:lineRule="exact"/>
        <w:ind w:firstLine="210" w:firstLineChars="100"/>
        <w:jc w:val="left"/>
        <w:rPr>
          <w:rFonts w:ascii="宋体"/>
          <w:szCs w:val="21"/>
        </w:rPr>
      </w:pPr>
      <w:r>
        <w:rPr>
          <w:rFonts w:hint="eastAsia" w:ascii="宋体"/>
          <w:szCs w:val="21"/>
        </w:rPr>
        <w:t>9.1 投标函中表述的内容与报价表中不一致的，以报价表为准；报价表中的内容与报价明细表不一致的，以报价表为准；</w:t>
      </w:r>
    </w:p>
    <w:p>
      <w:pPr>
        <w:spacing w:line="440" w:lineRule="exact"/>
        <w:ind w:firstLine="210" w:firstLineChars="100"/>
        <w:jc w:val="left"/>
        <w:rPr>
          <w:rFonts w:ascii="宋体"/>
          <w:szCs w:val="21"/>
        </w:rPr>
      </w:pPr>
      <w:r>
        <w:rPr>
          <w:rFonts w:hint="eastAsia" w:ascii="宋体"/>
          <w:szCs w:val="21"/>
        </w:rPr>
        <w:t>9.2 投标文件中的大写金额和小写金额不一致的，以大写金额为准；</w:t>
      </w:r>
    </w:p>
    <w:p>
      <w:pPr>
        <w:spacing w:line="440" w:lineRule="exact"/>
        <w:ind w:firstLine="210" w:firstLineChars="100"/>
        <w:jc w:val="left"/>
        <w:rPr>
          <w:rFonts w:ascii="宋体"/>
          <w:szCs w:val="21"/>
        </w:rPr>
      </w:pPr>
      <w:r>
        <w:rPr>
          <w:rFonts w:hint="eastAsia" w:ascii="宋体"/>
          <w:szCs w:val="21"/>
        </w:rPr>
        <w:t>9.3 单价金额小数点或者百分比有明显错位的，以开标一览表的总价为准，并修改单价；</w:t>
      </w:r>
    </w:p>
    <w:p>
      <w:pPr>
        <w:spacing w:line="440" w:lineRule="exact"/>
        <w:ind w:firstLine="210" w:firstLineChars="100"/>
        <w:jc w:val="left"/>
        <w:rPr>
          <w:rFonts w:ascii="宋体"/>
          <w:szCs w:val="21"/>
        </w:rPr>
      </w:pPr>
      <w:r>
        <w:rPr>
          <w:rFonts w:hint="eastAsia" w:ascii="宋体"/>
          <w:szCs w:val="21"/>
        </w:rPr>
        <w:t>9.4 总价金额与按单价汇总金额不一致的，以单价金额计算结果为准；</w:t>
      </w:r>
    </w:p>
    <w:p>
      <w:pPr>
        <w:spacing w:line="440" w:lineRule="exact"/>
        <w:ind w:firstLine="210" w:firstLineChars="100"/>
        <w:jc w:val="left"/>
        <w:rPr>
          <w:rFonts w:ascii="宋体"/>
          <w:szCs w:val="21"/>
        </w:rPr>
      </w:pPr>
      <w:r>
        <w:rPr>
          <w:rFonts w:hint="eastAsia" w:ascii="宋体"/>
          <w:szCs w:val="21"/>
        </w:rPr>
        <w:t>9.5 若用文字表示的数值与用数字表示的数值不一致，以文字表示的数值为准；</w:t>
      </w:r>
    </w:p>
    <w:p>
      <w:pPr>
        <w:spacing w:line="440" w:lineRule="exact"/>
        <w:ind w:firstLine="210" w:firstLineChars="100"/>
        <w:jc w:val="left"/>
        <w:rPr>
          <w:rFonts w:ascii="宋体"/>
          <w:szCs w:val="21"/>
        </w:rPr>
      </w:pPr>
      <w:r>
        <w:rPr>
          <w:rFonts w:hint="eastAsia" w:ascii="宋体"/>
          <w:szCs w:val="21"/>
        </w:rPr>
        <w:t>9.6 如有多报（指数量超出采购文件需求）、重报（指同一货物重复报价），其投标总价在评标过程中不予调整，如其中标，其合同价按其投标单价予以调整；</w:t>
      </w:r>
    </w:p>
    <w:p>
      <w:pPr>
        <w:spacing w:line="440" w:lineRule="exact"/>
        <w:ind w:firstLine="210" w:firstLineChars="100"/>
        <w:jc w:val="left"/>
        <w:rPr>
          <w:rFonts w:ascii="宋体"/>
          <w:szCs w:val="21"/>
        </w:rPr>
      </w:pPr>
      <w:r>
        <w:rPr>
          <w:rFonts w:hint="eastAsia" w:ascii="宋体"/>
          <w:szCs w:val="21"/>
        </w:rPr>
        <w:t>9.7 对不同文字文本投标文件的解释发生异议的，以中文文本为准；</w:t>
      </w:r>
    </w:p>
    <w:p>
      <w:pPr>
        <w:spacing w:line="440" w:lineRule="exact"/>
        <w:ind w:firstLine="210" w:firstLineChars="100"/>
        <w:jc w:val="left"/>
        <w:rPr>
          <w:rFonts w:ascii="宋体"/>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ind w:firstLine="403" w:firstLineChars="192"/>
        <w:rPr>
          <w:rFonts w:ascii="宋体"/>
          <w:szCs w:val="21"/>
        </w:rPr>
      </w:pPr>
    </w:p>
    <w:p>
      <w:pPr>
        <w:spacing w:line="400" w:lineRule="exact"/>
        <w:jc w:val="center"/>
        <w:outlineLvl w:val="1"/>
        <w:rPr>
          <w:rFonts w:ascii="宋体"/>
          <w:b/>
          <w:sz w:val="24"/>
        </w:rPr>
      </w:pPr>
      <w:bookmarkStart w:id="135" w:name="_Toc111210758"/>
      <w:r>
        <w:rPr>
          <w:rFonts w:hint="eastAsia" w:ascii="宋体"/>
          <w:b/>
          <w:sz w:val="24"/>
        </w:rPr>
        <w:t>四 比较与评价</w:t>
      </w:r>
      <w:bookmarkEnd w:id="135"/>
    </w:p>
    <w:p>
      <w:pPr>
        <w:tabs>
          <w:tab w:val="left" w:pos="720"/>
        </w:tabs>
        <w:spacing w:line="440" w:lineRule="exact"/>
        <w:ind w:firstLine="535" w:firstLineChars="255"/>
        <w:rPr>
          <w:rFonts w:ascii="宋体" w:hAnsi="宋体" w:cs="宋体"/>
          <w:szCs w:val="21"/>
        </w:rPr>
      </w:pPr>
      <w:bookmarkStart w:id="136" w:name="_Toc362983805"/>
      <w:r>
        <w:rPr>
          <w:rFonts w:hint="eastAsia" w:ascii="宋体" w:hAnsi="宋体" w:cs="宋体"/>
          <w:szCs w:val="21"/>
        </w:rPr>
        <w:t>10.1评标委员会按招标文件中规定的评标方法和标准，对资格性检查和符合性检查合格的投标文件进行商务和技术评估、综合比较与评价。</w:t>
      </w:r>
    </w:p>
    <w:p>
      <w:pPr>
        <w:spacing w:line="440" w:lineRule="exact"/>
        <w:ind w:firstLine="539" w:firstLineChars="257"/>
        <w:rPr>
          <w:rFonts w:ascii="宋体" w:hAnsi="宋体" w:cs="宋体"/>
          <w:szCs w:val="21"/>
        </w:rPr>
      </w:pPr>
      <w:r>
        <w:rPr>
          <w:rFonts w:hint="eastAsia" w:ascii="宋体" w:hAnsi="宋体" w:cs="宋体"/>
          <w:szCs w:val="21"/>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539" w:firstLineChars="257"/>
        <w:rPr>
          <w:rFonts w:ascii="宋体" w:hAnsi="宋体" w:cs="宋体"/>
          <w:bCs/>
          <w:szCs w:val="21"/>
        </w:rPr>
      </w:pPr>
      <w:r>
        <w:rPr>
          <w:rFonts w:hint="eastAsia" w:ascii="宋体" w:hAnsi="宋体" w:cs="宋体"/>
          <w:szCs w:val="21"/>
        </w:rPr>
        <w:t>10.</w:t>
      </w:r>
      <w:r>
        <w:rPr>
          <w:rFonts w:hint="eastAsia" w:ascii="宋体" w:hAnsi="宋体" w:cs="宋体"/>
          <w:bCs/>
          <w:szCs w:val="21"/>
        </w:rPr>
        <w:t>2.1评委打分办法</w:t>
      </w:r>
    </w:p>
    <w:p>
      <w:pPr>
        <w:spacing w:line="440" w:lineRule="exact"/>
        <w:ind w:firstLine="539" w:firstLineChars="257"/>
        <w:rPr>
          <w:rFonts w:ascii="宋体" w:hAnsi="宋体" w:cs="宋体"/>
          <w:szCs w:val="21"/>
        </w:rPr>
      </w:pPr>
      <w:r>
        <w:rPr>
          <w:rFonts w:hint="eastAsia" w:ascii="宋体" w:hAnsi="宋体" w:cs="宋体"/>
          <w:bCs/>
          <w:szCs w:val="21"/>
        </w:rPr>
        <w:t>（1）</w:t>
      </w:r>
      <w:r>
        <w:rPr>
          <w:rFonts w:hint="eastAsia" w:ascii="宋体" w:hAnsi="宋体" w:cs="宋体"/>
          <w:szCs w:val="21"/>
        </w:rPr>
        <w:t>参加评分的评委应尽力体现客观、实事求是，避免学派偏见和个人偏好。</w:t>
      </w:r>
    </w:p>
    <w:p>
      <w:pPr>
        <w:spacing w:line="440" w:lineRule="exact"/>
        <w:ind w:firstLine="539" w:firstLineChars="257"/>
        <w:rPr>
          <w:rFonts w:ascii="宋体" w:hAnsi="宋体" w:cs="宋体"/>
          <w:szCs w:val="21"/>
        </w:rPr>
      </w:pPr>
      <w:r>
        <w:rPr>
          <w:rFonts w:hint="eastAsia" w:ascii="宋体" w:hAnsi="宋体" w:cs="宋体"/>
          <w:szCs w:val="21"/>
        </w:rPr>
        <w:t>（2）衡量、对比的依据，应以招标文件、投标文件、提供的正式试验数据、质询澄清中的文字为准，口头回答和收集的资料只作为参考。</w:t>
      </w:r>
    </w:p>
    <w:p>
      <w:pPr>
        <w:spacing w:line="440" w:lineRule="exact"/>
        <w:ind w:firstLine="539" w:firstLineChars="257"/>
        <w:rPr>
          <w:rFonts w:ascii="宋体" w:hAnsi="宋体" w:cs="宋体"/>
          <w:szCs w:val="21"/>
        </w:rPr>
      </w:pPr>
      <w:r>
        <w:rPr>
          <w:rFonts w:hint="eastAsia" w:ascii="宋体" w:hAnsi="宋体" w:cs="宋体"/>
          <w:szCs w:val="21"/>
        </w:rPr>
        <w:t>（3）评分主要是为比较各投标人的价格、商务和技术综合排序。</w:t>
      </w:r>
    </w:p>
    <w:p>
      <w:pPr>
        <w:spacing w:line="440" w:lineRule="exact"/>
        <w:ind w:firstLine="539" w:firstLineChars="257"/>
        <w:rPr>
          <w:rFonts w:ascii="宋体" w:hAnsi="宋体" w:cs="宋体"/>
          <w:szCs w:val="21"/>
        </w:rPr>
      </w:pPr>
      <w:r>
        <w:rPr>
          <w:rFonts w:hint="eastAsia" w:ascii="宋体" w:hAnsi="宋体" w:cs="宋体"/>
          <w:szCs w:val="21"/>
        </w:rPr>
        <w:t>（4）评委打分采取记名形式。</w:t>
      </w:r>
    </w:p>
    <w:p>
      <w:pPr>
        <w:spacing w:line="440" w:lineRule="exact"/>
        <w:ind w:firstLine="539" w:firstLineChars="257"/>
        <w:rPr>
          <w:rFonts w:ascii="宋体" w:hAnsi="宋体" w:cs="宋体"/>
          <w:szCs w:val="21"/>
        </w:rPr>
      </w:pPr>
      <w:r>
        <w:rPr>
          <w:rFonts w:hint="eastAsia" w:ascii="宋体" w:hAnsi="宋体" w:cs="宋体"/>
          <w:szCs w:val="21"/>
        </w:rPr>
        <w:t>（5）各评委根据提供的技术打分表独立自主打分，任何人不得要求评委统一打分或统一确定等次顺序。</w:t>
      </w:r>
    </w:p>
    <w:p>
      <w:pPr>
        <w:spacing w:line="440" w:lineRule="exact"/>
        <w:ind w:firstLine="539" w:firstLineChars="257"/>
        <w:rPr>
          <w:rFonts w:ascii="宋体" w:hAnsi="宋体" w:cs="宋体"/>
          <w:szCs w:val="21"/>
        </w:rPr>
      </w:pPr>
      <w:r>
        <w:rPr>
          <w:rFonts w:hint="eastAsia" w:ascii="宋体" w:hAnsi="宋体" w:cs="宋体"/>
          <w:szCs w:val="21"/>
        </w:rPr>
        <w:t>（6）对打分表中的每项条款，各评委应根据投标文件、澄清材料、招标文件要求，按满足的程度给投标人打分。</w:t>
      </w:r>
    </w:p>
    <w:p>
      <w:pPr>
        <w:spacing w:line="440" w:lineRule="exact"/>
        <w:ind w:firstLine="539" w:firstLineChars="257"/>
        <w:rPr>
          <w:rFonts w:ascii="宋体" w:hAnsi="宋体" w:cs="宋体"/>
          <w:szCs w:val="21"/>
        </w:rPr>
      </w:pPr>
      <w:r>
        <w:rPr>
          <w:rFonts w:hint="eastAsia" w:ascii="宋体" w:hAnsi="宋体" w:cs="宋体"/>
          <w:szCs w:val="21"/>
        </w:rPr>
        <w:t>（7）评分程序</w:t>
      </w:r>
    </w:p>
    <w:p>
      <w:pPr>
        <w:spacing w:line="440" w:lineRule="exact"/>
        <w:ind w:firstLine="539" w:firstLineChars="257"/>
        <w:rPr>
          <w:rFonts w:ascii="宋体" w:hAnsi="宋体" w:cs="宋体"/>
          <w:szCs w:val="21"/>
        </w:rPr>
      </w:pPr>
      <w:r>
        <w:rPr>
          <w:rFonts w:hint="eastAsia" w:ascii="宋体" w:hAnsi="宋体" w:cs="宋体"/>
          <w:szCs w:val="21"/>
        </w:rPr>
        <w:t>1)就投标人的投标文件对照整理出商务、技术评标因素对比表、偏差表，并在经过校核的基础上逐项打分。</w:t>
      </w:r>
    </w:p>
    <w:p>
      <w:pPr>
        <w:spacing w:line="440" w:lineRule="exact"/>
        <w:ind w:firstLine="539" w:firstLineChars="257"/>
        <w:rPr>
          <w:rFonts w:ascii="宋体" w:hAnsi="宋体" w:cs="宋体"/>
          <w:szCs w:val="21"/>
        </w:rPr>
      </w:pPr>
      <w:r>
        <w:rPr>
          <w:rFonts w:hint="eastAsia" w:ascii="宋体" w:hAnsi="宋体" w:cs="宋体"/>
          <w:szCs w:val="21"/>
        </w:rPr>
        <w:t>2)最终汇总表中各投标人得分应为评委打分的算术平均值。</w:t>
      </w:r>
    </w:p>
    <w:p>
      <w:pPr>
        <w:spacing w:line="440" w:lineRule="exact"/>
        <w:ind w:firstLine="539" w:firstLineChars="257"/>
        <w:rPr>
          <w:rFonts w:ascii="宋体" w:hAnsi="宋体" w:cs="宋体"/>
          <w:szCs w:val="21"/>
        </w:rPr>
      </w:pPr>
      <w:r>
        <w:rPr>
          <w:rFonts w:hint="eastAsia" w:ascii="宋体" w:hAnsi="宋体" w:cs="宋体"/>
          <w:szCs w:val="21"/>
        </w:rPr>
        <w:t>（8）评分标准和细则（综合评分法评分标准）</w:t>
      </w:r>
    </w:p>
    <w:tbl>
      <w:tblPr>
        <w:tblStyle w:val="23"/>
        <w:tblpPr w:leftFromText="180" w:rightFromText="180" w:vertAnchor="text" w:horzAnchor="page" w:tblpX="1174" w:tblpY="488"/>
        <w:tblOverlap w:val="never"/>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56"/>
        <w:gridCol w:w="737"/>
        <w:gridCol w:w="7281"/>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47" w:type="dxa"/>
            <w:vAlign w:val="center"/>
          </w:tcPr>
          <w:p>
            <w:pPr>
              <w:spacing w:line="240" w:lineRule="exact"/>
              <w:ind w:firstLine="28"/>
              <w:jc w:val="center"/>
              <w:rPr>
                <w:rFonts w:ascii="宋体" w:cs="宋体"/>
                <w:b/>
                <w:sz w:val="18"/>
                <w:szCs w:val="18"/>
              </w:rPr>
            </w:pPr>
            <w:r>
              <w:rPr>
                <w:rFonts w:hint="eastAsia" w:ascii="宋体" w:cs="宋体"/>
                <w:b/>
                <w:sz w:val="18"/>
                <w:szCs w:val="18"/>
              </w:rPr>
              <w:t>序号</w:t>
            </w:r>
          </w:p>
        </w:tc>
        <w:tc>
          <w:tcPr>
            <w:tcW w:w="1056" w:type="dxa"/>
            <w:vAlign w:val="center"/>
          </w:tcPr>
          <w:p>
            <w:pPr>
              <w:spacing w:line="240" w:lineRule="exact"/>
              <w:ind w:firstLine="28"/>
              <w:jc w:val="center"/>
              <w:rPr>
                <w:rFonts w:ascii="宋体" w:cs="宋体"/>
                <w:b/>
                <w:sz w:val="18"/>
                <w:szCs w:val="18"/>
              </w:rPr>
            </w:pPr>
            <w:r>
              <w:rPr>
                <w:rFonts w:hint="eastAsia" w:ascii="宋体" w:cs="宋体"/>
                <w:b/>
                <w:sz w:val="18"/>
                <w:szCs w:val="18"/>
              </w:rPr>
              <w:t>评分因素</w:t>
            </w:r>
          </w:p>
          <w:p>
            <w:pPr>
              <w:spacing w:line="240" w:lineRule="exact"/>
              <w:ind w:firstLine="28"/>
              <w:jc w:val="center"/>
              <w:rPr>
                <w:rFonts w:ascii="宋体" w:cs="宋体"/>
                <w:b/>
                <w:sz w:val="18"/>
                <w:szCs w:val="18"/>
              </w:rPr>
            </w:pPr>
            <w:r>
              <w:rPr>
                <w:rFonts w:hint="eastAsia" w:ascii="宋体" w:cs="宋体"/>
                <w:b/>
                <w:sz w:val="18"/>
                <w:szCs w:val="18"/>
              </w:rPr>
              <w:t>及权重</w:t>
            </w:r>
          </w:p>
        </w:tc>
        <w:tc>
          <w:tcPr>
            <w:tcW w:w="737" w:type="dxa"/>
            <w:vAlign w:val="center"/>
          </w:tcPr>
          <w:p>
            <w:pPr>
              <w:spacing w:line="240" w:lineRule="exact"/>
              <w:ind w:firstLine="28"/>
              <w:jc w:val="center"/>
              <w:rPr>
                <w:rFonts w:ascii="宋体" w:cs="宋体"/>
                <w:b/>
                <w:sz w:val="18"/>
                <w:szCs w:val="18"/>
              </w:rPr>
            </w:pPr>
            <w:r>
              <w:rPr>
                <w:rFonts w:hint="eastAsia" w:ascii="宋体" w:cs="宋体"/>
                <w:b/>
                <w:sz w:val="18"/>
                <w:szCs w:val="18"/>
              </w:rPr>
              <w:t>分值</w:t>
            </w:r>
          </w:p>
        </w:tc>
        <w:tc>
          <w:tcPr>
            <w:tcW w:w="7281" w:type="dxa"/>
            <w:vAlign w:val="center"/>
          </w:tcPr>
          <w:p>
            <w:pPr>
              <w:spacing w:line="240" w:lineRule="exact"/>
              <w:ind w:firstLine="28"/>
              <w:jc w:val="center"/>
              <w:rPr>
                <w:rFonts w:ascii="宋体" w:cs="宋体"/>
                <w:b/>
                <w:sz w:val="18"/>
                <w:szCs w:val="18"/>
              </w:rPr>
            </w:pPr>
            <w:r>
              <w:rPr>
                <w:rFonts w:hint="eastAsia" w:ascii="宋体" w:cs="宋体"/>
                <w:b/>
                <w:sz w:val="18"/>
                <w:szCs w:val="18"/>
              </w:rPr>
              <w:t>评分标准</w:t>
            </w:r>
          </w:p>
        </w:tc>
        <w:tc>
          <w:tcPr>
            <w:tcW w:w="547" w:type="dxa"/>
            <w:vAlign w:val="center"/>
          </w:tcPr>
          <w:p>
            <w:pPr>
              <w:pStyle w:val="51"/>
              <w:spacing w:before="0" w:after="0" w:line="240" w:lineRule="exact"/>
              <w:rPr>
                <w:rFonts w:ascii="宋体" w:eastAsia="宋体" w:cs="宋体"/>
                <w:sz w:val="18"/>
                <w:szCs w:val="18"/>
              </w:rPr>
            </w:pPr>
            <w:r>
              <w:rPr>
                <w:rFonts w:hint="eastAsia" w:ascii="宋体" w:eastAsia="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47" w:type="dxa"/>
            <w:vAlign w:val="center"/>
          </w:tcPr>
          <w:p>
            <w:pPr>
              <w:spacing w:line="240" w:lineRule="exact"/>
              <w:ind w:firstLine="28"/>
              <w:jc w:val="center"/>
              <w:rPr>
                <w:rFonts w:ascii="宋体" w:cs="宋体"/>
                <w:sz w:val="18"/>
                <w:szCs w:val="18"/>
              </w:rPr>
            </w:pPr>
            <w:r>
              <w:rPr>
                <w:rFonts w:hint="eastAsia" w:ascii="宋体" w:cs="宋体"/>
                <w:sz w:val="18"/>
                <w:szCs w:val="18"/>
              </w:rPr>
              <w:t>1</w:t>
            </w:r>
          </w:p>
        </w:tc>
        <w:tc>
          <w:tcPr>
            <w:tcW w:w="1056" w:type="dxa"/>
            <w:vAlign w:val="center"/>
          </w:tcPr>
          <w:p>
            <w:pPr>
              <w:spacing w:line="240" w:lineRule="exact"/>
              <w:ind w:firstLine="28"/>
              <w:jc w:val="center"/>
              <w:rPr>
                <w:rFonts w:ascii="宋体" w:cs="宋体"/>
                <w:sz w:val="18"/>
                <w:szCs w:val="18"/>
              </w:rPr>
            </w:pPr>
            <w:r>
              <w:rPr>
                <w:rFonts w:hint="eastAsia" w:ascii="宋体" w:cs="宋体"/>
                <w:sz w:val="18"/>
                <w:szCs w:val="18"/>
              </w:rPr>
              <w:t>投标报价</w:t>
            </w:r>
          </w:p>
          <w:p>
            <w:pPr>
              <w:spacing w:line="240" w:lineRule="exact"/>
              <w:ind w:firstLine="28"/>
              <w:jc w:val="center"/>
              <w:rPr>
                <w:sz w:val="18"/>
                <w:szCs w:val="18"/>
              </w:rPr>
            </w:pPr>
            <w:r>
              <w:rPr>
                <w:rFonts w:hint="eastAsia" w:ascii="宋体" w:cs="宋体"/>
                <w:sz w:val="18"/>
                <w:szCs w:val="18"/>
              </w:rPr>
              <w:t>（10分)</w:t>
            </w: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10（分）</w:t>
            </w:r>
          </w:p>
        </w:tc>
        <w:tc>
          <w:tcPr>
            <w:tcW w:w="7281" w:type="dxa"/>
            <w:vAlign w:val="center"/>
          </w:tcPr>
          <w:p>
            <w:pPr>
              <w:numPr>
                <w:ilvl w:val="0"/>
                <w:numId w:val="4"/>
              </w:numPr>
              <w:spacing w:line="300" w:lineRule="exact"/>
              <w:rPr>
                <w:rFonts w:ascii="宋体" w:cs="宋体"/>
                <w:sz w:val="18"/>
                <w:szCs w:val="18"/>
              </w:rPr>
            </w:pPr>
            <w:r>
              <w:rPr>
                <w:rFonts w:hint="eastAsia" w:ascii="宋体" w:cs="宋体"/>
                <w:sz w:val="18"/>
                <w:szCs w:val="18"/>
              </w:rPr>
              <w:t>综合评分法中的价格分统一采用低价优先法计算，即满足招标文件要求且投标价格最低的投标报价为评标基准价，其价格分为满分。其他投标人的价格分按照下列公式计算：投标报价得分=（评标基准价/投标报价）×价格权重×100。</w:t>
            </w:r>
          </w:p>
          <w:p>
            <w:pPr>
              <w:spacing w:line="300" w:lineRule="exact"/>
              <w:rPr>
                <w:rFonts w:ascii="宋体" w:cs="宋体"/>
                <w:sz w:val="18"/>
                <w:szCs w:val="18"/>
              </w:rPr>
            </w:pPr>
            <w:r>
              <w:rPr>
                <w:rFonts w:hint="eastAsia" w:ascii="宋体" w:cs="宋体"/>
                <w:sz w:val="18"/>
                <w:szCs w:val="18"/>
              </w:rPr>
              <w:t>2、对小型和微型企业的价格给予10%的扣除，用扣除后的价格参与评审。</w:t>
            </w:r>
            <w:r>
              <w:rPr>
                <w:rFonts w:ascii="宋体" w:cs="宋体"/>
                <w:sz w:val="18"/>
                <w:szCs w:val="18"/>
              </w:rPr>
              <w:t>适用价格扣除方法政府采购项目价格及得分计算方法：</w:t>
            </w:r>
          </w:p>
          <w:p>
            <w:pPr>
              <w:spacing w:line="300" w:lineRule="exact"/>
              <w:rPr>
                <w:rFonts w:ascii="宋体" w:cs="宋体"/>
                <w:sz w:val="18"/>
                <w:szCs w:val="18"/>
              </w:rPr>
            </w:pPr>
            <w:r>
              <w:rPr>
                <w:rFonts w:ascii="宋体" w:cs="宋体"/>
                <w:sz w:val="18"/>
                <w:szCs w:val="18"/>
              </w:rPr>
              <w:t>评标价格=投标报价-投标报价*扣除比例；</w:t>
            </w:r>
          </w:p>
          <w:p>
            <w:pPr>
              <w:spacing w:line="300" w:lineRule="exact"/>
              <w:rPr>
                <w:rFonts w:ascii="宋体" w:cs="宋体"/>
                <w:sz w:val="18"/>
                <w:szCs w:val="18"/>
              </w:rPr>
            </w:pPr>
            <w:r>
              <w:rPr>
                <w:rFonts w:ascii="宋体" w:cs="宋体"/>
                <w:sz w:val="18"/>
                <w:szCs w:val="18"/>
              </w:rPr>
              <w:t>投标报价得分=（评标基准价/评标价格）*价格权值*100</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447" w:type="dxa"/>
            <w:vMerge w:val="restart"/>
            <w:vAlign w:val="center"/>
          </w:tcPr>
          <w:p>
            <w:pPr>
              <w:spacing w:line="240" w:lineRule="exact"/>
              <w:ind w:firstLine="28"/>
              <w:jc w:val="center"/>
              <w:rPr>
                <w:rFonts w:ascii="宋体" w:cs="宋体"/>
                <w:sz w:val="18"/>
                <w:szCs w:val="18"/>
              </w:rPr>
            </w:pPr>
            <w:r>
              <w:rPr>
                <w:rFonts w:hint="eastAsia" w:ascii="宋体" w:cs="宋体"/>
                <w:sz w:val="18"/>
                <w:szCs w:val="18"/>
              </w:rPr>
              <w:t>2</w:t>
            </w:r>
          </w:p>
        </w:tc>
        <w:tc>
          <w:tcPr>
            <w:tcW w:w="1056" w:type="dxa"/>
            <w:vMerge w:val="restart"/>
            <w:vAlign w:val="center"/>
          </w:tcPr>
          <w:p>
            <w:pPr>
              <w:spacing w:line="240" w:lineRule="exact"/>
              <w:ind w:firstLine="28"/>
              <w:jc w:val="center"/>
              <w:rPr>
                <w:rFonts w:ascii="宋体" w:cs="宋体"/>
                <w:sz w:val="18"/>
                <w:szCs w:val="18"/>
              </w:rPr>
            </w:pPr>
            <w:r>
              <w:rPr>
                <w:rFonts w:hint="eastAsia" w:ascii="宋体" w:cs="宋体"/>
                <w:sz w:val="18"/>
                <w:szCs w:val="18"/>
              </w:rPr>
              <w:t>技术部分</w:t>
            </w:r>
          </w:p>
          <w:p>
            <w:pPr>
              <w:spacing w:line="240" w:lineRule="exact"/>
              <w:ind w:firstLine="28"/>
              <w:jc w:val="center"/>
              <w:rPr>
                <w:rFonts w:ascii="宋体" w:cs="宋体"/>
                <w:sz w:val="18"/>
                <w:szCs w:val="18"/>
              </w:rPr>
            </w:pPr>
            <w:r>
              <w:rPr>
                <w:rFonts w:hint="eastAsia" w:ascii="宋体" w:cs="宋体"/>
                <w:sz w:val="18"/>
                <w:szCs w:val="18"/>
              </w:rPr>
              <w:t>（45分）</w:t>
            </w: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4（分）</w:t>
            </w:r>
          </w:p>
        </w:tc>
        <w:tc>
          <w:tcPr>
            <w:tcW w:w="7281" w:type="dxa"/>
            <w:vAlign w:val="center"/>
          </w:tcPr>
          <w:p>
            <w:pPr>
              <w:jc w:val="left"/>
              <w:rPr>
                <w:rFonts w:ascii="宋体" w:cs="宋体"/>
                <w:sz w:val="18"/>
                <w:szCs w:val="18"/>
              </w:rPr>
            </w:pPr>
            <w:r>
              <w:rPr>
                <w:rFonts w:hint="eastAsia" w:ascii="宋体" w:cs="宋体"/>
                <w:sz w:val="18"/>
                <w:szCs w:val="18"/>
              </w:rPr>
              <w:t>投标单位对克孜勒苏柯尔克孜自治州国土空间规划信息化平台项目的建设背景、建设标准规范、数据资源、国土空间基础信息平台以及“一张图”实施监督信息系统建设等的需求分析和理解，分析透彻、详细且全面的得4分，</w:t>
            </w:r>
            <w:r>
              <w:rPr>
                <w:rFonts w:hint="eastAsia" w:ascii="宋体" w:cs="宋体"/>
                <w:sz w:val="18"/>
                <w:szCs w:val="18"/>
                <w:highlight w:val="none"/>
              </w:rPr>
              <w:t>分析较透彻、基本全面的得3分，分析、理解一般、不尽完整得2分</w:t>
            </w:r>
            <w:r>
              <w:rPr>
                <w:rFonts w:hint="eastAsia" w:ascii="宋体" w:cs="宋体"/>
                <w:sz w:val="18"/>
                <w:szCs w:val="18"/>
              </w:rPr>
              <w:t>，最高得4分。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4（分）</w:t>
            </w:r>
          </w:p>
        </w:tc>
        <w:tc>
          <w:tcPr>
            <w:tcW w:w="7281" w:type="dxa"/>
            <w:vAlign w:val="center"/>
          </w:tcPr>
          <w:p>
            <w:pPr>
              <w:jc w:val="left"/>
              <w:rPr>
                <w:rFonts w:ascii="宋体" w:cs="宋体"/>
                <w:sz w:val="18"/>
                <w:szCs w:val="18"/>
              </w:rPr>
            </w:pPr>
            <w:r>
              <w:rPr>
                <w:rFonts w:hint="eastAsia" w:ascii="宋体" w:cs="宋体"/>
                <w:sz w:val="18"/>
                <w:szCs w:val="18"/>
              </w:rPr>
              <w:t>投标单位对克孜勒苏柯尔克孜自治州自然资源和规划领域业务、数据、信息化建设、基础设施等现状的分析和理解，</w:t>
            </w:r>
            <w:r>
              <w:rPr>
                <w:rFonts w:hint="eastAsia" w:ascii="宋体" w:cs="宋体"/>
                <w:sz w:val="18"/>
                <w:szCs w:val="18"/>
                <w:highlight w:val="none"/>
              </w:rPr>
              <w:t>分析透彻、理解深刻的得4分，分析较透彻、理解较深刻的得3分，分析、理解一般得2分，</w:t>
            </w:r>
            <w:r>
              <w:rPr>
                <w:rFonts w:hint="eastAsia" w:ascii="宋体" w:cs="宋体"/>
                <w:sz w:val="18"/>
                <w:szCs w:val="18"/>
              </w:rPr>
              <w:t>最高得4分。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4（分）</w:t>
            </w:r>
          </w:p>
        </w:tc>
        <w:tc>
          <w:tcPr>
            <w:tcW w:w="7281" w:type="dxa"/>
            <w:vAlign w:val="center"/>
          </w:tcPr>
          <w:p>
            <w:pPr>
              <w:jc w:val="left"/>
              <w:rPr>
                <w:rFonts w:ascii="宋体" w:hAnsi="宋体"/>
                <w:szCs w:val="21"/>
              </w:rPr>
            </w:pPr>
            <w:r>
              <w:rPr>
                <w:rFonts w:hint="eastAsia" w:ascii="宋体" w:cs="宋体"/>
                <w:sz w:val="18"/>
                <w:szCs w:val="18"/>
                <w:lang w:val="zh-CN"/>
              </w:rPr>
              <w:t>项目总体设计、体系架构、建设内容、功能模块、预期成果体系、实施计划和关键技术比较，方案全面清晰、科学完善、可行的得4分，方案基本全面、完善、可行的得</w:t>
            </w:r>
            <w:r>
              <w:rPr>
                <w:rFonts w:hint="eastAsia" w:ascii="宋体" w:cs="宋体"/>
                <w:sz w:val="18"/>
                <w:szCs w:val="18"/>
              </w:rPr>
              <w:t>3</w:t>
            </w:r>
            <w:r>
              <w:rPr>
                <w:rFonts w:hint="eastAsia" w:ascii="宋体" w:cs="宋体"/>
                <w:sz w:val="18"/>
                <w:szCs w:val="18"/>
                <w:lang w:val="zh-CN"/>
              </w:rPr>
              <w:t>分，方案不尽完善、可行性一般得</w:t>
            </w:r>
            <w:r>
              <w:rPr>
                <w:rFonts w:hint="eastAsia" w:ascii="宋体" w:cs="宋体"/>
                <w:sz w:val="18"/>
                <w:szCs w:val="18"/>
              </w:rPr>
              <w:t>2</w:t>
            </w:r>
            <w:r>
              <w:rPr>
                <w:rFonts w:hint="eastAsia" w:ascii="宋体" w:cs="宋体"/>
                <w:sz w:val="18"/>
                <w:szCs w:val="18"/>
                <w:lang w:val="zh-CN"/>
              </w:rPr>
              <w:t>分，最高得4分。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4（分）</w:t>
            </w:r>
          </w:p>
        </w:tc>
        <w:tc>
          <w:tcPr>
            <w:tcW w:w="7281" w:type="dxa"/>
            <w:vAlign w:val="center"/>
          </w:tcPr>
          <w:p>
            <w:pPr>
              <w:jc w:val="left"/>
              <w:rPr>
                <w:rFonts w:ascii="宋体" w:cs="宋体"/>
                <w:sz w:val="18"/>
                <w:szCs w:val="18"/>
              </w:rPr>
            </w:pPr>
            <w:r>
              <w:rPr>
                <w:rFonts w:hint="eastAsia" w:ascii="宋体" w:cs="宋体"/>
                <w:sz w:val="18"/>
                <w:szCs w:val="18"/>
                <w:lang w:val="zh-CN"/>
              </w:rPr>
              <w:t>标准规范体系建设方案与技术文件要求、实际情况的符合度，方案科学、合理、规范和可操作性强得</w:t>
            </w:r>
            <w:r>
              <w:rPr>
                <w:rFonts w:ascii="宋体" w:cs="宋体"/>
                <w:sz w:val="18"/>
                <w:szCs w:val="18"/>
              </w:rPr>
              <w:t>4</w:t>
            </w:r>
            <w:r>
              <w:rPr>
                <w:rFonts w:hint="eastAsia" w:ascii="宋体" w:cs="宋体"/>
                <w:sz w:val="18"/>
                <w:szCs w:val="18"/>
                <w:lang w:val="zh-CN"/>
              </w:rPr>
              <w:t>分，方案科学、合理、规范和可操作性一般得</w:t>
            </w:r>
            <w:r>
              <w:rPr>
                <w:rFonts w:hint="eastAsia" w:ascii="宋体" w:cs="宋体"/>
                <w:sz w:val="18"/>
                <w:szCs w:val="18"/>
              </w:rPr>
              <w:t>3</w:t>
            </w:r>
            <w:r>
              <w:rPr>
                <w:rFonts w:hint="eastAsia" w:ascii="宋体" w:cs="宋体"/>
                <w:sz w:val="18"/>
                <w:szCs w:val="18"/>
                <w:lang w:val="zh-CN"/>
              </w:rPr>
              <w:t>分，方案合理性较差、可操作性差得</w:t>
            </w:r>
            <w:r>
              <w:rPr>
                <w:rFonts w:hint="eastAsia" w:ascii="宋体" w:cs="宋体"/>
                <w:sz w:val="18"/>
                <w:szCs w:val="18"/>
              </w:rPr>
              <w:t>2</w:t>
            </w:r>
            <w:r>
              <w:rPr>
                <w:rFonts w:hint="eastAsia" w:ascii="宋体" w:cs="宋体"/>
                <w:sz w:val="18"/>
                <w:szCs w:val="18"/>
                <w:lang w:val="zh-CN"/>
              </w:rPr>
              <w:t>分，没有本项建设内容不得分，最高得</w:t>
            </w:r>
            <w:r>
              <w:rPr>
                <w:rFonts w:ascii="宋体" w:cs="宋体"/>
                <w:sz w:val="18"/>
                <w:szCs w:val="18"/>
              </w:rPr>
              <w:t>4</w:t>
            </w:r>
            <w:r>
              <w:rPr>
                <w:rFonts w:hint="eastAsia" w:ascii="宋体" w:cs="宋体"/>
                <w:sz w:val="18"/>
                <w:szCs w:val="18"/>
                <w:lang w:val="zh-CN"/>
              </w:rPr>
              <w:t>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5（分）</w:t>
            </w:r>
          </w:p>
        </w:tc>
        <w:tc>
          <w:tcPr>
            <w:tcW w:w="7281" w:type="dxa"/>
            <w:vAlign w:val="center"/>
          </w:tcPr>
          <w:p>
            <w:pPr>
              <w:rPr>
                <w:rFonts w:ascii="宋体" w:cs="宋体"/>
                <w:sz w:val="18"/>
                <w:szCs w:val="18"/>
              </w:rPr>
            </w:pPr>
            <w:r>
              <w:rPr>
                <w:rFonts w:hint="eastAsia" w:ascii="宋体" w:cs="宋体"/>
                <w:sz w:val="18"/>
                <w:szCs w:val="18"/>
              </w:rPr>
              <w:t>针对数据资源建设内容，提供数据资源建设全套详细技术解决方案，方案全面清晰、科学完善、可行的得</w:t>
            </w:r>
            <w:r>
              <w:rPr>
                <w:rFonts w:ascii="宋体" w:cs="宋体"/>
                <w:sz w:val="18"/>
                <w:szCs w:val="18"/>
              </w:rPr>
              <w:t>5</w:t>
            </w:r>
            <w:r>
              <w:rPr>
                <w:rFonts w:hint="eastAsia" w:ascii="宋体" w:cs="宋体"/>
                <w:sz w:val="18"/>
                <w:szCs w:val="18"/>
              </w:rPr>
              <w:t>分，方案基本全面、完善、可行的得</w:t>
            </w:r>
            <w:r>
              <w:rPr>
                <w:rFonts w:ascii="宋体" w:cs="宋体"/>
                <w:sz w:val="18"/>
                <w:szCs w:val="18"/>
              </w:rPr>
              <w:t>3</w:t>
            </w:r>
            <w:r>
              <w:rPr>
                <w:rFonts w:hint="eastAsia" w:ascii="宋体" w:cs="宋体"/>
                <w:sz w:val="18"/>
                <w:szCs w:val="18"/>
              </w:rPr>
              <w:t>分，方案不尽完善、可行性一般得2分，最高得</w:t>
            </w:r>
            <w:r>
              <w:rPr>
                <w:rFonts w:ascii="宋体" w:cs="宋体"/>
                <w:sz w:val="18"/>
                <w:szCs w:val="18"/>
              </w:rPr>
              <w:t>5</w:t>
            </w:r>
            <w:r>
              <w:rPr>
                <w:rFonts w:hint="eastAsia" w:ascii="宋体" w:cs="宋体"/>
                <w:sz w:val="18"/>
                <w:szCs w:val="18"/>
              </w:rPr>
              <w:t>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6（分）</w:t>
            </w:r>
          </w:p>
        </w:tc>
        <w:tc>
          <w:tcPr>
            <w:tcW w:w="7281" w:type="dxa"/>
            <w:vAlign w:val="center"/>
          </w:tcPr>
          <w:p>
            <w:pPr>
              <w:pStyle w:val="41"/>
              <w:numPr>
                <w:ilvl w:val="255"/>
                <w:numId w:val="0"/>
              </w:numPr>
              <w:rPr>
                <w:sz w:val="18"/>
                <w:szCs w:val="18"/>
              </w:rPr>
            </w:pPr>
            <w:r>
              <w:rPr>
                <w:rFonts w:hint="eastAsia"/>
                <w:sz w:val="18"/>
                <w:szCs w:val="18"/>
              </w:rPr>
              <w:t>提供国土空间基础信息平台建设全套技术解决方案。平台的定位清晰、合理，功能模块设计完整、层次分明、科学合理，符合克州实际情况得</w:t>
            </w:r>
            <w:r>
              <w:rPr>
                <w:sz w:val="18"/>
                <w:szCs w:val="18"/>
              </w:rPr>
              <w:t>6</w:t>
            </w:r>
            <w:r>
              <w:rPr>
                <w:rFonts w:hint="eastAsia"/>
                <w:sz w:val="18"/>
                <w:szCs w:val="18"/>
              </w:rPr>
              <w:t>分，平台的定位基本合理，功能模块设计基本完整、合理，基本符合克州实际情况得</w:t>
            </w:r>
            <w:r>
              <w:rPr>
                <w:sz w:val="18"/>
                <w:szCs w:val="18"/>
              </w:rPr>
              <w:t>4</w:t>
            </w:r>
            <w:r>
              <w:rPr>
                <w:rFonts w:hint="eastAsia"/>
                <w:sz w:val="18"/>
                <w:szCs w:val="18"/>
              </w:rPr>
              <w:t>分，平台的定位合理性一般，功能模块设计不尽完整、合理性一般，得2分，最高得</w:t>
            </w:r>
            <w:r>
              <w:rPr>
                <w:sz w:val="18"/>
                <w:szCs w:val="18"/>
              </w:rPr>
              <w:t>6</w:t>
            </w:r>
            <w:r>
              <w:rPr>
                <w:rFonts w:hint="eastAsia"/>
                <w:sz w:val="18"/>
                <w:szCs w:val="18"/>
              </w:rPr>
              <w:t>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6（分）</w:t>
            </w:r>
          </w:p>
        </w:tc>
        <w:tc>
          <w:tcPr>
            <w:tcW w:w="7281" w:type="dxa"/>
            <w:vAlign w:val="center"/>
          </w:tcPr>
          <w:p>
            <w:pPr>
              <w:pStyle w:val="41"/>
              <w:numPr>
                <w:ilvl w:val="255"/>
                <w:numId w:val="0"/>
              </w:numPr>
              <w:rPr>
                <w:sz w:val="18"/>
                <w:szCs w:val="18"/>
              </w:rPr>
            </w:pPr>
            <w:r>
              <w:rPr>
                <w:rFonts w:hint="eastAsia"/>
                <w:sz w:val="18"/>
                <w:szCs w:val="18"/>
              </w:rPr>
              <w:t>提供“一张图”实施监督信息系统建设全套技术解决方案。对实施监督系统内容理解深入，方案总体架构设计清晰、合理、规范，功能模块设计齐全、完整，对招标要求对应点应答详尽、明晰，满足招标文件的各项要求，符合克州实际情况。根据所提供技术方案的先进性、可操作性、完善性、科学性、合理性综合比较评分。没有该项建设内容的不得分。</w:t>
            </w:r>
          </w:p>
          <w:p>
            <w:pPr>
              <w:pStyle w:val="41"/>
              <w:numPr>
                <w:ilvl w:val="255"/>
                <w:numId w:val="0"/>
              </w:numPr>
              <w:rPr>
                <w:sz w:val="18"/>
                <w:szCs w:val="18"/>
              </w:rPr>
            </w:pPr>
            <w:r>
              <w:rPr>
                <w:rFonts w:hint="eastAsia"/>
                <w:sz w:val="18"/>
                <w:szCs w:val="18"/>
              </w:rPr>
              <w:t>方案科学、合理、有效的得</w:t>
            </w:r>
            <w:r>
              <w:rPr>
                <w:sz w:val="18"/>
                <w:szCs w:val="18"/>
              </w:rPr>
              <w:t>6</w:t>
            </w:r>
            <w:r>
              <w:rPr>
                <w:rFonts w:hint="eastAsia"/>
                <w:sz w:val="18"/>
                <w:szCs w:val="18"/>
              </w:rPr>
              <w:t>分，方案较科学、合理、有效得4分，方案一般得2分</w:t>
            </w:r>
            <w:r>
              <w:rPr>
                <w:rFonts w:hint="eastAsia"/>
                <w:sz w:val="18"/>
                <w:szCs w:val="18"/>
                <w:highlight w:val="none"/>
              </w:rPr>
              <w:t>，差得1分，</w:t>
            </w:r>
            <w:r>
              <w:rPr>
                <w:rFonts w:hint="eastAsia"/>
                <w:sz w:val="18"/>
                <w:szCs w:val="18"/>
              </w:rPr>
              <w:t>最高得</w:t>
            </w:r>
            <w:r>
              <w:rPr>
                <w:sz w:val="18"/>
                <w:szCs w:val="18"/>
              </w:rPr>
              <w:t>6</w:t>
            </w:r>
            <w:r>
              <w:rPr>
                <w:rFonts w:hint="eastAsia"/>
                <w:sz w:val="18"/>
                <w:szCs w:val="18"/>
              </w:rPr>
              <w:t>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4（分）</w:t>
            </w:r>
          </w:p>
        </w:tc>
        <w:tc>
          <w:tcPr>
            <w:tcW w:w="7281" w:type="dxa"/>
            <w:vAlign w:val="center"/>
          </w:tcPr>
          <w:p>
            <w:pPr>
              <w:pStyle w:val="41"/>
              <w:numPr>
                <w:ilvl w:val="0"/>
                <w:numId w:val="5"/>
              </w:numPr>
              <w:rPr>
                <w:sz w:val="18"/>
                <w:szCs w:val="18"/>
              </w:rPr>
            </w:pPr>
            <w:r>
              <w:rPr>
                <w:rFonts w:hint="eastAsia"/>
                <w:sz w:val="18"/>
                <w:szCs w:val="18"/>
              </w:rPr>
              <w:t>提供移动应用系统解决方案。方案科学、合理、有效的得</w:t>
            </w:r>
            <w:r>
              <w:rPr>
                <w:sz w:val="18"/>
                <w:szCs w:val="18"/>
                <w:highlight w:val="none"/>
              </w:rPr>
              <w:t>4</w:t>
            </w:r>
            <w:r>
              <w:rPr>
                <w:rFonts w:hint="eastAsia"/>
                <w:sz w:val="18"/>
                <w:szCs w:val="18"/>
                <w:highlight w:val="none"/>
              </w:rPr>
              <w:t>分，方案较科学、合理、有效得3分，方案一般得2分，差得1分</w:t>
            </w:r>
            <w:r>
              <w:rPr>
                <w:rFonts w:hint="eastAsia"/>
                <w:sz w:val="18"/>
                <w:szCs w:val="18"/>
              </w:rPr>
              <w:t>，最高得</w:t>
            </w:r>
            <w:r>
              <w:rPr>
                <w:sz w:val="18"/>
                <w:szCs w:val="18"/>
              </w:rPr>
              <w:t>4</w:t>
            </w:r>
            <w:r>
              <w:rPr>
                <w:rFonts w:hint="eastAsia"/>
                <w:sz w:val="18"/>
                <w:szCs w:val="18"/>
              </w:rPr>
              <w:t>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2（分）</w:t>
            </w:r>
          </w:p>
        </w:tc>
        <w:tc>
          <w:tcPr>
            <w:tcW w:w="7281" w:type="dxa"/>
            <w:vAlign w:val="center"/>
          </w:tcPr>
          <w:p>
            <w:pPr>
              <w:pStyle w:val="41"/>
              <w:numPr>
                <w:ilvl w:val="255"/>
                <w:numId w:val="0"/>
              </w:numPr>
              <w:rPr>
                <w:rFonts w:ascii="Times New Roman" w:hAnsi="宋体"/>
                <w:sz w:val="18"/>
                <w:szCs w:val="18"/>
              </w:rPr>
            </w:pPr>
            <w:r>
              <w:rPr>
                <w:rFonts w:hint="eastAsia" w:ascii="Times New Roman" w:hAnsi="宋体"/>
                <w:sz w:val="18"/>
                <w:szCs w:val="18"/>
              </w:rPr>
              <w:t>质量保证措施合理、科学完备、责任明确得</w:t>
            </w:r>
            <w:r>
              <w:rPr>
                <w:rFonts w:ascii="Times New Roman" w:hAnsi="宋体"/>
                <w:sz w:val="18"/>
                <w:szCs w:val="18"/>
              </w:rPr>
              <w:t>2</w:t>
            </w:r>
            <w:r>
              <w:rPr>
                <w:rFonts w:hint="eastAsia" w:ascii="Times New Roman" w:hAnsi="宋体"/>
                <w:sz w:val="18"/>
                <w:szCs w:val="18"/>
              </w:rPr>
              <w:t>分，质量保证措施基本合理、可行、责任落实到人得</w:t>
            </w:r>
            <w:r>
              <w:rPr>
                <w:rFonts w:ascii="Times New Roman" w:hAnsi="宋体"/>
                <w:sz w:val="18"/>
                <w:szCs w:val="18"/>
              </w:rPr>
              <w:t>1</w:t>
            </w:r>
            <w:r>
              <w:rPr>
                <w:rFonts w:hint="eastAsia" w:ascii="Times New Roman" w:hAnsi="宋体"/>
                <w:sz w:val="18"/>
                <w:szCs w:val="18"/>
              </w:rPr>
              <w:t>分，质量保证措施合理性差、可行性、责任落实不清晰得0分</w:t>
            </w:r>
            <w:r>
              <w:rPr>
                <w:rFonts w:hint="eastAsia" w:ascii="Times New Roman" w:hAnsi="宋体"/>
                <w:sz w:val="18"/>
                <w:szCs w:val="18"/>
                <w:lang w:val="zh-CN"/>
              </w:rPr>
              <w:t>。</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Align w:val="center"/>
          </w:tcPr>
          <w:p>
            <w:pPr>
              <w:spacing w:line="240" w:lineRule="exact"/>
              <w:ind w:firstLine="28"/>
              <w:jc w:val="center"/>
              <w:rPr>
                <w:rFonts w:ascii="宋体" w:cs="宋体"/>
                <w:sz w:val="18"/>
                <w:szCs w:val="18"/>
              </w:rPr>
            </w:pPr>
          </w:p>
        </w:tc>
        <w:tc>
          <w:tcPr>
            <w:tcW w:w="1056" w:type="dxa"/>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2（分）</w:t>
            </w:r>
          </w:p>
        </w:tc>
        <w:tc>
          <w:tcPr>
            <w:tcW w:w="7281" w:type="dxa"/>
            <w:vAlign w:val="center"/>
          </w:tcPr>
          <w:p>
            <w:pPr>
              <w:pStyle w:val="41"/>
              <w:numPr>
                <w:ilvl w:val="255"/>
                <w:numId w:val="0"/>
              </w:numPr>
              <w:rPr>
                <w:rFonts w:ascii="Times New Roman" w:hAnsi="宋体"/>
                <w:sz w:val="18"/>
                <w:szCs w:val="18"/>
              </w:rPr>
            </w:pPr>
            <w:r>
              <w:rPr>
                <w:rFonts w:hint="eastAsia" w:ascii="Times New Roman" w:hAnsi="宋体"/>
                <w:sz w:val="18"/>
                <w:szCs w:val="18"/>
              </w:rPr>
              <w:t>项目进度安排、关键环节节点控制得当，思路清晰，进度管理措施得当得2分，进度安排及管理措施较得当得1分，进度安排合理性差、进度控制措施不全得0分；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Align w:val="center"/>
          </w:tcPr>
          <w:p>
            <w:pPr>
              <w:spacing w:line="240" w:lineRule="exact"/>
              <w:ind w:firstLine="28"/>
              <w:jc w:val="center"/>
              <w:rPr>
                <w:rFonts w:ascii="宋体" w:cs="宋体"/>
                <w:sz w:val="18"/>
                <w:szCs w:val="18"/>
              </w:rPr>
            </w:pPr>
          </w:p>
        </w:tc>
        <w:tc>
          <w:tcPr>
            <w:tcW w:w="1056" w:type="dxa"/>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2（分）</w:t>
            </w:r>
          </w:p>
        </w:tc>
        <w:tc>
          <w:tcPr>
            <w:tcW w:w="7281" w:type="dxa"/>
            <w:vAlign w:val="center"/>
          </w:tcPr>
          <w:p>
            <w:pPr>
              <w:pStyle w:val="41"/>
              <w:numPr>
                <w:ilvl w:val="255"/>
                <w:numId w:val="0"/>
              </w:numPr>
              <w:rPr>
                <w:rFonts w:ascii="Times New Roman" w:hAnsi="宋体"/>
                <w:sz w:val="18"/>
                <w:szCs w:val="18"/>
              </w:rPr>
            </w:pPr>
            <w:r>
              <w:rPr>
                <w:rFonts w:hint="eastAsia" w:ascii="Times New Roman" w:hAnsi="宋体"/>
                <w:sz w:val="18"/>
                <w:szCs w:val="18"/>
              </w:rPr>
              <w:t>针对安全和涉密问题的识别以及采取有针对性的措施，方案合理、科学完备得2分，方案基本合理、科学可行得1分，方案合理性差、可行性差得0分。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7" w:type="dxa"/>
            <w:vAlign w:val="center"/>
          </w:tcPr>
          <w:p>
            <w:pPr>
              <w:spacing w:line="240" w:lineRule="exact"/>
              <w:ind w:firstLine="28"/>
              <w:jc w:val="center"/>
              <w:rPr>
                <w:rFonts w:ascii="宋体" w:cs="宋体"/>
                <w:sz w:val="18"/>
                <w:szCs w:val="18"/>
              </w:rPr>
            </w:pPr>
          </w:p>
        </w:tc>
        <w:tc>
          <w:tcPr>
            <w:tcW w:w="1056" w:type="dxa"/>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2（分）</w:t>
            </w:r>
          </w:p>
        </w:tc>
        <w:tc>
          <w:tcPr>
            <w:tcW w:w="7281" w:type="dxa"/>
            <w:vAlign w:val="center"/>
          </w:tcPr>
          <w:p>
            <w:pPr>
              <w:pStyle w:val="41"/>
              <w:numPr>
                <w:ilvl w:val="255"/>
                <w:numId w:val="0"/>
              </w:numPr>
              <w:rPr>
                <w:rFonts w:ascii="Times New Roman" w:hAnsi="宋体"/>
                <w:sz w:val="18"/>
                <w:szCs w:val="18"/>
              </w:rPr>
            </w:pPr>
            <w:r>
              <w:rPr>
                <w:rFonts w:hint="eastAsia" w:ascii="Times New Roman" w:hAnsi="宋体"/>
                <w:sz w:val="18"/>
                <w:szCs w:val="18"/>
              </w:rPr>
              <w:t>投标人针对本项目售后服务要求制定详细售后维护服务实施方案。根据所提供方案对响应时间、服务内容与实际契合度、服务满足需求变化的灵活性、可执行性、合理性综合比较评分。</w:t>
            </w:r>
          </w:p>
          <w:p>
            <w:pPr>
              <w:pStyle w:val="41"/>
              <w:numPr>
                <w:ilvl w:val="255"/>
                <w:numId w:val="0"/>
              </w:numPr>
              <w:rPr>
                <w:rFonts w:ascii="Times New Roman" w:hAnsi="宋体"/>
                <w:sz w:val="18"/>
                <w:szCs w:val="18"/>
              </w:rPr>
            </w:pPr>
            <w:r>
              <w:rPr>
                <w:rFonts w:hint="eastAsia" w:ascii="Times New Roman" w:hAnsi="宋体"/>
                <w:sz w:val="18"/>
                <w:szCs w:val="18"/>
              </w:rPr>
              <w:t>服务团队稳定性高、服务体系完整的得2分；稳定性较高、服务体系较完整的得1分；其他情况不得分。本项最高得2分。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447" w:type="dxa"/>
            <w:vMerge w:val="restart"/>
            <w:vAlign w:val="center"/>
          </w:tcPr>
          <w:p>
            <w:pPr>
              <w:spacing w:line="240" w:lineRule="exact"/>
              <w:jc w:val="center"/>
              <w:rPr>
                <w:sz w:val="18"/>
                <w:szCs w:val="18"/>
              </w:rPr>
            </w:pPr>
            <w:r>
              <w:rPr>
                <w:rFonts w:hint="eastAsia"/>
                <w:sz w:val="18"/>
                <w:szCs w:val="18"/>
              </w:rPr>
              <w:t>4</w:t>
            </w:r>
          </w:p>
        </w:tc>
        <w:tc>
          <w:tcPr>
            <w:tcW w:w="1056" w:type="dxa"/>
            <w:vMerge w:val="restart"/>
            <w:vAlign w:val="center"/>
          </w:tcPr>
          <w:p>
            <w:pPr>
              <w:spacing w:line="240" w:lineRule="exact"/>
              <w:rPr>
                <w:sz w:val="18"/>
                <w:szCs w:val="18"/>
              </w:rPr>
            </w:pPr>
            <w:r>
              <w:rPr>
                <w:rFonts w:hint="eastAsia" w:ascii="宋体" w:cs="宋体"/>
                <w:sz w:val="18"/>
                <w:szCs w:val="18"/>
              </w:rPr>
              <w:t>商务部分</w:t>
            </w:r>
            <w:r>
              <w:rPr>
                <w:rFonts w:hint="eastAsia" w:ascii="宋体" w:hAnsi="宋体"/>
                <w:sz w:val="18"/>
                <w:szCs w:val="18"/>
              </w:rPr>
              <w:t>（45分）</w:t>
            </w: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25</w:t>
            </w:r>
          </w:p>
          <w:p>
            <w:pPr>
              <w:spacing w:line="240" w:lineRule="exact"/>
              <w:jc w:val="center"/>
              <w:rPr>
                <w:rFonts w:ascii="宋体" w:hAnsi="宋体" w:cs="宋体"/>
                <w:sz w:val="18"/>
                <w:szCs w:val="18"/>
              </w:rPr>
            </w:pPr>
            <w:r>
              <w:rPr>
                <w:rFonts w:hint="eastAsia" w:ascii="宋体" w:hAnsi="宋体" w:cs="宋体"/>
                <w:sz w:val="18"/>
                <w:szCs w:val="18"/>
              </w:rPr>
              <w:t>（分）</w:t>
            </w:r>
          </w:p>
        </w:tc>
        <w:tc>
          <w:tcPr>
            <w:tcW w:w="7281" w:type="dxa"/>
            <w:vAlign w:val="center"/>
          </w:tcPr>
          <w:p>
            <w:pPr>
              <w:spacing w:line="300" w:lineRule="exact"/>
              <w:rPr>
                <w:bCs/>
                <w:szCs w:val="21"/>
              </w:rPr>
            </w:pPr>
            <w:r>
              <w:rPr>
                <w:rFonts w:hint="eastAsia"/>
                <w:bCs/>
                <w:szCs w:val="21"/>
              </w:rPr>
              <w:t>项目人员配置（25分）</w:t>
            </w:r>
          </w:p>
          <w:p>
            <w:pPr>
              <w:spacing w:line="300" w:lineRule="exact"/>
              <w:rPr>
                <w:rFonts w:ascii="宋体" w:cs="宋体"/>
                <w:sz w:val="18"/>
                <w:szCs w:val="18"/>
              </w:rPr>
            </w:pPr>
            <w:r>
              <w:rPr>
                <w:rFonts w:hint="eastAsia" w:ascii="宋体" w:cs="宋体"/>
                <w:sz w:val="18"/>
                <w:szCs w:val="18"/>
              </w:rPr>
              <w:t>1、项目负责</w:t>
            </w:r>
            <w:r>
              <w:rPr>
                <w:rFonts w:hint="eastAsia" w:ascii="宋体" w:cs="宋体"/>
                <w:sz w:val="18"/>
                <w:szCs w:val="18"/>
                <w:highlight w:val="none"/>
              </w:rPr>
              <w:t>人（1人）</w:t>
            </w:r>
            <w:r>
              <w:rPr>
                <w:rFonts w:hint="eastAsia" w:ascii="宋体" w:cs="宋体"/>
                <w:sz w:val="18"/>
                <w:szCs w:val="18"/>
              </w:rPr>
              <w:t>具有高级工程师职称、系统集成项目管理工程师证书、全国信息化工程师证书（S</w:t>
            </w:r>
            <w:r>
              <w:rPr>
                <w:rFonts w:ascii="宋体" w:cs="宋体"/>
                <w:sz w:val="18"/>
                <w:szCs w:val="18"/>
              </w:rPr>
              <w:t>Q</w:t>
            </w:r>
            <w:r>
              <w:rPr>
                <w:rFonts w:hint="eastAsia" w:ascii="宋体" w:cs="宋体"/>
                <w:sz w:val="18"/>
                <w:szCs w:val="18"/>
              </w:rPr>
              <w:t>LSERVER数据库管理师）、P</w:t>
            </w:r>
            <w:r>
              <w:rPr>
                <w:rFonts w:ascii="宋体" w:cs="宋体"/>
                <w:sz w:val="18"/>
                <w:szCs w:val="18"/>
              </w:rPr>
              <w:t>MP</w:t>
            </w:r>
            <w:r>
              <w:rPr>
                <w:rFonts w:hint="eastAsia" w:ascii="宋体" w:cs="宋体"/>
                <w:sz w:val="18"/>
                <w:szCs w:val="18"/>
              </w:rPr>
              <w:t>项目经理证书的，每有一项得1分，最高得</w:t>
            </w:r>
            <w:r>
              <w:rPr>
                <w:rFonts w:ascii="宋体" w:cs="宋体"/>
                <w:sz w:val="18"/>
                <w:szCs w:val="18"/>
              </w:rPr>
              <w:t>4</w:t>
            </w:r>
            <w:r>
              <w:rPr>
                <w:rFonts w:hint="eastAsia" w:ascii="宋体" w:cs="宋体"/>
                <w:sz w:val="18"/>
                <w:szCs w:val="18"/>
              </w:rPr>
              <w:t>分。</w:t>
            </w:r>
          </w:p>
          <w:p>
            <w:pPr>
              <w:spacing w:line="300" w:lineRule="exact"/>
              <w:rPr>
                <w:rFonts w:ascii="宋体" w:cs="宋体"/>
                <w:sz w:val="18"/>
                <w:szCs w:val="18"/>
              </w:rPr>
            </w:pPr>
            <w:r>
              <w:rPr>
                <w:rFonts w:ascii="宋体" w:cs="宋体"/>
                <w:sz w:val="18"/>
                <w:szCs w:val="18"/>
              </w:rPr>
              <w:t>2、技术负责人（项目负责人除外</w:t>
            </w:r>
            <w:r>
              <w:rPr>
                <w:rFonts w:hint="eastAsia" w:ascii="宋体" w:cs="宋体"/>
                <w:sz w:val="18"/>
                <w:szCs w:val="18"/>
                <w:highlight w:val="none"/>
              </w:rPr>
              <w:t>，不超过3人</w:t>
            </w:r>
            <w:r>
              <w:rPr>
                <w:rFonts w:ascii="宋体" w:cs="宋体"/>
                <w:sz w:val="18"/>
                <w:szCs w:val="18"/>
                <w:highlight w:val="none"/>
              </w:rPr>
              <w:t>）</w:t>
            </w:r>
            <w:r>
              <w:rPr>
                <w:rFonts w:ascii="宋体" w:cs="宋体"/>
                <w:sz w:val="18"/>
                <w:szCs w:val="18"/>
              </w:rPr>
              <w:t>具有高级工程师职称证书、计算机程序设计员职业资格证书、IT服务项目经理证书、系统集成项目管理工程师证书的</w:t>
            </w:r>
            <w:r>
              <w:rPr>
                <w:rFonts w:hint="eastAsia" w:ascii="宋体" w:cs="宋体"/>
                <w:sz w:val="18"/>
                <w:szCs w:val="18"/>
              </w:rPr>
              <w:t>，</w:t>
            </w:r>
            <w:r>
              <w:rPr>
                <w:rFonts w:ascii="宋体" w:cs="宋体"/>
                <w:sz w:val="18"/>
                <w:szCs w:val="18"/>
              </w:rPr>
              <w:t>每有一项得1分，</w:t>
            </w:r>
            <w:r>
              <w:rPr>
                <w:rFonts w:hint="eastAsia" w:ascii="宋体" w:cs="宋体"/>
                <w:sz w:val="18"/>
                <w:szCs w:val="18"/>
                <w:highlight w:val="none"/>
              </w:rPr>
              <w:t>重复项不得分</w:t>
            </w:r>
            <w:r>
              <w:rPr>
                <w:rFonts w:hint="eastAsia" w:ascii="宋体" w:cs="宋体"/>
                <w:sz w:val="18"/>
                <w:szCs w:val="18"/>
              </w:rPr>
              <w:t>，</w:t>
            </w:r>
            <w:r>
              <w:rPr>
                <w:rFonts w:ascii="宋体" w:cs="宋体"/>
                <w:sz w:val="18"/>
                <w:szCs w:val="18"/>
              </w:rPr>
              <w:t>最高得4分。</w:t>
            </w:r>
          </w:p>
          <w:p>
            <w:pPr>
              <w:spacing w:line="300" w:lineRule="exact"/>
              <w:rPr>
                <w:rFonts w:ascii="宋体" w:cs="宋体"/>
                <w:sz w:val="18"/>
                <w:szCs w:val="18"/>
              </w:rPr>
            </w:pPr>
            <w:r>
              <w:rPr>
                <w:rFonts w:hint="eastAsia" w:ascii="宋体" w:cs="宋体"/>
                <w:sz w:val="18"/>
                <w:szCs w:val="18"/>
              </w:rPr>
              <w:t>3、项目团队配备完备的各类人员，（除项目负责人及技术负责人之外）：（1</w:t>
            </w:r>
            <w:r>
              <w:rPr>
                <w:rFonts w:ascii="宋体" w:cs="宋体"/>
                <w:sz w:val="18"/>
                <w:szCs w:val="18"/>
              </w:rPr>
              <w:t>7</w:t>
            </w:r>
            <w:r>
              <w:rPr>
                <w:rFonts w:hint="eastAsia" w:ascii="宋体" w:cs="宋体"/>
                <w:sz w:val="18"/>
                <w:szCs w:val="18"/>
              </w:rPr>
              <w:t>分）</w:t>
            </w:r>
          </w:p>
          <w:p>
            <w:pPr>
              <w:spacing w:line="300" w:lineRule="exact"/>
              <w:rPr>
                <w:rFonts w:ascii="宋体" w:cs="宋体"/>
                <w:sz w:val="18"/>
                <w:szCs w:val="18"/>
              </w:rPr>
            </w:pPr>
            <w:r>
              <w:rPr>
                <w:rFonts w:hint="eastAsia" w:ascii="宋体" w:cs="宋体"/>
                <w:sz w:val="18"/>
                <w:szCs w:val="18"/>
              </w:rPr>
              <w:t>（1）具有高级信息系统项目管理师或国家信息化安全技术资格认证证书（高级数据库管理工程师）的</w:t>
            </w:r>
            <w:r>
              <w:rPr>
                <w:rFonts w:hint="eastAsia" w:ascii="宋体" w:cs="宋体"/>
                <w:sz w:val="18"/>
                <w:szCs w:val="18"/>
                <w:highlight w:val="none"/>
              </w:rPr>
              <w:t>，每有1人1项得1分，1人2项得2分，重复项不得分，</w:t>
            </w:r>
            <w:r>
              <w:rPr>
                <w:rFonts w:hint="eastAsia" w:ascii="宋体" w:cs="宋体"/>
                <w:sz w:val="18"/>
                <w:szCs w:val="18"/>
              </w:rPr>
              <w:t>本项最高得</w:t>
            </w:r>
            <w:r>
              <w:rPr>
                <w:rFonts w:ascii="宋体" w:cs="宋体"/>
                <w:sz w:val="18"/>
                <w:szCs w:val="18"/>
              </w:rPr>
              <w:t>2</w:t>
            </w:r>
            <w:r>
              <w:rPr>
                <w:rFonts w:hint="eastAsia" w:ascii="宋体" w:cs="宋体"/>
                <w:sz w:val="18"/>
                <w:szCs w:val="18"/>
              </w:rPr>
              <w:t>分；</w:t>
            </w:r>
          </w:p>
          <w:p>
            <w:pPr>
              <w:spacing w:line="300" w:lineRule="exact"/>
              <w:rPr>
                <w:rFonts w:ascii="宋体" w:cs="宋体"/>
                <w:sz w:val="18"/>
                <w:szCs w:val="18"/>
              </w:rPr>
            </w:pPr>
            <w:r>
              <w:rPr>
                <w:rFonts w:hint="eastAsia" w:ascii="宋体" w:cs="宋体"/>
                <w:sz w:val="18"/>
                <w:szCs w:val="18"/>
              </w:rPr>
              <w:t>（</w:t>
            </w:r>
            <w:r>
              <w:rPr>
                <w:rFonts w:ascii="宋体" w:cs="宋体"/>
                <w:sz w:val="18"/>
                <w:szCs w:val="18"/>
              </w:rPr>
              <w:t>2</w:t>
            </w:r>
            <w:r>
              <w:rPr>
                <w:rFonts w:hint="eastAsia" w:ascii="宋体" w:cs="宋体"/>
                <w:sz w:val="18"/>
                <w:szCs w:val="18"/>
              </w:rPr>
              <w:t>）具有注册信息安全专业人员证书（CISP）的，每有1人得1分，最高得</w:t>
            </w:r>
            <w:r>
              <w:rPr>
                <w:rFonts w:ascii="宋体" w:cs="宋体"/>
                <w:sz w:val="18"/>
                <w:szCs w:val="18"/>
              </w:rPr>
              <w:t>1</w:t>
            </w:r>
            <w:r>
              <w:rPr>
                <w:rFonts w:hint="eastAsia" w:ascii="宋体" w:cs="宋体"/>
                <w:sz w:val="18"/>
                <w:szCs w:val="18"/>
              </w:rPr>
              <w:t>分；</w:t>
            </w:r>
          </w:p>
          <w:p>
            <w:pPr>
              <w:spacing w:line="300" w:lineRule="exact"/>
              <w:rPr>
                <w:rFonts w:ascii="宋体" w:cs="宋体"/>
                <w:sz w:val="18"/>
                <w:szCs w:val="18"/>
              </w:rPr>
            </w:pPr>
            <w:r>
              <w:rPr>
                <w:rFonts w:hint="eastAsia" w:ascii="宋体" w:cs="宋体"/>
                <w:sz w:val="18"/>
                <w:szCs w:val="18"/>
              </w:rPr>
              <w:t>（3）具有软件设计师证书的，每有1人得1分，最高</w:t>
            </w:r>
            <w:r>
              <w:rPr>
                <w:rFonts w:hint="eastAsia" w:ascii="宋体" w:cs="宋体"/>
                <w:sz w:val="18"/>
                <w:szCs w:val="18"/>
                <w:highlight w:val="none"/>
              </w:rPr>
              <w:t>得2分；</w:t>
            </w:r>
          </w:p>
          <w:p>
            <w:pPr>
              <w:spacing w:line="300" w:lineRule="exact"/>
              <w:rPr>
                <w:rFonts w:ascii="宋体" w:cs="宋体"/>
                <w:sz w:val="18"/>
                <w:szCs w:val="18"/>
              </w:rPr>
            </w:pPr>
            <w:r>
              <w:rPr>
                <w:rFonts w:hint="eastAsia" w:ascii="宋体" w:cs="宋体"/>
                <w:sz w:val="18"/>
                <w:szCs w:val="18"/>
              </w:rPr>
              <w:t>（4）具有I</w:t>
            </w:r>
            <w:r>
              <w:rPr>
                <w:rFonts w:ascii="宋体" w:cs="宋体"/>
                <w:sz w:val="18"/>
                <w:szCs w:val="18"/>
              </w:rPr>
              <w:t>T</w:t>
            </w:r>
            <w:r>
              <w:rPr>
                <w:rFonts w:hint="eastAsia" w:ascii="宋体" w:cs="宋体"/>
                <w:sz w:val="18"/>
                <w:szCs w:val="18"/>
              </w:rPr>
              <w:t>服务项目经理证书的，每有1人得1分，最高得</w:t>
            </w:r>
            <w:r>
              <w:rPr>
                <w:rFonts w:ascii="宋体" w:cs="宋体"/>
                <w:sz w:val="18"/>
                <w:szCs w:val="18"/>
              </w:rPr>
              <w:t>2</w:t>
            </w:r>
            <w:r>
              <w:rPr>
                <w:rFonts w:hint="eastAsia" w:ascii="宋体" w:cs="宋体"/>
                <w:sz w:val="18"/>
                <w:szCs w:val="18"/>
              </w:rPr>
              <w:t>分；</w:t>
            </w:r>
          </w:p>
          <w:p>
            <w:pPr>
              <w:spacing w:line="300" w:lineRule="exact"/>
              <w:rPr>
                <w:rFonts w:ascii="宋体" w:cs="宋体"/>
                <w:sz w:val="18"/>
                <w:szCs w:val="18"/>
              </w:rPr>
            </w:pPr>
            <w:r>
              <w:rPr>
                <w:rFonts w:hint="eastAsia" w:ascii="宋体" w:cs="宋体"/>
                <w:sz w:val="18"/>
                <w:szCs w:val="18"/>
              </w:rPr>
              <w:t>（5）具有中级及以上网络工程师证书的，每有1人得1分，最高得2分；</w:t>
            </w:r>
          </w:p>
          <w:p>
            <w:pPr>
              <w:spacing w:line="300" w:lineRule="exact"/>
              <w:rPr>
                <w:rFonts w:ascii="宋体" w:cs="宋体"/>
                <w:sz w:val="18"/>
                <w:szCs w:val="18"/>
              </w:rPr>
            </w:pPr>
            <w:r>
              <w:rPr>
                <w:rFonts w:hint="eastAsia" w:ascii="宋体" w:cs="宋体"/>
                <w:sz w:val="18"/>
                <w:szCs w:val="18"/>
              </w:rPr>
              <w:t>（6）具有数据库系统工程师证书的，每有1人得1分，最高得2分；</w:t>
            </w:r>
          </w:p>
          <w:p>
            <w:pPr>
              <w:spacing w:line="300" w:lineRule="exact"/>
              <w:rPr>
                <w:rFonts w:ascii="宋体" w:cs="宋体"/>
                <w:sz w:val="18"/>
                <w:szCs w:val="18"/>
              </w:rPr>
            </w:pPr>
            <w:r>
              <w:rPr>
                <w:rFonts w:hint="eastAsia" w:ascii="宋体" w:cs="宋体"/>
                <w:sz w:val="18"/>
                <w:szCs w:val="18"/>
              </w:rPr>
              <w:t>（7）具有</w:t>
            </w:r>
            <w:r>
              <w:rPr>
                <w:rFonts w:ascii="宋体" w:cs="宋体"/>
                <w:sz w:val="18"/>
                <w:szCs w:val="18"/>
              </w:rPr>
              <w:t>OCP</w:t>
            </w:r>
            <w:r>
              <w:rPr>
                <w:rFonts w:hint="eastAsia" w:ascii="宋体" w:cs="宋体"/>
                <w:sz w:val="18"/>
                <w:szCs w:val="18"/>
              </w:rPr>
              <w:t>证书的，每有1人得1分，最高得2分；</w:t>
            </w:r>
          </w:p>
          <w:p>
            <w:pPr>
              <w:pStyle w:val="2"/>
              <w:rPr>
                <w:highlight w:val="yellow"/>
              </w:rPr>
            </w:pPr>
            <w:r>
              <w:rPr>
                <w:rFonts w:hint="eastAsia" w:ascii="宋体" w:cs="宋体"/>
                <w:szCs w:val="18"/>
              </w:rPr>
              <w:t>（8）</w:t>
            </w:r>
            <w:r>
              <w:rPr>
                <w:rFonts w:hint="eastAsia" w:ascii="宋体" w:cs="宋体"/>
                <w:color w:val="FF0000"/>
                <w:szCs w:val="18"/>
                <w:highlight w:val="none"/>
              </w:rPr>
              <w:t>具有国土空间规划（土地规划、城乡规划）专业并且配备高级职称的，每有1人1项（土地规划或城乡规划）得1分，最高得2分；</w:t>
            </w:r>
          </w:p>
          <w:p>
            <w:pPr>
              <w:spacing w:line="300" w:lineRule="exact"/>
              <w:rPr>
                <w:rFonts w:ascii="宋体" w:cs="宋体"/>
                <w:sz w:val="18"/>
                <w:szCs w:val="18"/>
                <w:highlight w:val="none"/>
              </w:rPr>
            </w:pPr>
            <w:r>
              <w:rPr>
                <w:rFonts w:hint="eastAsia" w:ascii="宋体" w:cs="宋体"/>
                <w:sz w:val="18"/>
                <w:szCs w:val="18"/>
                <w:highlight w:val="none"/>
              </w:rPr>
              <w:t>（9）具有测绘（大地测绘、地理信息系统、地图编制）中任一专业并且配备高级职称的 每有1人1项得1分，1人2项得2分，重复项不得分，最高得2分；</w:t>
            </w:r>
          </w:p>
          <w:p>
            <w:pPr>
              <w:spacing w:line="300" w:lineRule="exact"/>
              <w:rPr>
                <w:rFonts w:ascii="宋体" w:cs="宋体"/>
                <w:sz w:val="18"/>
                <w:szCs w:val="18"/>
              </w:rPr>
            </w:pPr>
            <w:r>
              <w:rPr>
                <w:rFonts w:hint="eastAsia" w:ascii="宋体" w:cs="宋体"/>
                <w:sz w:val="18"/>
                <w:szCs w:val="18"/>
              </w:rPr>
              <w:t>注：响应文件中提供以上序号1-3项人员证书复印件及响应单位为其缴纳的近三个月或以上的社保证明资料，否则对应内容不得分。</w:t>
            </w:r>
          </w:p>
        </w:tc>
        <w:tc>
          <w:tcPr>
            <w:tcW w:w="547" w:type="dxa"/>
            <w:vAlign w:val="center"/>
          </w:tcPr>
          <w:p>
            <w:pPr>
              <w:spacing w:line="240" w:lineRule="exac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7" w:type="dxa"/>
            <w:vMerge w:val="continue"/>
            <w:vAlign w:val="center"/>
          </w:tcPr>
          <w:p>
            <w:pPr>
              <w:spacing w:line="240" w:lineRule="exact"/>
              <w:ind w:firstLine="28"/>
              <w:jc w:val="center"/>
              <w:rPr>
                <w:rFonts w:ascii="宋体" w:cs="宋体"/>
                <w:sz w:val="18"/>
                <w:szCs w:val="18"/>
              </w:rPr>
            </w:pPr>
          </w:p>
        </w:tc>
        <w:tc>
          <w:tcPr>
            <w:tcW w:w="1056" w:type="dxa"/>
            <w:vMerge w:val="continue"/>
            <w:vAlign w:val="center"/>
          </w:tcPr>
          <w:p>
            <w:pPr>
              <w:spacing w:line="240" w:lineRule="exact"/>
              <w:ind w:firstLine="28"/>
              <w:jc w:val="center"/>
              <w:rPr>
                <w:rFonts w:ascii="宋体" w:cs="宋体"/>
                <w:sz w:val="18"/>
                <w:szCs w:val="18"/>
              </w:rPr>
            </w:pPr>
          </w:p>
        </w:tc>
        <w:tc>
          <w:tcPr>
            <w:tcW w:w="737" w:type="dxa"/>
            <w:vAlign w:val="center"/>
          </w:tcPr>
          <w:p>
            <w:pPr>
              <w:spacing w:line="240" w:lineRule="exact"/>
              <w:jc w:val="center"/>
              <w:rPr>
                <w:rFonts w:ascii="宋体" w:hAnsi="宋体" w:cs="宋体"/>
                <w:sz w:val="18"/>
                <w:szCs w:val="18"/>
              </w:rPr>
            </w:pPr>
            <w:r>
              <w:rPr>
                <w:rFonts w:hint="eastAsia" w:ascii="宋体" w:hAnsi="宋体" w:cs="宋体"/>
                <w:sz w:val="18"/>
                <w:szCs w:val="18"/>
              </w:rPr>
              <w:t>20（分）</w:t>
            </w:r>
          </w:p>
        </w:tc>
        <w:tc>
          <w:tcPr>
            <w:tcW w:w="7281" w:type="dxa"/>
            <w:vAlign w:val="center"/>
          </w:tcPr>
          <w:p>
            <w:pPr>
              <w:pStyle w:val="39"/>
              <w:rPr>
                <w:rFonts w:ascii="Times New Roman" w:cs="Times New Roman"/>
                <w:bCs/>
                <w:color w:val="auto"/>
                <w:kern w:val="2"/>
                <w:sz w:val="21"/>
                <w:szCs w:val="21"/>
              </w:rPr>
            </w:pPr>
            <w:r>
              <w:rPr>
                <w:rFonts w:hint="eastAsia" w:ascii="Times New Roman" w:cs="Times New Roman"/>
                <w:bCs/>
                <w:color w:val="auto"/>
                <w:kern w:val="2"/>
                <w:sz w:val="21"/>
                <w:szCs w:val="21"/>
              </w:rPr>
              <w:t>投标人履约能力（20分）</w:t>
            </w:r>
          </w:p>
          <w:p>
            <w:pPr>
              <w:pStyle w:val="39"/>
              <w:rPr>
                <w:rFonts w:ascii="Times New Roman" w:cs="Times New Roman"/>
                <w:bCs/>
                <w:color w:val="auto"/>
                <w:kern w:val="2"/>
                <w:sz w:val="21"/>
                <w:szCs w:val="21"/>
              </w:rPr>
            </w:pPr>
            <w:r>
              <w:rPr>
                <w:rFonts w:hint="eastAsia" w:ascii="Times New Roman" w:cs="Times New Roman"/>
                <w:bCs/>
                <w:color w:val="auto"/>
                <w:kern w:val="2"/>
                <w:sz w:val="21"/>
                <w:szCs w:val="21"/>
              </w:rPr>
              <w:t>1、投标单位具有有效期内的质量管理体系认证证书、环境管理体系认证证书、职业健康安全管理体系认证证书、信息安全管理体系认证证书、知识产权管理体系认证证书、信息技术服务管理体系认证证书的，每具备一项得1分，最高为6分。</w:t>
            </w:r>
          </w:p>
          <w:p>
            <w:pPr>
              <w:pStyle w:val="39"/>
              <w:rPr>
                <w:rFonts w:ascii="Times New Roman" w:cs="Times New Roman"/>
                <w:bCs/>
                <w:color w:val="auto"/>
                <w:kern w:val="2"/>
                <w:sz w:val="21"/>
                <w:szCs w:val="21"/>
                <w:highlight w:val="none"/>
              </w:rPr>
            </w:pPr>
            <w:r>
              <w:rPr>
                <w:rFonts w:hint="eastAsia" w:ascii="Times New Roman" w:cs="Times New Roman"/>
                <w:bCs/>
                <w:color w:val="auto"/>
                <w:kern w:val="2"/>
                <w:sz w:val="21"/>
                <w:szCs w:val="21"/>
              </w:rPr>
              <w:t>2、投标单位具有信息技术服务运行维护标准符合性证书、信息系统建设和服务能力证书的，每有一项得1</w:t>
            </w:r>
            <w:r>
              <w:rPr>
                <w:rFonts w:hint="eastAsia" w:ascii="Times New Roman" w:cs="Times New Roman"/>
                <w:bCs/>
                <w:color w:val="auto"/>
                <w:kern w:val="2"/>
                <w:sz w:val="21"/>
                <w:szCs w:val="21"/>
                <w:lang w:val="en-US" w:eastAsia="zh-CN"/>
              </w:rPr>
              <w:t>.5</w:t>
            </w:r>
            <w:r>
              <w:rPr>
                <w:rFonts w:hint="eastAsia" w:ascii="Times New Roman" w:cs="Times New Roman"/>
                <w:bCs/>
                <w:color w:val="auto"/>
                <w:kern w:val="2"/>
                <w:sz w:val="21"/>
                <w:szCs w:val="21"/>
              </w:rPr>
              <w:t>分，</w:t>
            </w:r>
            <w:r>
              <w:rPr>
                <w:rFonts w:hint="eastAsia" w:ascii="Times New Roman" w:cs="Times New Roman"/>
                <w:bCs/>
                <w:color w:val="auto"/>
                <w:kern w:val="2"/>
                <w:sz w:val="21"/>
                <w:szCs w:val="21"/>
                <w:highlight w:val="none"/>
              </w:rPr>
              <w:t>本项最高得3分。</w:t>
            </w:r>
          </w:p>
          <w:p>
            <w:pPr>
              <w:pStyle w:val="39"/>
              <w:rPr>
                <w:rFonts w:ascii="Times New Roman" w:cs="Times New Roman"/>
                <w:bCs/>
                <w:color w:val="auto"/>
                <w:kern w:val="2"/>
                <w:sz w:val="21"/>
                <w:szCs w:val="21"/>
              </w:rPr>
            </w:pPr>
            <w:r>
              <w:rPr>
                <w:rFonts w:hint="eastAsia" w:ascii="Times New Roman" w:cs="Times New Roman"/>
                <w:bCs/>
                <w:color w:val="auto"/>
                <w:kern w:val="2"/>
                <w:sz w:val="21"/>
                <w:szCs w:val="21"/>
              </w:rPr>
              <w:t>3、投标单位具有CMMI5级证书的，得2分；具有CMMI4级证书的，得1分；具有CMMI3级证书的，得0.5分；本项最高得2分。</w:t>
            </w:r>
          </w:p>
          <w:p>
            <w:pPr>
              <w:pStyle w:val="39"/>
              <w:rPr>
                <w:rFonts w:ascii="Times New Roman" w:cs="Times New Roman"/>
                <w:bCs/>
                <w:color w:val="auto"/>
                <w:kern w:val="2"/>
                <w:sz w:val="21"/>
                <w:szCs w:val="21"/>
                <w:highlight w:val="none"/>
              </w:rPr>
            </w:pPr>
            <w:r>
              <w:rPr>
                <w:rFonts w:hint="eastAsia" w:ascii="Times New Roman" w:cs="Times New Roman"/>
                <w:bCs/>
                <w:color w:val="auto"/>
                <w:kern w:val="2"/>
                <w:sz w:val="21"/>
                <w:szCs w:val="21"/>
              </w:rPr>
              <w:t>4、</w:t>
            </w:r>
            <w:r>
              <w:rPr>
                <w:rFonts w:hint="eastAsia" w:ascii="Times New Roman" w:cs="Times New Roman"/>
                <w:bCs/>
                <w:color w:val="auto"/>
                <w:kern w:val="2"/>
                <w:sz w:val="21"/>
                <w:szCs w:val="21"/>
                <w:highlight w:val="none"/>
              </w:rPr>
              <w:t>投标单位2020年1月1日至今类似地理信息平台类项目获得国家级奖项的，每有一个得2分；获得省部级奖项的，每有一个得1分。本项最高得3分。（同一项目按最高等级的奖项计分）。</w:t>
            </w:r>
          </w:p>
          <w:p>
            <w:pPr>
              <w:pStyle w:val="39"/>
              <w:rPr>
                <w:rFonts w:ascii="Times New Roman" w:cs="Times New Roman"/>
                <w:bCs/>
                <w:color w:val="auto"/>
                <w:kern w:val="2"/>
                <w:sz w:val="21"/>
                <w:szCs w:val="21"/>
              </w:rPr>
            </w:pPr>
            <w:r>
              <w:rPr>
                <w:rFonts w:hint="eastAsia" w:ascii="Times New Roman" w:cs="Times New Roman"/>
                <w:bCs/>
                <w:color w:val="auto"/>
                <w:kern w:val="2"/>
                <w:sz w:val="21"/>
                <w:szCs w:val="21"/>
              </w:rPr>
              <w:t>5、自2020年1月1日以来（以合同签订日期为准）由投标人承担的类似项目业绩，须在投标文件中提供加盖公章的采购合同复印件，每份2</w:t>
            </w:r>
            <w:r>
              <w:rPr>
                <w:rFonts w:hint="eastAsia" w:ascii="Times New Roman" w:cs="Times New Roman"/>
                <w:bCs/>
                <w:color w:val="auto"/>
                <w:kern w:val="2"/>
                <w:sz w:val="21"/>
                <w:szCs w:val="21"/>
                <w:highlight w:val="none"/>
              </w:rPr>
              <w:t>分，最高6分</w:t>
            </w:r>
            <w:r>
              <w:rPr>
                <w:rFonts w:hint="eastAsia" w:ascii="Times New Roman" w:cs="Times New Roman"/>
                <w:bCs/>
                <w:color w:val="auto"/>
                <w:kern w:val="2"/>
                <w:sz w:val="21"/>
                <w:szCs w:val="21"/>
              </w:rPr>
              <w:t>。</w:t>
            </w:r>
          </w:p>
        </w:tc>
        <w:tc>
          <w:tcPr>
            <w:tcW w:w="547" w:type="dxa"/>
            <w:vAlign w:val="center"/>
          </w:tcPr>
          <w:p>
            <w:pPr>
              <w:spacing w:line="240" w:lineRule="exact"/>
              <w:rPr>
                <w:rFonts w:ascii="宋体" w:cs="宋体"/>
                <w:sz w:val="18"/>
                <w:szCs w:val="18"/>
              </w:rPr>
            </w:pPr>
          </w:p>
        </w:tc>
      </w:tr>
    </w:tbl>
    <w:p>
      <w:pPr>
        <w:pStyle w:val="52"/>
        <w:tabs>
          <w:tab w:val="left" w:pos="1701"/>
        </w:tabs>
        <w:spacing w:line="440" w:lineRule="exact"/>
        <w:ind w:left="0" w:firstLine="0" w:firstLineChars="0"/>
        <w:rPr>
          <w:rFonts w:ascii="宋体" w:hAnsi="宋体" w:cs="宋体"/>
          <w:szCs w:val="21"/>
        </w:rPr>
      </w:pPr>
    </w:p>
    <w:p>
      <w:pPr>
        <w:pStyle w:val="52"/>
        <w:tabs>
          <w:tab w:val="left" w:pos="1701"/>
        </w:tabs>
        <w:spacing w:line="440" w:lineRule="exact"/>
        <w:ind w:left="0" w:firstLine="539" w:firstLineChars="257"/>
        <w:rPr>
          <w:rFonts w:ascii="宋体" w:hAnsi="宋体" w:cs="宋体"/>
          <w:szCs w:val="21"/>
        </w:rPr>
      </w:pPr>
      <w:r>
        <w:rPr>
          <w:rFonts w:hint="eastAsia" w:ascii="宋体" w:hAnsi="宋体" w:cs="宋体"/>
          <w:szCs w:val="21"/>
        </w:rPr>
        <w:t>10.2.2价格评分方法</w:t>
      </w:r>
    </w:p>
    <w:p>
      <w:pPr>
        <w:spacing w:line="440" w:lineRule="exact"/>
        <w:ind w:firstLine="539" w:firstLineChars="257"/>
        <w:jc w:val="left"/>
        <w:rPr>
          <w:rFonts w:ascii="宋体" w:hAnsi="宋体" w:cs="宋体"/>
          <w:szCs w:val="21"/>
        </w:rPr>
      </w:pPr>
      <w:r>
        <w:rPr>
          <w:rFonts w:hint="eastAsia" w:ascii="宋体" w:hAnsi="宋体" w:cs="宋体"/>
          <w:szCs w:val="21"/>
        </w:rPr>
        <w:t>满足招标文件技术要求且投标价格最低的投标报价为评标基准价，其价格分为满分。其他投标人的价格分别按照下列公式计算： 投标报价得分=（评标基准价/投标报价）×价格权重。</w:t>
      </w:r>
    </w:p>
    <w:p>
      <w:pPr>
        <w:snapToGrid w:val="0"/>
        <w:spacing w:line="400" w:lineRule="exact"/>
        <w:ind w:firstLine="420" w:firstLineChars="200"/>
        <w:rPr>
          <w:rFonts w:ascii="宋体" w:hAnsi="宋体"/>
          <w:b/>
          <w:szCs w:val="21"/>
        </w:rPr>
      </w:pPr>
      <w:bookmarkStart w:id="137" w:name="_Toc111210759"/>
      <w:r>
        <w:rPr>
          <w:rFonts w:hint="eastAsia" w:ascii="宋体" w:hAnsi="宋体"/>
          <w:b/>
          <w:szCs w:val="21"/>
        </w:rPr>
        <w:t>10.2.3落实政府采购政策需满足的要求</w:t>
      </w:r>
    </w:p>
    <w:p>
      <w:pPr>
        <w:spacing w:line="360" w:lineRule="auto"/>
        <w:ind w:firstLine="420" w:firstLineChars="200"/>
        <w:rPr>
          <w:rFonts w:ascii="宋体" w:hAnsi="宋体" w:cs="宋体"/>
          <w:szCs w:val="21"/>
        </w:rPr>
      </w:pPr>
      <w:r>
        <w:rPr>
          <w:rFonts w:hint="eastAsia" w:ascii="宋体" w:hAnsi="宋体" w:cs="宋体"/>
          <w:szCs w:val="21"/>
        </w:rPr>
        <w:t>1、小微企业</w:t>
      </w:r>
    </w:p>
    <w:p>
      <w:pPr>
        <w:spacing w:line="360" w:lineRule="auto"/>
        <w:ind w:firstLine="315" w:firstLineChars="150"/>
        <w:rPr>
          <w:rFonts w:ascii="宋体" w:hAnsi="宋体" w:cs="宋体"/>
          <w:szCs w:val="21"/>
        </w:rPr>
      </w:pPr>
      <w:r>
        <w:rPr>
          <w:rFonts w:hint="eastAsia" w:ascii="宋体" w:hAnsi="宋体" w:cs="宋体"/>
          <w:szCs w:val="21"/>
        </w:rPr>
        <w:t>根据财政工信部《关于印发（政府采购促进中小企业发展管理办法）的通知》财库（2020）46号的相关规定，本项目不属于预留采购份额项目，依据新财购〔2022〕22号对符合本办法规定的小微企业报价给予10%扣除，用扣除后的价格参加评审。</w:t>
      </w:r>
    </w:p>
    <w:p>
      <w:pPr>
        <w:spacing w:line="360" w:lineRule="auto"/>
        <w:ind w:firstLine="315" w:firstLineChars="150"/>
        <w:rPr>
          <w:rFonts w:ascii="宋体" w:hAnsi="宋体" w:cs="宋体"/>
          <w:szCs w:val="21"/>
        </w:rPr>
      </w:pPr>
      <w:r>
        <w:rPr>
          <w:rFonts w:hint="eastAsia" w:ascii="宋体" w:hAnsi="宋体" w:cs="宋体"/>
          <w:szCs w:val="21"/>
        </w:rPr>
        <w:t>2、小型微型企业划型标准</w:t>
      </w:r>
    </w:p>
    <w:p>
      <w:pPr>
        <w:spacing w:line="360" w:lineRule="auto"/>
        <w:ind w:firstLine="315" w:firstLineChars="150"/>
        <w:rPr>
          <w:rFonts w:ascii="宋体" w:hAnsi="宋体" w:cs="宋体"/>
          <w:szCs w:val="21"/>
        </w:rPr>
      </w:pPr>
      <w:r>
        <w:rPr>
          <w:rFonts w:hint="eastAsia" w:ascii="宋体" w:hAnsi="宋体" w:cs="宋体"/>
          <w:szCs w:val="21"/>
        </w:rPr>
        <w:t>（1）在中华人民共和国境内依法设立，依据《关于印发中小企业划型标准规定的通知》（工信部联企业〔2011〕300号）确定的小型企业和微型企业，但与中型或大企业的负责人为同一人，或者与中型、大企业存在直接控股、管理关系的除外。</w:t>
      </w:r>
    </w:p>
    <w:p>
      <w:pPr>
        <w:spacing w:line="360" w:lineRule="auto"/>
        <w:ind w:firstLine="315" w:firstLineChars="150"/>
        <w:rPr>
          <w:rFonts w:ascii="宋体" w:hAnsi="宋体" w:cs="宋体"/>
          <w:szCs w:val="21"/>
        </w:rPr>
      </w:pPr>
      <w:r>
        <w:rPr>
          <w:rFonts w:hint="eastAsia" w:ascii="宋体" w:hAnsi="宋体" w:cs="宋体"/>
          <w:szCs w:val="21"/>
        </w:rPr>
        <w:t>（2）符合中小企业划分标准的个体工商户，在政府采购活动中视同小型企业和微型企业。</w:t>
      </w:r>
    </w:p>
    <w:p>
      <w:pPr>
        <w:spacing w:line="360" w:lineRule="auto"/>
        <w:ind w:firstLine="315" w:firstLineChars="150"/>
        <w:rPr>
          <w:rFonts w:ascii="宋体" w:hAnsi="宋体" w:cs="宋体"/>
          <w:szCs w:val="21"/>
        </w:rPr>
      </w:pPr>
      <w:r>
        <w:rPr>
          <w:rFonts w:hint="eastAsia" w:ascii="宋体" w:hAnsi="宋体" w:cs="宋体"/>
          <w:szCs w:val="21"/>
        </w:rPr>
        <w:t>（3）所属行业：其他未列明行业。从业人员300人以下的为中小微型企业。其中，从业人员100人及以上的为中型企业；从业人员10人及以上的为小型企业；从业人员10人以下的为微型企业。</w:t>
      </w:r>
    </w:p>
    <w:p>
      <w:pPr>
        <w:spacing w:line="360" w:lineRule="auto"/>
        <w:ind w:firstLine="315" w:firstLineChars="150"/>
        <w:rPr>
          <w:rFonts w:ascii="宋体" w:hAnsi="宋体" w:cs="宋体"/>
          <w:szCs w:val="21"/>
        </w:rPr>
      </w:pPr>
      <w:r>
        <w:rPr>
          <w:rFonts w:hint="eastAsia" w:ascii="宋体" w:hAnsi="宋体" w:cs="宋体"/>
          <w:szCs w:val="21"/>
        </w:rPr>
        <w:t>3.享受小微企业价格折扣的供应商，应当提供《中小企业声明函》，未提供或者提供的材料不符合规定的不予价格扣除。</w:t>
      </w:r>
    </w:p>
    <w:p>
      <w:pPr>
        <w:spacing w:line="360" w:lineRule="auto"/>
        <w:ind w:firstLine="315" w:firstLineChars="150"/>
        <w:rPr>
          <w:rFonts w:ascii="宋体" w:hAnsi="宋体" w:cs="宋体"/>
          <w:szCs w:val="21"/>
        </w:rPr>
      </w:pPr>
      <w:r>
        <w:rPr>
          <w:rFonts w:hint="eastAsia" w:ascii="宋体" w:hAnsi="宋体" w:cs="宋体"/>
          <w:szCs w:val="21"/>
        </w:rPr>
        <w:t>4.监狱其他、残疾人福利性单位属于小型微型企业的，不重复享受小微企业优惠政策。</w:t>
      </w:r>
    </w:p>
    <w:p>
      <w:pPr>
        <w:spacing w:line="360" w:lineRule="auto"/>
        <w:ind w:firstLine="315" w:firstLineChars="150"/>
        <w:rPr>
          <w:rFonts w:ascii="宋体" w:hAnsi="宋体" w:cs="宋体"/>
          <w:szCs w:val="21"/>
        </w:rPr>
      </w:pPr>
      <w:r>
        <w:rPr>
          <w:rFonts w:hint="eastAsia" w:ascii="宋体" w:hAnsi="宋体" w:cs="宋体"/>
          <w:szCs w:val="21"/>
        </w:rPr>
        <w:t>5.监狱企业</w:t>
      </w:r>
    </w:p>
    <w:p>
      <w:pPr>
        <w:spacing w:line="360" w:lineRule="auto"/>
        <w:ind w:firstLine="315" w:firstLineChars="150"/>
        <w:rPr>
          <w:rFonts w:ascii="宋体" w:hAnsi="宋体" w:cs="宋体"/>
          <w:szCs w:val="21"/>
        </w:rPr>
      </w:pPr>
      <w:r>
        <w:rPr>
          <w:rFonts w:hint="eastAsia" w:ascii="宋体" w:hAnsi="宋体" w:cs="宋体"/>
          <w:szCs w:val="21"/>
        </w:rPr>
        <w:t>（1）根据财政部、司法部《关于政府采购支持监狱企业发展有关问题的通知》（财库[2014]68号）的规定，监狱企业视同小微企业。</w:t>
      </w:r>
    </w:p>
    <w:p>
      <w:pPr>
        <w:spacing w:line="360" w:lineRule="auto"/>
        <w:ind w:firstLine="315" w:firstLineChars="150"/>
        <w:rPr>
          <w:rFonts w:ascii="宋体" w:hAnsi="宋体" w:cs="宋体"/>
          <w:szCs w:val="21"/>
        </w:rPr>
      </w:pPr>
      <w:r>
        <w:rPr>
          <w:rFonts w:hint="eastAsia" w:ascii="宋体" w:hAnsi="宋体" w:cs="宋体"/>
          <w:szCs w:val="21"/>
        </w:rPr>
        <w:t>(2)监狱企业应当提供《监狱企业声明函》及由省级以上监狱管理局、戒毒管理局（含新疆生产建设兵团）出具的属于监狱企业证明文件的，否则不予认可。</w:t>
      </w:r>
    </w:p>
    <w:p>
      <w:pPr>
        <w:spacing w:line="360" w:lineRule="auto"/>
        <w:ind w:firstLine="315" w:firstLineChars="150"/>
        <w:rPr>
          <w:rFonts w:ascii="宋体" w:hAnsi="宋体" w:cs="宋体"/>
          <w:szCs w:val="21"/>
        </w:rPr>
      </w:pPr>
      <w:r>
        <w:rPr>
          <w:rFonts w:hint="eastAsia" w:ascii="宋体" w:hAnsi="宋体" w:cs="宋体"/>
          <w:szCs w:val="21"/>
        </w:rPr>
        <w:t>6.残疾人福利性单位</w:t>
      </w:r>
    </w:p>
    <w:p>
      <w:pPr>
        <w:spacing w:line="360" w:lineRule="auto"/>
        <w:ind w:firstLine="315" w:firstLineChars="150"/>
        <w:rPr>
          <w:rFonts w:ascii="宋体" w:hAnsi="宋体" w:cs="宋体"/>
          <w:szCs w:val="21"/>
        </w:rPr>
      </w:pPr>
      <w:r>
        <w:rPr>
          <w:rFonts w:hint="eastAsia" w:ascii="宋体" w:hAnsi="宋体" w:cs="宋体"/>
          <w:szCs w:val="21"/>
        </w:rPr>
        <w:t>(1)根据财政部、民政部、中国残疾人联合会《关于促进残疾人就业政府采购政策的通知》（财库〔2017〕141号）规定，残疾人福利性单位视同小型微型企业。</w:t>
      </w:r>
    </w:p>
    <w:p>
      <w:pPr>
        <w:spacing w:line="360" w:lineRule="auto"/>
        <w:ind w:firstLine="315" w:firstLineChars="150"/>
        <w:rPr>
          <w:rFonts w:ascii="宋体" w:hAnsi="宋体" w:cs="宋体"/>
          <w:b/>
          <w:bCs/>
          <w:szCs w:val="21"/>
        </w:rPr>
      </w:pPr>
      <w:r>
        <w:rPr>
          <w:rFonts w:hint="eastAsia" w:ascii="宋体" w:hAnsi="宋体" w:cs="宋体"/>
          <w:szCs w:val="21"/>
        </w:rPr>
        <w:t>(2)残疾人福利性单位应当提供《残疾人福利性单位声明函》，否则不予认可。</w:t>
      </w:r>
    </w:p>
    <w:p>
      <w:pPr>
        <w:spacing w:line="360" w:lineRule="auto"/>
        <w:ind w:firstLine="315" w:firstLineChars="150"/>
        <w:jc w:val="left"/>
        <w:rPr>
          <w:rFonts w:ascii="宋体" w:hAnsi="宋体" w:cs="宋体"/>
          <w:b/>
          <w:bCs/>
          <w:szCs w:val="21"/>
        </w:rPr>
      </w:pPr>
      <w:r>
        <w:rPr>
          <w:rFonts w:hint="eastAsia" w:ascii="宋体" w:hAnsi="宋体" w:cs="宋体"/>
          <w:szCs w:val="21"/>
        </w:rPr>
        <w:t>7.</w:t>
      </w:r>
      <w:r>
        <w:rPr>
          <w:rFonts w:ascii="宋体" w:hAnsi="宋体" w:cs="宋体"/>
          <w:b/>
          <w:bCs/>
          <w:szCs w:val="21"/>
        </w:rPr>
        <w:t>适用价格扣除方法政府采购项目价格及得分计算方法：评标价格=投标报价-投标报价*扣除比例；</w:t>
      </w:r>
    </w:p>
    <w:p>
      <w:pPr>
        <w:spacing w:line="360" w:lineRule="auto"/>
        <w:ind w:firstLine="420" w:firstLineChars="200"/>
        <w:rPr>
          <w:rFonts w:ascii="宋体" w:hAnsi="宋体" w:cs="宋体"/>
          <w:b/>
          <w:bCs/>
          <w:szCs w:val="21"/>
        </w:rPr>
      </w:pPr>
      <w:r>
        <w:rPr>
          <w:rFonts w:ascii="宋体" w:hAnsi="宋体" w:cs="宋体"/>
          <w:b/>
          <w:bCs/>
          <w:szCs w:val="21"/>
        </w:rPr>
        <w:t>投标报价得分=（评标基准价/评标价格）*价格权值*100</w:t>
      </w:r>
    </w:p>
    <w:p>
      <w:pPr>
        <w:spacing w:line="360" w:lineRule="auto"/>
        <w:ind w:firstLine="420" w:firstLineChars="200"/>
        <w:rPr>
          <w:rFonts w:ascii="宋体" w:hAnsi="宋体" w:cs="宋体"/>
          <w:b/>
          <w:bCs/>
          <w:szCs w:val="21"/>
        </w:rPr>
      </w:pPr>
    </w:p>
    <w:p>
      <w:pPr>
        <w:spacing w:line="360" w:lineRule="auto"/>
        <w:ind w:firstLine="420" w:firstLineChars="200"/>
        <w:rPr>
          <w:b/>
          <w:bCs/>
        </w:rPr>
        <w:sectPr>
          <w:headerReference r:id="rId3" w:type="default"/>
          <w:footerReference r:id="rId4" w:type="default"/>
          <w:pgSz w:w="11906" w:h="16838"/>
          <w:pgMar w:top="1440" w:right="1080" w:bottom="1440" w:left="1080" w:header="851" w:footer="992" w:gutter="0"/>
          <w:pgNumType w:start="1"/>
          <w:cols w:space="720" w:num="1"/>
          <w:docGrid w:type="linesAndChars" w:linePitch="312" w:charSpace="0"/>
        </w:sectPr>
      </w:pPr>
      <w:r>
        <w:rPr>
          <w:rFonts w:hint="eastAsia" w:ascii="宋体" w:hAnsi="宋体" w:cs="宋体"/>
          <w:b/>
          <w:bCs/>
          <w:szCs w:val="21"/>
        </w:rPr>
        <w:t>注：本项目投标供应商为符合《政府采购促进中小企业发展管理办法》规定的小微企业的给予评标价格优惠，在计算商务报价得分时所投的价格给予10%的扣除，用扣除后的价格参与评审，如中标签订合同时以其投标价作为签订合同价。本项目投标供应商为监狱企业或残疾人福利性单位的给予评标价格优惠，在计算商务报价得分时所投的价格给予10%的扣除，用扣除后的价格参与评审，如中标签订合同时以其投标价作为签订合同价。因落实政府采购政策进行价格调整的，以调整后的价格计算评标基准价和投标报价。供应商企业属于以上多种性质的，不重复享受扶持政策。</w:t>
      </w:r>
    </w:p>
    <w:p>
      <w:pPr>
        <w:spacing w:before="162" w:beforeLines="50" w:line="400" w:lineRule="exact"/>
        <w:jc w:val="center"/>
        <w:outlineLvl w:val="1"/>
        <w:rPr>
          <w:rFonts w:ascii="宋体"/>
          <w:b/>
          <w:sz w:val="24"/>
        </w:rPr>
      </w:pPr>
      <w:r>
        <w:rPr>
          <w:rFonts w:hint="eastAsia" w:ascii="宋体"/>
          <w:b/>
          <w:sz w:val="24"/>
        </w:rPr>
        <w:t>五  推荐中标候选人</w:t>
      </w:r>
      <w:bookmarkEnd w:id="136"/>
      <w:bookmarkEnd w:id="137"/>
    </w:p>
    <w:p>
      <w:pPr>
        <w:snapToGrid w:val="0"/>
        <w:spacing w:line="400" w:lineRule="exact"/>
        <w:ind w:firstLine="426" w:firstLineChars="200"/>
        <w:rPr>
          <w:rFonts w:ascii="宋体" w:hAnsi="宋体" w:cs="宋体"/>
          <w:szCs w:val="21"/>
        </w:rPr>
      </w:pPr>
      <w:r>
        <w:rPr>
          <w:rFonts w:hint="eastAsia" w:ascii="宋体" w:hAnsi="宋体" w:cs="宋体"/>
          <w:szCs w:val="21"/>
        </w:rPr>
        <w:t>11.1评标委员会推荐3名中标候选人，并标明排序。</w:t>
      </w:r>
    </w:p>
    <w:bookmarkEnd w:id="130"/>
    <w:p>
      <w:pPr>
        <w:snapToGrid w:val="0"/>
        <w:spacing w:line="400" w:lineRule="exact"/>
        <w:ind w:firstLine="426" w:firstLineChars="200"/>
        <w:rPr>
          <w:rFonts w:ascii="宋体" w:hAnsi="宋体"/>
          <w:b/>
          <w:szCs w:val="21"/>
        </w:rPr>
      </w:pPr>
      <w:r>
        <w:rPr>
          <w:rFonts w:hint="eastAsia" w:ascii="宋体" w:hAnsi="宋体"/>
          <w:b/>
          <w:szCs w:val="21"/>
        </w:rPr>
        <w:t>12.无效投标条款</w:t>
      </w:r>
    </w:p>
    <w:p>
      <w:pPr>
        <w:snapToGrid w:val="0"/>
        <w:spacing w:line="400" w:lineRule="exact"/>
        <w:ind w:firstLine="426" w:firstLineChars="200"/>
        <w:rPr>
          <w:rFonts w:ascii="宋体" w:hAnsi="宋体" w:cs="宋体"/>
          <w:szCs w:val="21"/>
        </w:rPr>
      </w:pPr>
      <w:r>
        <w:rPr>
          <w:rFonts w:hint="eastAsia" w:ascii="宋体" w:hAnsi="宋体" w:cs="宋体"/>
          <w:szCs w:val="21"/>
        </w:rPr>
        <w:t>12.1投标文件有下列情形之一的,其投标文件拒收:</w:t>
      </w:r>
    </w:p>
    <w:p>
      <w:pPr>
        <w:snapToGrid w:val="0"/>
        <w:spacing w:line="400" w:lineRule="exac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(1) 未在开标截止时间前通过网上招标投标系统递交有效电子投标文件的，开标系统不予接收。</w:t>
      </w:r>
    </w:p>
    <w:p>
      <w:pPr>
        <w:snapToGrid w:val="0"/>
        <w:spacing w:line="400" w:lineRule="exact"/>
        <w:ind w:firstLine="426" w:firstLineChars="200"/>
        <w:rPr>
          <w:rFonts w:ascii="宋体" w:hAnsi="宋体" w:cs="宋体"/>
          <w:b/>
          <w:bCs/>
          <w:szCs w:val="21"/>
        </w:rPr>
      </w:pPr>
      <w:r>
        <w:rPr>
          <w:rFonts w:hint="eastAsia" w:ascii="宋体" w:hAnsi="宋体" w:cs="宋体"/>
          <w:b/>
          <w:bCs/>
          <w:szCs w:val="21"/>
        </w:rPr>
        <w:t>（2）</w:t>
      </w:r>
      <w:r>
        <w:rPr>
          <w:rFonts w:hint="eastAsia" w:ascii="宋体" w:hAnsi="宋体"/>
          <w:b/>
          <w:szCs w:val="21"/>
        </w:rPr>
        <w:t>所有投标人应在规定时间里完成投标文件的解密工作</w:t>
      </w:r>
      <w:r>
        <w:rPr>
          <w:rFonts w:hint="eastAsia" w:ascii="宋体" w:hAnsi="宋体"/>
          <w:b/>
          <w:bCs/>
          <w:szCs w:val="21"/>
        </w:rPr>
        <w:t>【投标人使用其有效加密锁（CA锁）进行解密（因投标人原因未能提供有效CA锁对其投标文件进行解密的，其投标文件按无效标处理），以网上招投标系统解密倒计时为准】</w:t>
      </w:r>
      <w:r>
        <w:rPr>
          <w:rFonts w:hint="eastAsia" w:ascii="宋体" w:hAnsi="宋体"/>
          <w:b/>
          <w:szCs w:val="21"/>
        </w:rPr>
        <w:t>，因系统原因未能成功解密的投标文件，可导入备份投标文件。备份投标文件也无法导入的，则投标文件被否决。</w:t>
      </w:r>
    </w:p>
    <w:p>
      <w:pPr>
        <w:snapToGrid w:val="0"/>
        <w:spacing w:line="400" w:lineRule="exact"/>
        <w:rPr>
          <w:rFonts w:ascii="宋体" w:hAnsi="宋体" w:cs="宋体"/>
          <w:szCs w:val="21"/>
        </w:rPr>
      </w:pPr>
      <w:r>
        <w:rPr>
          <w:rFonts w:hint="eastAsia" w:ascii="宋体" w:hAnsi="宋体" w:cs="宋体"/>
          <w:szCs w:val="21"/>
        </w:rPr>
        <w:t xml:space="preserve">  12.2投标人有下列情形之一的,资格审查后其投标作无效投标处理：</w:t>
      </w:r>
    </w:p>
    <w:p>
      <w:pPr>
        <w:snapToGrid w:val="0"/>
        <w:spacing w:line="400" w:lineRule="exact"/>
        <w:ind w:firstLine="426" w:firstLineChars="200"/>
        <w:rPr>
          <w:rFonts w:ascii="宋体" w:hAnsi="宋体" w:cs="宋体"/>
          <w:szCs w:val="21"/>
        </w:rPr>
      </w:pPr>
      <w:r>
        <w:rPr>
          <w:rFonts w:hint="eastAsia" w:ascii="宋体" w:hAnsi="宋体" w:cs="宋体"/>
          <w:szCs w:val="21"/>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26" w:firstLineChars="200"/>
        <w:rPr>
          <w:rFonts w:ascii="宋体" w:hAnsi="宋体" w:cs="宋体"/>
          <w:szCs w:val="21"/>
        </w:rPr>
      </w:pPr>
      <w:r>
        <w:rPr>
          <w:rFonts w:hint="eastAsia" w:ascii="宋体" w:hAnsi="宋体" w:cs="宋体"/>
          <w:szCs w:val="21"/>
        </w:rPr>
        <w:t>(2)投标人为本项目提供招标代理服务的；</w:t>
      </w:r>
    </w:p>
    <w:p>
      <w:pPr>
        <w:snapToGrid w:val="0"/>
        <w:spacing w:line="400" w:lineRule="exact"/>
        <w:ind w:firstLine="426" w:firstLineChars="200"/>
        <w:rPr>
          <w:rFonts w:ascii="宋体" w:hAnsi="宋体" w:cs="宋体"/>
          <w:szCs w:val="21"/>
        </w:rPr>
      </w:pPr>
      <w:r>
        <w:rPr>
          <w:rFonts w:hint="eastAsia" w:ascii="宋体" w:hAnsi="宋体" w:cs="宋体"/>
          <w:szCs w:val="21"/>
        </w:rPr>
        <w:t>(3)投标人与在本项目代理机构存在相互任职或工作的；</w:t>
      </w:r>
    </w:p>
    <w:p>
      <w:pPr>
        <w:snapToGrid w:val="0"/>
        <w:spacing w:line="400" w:lineRule="exact"/>
        <w:ind w:firstLine="426" w:firstLineChars="200"/>
        <w:rPr>
          <w:rFonts w:ascii="宋体" w:hAnsi="宋体" w:cs="宋体"/>
          <w:szCs w:val="21"/>
        </w:rPr>
      </w:pPr>
      <w:r>
        <w:rPr>
          <w:rFonts w:hint="eastAsia" w:ascii="宋体" w:hAnsi="宋体" w:cs="宋体"/>
          <w:szCs w:val="21"/>
        </w:rPr>
        <w:t>(4)投标保证金未按规定要求缴纳的；</w:t>
      </w:r>
    </w:p>
    <w:p>
      <w:pPr>
        <w:snapToGrid w:val="0"/>
        <w:spacing w:line="400" w:lineRule="exact"/>
        <w:ind w:firstLine="426" w:firstLineChars="200"/>
        <w:rPr>
          <w:rFonts w:ascii="宋体" w:hAnsi="宋体" w:cs="宋体"/>
          <w:szCs w:val="21"/>
        </w:rPr>
      </w:pPr>
      <w:r>
        <w:rPr>
          <w:rFonts w:hint="eastAsia" w:ascii="宋体" w:hAnsi="宋体" w:cs="宋体"/>
          <w:szCs w:val="21"/>
        </w:rPr>
        <w:t>(5)</w:t>
      </w:r>
      <w:r>
        <w:rPr>
          <w:rFonts w:hint="eastAsia" w:ascii="宋体" w:hAnsi="宋体"/>
          <w:b/>
          <w:bCs/>
          <w:szCs w:val="21"/>
        </w:rPr>
        <w:t>评标专家无法查看并检验电子标书中相关资料的；</w:t>
      </w:r>
    </w:p>
    <w:p>
      <w:pPr>
        <w:snapToGrid w:val="0"/>
        <w:spacing w:line="400" w:lineRule="exact"/>
        <w:ind w:firstLine="426" w:firstLineChars="200"/>
        <w:rPr>
          <w:rFonts w:ascii="宋体" w:hAnsi="宋体" w:cs="宋体"/>
          <w:szCs w:val="21"/>
        </w:rPr>
      </w:pPr>
      <w:r>
        <w:rPr>
          <w:rFonts w:hint="eastAsia" w:ascii="宋体" w:hAnsi="宋体" w:cs="宋体"/>
          <w:szCs w:val="21"/>
        </w:rPr>
        <w:t>(6)投标人超出营业范围投标的；</w:t>
      </w:r>
    </w:p>
    <w:p>
      <w:pPr>
        <w:snapToGrid w:val="0"/>
        <w:spacing w:line="400" w:lineRule="exact"/>
        <w:ind w:firstLine="426" w:firstLineChars="200"/>
        <w:rPr>
          <w:rFonts w:ascii="宋体" w:hAnsi="宋体" w:cs="宋体"/>
          <w:szCs w:val="21"/>
        </w:rPr>
      </w:pPr>
      <w:r>
        <w:rPr>
          <w:rFonts w:hint="eastAsia" w:ascii="宋体" w:hAnsi="宋体" w:cs="宋体"/>
          <w:szCs w:val="21"/>
        </w:rPr>
        <w:t>(7)联合体投标未提交联合体协议的；</w:t>
      </w:r>
    </w:p>
    <w:p>
      <w:pPr>
        <w:snapToGrid w:val="0"/>
        <w:spacing w:line="400" w:lineRule="exact"/>
        <w:ind w:firstLine="426" w:firstLineChars="200"/>
        <w:rPr>
          <w:rFonts w:ascii="宋体" w:hAnsi="宋体" w:cs="宋体"/>
          <w:szCs w:val="21"/>
        </w:rPr>
      </w:pPr>
      <w:r>
        <w:rPr>
          <w:rFonts w:hint="eastAsia" w:ascii="宋体" w:hAnsi="宋体" w:cs="宋体"/>
          <w:szCs w:val="21"/>
        </w:rPr>
        <w:t>(8)被暂停营业的；</w:t>
      </w:r>
    </w:p>
    <w:p>
      <w:pPr>
        <w:snapToGrid w:val="0"/>
        <w:spacing w:line="400" w:lineRule="exact"/>
        <w:ind w:firstLine="426" w:firstLineChars="200"/>
        <w:rPr>
          <w:rFonts w:ascii="宋体" w:hAnsi="宋体" w:cs="宋体"/>
          <w:szCs w:val="21"/>
        </w:rPr>
      </w:pPr>
      <w:r>
        <w:rPr>
          <w:rFonts w:hint="eastAsia" w:ascii="宋体" w:hAnsi="宋体" w:cs="宋体"/>
          <w:szCs w:val="21"/>
        </w:rPr>
        <w:t>(9)被暂停或取消投标资格的；</w:t>
      </w:r>
    </w:p>
    <w:p>
      <w:pPr>
        <w:snapToGrid w:val="0"/>
        <w:spacing w:line="400" w:lineRule="exact"/>
        <w:ind w:firstLine="426" w:firstLineChars="200"/>
        <w:rPr>
          <w:rFonts w:ascii="宋体" w:hAnsi="宋体" w:cs="宋体"/>
          <w:szCs w:val="21"/>
        </w:rPr>
      </w:pPr>
      <w:r>
        <w:rPr>
          <w:rFonts w:hint="eastAsia" w:ascii="宋体" w:hAnsi="宋体" w:cs="宋体"/>
          <w:szCs w:val="21"/>
        </w:rPr>
        <w:t>(10)财产被接管或冻结的；</w:t>
      </w:r>
    </w:p>
    <w:p>
      <w:pPr>
        <w:snapToGrid w:val="0"/>
        <w:spacing w:line="400" w:lineRule="exact"/>
        <w:ind w:firstLine="426" w:firstLineChars="200"/>
        <w:rPr>
          <w:rFonts w:ascii="宋体" w:hAnsi="宋体" w:cs="宋体"/>
          <w:szCs w:val="21"/>
        </w:rPr>
      </w:pPr>
      <w:r>
        <w:rPr>
          <w:rFonts w:hint="eastAsia" w:ascii="宋体" w:hAnsi="宋体" w:cs="宋体"/>
          <w:szCs w:val="21"/>
        </w:rPr>
        <w:t>(11)投标人单位负责人为同一人或者存在控股、管理关系的不同单位的；</w:t>
      </w:r>
    </w:p>
    <w:p>
      <w:pPr>
        <w:snapToGrid w:val="0"/>
        <w:spacing w:line="400" w:lineRule="exact"/>
        <w:ind w:firstLine="319" w:firstLineChars="150"/>
        <w:rPr>
          <w:rFonts w:ascii="宋体" w:hAnsi="宋体" w:cs="宋体"/>
          <w:szCs w:val="21"/>
        </w:rPr>
      </w:pPr>
      <w:r>
        <w:rPr>
          <w:rFonts w:hint="eastAsia" w:ascii="宋体" w:hAnsi="宋体" w:cs="宋体"/>
          <w:szCs w:val="21"/>
        </w:rPr>
        <w:t>（12）投标人基本资格条件和特定资格条件中有一项及以上不符合要求的；</w:t>
      </w:r>
    </w:p>
    <w:p>
      <w:pPr>
        <w:snapToGrid w:val="0"/>
        <w:spacing w:line="400" w:lineRule="exact"/>
        <w:ind w:firstLine="426" w:firstLineChars="200"/>
        <w:rPr>
          <w:rFonts w:ascii="宋体" w:hAnsi="宋体" w:cs="宋体"/>
          <w:szCs w:val="21"/>
        </w:rPr>
      </w:pPr>
      <w:r>
        <w:rPr>
          <w:rFonts w:hint="eastAsia" w:ascii="宋体" w:hAnsi="宋体" w:cs="宋体"/>
          <w:szCs w:val="21"/>
        </w:rPr>
        <w:t>（13）投标人使用相同的MAC地址进行报名的；</w:t>
      </w:r>
    </w:p>
    <w:p>
      <w:pPr>
        <w:snapToGrid w:val="0"/>
        <w:spacing w:line="400" w:lineRule="exact"/>
        <w:ind w:firstLine="426" w:firstLineChars="200"/>
        <w:rPr>
          <w:rFonts w:ascii="宋体" w:hAnsi="宋体" w:cs="宋体"/>
          <w:szCs w:val="21"/>
        </w:rPr>
      </w:pPr>
      <w:r>
        <w:rPr>
          <w:rFonts w:hint="eastAsia" w:ascii="宋体" w:hAnsi="宋体" w:cs="宋体"/>
          <w:szCs w:val="21"/>
        </w:rPr>
        <w:t>（14）其它情形，经评标委员会委提出按无效投标处理，并经公共资源交易监督部门核准的；</w:t>
      </w:r>
    </w:p>
    <w:p>
      <w:pPr>
        <w:snapToGrid w:val="0"/>
        <w:spacing w:line="400" w:lineRule="exact"/>
        <w:ind w:firstLine="426" w:firstLineChars="200"/>
        <w:rPr>
          <w:rFonts w:ascii="宋体" w:hAnsi="宋体" w:cs="宋体"/>
          <w:szCs w:val="21"/>
        </w:rPr>
      </w:pPr>
      <w:r>
        <w:rPr>
          <w:rFonts w:hint="eastAsia" w:ascii="宋体" w:hAnsi="宋体" w:cs="宋体"/>
          <w:szCs w:val="21"/>
        </w:rPr>
        <w:t>（15）投标人使用相同IP地址报名的，一经发现，监管部门将进一步核实，查实后按串通投标处理；</w:t>
      </w:r>
    </w:p>
    <w:p>
      <w:pPr>
        <w:snapToGrid w:val="0"/>
        <w:spacing w:line="400" w:lineRule="exact"/>
        <w:ind w:firstLine="426" w:firstLineChars="200"/>
        <w:rPr>
          <w:rFonts w:ascii="宋体" w:hAnsi="宋体" w:cs="宋体"/>
          <w:szCs w:val="21"/>
        </w:rPr>
      </w:pPr>
      <w:r>
        <w:rPr>
          <w:rFonts w:hint="eastAsia" w:ascii="宋体" w:hAnsi="宋体" w:cs="宋体"/>
          <w:szCs w:val="21"/>
        </w:rPr>
        <w:t>（16）采购文件规定的其它无效投标情形。</w:t>
      </w:r>
    </w:p>
    <w:p>
      <w:pPr>
        <w:snapToGrid w:val="0"/>
        <w:spacing w:line="400" w:lineRule="exact"/>
        <w:rPr>
          <w:rFonts w:ascii="宋体" w:hAnsi="宋体" w:cs="宋体"/>
          <w:szCs w:val="21"/>
        </w:rPr>
      </w:pPr>
      <w:r>
        <w:rPr>
          <w:rFonts w:hint="eastAsia" w:ascii="宋体" w:hAnsi="宋体" w:cs="宋体"/>
          <w:szCs w:val="21"/>
        </w:rPr>
        <w:t xml:space="preserve">   12.3 投标人有下列情形之一的,符合性审查后其投标按无效投标处理：</w:t>
      </w:r>
    </w:p>
    <w:p>
      <w:pPr>
        <w:snapToGrid w:val="0"/>
        <w:spacing w:line="400" w:lineRule="exact"/>
        <w:ind w:firstLine="426" w:firstLineChars="200"/>
        <w:rPr>
          <w:rFonts w:ascii="宋体" w:hAnsi="宋体" w:cs="宋体"/>
          <w:szCs w:val="21"/>
        </w:rPr>
      </w:pPr>
      <w:r>
        <w:rPr>
          <w:rFonts w:hint="eastAsia" w:ascii="宋体" w:hAnsi="宋体" w:cs="宋体"/>
          <w:szCs w:val="21"/>
        </w:rPr>
        <w:t>(1) 投标文件签字、盖章不全，经评标委员会一致认定对开评标内容有实质性影响并经监督部门核准的；</w:t>
      </w:r>
    </w:p>
    <w:p>
      <w:pPr>
        <w:snapToGrid w:val="0"/>
        <w:spacing w:line="400" w:lineRule="exact"/>
        <w:ind w:firstLine="426" w:firstLineChars="200"/>
        <w:rPr>
          <w:rFonts w:ascii="宋体" w:hAnsi="宋体" w:cs="宋体"/>
          <w:szCs w:val="21"/>
        </w:rPr>
      </w:pPr>
      <w:r>
        <w:rPr>
          <w:rFonts w:hint="eastAsia" w:ascii="宋体" w:hAnsi="宋体" w:cs="宋体"/>
          <w:szCs w:val="21"/>
        </w:rPr>
        <w:t>(2)未按规定的格式填写，实质性内容不全或关键字迹模糊、无法辨认; 经监督部门核准的；</w:t>
      </w:r>
    </w:p>
    <w:p>
      <w:pPr>
        <w:snapToGrid w:val="0"/>
        <w:spacing w:line="400" w:lineRule="exact"/>
        <w:ind w:firstLine="426" w:firstLineChars="200"/>
        <w:rPr>
          <w:rFonts w:ascii="宋体" w:hAnsi="宋体" w:cs="宋体"/>
          <w:szCs w:val="21"/>
        </w:rPr>
      </w:pPr>
      <w:r>
        <w:rPr>
          <w:rFonts w:hint="eastAsia" w:ascii="宋体" w:hAnsi="宋体" w:cs="宋体"/>
          <w:szCs w:val="21"/>
        </w:rPr>
        <w:t>(4)同一投标人提交两个以上不同的投标文件或者投标报价，但采购文件规定提交备选方案的除外；</w:t>
      </w:r>
    </w:p>
    <w:p>
      <w:pPr>
        <w:snapToGrid w:val="0"/>
        <w:spacing w:line="400" w:lineRule="exact"/>
        <w:ind w:firstLine="426" w:firstLineChars="200"/>
        <w:rPr>
          <w:rFonts w:ascii="宋体" w:hAnsi="宋体" w:cs="宋体"/>
          <w:szCs w:val="21"/>
        </w:rPr>
      </w:pPr>
      <w:r>
        <w:rPr>
          <w:rFonts w:hint="eastAsia" w:ascii="宋体" w:hAnsi="宋体" w:cs="宋体"/>
          <w:szCs w:val="21"/>
        </w:rPr>
        <w:t>(3)投标文件没有对采购文件的实质性要求和条件作出响应;</w:t>
      </w:r>
    </w:p>
    <w:p>
      <w:pPr>
        <w:snapToGrid w:val="0"/>
        <w:spacing w:line="400" w:lineRule="exact"/>
        <w:ind w:firstLine="426" w:firstLineChars="200"/>
        <w:rPr>
          <w:rFonts w:ascii="宋体" w:hAnsi="宋体" w:cs="宋体"/>
          <w:szCs w:val="21"/>
        </w:rPr>
      </w:pPr>
      <w:r>
        <w:rPr>
          <w:rFonts w:hint="eastAsia" w:ascii="宋体" w:hAnsi="宋体" w:cs="宋体"/>
          <w:szCs w:val="21"/>
        </w:rPr>
        <w:t>(4)投标报价超出规定的投标限价或公布的采购预算的；注：投标人的投标报价各项单价均不得高于招标文件给定的单价最高限价，否则，其投标文件将按无效投标处理。</w:t>
      </w:r>
    </w:p>
    <w:p>
      <w:pPr>
        <w:snapToGrid w:val="0"/>
        <w:spacing w:line="400" w:lineRule="exact"/>
        <w:ind w:firstLine="426" w:firstLineChars="200"/>
        <w:rPr>
          <w:rFonts w:ascii="宋体" w:hAnsi="宋体" w:cs="宋体"/>
          <w:szCs w:val="21"/>
        </w:rPr>
      </w:pPr>
      <w:r>
        <w:rPr>
          <w:rFonts w:hint="eastAsia" w:ascii="宋体" w:hAnsi="宋体" w:cs="宋体"/>
          <w:szCs w:val="21"/>
        </w:rPr>
        <w:t>(5)不按评标委员会要求澄清、说明或补正的，或者评标委员会根据采购文件的规定对采购文件的计算错误进行修正后，投标人不接受修正的投标报价的。</w:t>
      </w:r>
    </w:p>
    <w:p>
      <w:pPr>
        <w:snapToGrid w:val="0"/>
        <w:spacing w:line="400" w:lineRule="exact"/>
        <w:ind w:firstLine="426" w:firstLineChars="200"/>
        <w:rPr>
          <w:rFonts w:ascii="宋体" w:hAnsi="宋体" w:cs="宋体"/>
          <w:szCs w:val="21"/>
        </w:rPr>
      </w:pPr>
      <w:r>
        <w:rPr>
          <w:rFonts w:hint="eastAsia" w:ascii="宋体" w:hAnsi="宋体" w:cs="宋体"/>
          <w:szCs w:val="21"/>
        </w:rPr>
        <w:t>（6）其它情形，经评标委员会委提出按无效投标处理，并经公共资源交易监督部门核准的；</w:t>
      </w:r>
    </w:p>
    <w:p>
      <w:pPr>
        <w:widowControl/>
        <w:spacing w:line="500" w:lineRule="exact"/>
        <w:ind w:firstLine="426" w:firstLineChars="200"/>
        <w:jc w:val="left"/>
        <w:rPr>
          <w:rFonts w:ascii="Tahoma" w:hAnsi="Tahoma" w:eastAsia="Tahoma" w:cs="Tahoma"/>
          <w:szCs w:val="21"/>
        </w:rPr>
      </w:pPr>
      <w:r>
        <w:rPr>
          <w:rFonts w:hint="eastAsia" w:ascii="宋体" w:hAnsi="宋体" w:cs="宋体"/>
          <w:szCs w:val="21"/>
        </w:rPr>
        <w:t>（7）</w:t>
      </w:r>
      <w:r>
        <w:rPr>
          <w:rFonts w:ascii="Tahoma" w:hAnsi="Tahoma" w:eastAsia="Tahoma" w:cs="Tahoma"/>
          <w:kern w:val="0"/>
          <w:szCs w:val="21"/>
          <w:shd w:val="clear" w:color="auto" w:fill="FFFFFF"/>
        </w:rPr>
        <w:t>未按照招标文件的规定提交投标保证金的；</w:t>
      </w:r>
    </w:p>
    <w:p>
      <w:pPr>
        <w:widowControl/>
        <w:spacing w:line="500" w:lineRule="exact"/>
        <w:ind w:firstLine="426" w:firstLineChars="200"/>
        <w:jc w:val="left"/>
        <w:rPr>
          <w:rFonts w:ascii="Tahoma" w:hAnsi="Tahoma" w:eastAsia="Tahoma" w:cs="Tahoma"/>
          <w:szCs w:val="21"/>
        </w:rPr>
      </w:pPr>
      <w:r>
        <w:rPr>
          <w:rFonts w:hint="eastAsia" w:ascii="宋体" w:hAnsi="宋体" w:cs="宋体"/>
          <w:szCs w:val="21"/>
        </w:rPr>
        <w:t>（8）</w:t>
      </w:r>
      <w:r>
        <w:rPr>
          <w:rFonts w:ascii="Tahoma" w:hAnsi="Tahoma" w:eastAsia="Tahoma" w:cs="Tahoma"/>
          <w:kern w:val="0"/>
          <w:szCs w:val="21"/>
          <w:shd w:val="clear" w:color="auto" w:fill="FFFFFF"/>
        </w:rPr>
        <w:t>投标文件含有采购人不能接受的附加条件的;</w:t>
      </w:r>
    </w:p>
    <w:p>
      <w:pPr>
        <w:tabs>
          <w:tab w:val="left" w:pos="1123"/>
        </w:tabs>
        <w:snapToGrid w:val="0"/>
        <w:spacing w:line="500" w:lineRule="exact"/>
        <w:ind w:firstLine="426" w:firstLineChars="200"/>
        <w:rPr>
          <w:rFonts w:ascii="宋体" w:hAnsi="宋体" w:cs="宋体"/>
          <w:szCs w:val="21"/>
        </w:rPr>
      </w:pPr>
      <w:r>
        <w:rPr>
          <w:rFonts w:hint="eastAsia" w:ascii="宋体" w:hAnsi="宋体" w:cs="宋体"/>
          <w:szCs w:val="21"/>
        </w:rPr>
        <w:t>（9）采购文件规定的其它无效投标情形。</w:t>
      </w:r>
    </w:p>
    <w:p>
      <w:pPr>
        <w:snapToGrid w:val="0"/>
        <w:spacing w:line="400" w:lineRule="exact"/>
        <w:ind w:firstLine="426" w:firstLineChars="200"/>
        <w:rPr>
          <w:rFonts w:ascii="宋体" w:hAnsi="宋体" w:cs="宋体"/>
          <w:szCs w:val="21"/>
        </w:rPr>
      </w:pPr>
      <w:r>
        <w:rPr>
          <w:rFonts w:hint="eastAsia" w:ascii="宋体" w:hAnsi="宋体" w:cs="宋体"/>
          <w:szCs w:val="21"/>
        </w:rPr>
        <w:t>12.4 投标人有下列情形之一的, 详细评审后其投标按无效投标处理：</w:t>
      </w:r>
    </w:p>
    <w:p>
      <w:pPr>
        <w:snapToGrid w:val="0"/>
        <w:spacing w:line="400" w:lineRule="exact"/>
        <w:ind w:firstLine="426" w:firstLineChars="200"/>
        <w:rPr>
          <w:rFonts w:ascii="宋体" w:hAnsi="宋体" w:cs="宋体"/>
          <w:szCs w:val="21"/>
        </w:rPr>
      </w:pPr>
      <w:r>
        <w:rPr>
          <w:rFonts w:hint="eastAsia" w:ascii="宋体" w:hAnsi="宋体" w:cs="宋体"/>
          <w:szCs w:val="21"/>
        </w:rPr>
        <w:t>(1)投标产品不符合必须强制执行的国家标准的；</w:t>
      </w:r>
    </w:p>
    <w:p>
      <w:pPr>
        <w:snapToGrid w:val="0"/>
        <w:spacing w:line="400" w:lineRule="exact"/>
        <w:ind w:firstLine="426" w:firstLineChars="200"/>
        <w:rPr>
          <w:rFonts w:ascii="宋体" w:hAnsi="宋体" w:cs="宋体"/>
          <w:szCs w:val="21"/>
        </w:rPr>
      </w:pPr>
      <w:r>
        <w:rPr>
          <w:rFonts w:hint="eastAsia" w:ascii="宋体" w:hAnsi="宋体" w:cs="宋体"/>
          <w:szCs w:val="21"/>
        </w:rPr>
        <w:t>(2)投标人有串通投标、弄虚作假、行贿等违法行为；</w:t>
      </w:r>
    </w:p>
    <w:p>
      <w:pPr>
        <w:snapToGrid w:val="0"/>
        <w:spacing w:line="400" w:lineRule="exact"/>
        <w:ind w:firstLine="426" w:firstLineChars="200"/>
        <w:rPr>
          <w:rFonts w:ascii="宋体" w:hAnsi="宋体" w:cs="宋体"/>
          <w:szCs w:val="21"/>
        </w:rPr>
      </w:pPr>
      <w:r>
        <w:rPr>
          <w:rFonts w:hint="eastAsia" w:ascii="宋体" w:hAnsi="宋体" w:cs="宋体"/>
          <w:szCs w:val="21"/>
        </w:rPr>
        <w:t>(3)投标文件含有违反国家法律、法规的内容，或附有招标人不能接受的条件的；</w:t>
      </w:r>
    </w:p>
    <w:p>
      <w:pPr>
        <w:spacing w:line="360" w:lineRule="auto"/>
        <w:ind w:firstLine="319" w:firstLineChars="150"/>
        <w:rPr>
          <w:rFonts w:ascii="宋体" w:hAnsi="宋体" w:cs="宋体"/>
          <w:szCs w:val="21"/>
        </w:rPr>
      </w:pPr>
      <w:r>
        <w:rPr>
          <w:rFonts w:hint="eastAsia" w:ascii="宋体" w:hAnsi="宋体" w:cs="宋体"/>
          <w:szCs w:val="21"/>
        </w:rPr>
        <w:t>（4）在同一项目（或同一标段）中有多个投标人有效投标报价接近最高限价，且评标委员会认为报价出现异常的，可以宣布其投标无效；</w:t>
      </w:r>
    </w:p>
    <w:p>
      <w:pPr>
        <w:spacing w:line="360" w:lineRule="auto"/>
        <w:ind w:firstLine="319" w:firstLineChars="150"/>
        <w:rPr>
          <w:rFonts w:ascii="宋体" w:hAnsi="宋体" w:cs="宋体"/>
          <w:szCs w:val="21"/>
        </w:rPr>
      </w:pPr>
      <w:r>
        <w:rPr>
          <w:rFonts w:hint="eastAsia" w:ascii="宋体" w:hAnsi="宋体" w:cs="宋体"/>
          <w:szCs w:val="21"/>
        </w:rPr>
        <w:t>（5）</w:t>
      </w:r>
      <w:r>
        <w:rPr>
          <w:rFonts w:ascii="宋体" w:hAnsi="宋体" w:cs="宋体"/>
          <w:szCs w:val="21"/>
        </w:rPr>
        <w:t>报价明显低于其他投标人，且不能证明报价合理性的投标无效</w:t>
      </w:r>
      <w:r>
        <w:rPr>
          <w:rFonts w:hint="eastAsia" w:ascii="宋体" w:hAnsi="宋体" w:cs="宋体"/>
          <w:szCs w:val="21"/>
        </w:rPr>
        <w:t>；</w:t>
      </w:r>
    </w:p>
    <w:p>
      <w:pPr>
        <w:spacing w:line="360" w:lineRule="auto"/>
        <w:ind w:firstLine="319" w:firstLineChars="150"/>
        <w:rPr>
          <w:rFonts w:ascii="宋体" w:hAnsi="宋体" w:cs="宋体"/>
          <w:szCs w:val="21"/>
        </w:rPr>
      </w:pPr>
      <w:r>
        <w:rPr>
          <w:rFonts w:hint="eastAsia" w:ascii="宋体" w:hAnsi="宋体" w:cs="宋体"/>
          <w:szCs w:val="21"/>
        </w:rPr>
        <w:t>（6）</w:t>
      </w:r>
      <w:r>
        <w:rPr>
          <w:rFonts w:ascii="宋体" w:hAnsi="宋体" w:cs="宋体"/>
          <w:szCs w:val="21"/>
        </w:rPr>
        <w:t>拒不确认评标委员会评审修正的投标无效</w:t>
      </w:r>
      <w:r>
        <w:rPr>
          <w:rFonts w:hint="eastAsia" w:ascii="宋体" w:hAnsi="宋体" w:cs="宋体"/>
          <w:szCs w:val="21"/>
        </w:rPr>
        <w:t>；</w:t>
      </w:r>
    </w:p>
    <w:p>
      <w:pPr>
        <w:snapToGrid w:val="0"/>
        <w:spacing w:line="400" w:lineRule="exact"/>
        <w:ind w:firstLine="426" w:firstLineChars="200"/>
        <w:rPr>
          <w:rFonts w:ascii="宋体" w:hAnsi="宋体" w:cs="宋体"/>
          <w:szCs w:val="21"/>
        </w:rPr>
      </w:pPr>
      <w:r>
        <w:rPr>
          <w:rFonts w:hint="eastAsia" w:ascii="宋体" w:hAnsi="宋体" w:cs="宋体"/>
          <w:szCs w:val="21"/>
        </w:rPr>
        <w:t>（7）其它情形，经评标委员会委提出按无效投标处理，并经公共资源交易监督部门核准的；</w:t>
      </w:r>
    </w:p>
    <w:p>
      <w:pPr>
        <w:snapToGrid w:val="0"/>
        <w:spacing w:line="400" w:lineRule="exact"/>
        <w:ind w:firstLine="426" w:firstLineChars="200"/>
        <w:rPr>
          <w:rFonts w:ascii="宋体"/>
          <w:b/>
          <w:sz w:val="32"/>
          <w:szCs w:val="32"/>
        </w:rPr>
      </w:pPr>
      <w:r>
        <w:rPr>
          <w:rFonts w:hint="eastAsia" w:ascii="宋体" w:hAnsi="宋体" w:cs="宋体"/>
          <w:szCs w:val="21"/>
        </w:rPr>
        <w:t>（8）采购文件规定的其它无效投标情形。</w:t>
      </w:r>
      <w:bookmarkStart w:id="138" w:name="OLE_LINK4"/>
    </w:p>
    <w:p>
      <w:pPr>
        <w:pageBreakBefore/>
        <w:spacing w:line="440" w:lineRule="exact"/>
        <w:jc w:val="center"/>
        <w:outlineLvl w:val="0"/>
        <w:rPr>
          <w:rFonts w:ascii="黑体" w:eastAsia="黑体"/>
          <w:sz w:val="30"/>
          <w:szCs w:val="30"/>
        </w:rPr>
      </w:pPr>
      <w:bookmarkStart w:id="139" w:name="_Toc111210760"/>
      <w:r>
        <w:rPr>
          <w:rFonts w:hint="eastAsia" w:ascii="黑体" w:eastAsia="黑体"/>
          <w:sz w:val="30"/>
          <w:szCs w:val="30"/>
        </w:rPr>
        <w:t xml:space="preserve">第四章  </w:t>
      </w:r>
      <w:bookmarkEnd w:id="131"/>
      <w:bookmarkStart w:id="140" w:name="_Toc327196338"/>
      <w:bookmarkStart w:id="141" w:name="_Toc6920"/>
      <w:r>
        <w:rPr>
          <w:rFonts w:hint="eastAsia" w:ascii="黑体" w:eastAsia="黑体"/>
          <w:sz w:val="30"/>
          <w:szCs w:val="30"/>
        </w:rPr>
        <w:t>采购需求（实质性要求）及技术成果提交要求</w:t>
      </w:r>
      <w:bookmarkEnd w:id="139"/>
    </w:p>
    <w:bookmarkEnd w:id="140"/>
    <w:bookmarkEnd w:id="141"/>
    <w:p>
      <w:pPr>
        <w:spacing w:line="360" w:lineRule="auto"/>
        <w:ind w:firstLine="486" w:firstLineChars="200"/>
        <w:rPr>
          <w:rFonts w:ascii="宋体" w:hAnsi="宋体"/>
          <w:color w:val="FF0000"/>
          <w:sz w:val="24"/>
        </w:rPr>
      </w:pPr>
      <w:r>
        <w:rPr>
          <w:rFonts w:hint="eastAsia" w:ascii="宋体" w:hAnsi="宋体"/>
          <w:sz w:val="24"/>
        </w:rPr>
        <w:t>采购项目编号：</w:t>
      </w:r>
      <w:r>
        <w:rPr>
          <w:rFonts w:hint="eastAsia" w:ascii="宋体" w:hAnsi="宋体"/>
          <w:color w:val="FF0000"/>
          <w:sz w:val="24"/>
        </w:rPr>
        <w:t xml:space="preserve">    </w:t>
      </w:r>
    </w:p>
    <w:p>
      <w:pPr>
        <w:spacing w:line="360" w:lineRule="auto"/>
        <w:ind w:firstLine="486" w:firstLineChars="200"/>
        <w:rPr>
          <w:rFonts w:ascii="宋体" w:hAnsi="宋体"/>
          <w:sz w:val="24"/>
        </w:rPr>
      </w:pPr>
      <w:r>
        <w:rPr>
          <w:rFonts w:hint="eastAsia" w:ascii="宋体" w:hAnsi="宋体"/>
          <w:sz w:val="24"/>
        </w:rPr>
        <w:t>采购项目名称： 克州国土空间规划信息化建设项目（克州国土基础信息平台和国土空间规划“一张图”实施监督信息系统、国土空间数据整理、测试运行、运维）</w:t>
      </w:r>
    </w:p>
    <w:p>
      <w:pPr>
        <w:spacing w:line="360" w:lineRule="auto"/>
        <w:ind w:firstLine="486" w:firstLineChars="200"/>
        <w:rPr>
          <w:rFonts w:ascii="宋体" w:hAnsi="宋体"/>
          <w:sz w:val="24"/>
        </w:rPr>
      </w:pPr>
      <w:r>
        <w:rPr>
          <w:rFonts w:hint="eastAsia" w:ascii="宋体" w:hAnsi="宋体"/>
          <w:sz w:val="24"/>
        </w:rPr>
        <w:t>采购基本情况及服务须知：</w:t>
      </w:r>
    </w:p>
    <w:bookmarkEnd w:id="138"/>
    <w:p>
      <w:pPr>
        <w:pStyle w:val="3"/>
        <w:numPr>
          <w:ilvl w:val="0"/>
          <w:numId w:val="6"/>
        </w:numPr>
        <w:spacing w:line="360" w:lineRule="auto"/>
        <w:ind w:left="0" w:firstLine="0"/>
        <w:rPr>
          <w:rFonts w:ascii="黑体" w:hAnsi="黑体" w:eastAsia="黑体" w:cstheme="minorBidi"/>
          <w:sz w:val="28"/>
          <w:szCs w:val="28"/>
        </w:rPr>
      </w:pPr>
      <w:bookmarkStart w:id="142" w:name="_Toc67572114"/>
      <w:bookmarkStart w:id="143" w:name="_Toc111210761"/>
      <w:r>
        <w:rPr>
          <w:rFonts w:hint="eastAsia" w:ascii="黑体" w:hAnsi="黑体" w:eastAsia="黑体" w:cstheme="minorBidi"/>
          <w:sz w:val="28"/>
          <w:szCs w:val="28"/>
        </w:rPr>
        <w:t>项目背景</w:t>
      </w:r>
      <w:bookmarkEnd w:id="142"/>
    </w:p>
    <w:p>
      <w:pPr>
        <w:spacing w:line="360" w:lineRule="auto"/>
        <w:ind w:firstLine="486" w:firstLineChars="200"/>
        <w:rPr>
          <w:rFonts w:ascii="仿宋" w:hAnsi="仿宋" w:eastAsia="仿宋"/>
          <w:sz w:val="28"/>
        </w:rPr>
      </w:pPr>
      <w:r>
        <w:rPr>
          <w:rFonts w:ascii="仿宋" w:hAnsi="仿宋" w:eastAsia="仿宋"/>
          <w:sz w:val="24"/>
        </w:rPr>
        <w:t>2</w:t>
      </w:r>
      <w:r>
        <w:rPr>
          <w:rFonts w:hint="eastAsia" w:ascii="仿宋" w:hAnsi="仿宋" w:eastAsia="仿宋"/>
          <w:sz w:val="24"/>
        </w:rPr>
        <w:t>019年5月，中共中央国务院《关于建立国土空间规划体系并监督实施的若干意见》（中发〔</w:t>
      </w:r>
      <w:r>
        <w:rPr>
          <w:rFonts w:ascii="仿宋" w:hAnsi="仿宋" w:eastAsia="仿宋"/>
          <w:sz w:val="24"/>
        </w:rPr>
        <w:t>2019〕18号）,要求“</w:t>
      </w:r>
      <w:r>
        <w:rPr>
          <w:rFonts w:hint="eastAsia" w:ascii="仿宋" w:hAnsi="仿宋" w:eastAsia="仿宋"/>
          <w:sz w:val="24"/>
        </w:rPr>
        <w:t>基本建立国土空间规划体系，逐步建立多规合一的规划编制审批体系、实施监督体系、法规政策体系和技术标准体系”。</w:t>
      </w:r>
      <w:r>
        <w:rPr>
          <w:rFonts w:ascii="仿宋" w:hAnsi="仿宋" w:eastAsia="仿宋"/>
          <w:sz w:val="24"/>
        </w:rPr>
        <w:t>2019年7月，自然资源部办公厅印发《关于开展国土空间规划“一张图”建设和现状评估工作的通知（自然资办发〔2019〕38号）》，</w:t>
      </w:r>
      <w:r>
        <w:rPr>
          <w:rFonts w:hint="eastAsia" w:ascii="仿宋" w:hAnsi="仿宋" w:eastAsia="仿宋"/>
          <w:sz w:val="24"/>
        </w:rPr>
        <w:t>要求</w:t>
      </w:r>
      <w:r>
        <w:rPr>
          <w:rFonts w:ascii="仿宋" w:hAnsi="仿宋" w:eastAsia="仿宋"/>
          <w:sz w:val="24"/>
        </w:rPr>
        <w:t>2020年底前未完成国土空间基础信息平台和国土空间规划“一张图”实施监督信息系统建设的市县不得先行报批国土空间总体规划。2021</w:t>
      </w:r>
      <w:r>
        <w:rPr>
          <w:rFonts w:hint="eastAsia" w:ascii="仿宋" w:hAnsi="仿宋" w:eastAsia="仿宋"/>
          <w:sz w:val="24"/>
        </w:rPr>
        <w:t>年3月9日</w:t>
      </w:r>
      <w:r>
        <w:rPr>
          <w:rFonts w:ascii="仿宋" w:hAnsi="仿宋" w:eastAsia="仿宋"/>
          <w:sz w:val="24"/>
        </w:rPr>
        <w:t>，国家标准《国土空间规划“一张图”实施监督信息系统技术规范》全文已正式公布</w:t>
      </w:r>
      <w:r>
        <w:rPr>
          <w:rFonts w:hint="eastAsia" w:ascii="仿宋" w:hAnsi="仿宋" w:eastAsia="仿宋"/>
          <w:sz w:val="24"/>
        </w:rPr>
        <w:t>，2</w:t>
      </w:r>
      <w:r>
        <w:rPr>
          <w:rFonts w:ascii="仿宋" w:hAnsi="仿宋" w:eastAsia="仿宋"/>
          <w:sz w:val="24"/>
        </w:rPr>
        <w:t>021</w:t>
      </w:r>
      <w:r>
        <w:rPr>
          <w:rFonts w:hint="eastAsia" w:ascii="仿宋" w:hAnsi="仿宋" w:eastAsia="仿宋"/>
          <w:sz w:val="24"/>
        </w:rPr>
        <w:t>年1</w:t>
      </w:r>
      <w:r>
        <w:rPr>
          <w:rFonts w:ascii="仿宋" w:hAnsi="仿宋" w:eastAsia="仿宋"/>
          <w:sz w:val="24"/>
        </w:rPr>
        <w:t>0</w:t>
      </w:r>
      <w:r>
        <w:rPr>
          <w:rFonts w:hint="eastAsia" w:ascii="仿宋" w:hAnsi="仿宋" w:eastAsia="仿宋"/>
          <w:sz w:val="24"/>
        </w:rPr>
        <w:t>月1日正式实施</w:t>
      </w:r>
      <w:r>
        <w:rPr>
          <w:rFonts w:ascii="仿宋" w:hAnsi="仿宋" w:eastAsia="仿宋"/>
          <w:sz w:val="24"/>
        </w:rPr>
        <w:t>，标准规定了国土空间规划“一张图”实施监督信息系统的总体要求、数据要求、功能要求、环境要求和安全运维要求。</w:t>
      </w:r>
      <w:r>
        <w:rPr>
          <w:rFonts w:hint="eastAsia" w:ascii="仿宋" w:hAnsi="仿宋" w:eastAsia="仿宋"/>
          <w:sz w:val="24"/>
        </w:rPr>
        <w:t>2022年5月12日，《自然资源部办公厅关于进一步加强国士空间规划“—张图”系统建设的通知》，提出各地要依托国土空间基础信息平台和调查监测体系</w:t>
      </w:r>
      <w:r>
        <w:rPr>
          <w:rFonts w:ascii="仿宋" w:hAnsi="仿宋" w:eastAsia="仿宋"/>
          <w:sz w:val="24"/>
        </w:rPr>
        <w:t>,</w:t>
      </w:r>
      <w:r>
        <w:rPr>
          <w:rFonts w:hint="eastAsia" w:ascii="仿宋" w:hAnsi="仿宋" w:eastAsia="仿宋"/>
          <w:sz w:val="24"/>
        </w:rPr>
        <w:t>健全全国国土空间规划实施监测网络</w:t>
      </w:r>
      <w:r>
        <w:rPr>
          <w:rFonts w:ascii="仿宋" w:hAnsi="仿宋" w:eastAsia="仿宋"/>
          <w:sz w:val="24"/>
        </w:rPr>
        <w:t>,</w:t>
      </w:r>
      <w:r>
        <w:rPr>
          <w:rFonts w:hint="eastAsia" w:ascii="仿宋" w:hAnsi="仿宋" w:eastAsia="仿宋"/>
          <w:sz w:val="24"/>
        </w:rPr>
        <w:t>对“一张图”落实情况适时开展动态监测评估预警</w:t>
      </w:r>
      <w:r>
        <w:rPr>
          <w:rFonts w:hint="eastAsia" w:ascii="仿宋" w:hAnsi="仿宋" w:eastAsia="仿宋"/>
          <w:sz w:val="28"/>
        </w:rPr>
        <w:t>。</w:t>
      </w:r>
    </w:p>
    <w:p>
      <w:pPr>
        <w:spacing w:line="360" w:lineRule="auto"/>
        <w:ind w:firstLine="486" w:firstLineChars="200"/>
        <w:rPr>
          <w:rFonts w:ascii="仿宋" w:hAnsi="仿宋" w:eastAsia="仿宋"/>
          <w:sz w:val="24"/>
        </w:rPr>
      </w:pPr>
      <w:r>
        <w:rPr>
          <w:rFonts w:hint="eastAsia" w:ascii="仿宋" w:hAnsi="仿宋" w:eastAsia="仿宋"/>
          <w:sz w:val="24"/>
        </w:rPr>
        <w:t>新疆维吾尔</w:t>
      </w:r>
      <w:r>
        <w:rPr>
          <w:rFonts w:ascii="仿宋" w:hAnsi="仿宋" w:eastAsia="仿宋"/>
          <w:sz w:val="24"/>
        </w:rPr>
        <w:t>自治区自然资源厅</w:t>
      </w:r>
      <w:r>
        <w:rPr>
          <w:rFonts w:hint="eastAsia" w:ascii="仿宋" w:hAnsi="仿宋" w:eastAsia="仿宋"/>
          <w:sz w:val="24"/>
        </w:rPr>
        <w:t>于2</w:t>
      </w:r>
      <w:r>
        <w:rPr>
          <w:rFonts w:ascii="仿宋" w:hAnsi="仿宋" w:eastAsia="仿宋"/>
          <w:sz w:val="24"/>
        </w:rPr>
        <w:t>021</w:t>
      </w:r>
      <w:r>
        <w:rPr>
          <w:rFonts w:hint="eastAsia" w:ascii="仿宋" w:hAnsi="仿宋" w:eastAsia="仿宋"/>
          <w:sz w:val="24"/>
        </w:rPr>
        <w:t>年5月发布《新疆自然资源信息化“十四五”规划》，明确了健全自然资源“一张网”，推进“自然资源云”建设；优化自然资源三维立体时空“一张图”；拓展国土空间基础信息平台，打造国土空间“掌上云”。</w:t>
      </w:r>
    </w:p>
    <w:p>
      <w:pPr>
        <w:spacing w:line="360" w:lineRule="auto"/>
        <w:ind w:firstLine="486" w:firstLineChars="200"/>
        <w:rPr>
          <w:rFonts w:ascii="仿宋" w:hAnsi="仿宋" w:eastAsia="仿宋"/>
          <w:sz w:val="24"/>
        </w:rPr>
      </w:pPr>
      <w:r>
        <w:rPr>
          <w:rFonts w:hint="eastAsia" w:ascii="仿宋" w:hAnsi="仿宋" w:eastAsia="仿宋"/>
          <w:sz w:val="24"/>
        </w:rPr>
        <w:t>克孜勒苏柯尔克孜自治州立足国家、省厅相关政策文件中提出的管理新要求，拟打造国土空间基础信息平台和国土空间规划“一张图”实施监督信息系统，加强对空间信息的掌握、整合和融合分析利用能力，为长期构建国土空间规划实施监督体系奠定基础。</w:t>
      </w:r>
    </w:p>
    <w:p>
      <w:pPr>
        <w:pStyle w:val="3"/>
        <w:numPr>
          <w:ilvl w:val="0"/>
          <w:numId w:val="6"/>
        </w:numPr>
        <w:spacing w:line="360" w:lineRule="auto"/>
        <w:ind w:left="0" w:firstLine="0"/>
        <w:rPr>
          <w:rFonts w:ascii="黑体" w:hAnsi="黑体" w:eastAsia="黑体" w:cstheme="minorBidi"/>
          <w:sz w:val="28"/>
          <w:szCs w:val="28"/>
        </w:rPr>
      </w:pPr>
      <w:r>
        <w:rPr>
          <w:rFonts w:hint="eastAsia" w:ascii="黑体" w:hAnsi="黑体" w:eastAsia="黑体" w:cstheme="minorBidi"/>
          <w:sz w:val="28"/>
          <w:szCs w:val="28"/>
        </w:rPr>
        <w:t>建设目标</w:t>
      </w:r>
    </w:p>
    <w:p>
      <w:pPr>
        <w:spacing w:line="360" w:lineRule="auto"/>
        <w:ind w:firstLine="486" w:firstLineChars="200"/>
        <w:rPr>
          <w:rFonts w:ascii="仿宋" w:hAnsi="仿宋" w:eastAsia="仿宋"/>
          <w:sz w:val="24"/>
        </w:rPr>
      </w:pPr>
      <w:r>
        <w:rPr>
          <w:rFonts w:hint="eastAsia" w:ascii="仿宋" w:hAnsi="仿宋" w:eastAsia="仿宋"/>
          <w:sz w:val="24"/>
        </w:rPr>
        <w:t>在国家、省、市相关政策和技术标准基础上，结合克孜勒苏柯尔克孜自治州地方特点和实际需求，构建国土空间基础信息平台，实现各类空间管控要素精准落地，形成覆盖全州、动态更新、权威统一的国土空间规划“一张图”，为统一国土空间用途管制、强化规划实施监督提供数据底座。同步推动克孜勒苏柯尔克孜自治州国土空间规划“一张图”实施监督信息系统建设，为国土空间规划编制、实施、监管决策、政务服务提供有力的技术支撑。打造移动端应用，为规划编制及管理工作提供便捷、高效的信息化服务，辅助政府日常管理工作，提高业务人员工作效率。</w:t>
      </w:r>
    </w:p>
    <w:p>
      <w:pPr>
        <w:pStyle w:val="3"/>
        <w:numPr>
          <w:ilvl w:val="0"/>
          <w:numId w:val="6"/>
        </w:numPr>
        <w:spacing w:line="360" w:lineRule="auto"/>
        <w:ind w:left="0" w:firstLine="0"/>
        <w:rPr>
          <w:rFonts w:ascii="黑体" w:hAnsi="黑体" w:eastAsia="黑体" w:cstheme="minorBidi"/>
          <w:sz w:val="28"/>
          <w:szCs w:val="28"/>
        </w:rPr>
      </w:pPr>
      <w:r>
        <w:rPr>
          <w:rFonts w:hint="eastAsia" w:ascii="黑体" w:hAnsi="黑体" w:eastAsia="黑体" w:cstheme="minorBidi"/>
          <w:sz w:val="28"/>
          <w:szCs w:val="28"/>
        </w:rPr>
        <w:t>建设内容</w:t>
      </w:r>
    </w:p>
    <w:p>
      <w:pPr>
        <w:spacing w:line="360" w:lineRule="auto"/>
        <w:ind w:firstLine="486" w:firstLineChars="200"/>
        <w:rPr>
          <w:rFonts w:ascii="仿宋" w:hAnsi="仿宋" w:eastAsia="仿宋"/>
          <w:sz w:val="24"/>
        </w:rPr>
      </w:pPr>
      <w:r>
        <w:rPr>
          <w:rFonts w:hint="eastAsia" w:ascii="仿宋" w:hAnsi="仿宋" w:eastAsia="仿宋"/>
          <w:sz w:val="24"/>
        </w:rPr>
        <w:t>基于客户实际业务需求，充分发挥承建方在国土、空间规划、监测、评估、预警、一张图等信息化建设中的技术积累和实施经验。提供以下</w:t>
      </w:r>
      <w:r>
        <w:rPr>
          <w:rFonts w:ascii="仿宋" w:hAnsi="仿宋" w:eastAsia="仿宋"/>
          <w:sz w:val="24"/>
        </w:rPr>
        <w:t>5</w:t>
      </w:r>
      <w:r>
        <w:rPr>
          <w:rFonts w:hint="eastAsia" w:ascii="仿宋" w:hAnsi="仿宋" w:eastAsia="仿宋"/>
          <w:sz w:val="24"/>
        </w:rPr>
        <w:t>项建设内容：制定标准规范体系、数据资源建设、国土空间基础信息平台、国土空间规划“一张图”实施监督信息系统以及移动端应用。</w:t>
      </w:r>
    </w:p>
    <w:p>
      <w:pPr>
        <w:pStyle w:val="55"/>
        <w:numPr>
          <w:ilvl w:val="0"/>
          <w:numId w:val="7"/>
        </w:numPr>
        <w:ind w:firstLineChars="0"/>
        <w:outlineLvl w:val="1"/>
        <w:rPr>
          <w:rFonts w:ascii="仿宋" w:hAnsi="仿宋" w:eastAsia="仿宋"/>
          <w:b/>
        </w:rPr>
      </w:pPr>
      <w:r>
        <w:rPr>
          <w:rFonts w:hint="eastAsia" w:ascii="仿宋" w:hAnsi="仿宋" w:eastAsia="仿宋"/>
          <w:b/>
        </w:rPr>
        <w:t>标准规范体系</w:t>
      </w:r>
    </w:p>
    <w:p>
      <w:pPr>
        <w:spacing w:line="360" w:lineRule="auto"/>
        <w:ind w:firstLine="486" w:firstLineChars="200"/>
        <w:rPr>
          <w:rFonts w:ascii="仿宋" w:hAnsi="仿宋" w:eastAsia="仿宋"/>
          <w:sz w:val="24"/>
        </w:rPr>
      </w:pPr>
      <w:r>
        <w:rPr>
          <w:rFonts w:hint="eastAsia" w:ascii="仿宋" w:hAnsi="仿宋" w:eastAsia="仿宋"/>
          <w:sz w:val="24"/>
        </w:rPr>
        <w:t>建立数据共享交换规范和相关接口规范、数据安全保障机制、平台运行维护机制等标准规范，促进国土空间数据在政府部门间的充分共享和交换。项目建设期间，应根据国家、省及克州市需求动态更新调整。</w:t>
      </w:r>
    </w:p>
    <w:p>
      <w:pPr>
        <w:spacing w:line="360" w:lineRule="auto"/>
        <w:ind w:firstLine="486" w:firstLineChars="200"/>
        <w:rPr>
          <w:rFonts w:ascii="仿宋" w:hAnsi="仿宋" w:eastAsia="仿宋"/>
          <w:sz w:val="24"/>
        </w:rPr>
      </w:pPr>
      <w:r>
        <w:rPr>
          <w:rFonts w:hint="eastAsia" w:ascii="仿宋" w:hAnsi="仿宋" w:eastAsia="仿宋"/>
          <w:sz w:val="24"/>
        </w:rPr>
        <w:t>具体包括：</w:t>
      </w:r>
    </w:p>
    <w:p>
      <w:pPr>
        <w:spacing w:line="360" w:lineRule="auto"/>
        <w:ind w:firstLine="486" w:firstLineChars="200"/>
        <w:rPr>
          <w:rFonts w:ascii="仿宋" w:hAnsi="仿宋" w:eastAsia="仿宋"/>
          <w:sz w:val="24"/>
        </w:rPr>
      </w:pPr>
      <w:r>
        <w:rPr>
          <w:rFonts w:hint="eastAsia" w:ascii="仿宋" w:hAnsi="仿宋" w:eastAsia="仿宋"/>
          <w:sz w:val="24"/>
        </w:rPr>
        <w:t>（1）时空基准。参照国土空间基础信息平台建设要求，结合克州市实际工作情况，建立国土空间基础信息平台统一空间基准，以及相关坐标基准间的转换规范。</w:t>
      </w:r>
    </w:p>
    <w:p>
      <w:pPr>
        <w:spacing w:line="360" w:lineRule="auto"/>
        <w:ind w:firstLine="486" w:firstLineChars="200"/>
        <w:rPr>
          <w:rFonts w:ascii="仿宋" w:hAnsi="仿宋" w:eastAsia="仿宋"/>
          <w:sz w:val="24"/>
        </w:rPr>
      </w:pPr>
      <w:r>
        <w:rPr>
          <w:rFonts w:hint="eastAsia" w:ascii="仿宋" w:hAnsi="仿宋" w:eastAsia="仿宋"/>
          <w:sz w:val="24"/>
        </w:rPr>
        <w:t>（2）数据标准。参照国家、新疆自治区和克州市规定的统一标准，根据克州市国土空间数据的现状，制定统一的空间数据标准、数据质检标准和平台开发标准，包括且不限于空间信息分类标准、空间信息编码、元数据标准、数据库建库标准、空间数据质量评定标准、空间数据质检标准、空间规划数据建库标准、空间规划数据质检标准等。</w:t>
      </w:r>
    </w:p>
    <w:p>
      <w:pPr>
        <w:spacing w:line="360" w:lineRule="auto"/>
        <w:ind w:firstLine="486" w:firstLineChars="200"/>
        <w:rPr>
          <w:rFonts w:ascii="仿宋" w:hAnsi="仿宋" w:eastAsia="仿宋"/>
          <w:sz w:val="24"/>
        </w:rPr>
      </w:pPr>
      <w:r>
        <w:rPr>
          <w:rFonts w:ascii="仿宋" w:hAnsi="仿宋" w:eastAsia="仿宋"/>
          <w:sz w:val="24"/>
        </w:rPr>
        <w:t>(3)</w:t>
      </w:r>
      <w:r>
        <w:rPr>
          <w:rFonts w:hint="eastAsia" w:ascii="仿宋" w:hAnsi="仿宋" w:eastAsia="仿宋"/>
          <w:sz w:val="24"/>
        </w:rPr>
        <w:t xml:space="preserve">接口标准。为实现数据的汇交、发布与共享，需分类指定信息共享服务接口规范。 </w:t>
      </w:r>
    </w:p>
    <w:p>
      <w:pPr>
        <w:spacing w:line="360" w:lineRule="auto"/>
        <w:ind w:firstLine="486"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数据更新汇交机制。按照“谁生产、谁负责”的原则，编制跨业务、跨行业的横向协同的数据更新维护机制，同时建立省、市、县三级纵向协同联动的数据汇交更新机制。</w:t>
      </w:r>
    </w:p>
    <w:p>
      <w:pPr>
        <w:pStyle w:val="55"/>
        <w:numPr>
          <w:ilvl w:val="0"/>
          <w:numId w:val="7"/>
        </w:numPr>
        <w:ind w:firstLineChars="0"/>
        <w:outlineLvl w:val="1"/>
        <w:rPr>
          <w:rFonts w:ascii="仿宋" w:hAnsi="仿宋" w:eastAsia="仿宋"/>
          <w:b/>
        </w:rPr>
      </w:pPr>
      <w:r>
        <w:rPr>
          <w:rFonts w:hint="eastAsia" w:ascii="仿宋" w:hAnsi="仿宋" w:eastAsia="仿宋"/>
          <w:b/>
        </w:rPr>
        <w:t>数据资源建设</w:t>
      </w:r>
    </w:p>
    <w:p>
      <w:pPr>
        <w:spacing w:line="360" w:lineRule="auto"/>
        <w:ind w:firstLine="486" w:firstLineChars="200"/>
        <w:rPr>
          <w:rFonts w:ascii="仿宋" w:hAnsi="仿宋" w:eastAsia="仿宋"/>
          <w:sz w:val="24"/>
        </w:rPr>
      </w:pPr>
      <w:r>
        <w:rPr>
          <w:rFonts w:hint="eastAsia" w:ascii="仿宋" w:hAnsi="仿宋" w:eastAsia="仿宋"/>
          <w:sz w:val="24"/>
        </w:rPr>
        <w:t>以第三次全国国土调查成果为基础，采用统一的测绘基准和测绘系统，梳理整合克州市基础地理、遥感影像、土地、矿产、林地、森林、湿地等各类自然资源数据，构建涵盖现状数据、规划数据、管理数据、社会经济等多种数据类型的自然资源数据体系，建立国土空间数据资源目录，建立国土空间数据资源库，形成数据完整、覆盖全区、标准统一、准确权威的国土空间“一张图”，促进信息互通共享、汇交与应用。同时，建立分布式、开放式的数据更新模式，确保纵向与市级节点、横向与各部门信息的持续更新，统一支撑规划编制，统一支撑国土空间规划业务管理和对外服务。</w:t>
      </w:r>
    </w:p>
    <w:p>
      <w:pPr>
        <w:pStyle w:val="55"/>
        <w:numPr>
          <w:ilvl w:val="0"/>
          <w:numId w:val="7"/>
        </w:numPr>
        <w:ind w:firstLineChars="0"/>
        <w:outlineLvl w:val="1"/>
        <w:rPr>
          <w:rFonts w:ascii="仿宋" w:hAnsi="仿宋" w:eastAsia="仿宋"/>
          <w:b/>
        </w:rPr>
      </w:pPr>
      <w:r>
        <w:rPr>
          <w:rFonts w:hint="eastAsia" w:ascii="仿宋" w:hAnsi="仿宋" w:eastAsia="仿宋"/>
          <w:b/>
        </w:rPr>
        <w:t>国土空间基础信息平台</w:t>
      </w:r>
    </w:p>
    <w:p>
      <w:pPr>
        <w:adjustRightInd w:val="0"/>
        <w:snapToGrid w:val="0"/>
        <w:spacing w:line="360" w:lineRule="auto"/>
        <w:ind w:firstLine="482"/>
        <w:rPr>
          <w:rFonts w:ascii="仿宋" w:hAnsi="仿宋" w:eastAsia="仿宋"/>
          <w:sz w:val="24"/>
        </w:rPr>
      </w:pPr>
      <w:r>
        <w:rPr>
          <w:rFonts w:hint="eastAsia" w:ascii="仿宋" w:hAnsi="仿宋" w:eastAsia="仿宋"/>
          <w:sz w:val="24"/>
        </w:rPr>
        <w:t>国土空间基础信息平台是形成国土空间规划“一张图”的基础载体。通过建设统一的国土空间基础信息资源管理与服务体系，为自然资源管理部门提供数据汇集管理、资源管理、查询分析、应用服务等能力。为国土空间规划编制、行政审批、国土空间开发利用监测监管、空间决策分析等应用提供数据支撑和技术保障。具体内容如下：</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平台门户</w:t>
      </w:r>
    </w:p>
    <w:p>
      <w:pPr>
        <w:adjustRightInd w:val="0"/>
        <w:snapToGrid w:val="0"/>
        <w:spacing w:line="360" w:lineRule="auto"/>
        <w:ind w:firstLine="482"/>
        <w:rPr>
          <w:rFonts w:ascii="仿宋" w:hAnsi="仿宋" w:eastAsia="仿宋"/>
          <w:sz w:val="24"/>
        </w:rPr>
      </w:pPr>
      <w:r>
        <w:rPr>
          <w:rFonts w:hint="eastAsia" w:ascii="仿宋" w:hAnsi="仿宋" w:eastAsia="仿宋"/>
          <w:sz w:val="24"/>
        </w:rPr>
        <w:t>平台门户是了解国土空间基础信息平台的窗口，门户系统实现资源的整合、查找、共享及资源统一管理；门户通过统一的身份认证，确保平台的安全。通过门户导航，提供平台中相关应用的入口。</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一张图展示中心</w:t>
      </w:r>
    </w:p>
    <w:p>
      <w:pPr>
        <w:adjustRightInd w:val="0"/>
        <w:snapToGrid w:val="0"/>
        <w:spacing w:line="360" w:lineRule="auto"/>
        <w:ind w:firstLine="482"/>
        <w:rPr>
          <w:rFonts w:ascii="仿宋" w:hAnsi="仿宋" w:eastAsia="仿宋"/>
          <w:sz w:val="24"/>
        </w:rPr>
      </w:pPr>
      <w:r>
        <w:rPr>
          <w:rFonts w:hint="eastAsia" w:ascii="仿宋" w:hAnsi="仿宋" w:eastAsia="仿宋"/>
          <w:sz w:val="24"/>
        </w:rPr>
        <w:t>一张图展示中心是</w:t>
      </w:r>
      <w:r>
        <w:rPr>
          <w:rFonts w:ascii="仿宋" w:hAnsi="仿宋" w:eastAsia="仿宋"/>
          <w:sz w:val="24"/>
        </w:rPr>
        <w:t>用户了解平台成果资源的窗口，主要提供国土空间数据资源的统一展示、查询、分析等应用。用户通过</w:t>
      </w:r>
      <w:r>
        <w:rPr>
          <w:rFonts w:hint="eastAsia" w:ascii="仿宋" w:hAnsi="仿宋" w:eastAsia="仿宋"/>
          <w:sz w:val="24"/>
        </w:rPr>
        <w:t>数据资源</w:t>
      </w:r>
      <w:r>
        <w:rPr>
          <w:rFonts w:ascii="仿宋" w:hAnsi="仿宋" w:eastAsia="仿宋"/>
          <w:sz w:val="24"/>
        </w:rPr>
        <w:t>，可对数据资源进行查询统计，按需使用数据资源</w:t>
      </w:r>
      <w:r>
        <w:rPr>
          <w:rFonts w:hint="eastAsia" w:ascii="仿宋" w:hAnsi="仿宋" w:eastAsia="仿宋"/>
          <w:sz w:val="24"/>
        </w:rPr>
        <w:t xml:space="preserve">。 </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应用中心</w:t>
      </w:r>
    </w:p>
    <w:p>
      <w:pPr>
        <w:adjustRightInd w:val="0"/>
        <w:snapToGrid w:val="0"/>
        <w:spacing w:line="360" w:lineRule="auto"/>
        <w:ind w:firstLine="482"/>
        <w:rPr>
          <w:rFonts w:ascii="仿宋" w:hAnsi="仿宋" w:eastAsia="仿宋"/>
          <w:sz w:val="24"/>
        </w:rPr>
      </w:pPr>
      <w:r>
        <w:rPr>
          <w:rFonts w:hint="eastAsia" w:ascii="仿宋" w:hAnsi="仿宋" w:eastAsia="仿宋"/>
          <w:sz w:val="24"/>
        </w:rPr>
        <w:t>应用中心</w:t>
      </w:r>
      <w:r>
        <w:rPr>
          <w:rFonts w:ascii="仿宋" w:hAnsi="仿宋" w:eastAsia="仿宋"/>
          <w:sz w:val="24"/>
        </w:rPr>
        <w:t>主要围绕规划应用、业务协同等领域，提供多类在线应用的工具</w:t>
      </w:r>
      <w:r>
        <w:rPr>
          <w:rFonts w:hint="eastAsia" w:ascii="仿宋" w:hAnsi="仿宋" w:eastAsia="仿宋"/>
          <w:sz w:val="24"/>
        </w:rPr>
        <w:t>，包括基础服务和专题服务等。</w:t>
      </w:r>
    </w:p>
    <w:p>
      <w:pPr>
        <w:adjustRightInd w:val="0"/>
        <w:snapToGrid w:val="0"/>
        <w:spacing w:line="360" w:lineRule="auto"/>
        <w:ind w:firstLine="482"/>
        <w:rPr>
          <w:rFonts w:ascii="仿宋" w:hAnsi="仿宋" w:eastAsia="仿宋"/>
          <w:sz w:val="24"/>
        </w:rPr>
      </w:pPr>
      <w:r>
        <w:rPr>
          <w:rFonts w:hint="eastAsia" w:ascii="仿宋" w:hAnsi="仿宋" w:eastAsia="仿宋"/>
          <w:sz w:val="24"/>
        </w:rPr>
        <w:t>基础服务：为用户提供叠加分析、缓冲分析等空间分析服务，以列表、饼图、柱状图等图标展示数据统计报表服务，同时可根据用户需求，提供个性化专题图制作服务。</w:t>
      </w:r>
    </w:p>
    <w:p>
      <w:pPr>
        <w:adjustRightInd w:val="0"/>
        <w:snapToGrid w:val="0"/>
        <w:spacing w:line="360" w:lineRule="auto"/>
        <w:ind w:firstLine="482"/>
        <w:rPr>
          <w:rFonts w:ascii="仿宋" w:hAnsi="仿宋" w:eastAsia="仿宋"/>
          <w:sz w:val="24"/>
        </w:rPr>
      </w:pPr>
      <w:r>
        <w:rPr>
          <w:rFonts w:hint="eastAsia" w:ascii="仿宋" w:hAnsi="仿宋" w:eastAsia="仿宋"/>
          <w:sz w:val="24"/>
        </w:rPr>
        <w:t>专题服务：是面向国土空间规划编制、行政审批、资源监管、决策支持等，为国土空间规划、实施、监管应用提供辅助支撑。</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资源中心</w:t>
      </w:r>
    </w:p>
    <w:p>
      <w:pPr>
        <w:adjustRightInd w:val="0"/>
        <w:snapToGrid w:val="0"/>
        <w:spacing w:line="360" w:lineRule="auto"/>
        <w:ind w:firstLine="482"/>
        <w:rPr>
          <w:rFonts w:ascii="仿宋" w:hAnsi="仿宋" w:eastAsia="仿宋"/>
          <w:sz w:val="24"/>
        </w:rPr>
      </w:pPr>
      <w:r>
        <w:rPr>
          <w:rFonts w:hint="eastAsia" w:ascii="仿宋" w:hAnsi="仿宋" w:eastAsia="仿宋"/>
          <w:sz w:val="24"/>
        </w:rPr>
        <w:t>资源中心提供平台注册的服务资源。为用户提供平台资源的快速访问及查询，个人资源的统计与浏览服务。用户可在此查看各类资源详细信息或预览地图，有资源申请权限的用户还可对感兴趣的资源进行申请。</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下载中心</w:t>
      </w:r>
    </w:p>
    <w:p>
      <w:pPr>
        <w:adjustRightInd w:val="0"/>
        <w:snapToGrid w:val="0"/>
        <w:spacing w:line="360" w:lineRule="auto"/>
        <w:ind w:firstLine="482"/>
        <w:rPr>
          <w:rFonts w:ascii="仿宋" w:hAnsi="仿宋" w:eastAsia="仿宋"/>
          <w:sz w:val="24"/>
        </w:rPr>
      </w:pPr>
      <w:r>
        <w:rPr>
          <w:rFonts w:hint="eastAsia" w:ascii="仿宋" w:hAnsi="仿宋" w:eastAsia="仿宋"/>
          <w:sz w:val="24"/>
        </w:rPr>
        <w:t>通过下载中心，用户可下载应用资源、数据资源和标准规范等类型的资源，系统按照时间顺序将全部资源列出，用户可检索感兴趣资源、查看资源详情或进行资源下载。</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开发中心</w:t>
      </w:r>
    </w:p>
    <w:p>
      <w:pPr>
        <w:adjustRightInd w:val="0"/>
        <w:snapToGrid w:val="0"/>
        <w:spacing w:line="360" w:lineRule="auto"/>
        <w:ind w:firstLine="482"/>
        <w:rPr>
          <w:rFonts w:ascii="仿宋" w:hAnsi="仿宋" w:eastAsia="仿宋"/>
          <w:sz w:val="24"/>
        </w:rPr>
      </w:pPr>
      <w:r>
        <w:rPr>
          <w:rFonts w:hint="eastAsia" w:ascii="仿宋" w:hAnsi="仿宋" w:eastAsia="仿宋"/>
          <w:sz w:val="24"/>
        </w:rPr>
        <w:t>为平台专业用户提供基于平台地理空间信息服务的接口及帮助文档，利用这些API可以快速开发基于平台服务资源的各种GIS专题应用系统，构建自然资源综合信息监管决策应用体系、“互联网+自然资源政务服务”应用体系及自然资源调查监测评价应用体系。</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时空数据资源管理</w:t>
      </w:r>
    </w:p>
    <w:p>
      <w:pPr>
        <w:adjustRightInd w:val="0"/>
        <w:snapToGrid w:val="0"/>
        <w:spacing w:line="360" w:lineRule="auto"/>
        <w:ind w:firstLine="482"/>
        <w:rPr>
          <w:rFonts w:ascii="仿宋" w:hAnsi="仿宋" w:eastAsia="仿宋"/>
          <w:sz w:val="24"/>
        </w:rPr>
      </w:pPr>
      <w:r>
        <w:rPr>
          <w:rFonts w:hint="eastAsia" w:ascii="仿宋" w:hAnsi="仿宋" w:eastAsia="仿宋"/>
          <w:sz w:val="24"/>
        </w:rPr>
        <w:t>国土空间自然资源的数据资源池，作为国土空间基础信息平台和各业务系统运行的基础和核心。元数据管理是对元数据库、元数据表、数据表字段、数据变更登记等业务信息的统一管理；根据空间数据类型、存储地址、数据专题类型、数据权属、业务特征等对数据资源按目录分类管理；基于资源池元数据对空间资源数据的动态编目管理；基于资源池汇聚的空间基础数据，提供数据服务动态生成功能；基于资源池数据整体概况信息，从多维度、多角度统一汇总分析平台资源的来源、加工过程与使用，制作数据资源图谱，构成实体与资源关系图。</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数据共享交换</w:t>
      </w:r>
    </w:p>
    <w:p>
      <w:pPr>
        <w:adjustRightInd w:val="0"/>
        <w:snapToGrid w:val="0"/>
        <w:spacing w:line="360" w:lineRule="auto"/>
        <w:ind w:firstLine="482"/>
        <w:rPr>
          <w:rFonts w:ascii="仿宋" w:hAnsi="仿宋" w:eastAsia="仿宋"/>
          <w:sz w:val="24"/>
        </w:rPr>
      </w:pPr>
      <w:r>
        <w:rPr>
          <w:rFonts w:hint="eastAsia" w:ascii="仿宋" w:hAnsi="仿宋" w:eastAsia="仿宋"/>
          <w:sz w:val="24"/>
        </w:rPr>
        <w:t>数据共享交换面向国土空间规划与自然资源管理相关的多个部门，提供跨部门的数据资源交换与共享能力，纵向实现与自治区级、县级、乡镇级数据同步更新。数据交换共享系统按功能分为资源管理、数据节点管理、数据服务管理、数据交换任务服务管理、安全管理及系统监控。</w:t>
      </w:r>
    </w:p>
    <w:p>
      <w:pPr>
        <w:pStyle w:val="55"/>
        <w:numPr>
          <w:ilvl w:val="0"/>
          <w:numId w:val="8"/>
        </w:numPr>
        <w:adjustRightInd w:val="0"/>
        <w:snapToGrid w:val="0"/>
        <w:ind w:firstLineChars="0"/>
        <w:outlineLvl w:val="2"/>
        <w:rPr>
          <w:rFonts w:ascii="仿宋" w:hAnsi="仿宋" w:eastAsia="仿宋"/>
          <w:b/>
        </w:rPr>
      </w:pPr>
      <w:r>
        <w:rPr>
          <w:rFonts w:hint="eastAsia" w:ascii="仿宋" w:hAnsi="仿宋" w:eastAsia="仿宋"/>
          <w:b/>
        </w:rPr>
        <w:t>运维管理</w:t>
      </w:r>
    </w:p>
    <w:p>
      <w:pPr>
        <w:adjustRightInd w:val="0"/>
        <w:snapToGrid w:val="0"/>
        <w:spacing w:line="360" w:lineRule="auto"/>
        <w:ind w:firstLine="482"/>
        <w:rPr>
          <w:rFonts w:ascii="仿宋" w:hAnsi="仿宋" w:eastAsia="仿宋"/>
          <w:sz w:val="24"/>
        </w:rPr>
      </w:pPr>
      <w:r>
        <w:rPr>
          <w:rFonts w:hint="eastAsia" w:ascii="仿宋" w:hAnsi="仿宋" w:eastAsia="仿宋"/>
          <w:sz w:val="24"/>
        </w:rPr>
        <w:t>运维管理系统是平台的后台管理系统，是在一套数据标准、开发标准的前提下，具体功能包括用户角色权限管理、功能权限、数据资源目录管理。</w:t>
      </w:r>
    </w:p>
    <w:p>
      <w:pPr>
        <w:pStyle w:val="55"/>
        <w:numPr>
          <w:ilvl w:val="0"/>
          <w:numId w:val="7"/>
        </w:numPr>
        <w:ind w:firstLineChars="0"/>
        <w:outlineLvl w:val="1"/>
        <w:rPr>
          <w:rFonts w:ascii="仿宋" w:hAnsi="仿宋" w:eastAsia="仿宋"/>
          <w:b/>
        </w:rPr>
      </w:pPr>
      <w:r>
        <w:rPr>
          <w:rFonts w:hint="eastAsia" w:ascii="仿宋" w:hAnsi="仿宋" w:eastAsia="仿宋"/>
          <w:b/>
        </w:rPr>
        <w:t>国土空间规划“一张图”实施监督信息系统</w:t>
      </w:r>
    </w:p>
    <w:p>
      <w:pPr>
        <w:adjustRightInd w:val="0"/>
        <w:snapToGrid w:val="0"/>
        <w:spacing w:line="360" w:lineRule="auto"/>
        <w:ind w:firstLine="482"/>
        <w:rPr>
          <w:rFonts w:ascii="仿宋" w:hAnsi="仿宋" w:eastAsia="仿宋"/>
          <w:sz w:val="24"/>
        </w:rPr>
      </w:pPr>
      <w:r>
        <w:rPr>
          <w:rFonts w:hint="eastAsia" w:ascii="仿宋" w:hAnsi="仿宋" w:eastAsia="仿宋"/>
          <w:sz w:val="24"/>
        </w:rPr>
        <w:t>国土空间规划“一张图”实施监督信息系统是覆盖规划编制、审查、实施、监测、评估、预警全生命周期的信息化管理系统，为实现可感知、能学习、善治理、自适应的智慧型规划提供信息化保障。系统不仅辅助规划编制部门提高规划评价和规划编制的客观性、科学性，同时也能满足自然资源主管部门的空间精细化治理需求，有效提升自然资源信息化治理水平。</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一张图应用</w:t>
      </w:r>
    </w:p>
    <w:p>
      <w:pPr>
        <w:spacing w:line="360" w:lineRule="auto"/>
        <w:ind w:firstLine="486" w:firstLineChars="200"/>
        <w:rPr>
          <w:rFonts w:ascii="仿宋" w:hAnsi="仿宋" w:eastAsia="仿宋"/>
          <w:sz w:val="24"/>
        </w:rPr>
      </w:pPr>
      <w:r>
        <w:rPr>
          <w:rFonts w:hint="eastAsia" w:ascii="仿宋" w:hAnsi="仿宋" w:eastAsia="仿宋"/>
          <w:sz w:val="24"/>
        </w:rPr>
        <w:t>基于国土空间基础数据库，</w:t>
      </w:r>
      <w:r>
        <w:rPr>
          <w:rFonts w:ascii="仿宋" w:hAnsi="仿宋" w:eastAsia="仿宋"/>
          <w:sz w:val="24"/>
        </w:rPr>
        <w:t>为国土空间规划编制、审批、修改和实施监督全周期管理提供国土空间规划“一张图”应用。</w:t>
      </w:r>
      <w:r>
        <w:rPr>
          <w:rFonts w:hint="eastAsia" w:ascii="仿宋" w:hAnsi="仿宋" w:eastAsia="仿宋"/>
          <w:sz w:val="24"/>
        </w:rPr>
        <w:t>提供资源浏览、对比分析、查询统计、专题制图、成果共享等功能。</w:t>
      </w:r>
    </w:p>
    <w:p>
      <w:pPr>
        <w:spacing w:line="360" w:lineRule="auto"/>
        <w:ind w:firstLine="486" w:firstLineChars="200"/>
        <w:rPr>
          <w:rFonts w:ascii="仿宋" w:hAnsi="仿宋" w:eastAsia="仿宋"/>
          <w:sz w:val="24"/>
        </w:rPr>
      </w:pPr>
      <w:r>
        <w:rPr>
          <w:rFonts w:hint="eastAsia" w:ascii="仿宋" w:hAnsi="仿宋" w:eastAsia="仿宋"/>
          <w:sz w:val="24"/>
        </w:rPr>
        <w:t xml:space="preserve">数据资源浏览：提供基础的数据浏览和地图操作功能，支持按照国土空间数据资源目录进行浏览、查询、定位和综合管理，提供文本、图件、说明书、书证等信息的浏览查看，满足多源数据的集成浏览展示与查询应用需求。 </w:t>
      </w:r>
    </w:p>
    <w:p>
      <w:pPr>
        <w:spacing w:line="360" w:lineRule="auto"/>
        <w:ind w:firstLine="486" w:firstLineChars="200"/>
        <w:rPr>
          <w:rFonts w:ascii="仿宋" w:hAnsi="仿宋" w:eastAsia="仿宋"/>
          <w:sz w:val="24"/>
        </w:rPr>
      </w:pPr>
      <w:r>
        <w:rPr>
          <w:rFonts w:hint="eastAsia" w:ascii="仿宋" w:hAnsi="仿宋" w:eastAsia="仿宋"/>
          <w:sz w:val="24"/>
        </w:rPr>
        <w:t xml:space="preserve">对比分析：提供对比分析功能，通过叠加分析、对比分析等手段，分析不同类别、不同层级的国土空间规划数据、现状数据和建设项目数据等不同数据之间在空间位置、数量关系、内在联系等方面的情况。 </w:t>
      </w:r>
    </w:p>
    <w:p>
      <w:pPr>
        <w:spacing w:line="360" w:lineRule="auto"/>
        <w:ind w:firstLine="486" w:firstLineChars="200"/>
        <w:rPr>
          <w:rFonts w:ascii="仿宋" w:hAnsi="仿宋" w:eastAsia="仿宋"/>
          <w:sz w:val="24"/>
        </w:rPr>
      </w:pPr>
      <w:r>
        <w:rPr>
          <w:rFonts w:hint="eastAsia" w:ascii="仿宋" w:hAnsi="仿宋" w:eastAsia="仿宋"/>
          <w:sz w:val="24"/>
        </w:rPr>
        <w:t>查询统计：提供属性筛选、空间筛选、图查数、数查图等查询方式，获得图数一体查询结果，对查询结果可按维度进行分类统计并输出统计结果。</w:t>
      </w:r>
    </w:p>
    <w:p>
      <w:pPr>
        <w:spacing w:line="360" w:lineRule="auto"/>
        <w:ind w:firstLine="486" w:firstLineChars="200"/>
        <w:rPr>
          <w:rFonts w:ascii="仿宋" w:hAnsi="仿宋" w:eastAsia="仿宋"/>
          <w:sz w:val="24"/>
        </w:rPr>
      </w:pPr>
      <w:r>
        <w:rPr>
          <w:rFonts w:hint="eastAsia" w:ascii="仿宋" w:hAnsi="仿宋" w:eastAsia="仿宋"/>
          <w:sz w:val="24"/>
        </w:rPr>
        <w:t>专题制图：以专题应用为导向，通过数据选取、数据组织、数据表现、数据组织等功能实现专题图制作与输出。</w:t>
      </w:r>
    </w:p>
    <w:p>
      <w:pPr>
        <w:spacing w:line="360" w:lineRule="auto"/>
        <w:ind w:firstLine="486" w:firstLineChars="200"/>
        <w:rPr>
          <w:rFonts w:ascii="仿宋" w:hAnsi="仿宋" w:eastAsia="仿宋"/>
          <w:sz w:val="24"/>
        </w:rPr>
      </w:pPr>
      <w:r>
        <w:rPr>
          <w:rFonts w:hint="eastAsia" w:ascii="仿宋" w:hAnsi="仿宋" w:eastAsia="仿宋"/>
          <w:sz w:val="24"/>
        </w:rPr>
        <w:t>成果共享：针对相关部门业务需求，提供标准化国土空间“一张图”数据服务和功能服务，供相关系统集成和调用，促进成果应用。</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国土空间分析评价</w:t>
      </w:r>
    </w:p>
    <w:p>
      <w:pPr>
        <w:spacing w:line="360" w:lineRule="auto"/>
        <w:ind w:firstLine="486" w:firstLineChars="200"/>
        <w:rPr>
          <w:rFonts w:ascii="仿宋" w:hAnsi="仿宋" w:eastAsia="仿宋"/>
          <w:sz w:val="24"/>
        </w:rPr>
      </w:pPr>
      <w:r>
        <w:rPr>
          <w:rFonts w:hint="eastAsia" w:ascii="仿宋" w:hAnsi="仿宋" w:eastAsia="仿宋"/>
          <w:sz w:val="24"/>
        </w:rPr>
        <w:t>以自然资源和国土空间开发利用现状数据为基础，利用相关算法、模型开展评价和评估；实现对资源环境承载能力评价、国土空间开发适宜性评价、国土空间规划实施评估和开发保护风险等评价成果的导入、与可视化呈现等。</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成果审查与管理</w:t>
      </w:r>
    </w:p>
    <w:p>
      <w:pPr>
        <w:spacing w:line="360" w:lineRule="auto"/>
        <w:ind w:firstLine="486" w:firstLineChars="200"/>
        <w:rPr>
          <w:rFonts w:ascii="仿宋" w:hAnsi="仿宋" w:eastAsia="仿宋"/>
          <w:sz w:val="24"/>
        </w:rPr>
      </w:pPr>
      <w:r>
        <w:rPr>
          <w:rFonts w:hint="eastAsia" w:ascii="仿宋" w:hAnsi="仿宋" w:eastAsia="仿宋"/>
          <w:sz w:val="24"/>
        </w:rPr>
        <w:t>按照</w:t>
      </w:r>
      <w:r>
        <w:rPr>
          <w:rFonts w:ascii="仿宋" w:hAnsi="仿宋" w:eastAsia="仿宋"/>
          <w:sz w:val="24"/>
        </w:rPr>
        <w:t>各级国土空间规划管理事权</w:t>
      </w:r>
      <w:r>
        <w:rPr>
          <w:rFonts w:hint="eastAsia" w:ascii="仿宋" w:hAnsi="仿宋" w:eastAsia="仿宋"/>
          <w:sz w:val="24"/>
        </w:rPr>
        <w:t>，提供规划成果质检、规划成果辅助审查、规划成果管理、规划成果动态更新等功能，支撑成果审查与管理。</w:t>
      </w:r>
    </w:p>
    <w:p>
      <w:pPr>
        <w:spacing w:line="360" w:lineRule="auto"/>
        <w:ind w:firstLine="486" w:firstLineChars="200"/>
        <w:rPr>
          <w:rFonts w:ascii="仿宋" w:hAnsi="仿宋" w:eastAsia="仿宋"/>
          <w:sz w:val="24"/>
        </w:rPr>
      </w:pPr>
      <w:r>
        <w:rPr>
          <w:rFonts w:hint="eastAsia" w:ascii="仿宋" w:hAnsi="仿宋" w:eastAsia="仿宋"/>
          <w:sz w:val="24"/>
        </w:rPr>
        <w:t>规划成果质检：基于统一的质检要求及细则，针对国土空间规划编制成果，提供成果质检检查工具，提供数据的完整性、规范性、空间拓扑等方面的质检检查，自动生成质检报告。</w:t>
      </w:r>
    </w:p>
    <w:p>
      <w:pPr>
        <w:spacing w:line="360" w:lineRule="auto"/>
        <w:ind w:firstLine="486" w:firstLineChars="200"/>
        <w:rPr>
          <w:rFonts w:ascii="仿宋" w:hAnsi="仿宋" w:eastAsia="仿宋"/>
          <w:sz w:val="24"/>
        </w:rPr>
      </w:pPr>
      <w:r>
        <w:rPr>
          <w:rFonts w:hint="eastAsia" w:ascii="仿宋" w:hAnsi="仿宋" w:eastAsia="仿宋"/>
          <w:sz w:val="24"/>
        </w:rPr>
        <w:t>成果辅助审查：基于审查要点与相关审查办法，针对国土空间规划编制成果。提供成果完整性审查、表述规范性审查等服务，辅助生成</w:t>
      </w:r>
      <w:r>
        <w:rPr>
          <w:rFonts w:ascii="仿宋" w:hAnsi="仿宋" w:eastAsia="仿宋"/>
          <w:sz w:val="24"/>
        </w:rPr>
        <w:t>审查报告生成。</w:t>
      </w:r>
    </w:p>
    <w:p>
      <w:pPr>
        <w:spacing w:line="360" w:lineRule="auto"/>
        <w:ind w:firstLine="486" w:firstLineChars="200"/>
        <w:rPr>
          <w:rFonts w:ascii="仿宋" w:hAnsi="仿宋" w:eastAsia="仿宋"/>
          <w:sz w:val="24"/>
        </w:rPr>
      </w:pPr>
      <w:r>
        <w:rPr>
          <w:rFonts w:hint="eastAsia" w:ascii="仿宋" w:hAnsi="仿宋" w:eastAsia="仿宋"/>
          <w:sz w:val="24"/>
        </w:rPr>
        <w:t>成果管理：支持对每个阶段的规划成果与审查意见、相关附件等进行挂接，动态建立审查任务一棵树。支持将审查通过的成果纳入国土空间规划“一张图”统一管理。</w:t>
      </w:r>
    </w:p>
    <w:p>
      <w:pPr>
        <w:spacing w:line="360" w:lineRule="auto"/>
        <w:ind w:firstLine="486" w:firstLineChars="200"/>
        <w:rPr>
          <w:rFonts w:ascii="仿宋" w:hAnsi="仿宋" w:eastAsia="仿宋"/>
          <w:sz w:val="24"/>
        </w:rPr>
      </w:pPr>
      <w:r>
        <w:rPr>
          <w:rFonts w:hint="eastAsia" w:ascii="仿宋" w:hAnsi="仿宋" w:eastAsia="仿宋"/>
          <w:sz w:val="24"/>
        </w:rPr>
        <w:t>成果动态更新：</w:t>
      </w:r>
      <w:r>
        <w:rPr>
          <w:rFonts w:ascii="仿宋" w:hAnsi="仿宋" w:eastAsia="仿宋"/>
          <w:sz w:val="24"/>
        </w:rPr>
        <w:t>对</w:t>
      </w:r>
      <w:r>
        <w:rPr>
          <w:rFonts w:hint="eastAsia" w:ascii="仿宋" w:hAnsi="仿宋" w:eastAsia="仿宋"/>
          <w:sz w:val="24"/>
        </w:rPr>
        <w:t>国土</w:t>
      </w:r>
      <w:r>
        <w:rPr>
          <w:rFonts w:ascii="仿宋" w:hAnsi="仿宋" w:eastAsia="仿宋"/>
          <w:sz w:val="24"/>
        </w:rPr>
        <w:t>空间规划实施过程中产生的规划调整或更新成果数据，逐级汇交，实现</w:t>
      </w:r>
      <w:r>
        <w:rPr>
          <w:rFonts w:hint="eastAsia" w:ascii="仿宋" w:hAnsi="仿宋" w:eastAsia="仿宋"/>
          <w:sz w:val="24"/>
        </w:rPr>
        <w:t>地（州、市）级</w:t>
      </w:r>
      <w:r>
        <w:rPr>
          <w:rFonts w:ascii="仿宋" w:hAnsi="仿宋" w:eastAsia="仿宋"/>
          <w:sz w:val="24"/>
        </w:rPr>
        <w:t>-</w:t>
      </w:r>
      <w:r>
        <w:rPr>
          <w:rFonts w:hint="eastAsia" w:ascii="仿宋" w:hAnsi="仿宋" w:eastAsia="仿宋"/>
          <w:sz w:val="24"/>
        </w:rPr>
        <w:t>县（市）级</w:t>
      </w:r>
      <w:r>
        <w:rPr>
          <w:rFonts w:ascii="仿宋" w:hAnsi="仿宋" w:eastAsia="仿宋"/>
          <w:sz w:val="24"/>
        </w:rPr>
        <w:t>-</w:t>
      </w:r>
      <w:r>
        <w:rPr>
          <w:rFonts w:hint="eastAsia" w:ascii="仿宋" w:hAnsi="仿宋" w:eastAsia="仿宋"/>
          <w:sz w:val="24"/>
        </w:rPr>
        <w:t>乡镇级</w:t>
      </w:r>
      <w:r>
        <w:rPr>
          <w:rFonts w:ascii="仿宋" w:hAnsi="仿宋" w:eastAsia="仿宋"/>
          <w:sz w:val="24"/>
        </w:rPr>
        <w:t>国土空间规划成果的同步更新。</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国土空间规划实施监督</w:t>
      </w:r>
    </w:p>
    <w:p>
      <w:pPr>
        <w:spacing w:line="360" w:lineRule="auto"/>
        <w:ind w:firstLine="486" w:firstLineChars="200"/>
        <w:rPr>
          <w:rFonts w:ascii="仿宋" w:hAnsi="仿宋" w:eastAsia="仿宋"/>
          <w:sz w:val="24"/>
        </w:rPr>
      </w:pPr>
      <w:r>
        <w:rPr>
          <w:rFonts w:hint="eastAsia" w:ascii="仿宋" w:hAnsi="仿宋" w:eastAsia="仿宋"/>
          <w:sz w:val="24"/>
        </w:rPr>
        <w:t>在国土空间规划实施监督管理过程中，提供监测评估预警、资源环境承载能力监测预警、国土空间规划全过程强制留痕等应用功能，支撑责任部门监督落实主体责任，辅助管理者决策。</w:t>
      </w:r>
    </w:p>
    <w:p>
      <w:pPr>
        <w:spacing w:line="360" w:lineRule="auto"/>
        <w:ind w:firstLine="486" w:firstLineChars="200"/>
        <w:rPr>
          <w:rFonts w:ascii="仿宋" w:hAnsi="仿宋" w:eastAsia="仿宋"/>
          <w:sz w:val="24"/>
        </w:rPr>
      </w:pPr>
      <w:r>
        <w:rPr>
          <w:rFonts w:hint="eastAsia" w:ascii="仿宋" w:hAnsi="仿宋" w:eastAsia="仿宋"/>
          <w:sz w:val="24"/>
        </w:rPr>
        <w:t>监测评估预警：构建针对克州市重要控制线和重点区域的监测预警指标体系以及现状评估指标体系，在此基础上提供长期、动态、及时的指标监测预警能力和定期评估能力。</w:t>
      </w:r>
    </w:p>
    <w:p>
      <w:pPr>
        <w:spacing w:line="360" w:lineRule="auto"/>
        <w:ind w:firstLine="486" w:firstLineChars="200"/>
        <w:rPr>
          <w:rFonts w:ascii="仿宋" w:hAnsi="仿宋" w:eastAsia="仿宋"/>
          <w:sz w:val="24"/>
        </w:rPr>
      </w:pPr>
      <w:r>
        <w:rPr>
          <w:rFonts w:hint="eastAsia" w:ascii="仿宋" w:hAnsi="仿宋" w:eastAsia="仿宋"/>
          <w:sz w:val="24"/>
        </w:rPr>
        <w:t>资源环境承载力监测预警：为满足资源环境承载能力监测预警智能分析和动态可视化展现的需求，整合集成或接入有关部门资源环境承载能力监测预警相关数据，提供对资源环境承载能力的综合监管、动态评估和决策支持功能，推动资源环境承载能力监测预警规范化、常态化、制度化。</w:t>
      </w:r>
    </w:p>
    <w:p>
      <w:pPr>
        <w:spacing w:line="360" w:lineRule="auto"/>
        <w:ind w:firstLine="486" w:firstLineChars="200"/>
        <w:rPr>
          <w:rFonts w:ascii="仿宋" w:hAnsi="仿宋" w:eastAsia="仿宋"/>
          <w:sz w:val="24"/>
        </w:rPr>
      </w:pPr>
      <w:r>
        <w:rPr>
          <w:rFonts w:hint="eastAsia" w:ascii="仿宋" w:hAnsi="仿宋" w:eastAsia="仿宋"/>
          <w:sz w:val="24"/>
        </w:rPr>
        <w:t>国土空间规划全过程管理：</w:t>
      </w:r>
      <w:r>
        <w:rPr>
          <w:rFonts w:ascii="仿宋" w:hAnsi="仿宋" w:eastAsia="仿宋"/>
          <w:sz w:val="24"/>
        </w:rPr>
        <w:t>按照国土空间规划编制、审批、修改和实施监督全过程留痕制度要求，确保规划管理行为全过程可回溯、可查询。</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指标模型管理</w:t>
      </w:r>
    </w:p>
    <w:p>
      <w:pPr>
        <w:spacing w:line="360" w:lineRule="auto"/>
        <w:ind w:firstLine="486" w:firstLineChars="200"/>
        <w:rPr>
          <w:rFonts w:ascii="仿宋" w:hAnsi="仿宋" w:eastAsia="仿宋"/>
          <w:sz w:val="24"/>
        </w:rPr>
      </w:pPr>
      <w:r>
        <w:rPr>
          <w:rFonts w:hint="eastAsia" w:ascii="仿宋" w:hAnsi="仿宋" w:eastAsia="仿宋"/>
          <w:sz w:val="24"/>
        </w:rPr>
        <w:t>建设国土空间规划指标模型管理应用，实现国土空间规划编制、审批、修改、实施监督全过程中指标和模型的可视化管理。</w:t>
      </w:r>
    </w:p>
    <w:p>
      <w:pPr>
        <w:spacing w:line="360" w:lineRule="auto"/>
        <w:ind w:firstLine="486" w:firstLineChars="200"/>
        <w:rPr>
          <w:rFonts w:ascii="仿宋" w:hAnsi="仿宋" w:eastAsia="仿宋"/>
          <w:sz w:val="24"/>
        </w:rPr>
      </w:pPr>
      <w:r>
        <w:rPr>
          <w:rFonts w:hint="eastAsia" w:ascii="仿宋" w:hAnsi="仿宋" w:eastAsia="仿宋"/>
          <w:b/>
          <w:sz w:val="24"/>
        </w:rPr>
        <w:t>指标管理</w:t>
      </w:r>
      <w:r>
        <w:rPr>
          <w:rFonts w:hint="eastAsia" w:ascii="仿宋" w:hAnsi="仿宋" w:eastAsia="仿宋"/>
          <w:sz w:val="24"/>
        </w:rPr>
        <w:t>：提供指标的增删改、指标体系设置、指标值管理等管理能力，实现对指标的快速操作与更新维护，便于指标库的快速操作、更新维护以及指标的动态调整。</w:t>
      </w:r>
    </w:p>
    <w:p>
      <w:pPr>
        <w:spacing w:line="360" w:lineRule="auto"/>
        <w:ind w:firstLine="486" w:firstLineChars="200"/>
        <w:rPr>
          <w:rFonts w:ascii="仿宋" w:hAnsi="仿宋" w:eastAsia="仿宋"/>
          <w:sz w:val="24"/>
        </w:rPr>
      </w:pPr>
      <w:r>
        <w:rPr>
          <w:rFonts w:hint="eastAsia" w:ascii="仿宋" w:hAnsi="仿宋" w:eastAsia="仿宋"/>
          <w:b/>
          <w:sz w:val="24"/>
        </w:rPr>
        <w:t>模型管理</w:t>
      </w:r>
      <w:r>
        <w:rPr>
          <w:rFonts w:hint="eastAsia" w:ascii="仿宋" w:hAnsi="仿宋" w:eastAsia="仿宋"/>
          <w:sz w:val="24"/>
        </w:rPr>
        <w:t>：面向系统的指标监测、现状评估、分析评价等应用，提供对应规则模型的管理能力，支持模型的扩展与更新。</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社会公众服务</w:t>
      </w:r>
    </w:p>
    <w:p>
      <w:pPr>
        <w:spacing w:line="360" w:lineRule="auto"/>
        <w:ind w:firstLine="486" w:firstLineChars="200"/>
        <w:rPr>
          <w:rFonts w:ascii="仿宋" w:hAnsi="仿宋" w:eastAsia="仿宋"/>
          <w:sz w:val="24"/>
        </w:rPr>
      </w:pPr>
      <w:r>
        <w:rPr>
          <w:rFonts w:hint="eastAsia" w:ascii="仿宋" w:hAnsi="仿宋" w:eastAsia="仿宋"/>
          <w:sz w:val="24"/>
        </w:rPr>
        <w:t>面向社会公众，提供国土空间总体规划的公开公示、意见征询、公共监督应用，促进规划公众参与。</w:t>
      </w:r>
    </w:p>
    <w:p>
      <w:pPr>
        <w:spacing w:line="360" w:lineRule="auto"/>
        <w:ind w:firstLine="486" w:firstLineChars="200"/>
        <w:rPr>
          <w:rFonts w:ascii="仿宋" w:hAnsi="仿宋" w:eastAsia="仿宋"/>
          <w:sz w:val="24"/>
        </w:rPr>
      </w:pPr>
      <w:r>
        <w:rPr>
          <w:rFonts w:hint="eastAsia" w:ascii="仿宋" w:hAnsi="仿宋" w:eastAsia="仿宋"/>
          <w:sz w:val="24"/>
        </w:rPr>
        <w:t>公开公示：建立场景式服务专栏，便于社会公众进行规划信息浏览。</w:t>
      </w:r>
    </w:p>
    <w:p>
      <w:pPr>
        <w:spacing w:line="360" w:lineRule="auto"/>
        <w:ind w:firstLine="486" w:firstLineChars="200"/>
        <w:rPr>
          <w:rFonts w:ascii="仿宋" w:hAnsi="仿宋" w:eastAsia="仿宋"/>
          <w:sz w:val="24"/>
        </w:rPr>
      </w:pPr>
      <w:r>
        <w:rPr>
          <w:rFonts w:hint="eastAsia" w:ascii="仿宋" w:hAnsi="仿宋" w:eastAsia="仿宋"/>
          <w:sz w:val="24"/>
        </w:rPr>
        <w:t>意见征询：针对国土空间规划成果设立意见征询专题，支持意见填写和意见的反馈，汇集各专题的所有意见信息。</w:t>
      </w:r>
    </w:p>
    <w:p>
      <w:pPr>
        <w:spacing w:line="360" w:lineRule="auto"/>
        <w:ind w:firstLine="486" w:firstLineChars="200"/>
        <w:rPr>
          <w:rFonts w:ascii="仿宋" w:hAnsi="仿宋" w:eastAsia="仿宋"/>
          <w:sz w:val="24"/>
        </w:rPr>
      </w:pPr>
      <w:r>
        <w:rPr>
          <w:rFonts w:hint="eastAsia" w:ascii="仿宋" w:hAnsi="仿宋" w:eastAsia="仿宋"/>
          <w:sz w:val="24"/>
        </w:rPr>
        <w:t>公众监督：提供</w:t>
      </w:r>
      <w:r>
        <w:rPr>
          <w:rFonts w:ascii="仿宋" w:hAnsi="仿宋" w:eastAsia="仿宋"/>
          <w:sz w:val="24"/>
        </w:rPr>
        <w:t>社会公众留言、违规举报功能，接受群众监督；提供意见回复填写功能。</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辅助审批</w:t>
      </w:r>
    </w:p>
    <w:p>
      <w:pPr>
        <w:spacing w:line="360" w:lineRule="auto"/>
        <w:ind w:firstLine="486" w:firstLineChars="200"/>
        <w:rPr>
          <w:rFonts w:ascii="仿宋" w:hAnsi="仿宋" w:eastAsia="仿宋"/>
          <w:sz w:val="24"/>
        </w:rPr>
      </w:pPr>
      <w:r>
        <w:rPr>
          <w:rFonts w:hint="eastAsia" w:ascii="仿宋" w:hAnsi="仿宋" w:eastAsia="仿宋"/>
          <w:sz w:val="24"/>
        </w:rPr>
        <w:t>该模块面向国土空间规划实施过程中的项目审批工作，提供辅助选址、合规性审查等功能，同时向其他业务系统提供审查服务支撑。</w:t>
      </w:r>
    </w:p>
    <w:p>
      <w:pPr>
        <w:spacing w:line="360" w:lineRule="auto"/>
        <w:ind w:firstLine="486" w:firstLineChars="200"/>
        <w:rPr>
          <w:rFonts w:ascii="仿宋" w:hAnsi="仿宋" w:eastAsia="仿宋"/>
          <w:sz w:val="24"/>
        </w:rPr>
      </w:pPr>
      <w:r>
        <w:rPr>
          <w:rFonts w:hint="eastAsia" w:ascii="仿宋" w:hAnsi="仿宋" w:eastAsia="仿宋"/>
          <w:sz w:val="24"/>
        </w:rPr>
        <w:t>辅助项目选址：设计项目选址模型，可基于用户的具体选址要求，计算出最佳的选址位置，提高项目选址的科学性。</w:t>
      </w:r>
    </w:p>
    <w:p>
      <w:pPr>
        <w:spacing w:line="360" w:lineRule="auto"/>
        <w:ind w:firstLine="486" w:firstLineChars="200"/>
        <w:rPr>
          <w:rFonts w:ascii="仿宋" w:hAnsi="仿宋" w:eastAsia="仿宋"/>
          <w:sz w:val="24"/>
        </w:rPr>
      </w:pPr>
      <w:r>
        <w:rPr>
          <w:rFonts w:hint="eastAsia" w:ascii="仿宋" w:hAnsi="仿宋" w:eastAsia="仿宋"/>
          <w:sz w:val="24"/>
        </w:rPr>
        <w:t>合规性审查：基于各类国土空间规划成果，对所有建设提供空间上及指标上的合规性审查能力，为项目的用地预审等审批工作提供支撑。</w:t>
      </w:r>
    </w:p>
    <w:p>
      <w:pPr>
        <w:spacing w:line="360" w:lineRule="auto"/>
        <w:ind w:firstLine="486" w:firstLineChars="200"/>
        <w:rPr>
          <w:rFonts w:ascii="仿宋" w:hAnsi="仿宋" w:eastAsia="仿宋"/>
          <w:sz w:val="24"/>
        </w:rPr>
      </w:pPr>
      <w:r>
        <w:rPr>
          <w:rFonts w:hint="eastAsia" w:ascii="仿宋" w:hAnsi="仿宋" w:eastAsia="仿宋"/>
          <w:sz w:val="24"/>
        </w:rPr>
        <w:t>项目审批工具箱：统一业务表单，统一分析处理工具，优化集成多种离散小工具和小程序，实现工具的统一管理，辅助项目审批，提高业务办理效率。</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项目全生命周期管控</w:t>
      </w:r>
    </w:p>
    <w:p>
      <w:pPr>
        <w:spacing w:line="360" w:lineRule="auto"/>
        <w:ind w:firstLine="486" w:firstLineChars="200"/>
        <w:rPr>
          <w:rFonts w:ascii="仿宋" w:hAnsi="仿宋" w:eastAsia="仿宋"/>
          <w:sz w:val="24"/>
        </w:rPr>
      </w:pPr>
      <w:r>
        <w:rPr>
          <w:rFonts w:hint="eastAsia" w:ascii="仿宋" w:hAnsi="仿宋" w:eastAsia="仿宋"/>
          <w:sz w:val="24"/>
        </w:rPr>
        <w:t>以项目为核心，以地块为锚点，构建项目全生命周期管理模型，串联项目审批过程中的各类信息，实现项目全生命周期管控。时间维度贯穿预审及选址、用地报批、土地供应、工程许可、竣工验收等环节项目建设时序。</w:t>
      </w:r>
    </w:p>
    <w:p>
      <w:pPr>
        <w:pStyle w:val="55"/>
        <w:numPr>
          <w:ilvl w:val="0"/>
          <w:numId w:val="9"/>
        </w:numPr>
        <w:adjustRightInd w:val="0"/>
        <w:snapToGrid w:val="0"/>
        <w:ind w:firstLineChars="0"/>
        <w:outlineLvl w:val="2"/>
        <w:rPr>
          <w:rFonts w:ascii="仿宋" w:hAnsi="仿宋" w:eastAsia="仿宋"/>
          <w:b/>
        </w:rPr>
      </w:pPr>
      <w:r>
        <w:rPr>
          <w:rFonts w:hint="eastAsia" w:ascii="仿宋" w:hAnsi="仿宋" w:eastAsia="仿宋"/>
          <w:b/>
        </w:rPr>
        <w:t>实施监督信息采集与管理</w:t>
      </w:r>
    </w:p>
    <w:p>
      <w:pPr>
        <w:spacing w:line="360" w:lineRule="auto"/>
        <w:ind w:firstLine="486" w:firstLineChars="200"/>
        <w:rPr>
          <w:rFonts w:ascii="仿宋" w:hAnsi="仿宋" w:eastAsia="仿宋"/>
          <w:szCs w:val="28"/>
        </w:rPr>
      </w:pPr>
      <w:r>
        <w:rPr>
          <w:rFonts w:hint="eastAsia" w:ascii="仿宋" w:hAnsi="仿宋" w:eastAsia="仿宋"/>
          <w:sz w:val="24"/>
        </w:rPr>
        <w:t>在现场踏勘、执法监督等规划实施监督工作中，提供对现场空间位置、图片等信息的采集与管理，采集的信息可纳入一张图中进行查看、共享与应用</w:t>
      </w:r>
      <w:r>
        <w:rPr>
          <w:rFonts w:hint="eastAsia" w:ascii="仿宋" w:hAnsi="仿宋" w:eastAsia="仿宋"/>
          <w:szCs w:val="28"/>
        </w:rPr>
        <w:t>。</w:t>
      </w:r>
    </w:p>
    <w:p>
      <w:pPr>
        <w:pStyle w:val="55"/>
        <w:numPr>
          <w:ilvl w:val="0"/>
          <w:numId w:val="7"/>
        </w:numPr>
        <w:ind w:firstLineChars="0"/>
        <w:outlineLvl w:val="1"/>
        <w:rPr>
          <w:rFonts w:ascii="仿宋" w:hAnsi="仿宋" w:eastAsia="仿宋"/>
          <w:b/>
        </w:rPr>
      </w:pPr>
      <w:r>
        <w:rPr>
          <w:rFonts w:hint="eastAsia" w:ascii="仿宋" w:hAnsi="仿宋" w:eastAsia="仿宋"/>
          <w:b/>
        </w:rPr>
        <w:t>移动应用系统</w:t>
      </w:r>
    </w:p>
    <w:p>
      <w:pPr>
        <w:spacing w:line="360" w:lineRule="auto"/>
        <w:ind w:firstLine="486" w:firstLineChars="200"/>
        <w:rPr>
          <w:rFonts w:ascii="仿宋" w:hAnsi="仿宋" w:eastAsia="仿宋"/>
          <w:sz w:val="24"/>
        </w:rPr>
      </w:pPr>
      <w:r>
        <w:rPr>
          <w:rFonts w:hint="eastAsia" w:ascii="仿宋" w:hAnsi="仿宋" w:eastAsia="仿宋"/>
          <w:sz w:val="24"/>
        </w:rPr>
        <w:t>对接克孜勒苏柯尔克孜自治州国土空间基础信息平台，建设移动应用系统。以国土空间基础数据库为支撑，提供数据资源浏览、数据查询与分析、现场信息的动态标绘、对比分析、局办通讯录等功能，为业务管理部门提供统一的智能、高效、便捷的移动终端应用，有效支撑克州市自然资源和规划业务管理工作。</w:t>
      </w:r>
    </w:p>
    <w:p>
      <w:pPr>
        <w:pStyle w:val="55"/>
        <w:numPr>
          <w:ilvl w:val="0"/>
          <w:numId w:val="7"/>
        </w:numPr>
        <w:ind w:firstLineChars="0"/>
        <w:outlineLvl w:val="1"/>
        <w:rPr>
          <w:rFonts w:ascii="仿宋" w:hAnsi="仿宋" w:eastAsia="仿宋"/>
          <w:b/>
        </w:rPr>
      </w:pPr>
      <w:r>
        <w:rPr>
          <w:rFonts w:hint="eastAsia" w:ascii="仿宋" w:hAnsi="仿宋" w:eastAsia="仿宋"/>
          <w:b/>
        </w:rPr>
        <w:t>系统对接</w:t>
      </w:r>
    </w:p>
    <w:p>
      <w:pPr>
        <w:spacing w:line="360" w:lineRule="auto"/>
        <w:ind w:firstLine="486" w:firstLineChars="200"/>
        <w:rPr>
          <w:rFonts w:ascii="仿宋" w:hAnsi="仿宋" w:eastAsia="仿宋"/>
          <w:sz w:val="24"/>
        </w:rPr>
      </w:pPr>
      <w:r>
        <w:rPr>
          <w:rFonts w:hint="eastAsia" w:ascii="仿宋" w:hAnsi="仿宋" w:eastAsia="仿宋"/>
          <w:sz w:val="24"/>
        </w:rPr>
        <w:t>根据实际工作需要，在本次项目建设中，对接口进行扩展建设，</w:t>
      </w:r>
      <w:r>
        <w:rPr>
          <w:rFonts w:ascii="仿宋" w:hAnsi="仿宋" w:eastAsia="仿宋"/>
          <w:sz w:val="24"/>
        </w:rPr>
        <w:t>保障自治州自然资源局的</w:t>
      </w:r>
      <w:r>
        <w:rPr>
          <w:rFonts w:hint="eastAsia" w:ascii="仿宋" w:hAnsi="仿宋" w:eastAsia="仿宋"/>
          <w:sz w:val="24"/>
        </w:rPr>
        <w:t>国土空间数据</w:t>
      </w:r>
      <w:r>
        <w:rPr>
          <w:rFonts w:ascii="仿宋" w:hAnsi="仿宋" w:eastAsia="仿宋"/>
          <w:sz w:val="24"/>
        </w:rPr>
        <w:t>能按时向上汇交至自治区自然资源厅，确保</w:t>
      </w:r>
      <w:r>
        <w:rPr>
          <w:rFonts w:hint="eastAsia" w:ascii="仿宋" w:hAnsi="仿宋" w:eastAsia="仿宋"/>
          <w:sz w:val="24"/>
        </w:rPr>
        <w:t>县（市）</w:t>
      </w:r>
      <w:r>
        <w:rPr>
          <w:rFonts w:ascii="仿宋" w:hAnsi="仿宋" w:eastAsia="仿宋"/>
          <w:sz w:val="24"/>
        </w:rPr>
        <w:t>自然资源局能</w:t>
      </w:r>
      <w:r>
        <w:rPr>
          <w:rFonts w:hint="eastAsia" w:ascii="仿宋" w:hAnsi="仿宋" w:eastAsia="仿宋"/>
          <w:sz w:val="24"/>
        </w:rPr>
        <w:t>够访问</w:t>
      </w:r>
      <w:r>
        <w:rPr>
          <w:rFonts w:ascii="仿宋" w:hAnsi="仿宋" w:eastAsia="仿宋"/>
          <w:sz w:val="24"/>
        </w:rPr>
        <w:t>和录入</w:t>
      </w:r>
      <w:r>
        <w:rPr>
          <w:rFonts w:hint="eastAsia" w:ascii="仿宋" w:hAnsi="仿宋" w:eastAsia="仿宋"/>
          <w:sz w:val="24"/>
        </w:rPr>
        <w:t>数据</w:t>
      </w:r>
      <w:r>
        <w:rPr>
          <w:rFonts w:ascii="仿宋" w:hAnsi="仿宋" w:eastAsia="仿宋"/>
          <w:sz w:val="24"/>
        </w:rPr>
        <w:t>到克州国土</w:t>
      </w:r>
      <w:r>
        <w:rPr>
          <w:rFonts w:hint="eastAsia" w:ascii="仿宋" w:hAnsi="仿宋" w:eastAsia="仿宋"/>
          <w:sz w:val="24"/>
        </w:rPr>
        <w:t>空间</w:t>
      </w:r>
      <w:r>
        <w:rPr>
          <w:rFonts w:ascii="仿宋" w:hAnsi="仿宋" w:eastAsia="仿宋"/>
          <w:sz w:val="24"/>
        </w:rPr>
        <w:t>基础信息平合和</w:t>
      </w:r>
      <w:r>
        <w:rPr>
          <w:rFonts w:hint="eastAsia" w:ascii="仿宋" w:hAnsi="仿宋" w:eastAsia="仿宋"/>
          <w:sz w:val="24"/>
        </w:rPr>
        <w:t>国土空间</w:t>
      </w:r>
      <w:r>
        <w:rPr>
          <w:rFonts w:ascii="仿宋" w:hAnsi="仿宋" w:eastAsia="仿宋"/>
          <w:sz w:val="24"/>
        </w:rPr>
        <w:t>规划“一张图”实施监督信息系统。</w:t>
      </w:r>
    </w:p>
    <w:p>
      <w:pPr>
        <w:spacing w:line="360" w:lineRule="auto"/>
        <w:ind w:firstLine="486" w:firstLineChars="200"/>
        <w:rPr>
          <w:rFonts w:ascii="仿宋" w:hAnsi="仿宋" w:eastAsia="仿宋"/>
          <w:sz w:val="24"/>
        </w:rPr>
      </w:pPr>
      <w:r>
        <w:rPr>
          <w:rFonts w:hint="eastAsia" w:ascii="仿宋" w:hAnsi="仿宋" w:eastAsia="仿宋"/>
          <w:sz w:val="24"/>
        </w:rPr>
        <w:t>预留</w:t>
      </w:r>
      <w:r>
        <w:rPr>
          <w:rFonts w:ascii="仿宋" w:hAnsi="仿宋" w:eastAsia="仿宋"/>
          <w:sz w:val="24"/>
        </w:rPr>
        <w:t>公用网接口</w:t>
      </w:r>
      <w:r>
        <w:rPr>
          <w:rFonts w:hint="eastAsia" w:ascii="仿宋" w:hAnsi="仿宋" w:eastAsia="仿宋"/>
          <w:sz w:val="24"/>
        </w:rPr>
        <w:t>。</w:t>
      </w:r>
    </w:p>
    <w:p>
      <w:pPr>
        <w:pStyle w:val="3"/>
        <w:numPr>
          <w:ilvl w:val="0"/>
          <w:numId w:val="6"/>
        </w:numPr>
        <w:spacing w:line="360" w:lineRule="auto"/>
        <w:ind w:left="0" w:firstLine="0"/>
        <w:rPr>
          <w:rFonts w:ascii="黑体" w:hAnsi="黑体" w:eastAsia="黑体" w:cstheme="minorBidi"/>
          <w:sz w:val="28"/>
          <w:szCs w:val="28"/>
        </w:rPr>
      </w:pPr>
      <w:bookmarkStart w:id="144" w:name="_Toc18577723"/>
      <w:bookmarkEnd w:id="144"/>
      <w:bookmarkStart w:id="145" w:name="_Toc18577725"/>
      <w:bookmarkEnd w:id="145"/>
      <w:bookmarkStart w:id="146" w:name="_Toc18577724"/>
      <w:bookmarkEnd w:id="146"/>
      <w:r>
        <w:rPr>
          <w:rFonts w:hint="eastAsia" w:ascii="黑体" w:hAnsi="黑体" w:eastAsia="黑体" w:cstheme="minorBidi"/>
          <w:sz w:val="28"/>
          <w:szCs w:val="28"/>
        </w:rPr>
        <w:t>其他要求</w:t>
      </w:r>
    </w:p>
    <w:p>
      <w:pPr>
        <w:spacing w:line="360" w:lineRule="auto"/>
        <w:outlineLvl w:val="1"/>
        <w:rPr>
          <w:rFonts w:ascii="仿宋" w:hAnsi="仿宋" w:eastAsia="仿宋"/>
          <w:b/>
          <w:sz w:val="24"/>
        </w:rPr>
      </w:pPr>
      <w:r>
        <w:rPr>
          <w:rFonts w:ascii="仿宋" w:hAnsi="仿宋" w:eastAsia="仿宋"/>
          <w:b/>
          <w:sz w:val="24"/>
        </w:rPr>
        <w:t>1</w:t>
      </w:r>
      <w:r>
        <w:rPr>
          <w:rFonts w:hint="eastAsia" w:ascii="仿宋" w:hAnsi="仿宋" w:eastAsia="仿宋"/>
          <w:b/>
          <w:sz w:val="24"/>
        </w:rPr>
        <w:t>.实施保障</w:t>
      </w:r>
    </w:p>
    <w:p>
      <w:pPr>
        <w:spacing w:line="360" w:lineRule="auto"/>
        <w:ind w:firstLine="486" w:firstLineChars="200"/>
        <w:rPr>
          <w:rFonts w:ascii="仿宋" w:hAnsi="仿宋" w:eastAsia="仿宋"/>
          <w:sz w:val="24"/>
        </w:rPr>
      </w:pPr>
      <w:r>
        <w:rPr>
          <w:rFonts w:hint="eastAsia" w:ascii="仿宋" w:hAnsi="仿宋" w:eastAsia="仿宋"/>
          <w:sz w:val="24"/>
        </w:rPr>
        <w:t>（1）投标单位在项目实施过程中，投标单位应根据本项目要求组织一支由资深项目经理带领的经验丰富、平台开发和运维能力强的项目团队，并确保在系统调研、分析设计、开发测试和培训实施等各个阶段项目团队的稳定性，且项目经理、项目技术负责人、其他项目组主要实施人员，未经采购人同意原则上不能更换，且须进行现场实施和技术保障工作。</w:t>
      </w:r>
    </w:p>
    <w:p>
      <w:pPr>
        <w:spacing w:line="360" w:lineRule="auto"/>
        <w:ind w:firstLine="486" w:firstLineChars="200"/>
        <w:rPr>
          <w:rFonts w:ascii="仿宋" w:hAnsi="仿宋" w:eastAsia="仿宋"/>
          <w:sz w:val="24"/>
        </w:rPr>
      </w:pPr>
      <w:r>
        <w:rPr>
          <w:rFonts w:hint="eastAsia" w:ascii="仿宋" w:hAnsi="仿宋" w:eastAsia="仿宋"/>
          <w:sz w:val="24"/>
        </w:rPr>
        <w:t>（2）投标单位严格按照用户需求进行软件的开发，采购单位有关技术人员、最终用户全程参与整个项目的实施过程，开发过程中将定期举行项目开发会议，分析控制项目进度完成情况、遇到的问题以及解决措施。</w:t>
      </w:r>
    </w:p>
    <w:p>
      <w:pPr>
        <w:spacing w:line="360" w:lineRule="auto"/>
        <w:ind w:firstLine="486" w:firstLineChars="200"/>
        <w:rPr>
          <w:rFonts w:ascii="仿宋" w:hAnsi="仿宋" w:eastAsia="仿宋"/>
          <w:sz w:val="24"/>
        </w:rPr>
      </w:pPr>
      <w:r>
        <w:rPr>
          <w:rFonts w:hint="eastAsia" w:ascii="仿宋" w:hAnsi="仿宋" w:eastAsia="仿宋"/>
          <w:sz w:val="24"/>
        </w:rPr>
        <w:t>（3）本项目与外部系统对接时，业主方负责协调各外部系统建设单位，配合提供本项目实施所需的资源、服务支持。</w:t>
      </w:r>
    </w:p>
    <w:p>
      <w:pPr>
        <w:spacing w:line="360" w:lineRule="auto"/>
        <w:outlineLvl w:val="1"/>
        <w:rPr>
          <w:rFonts w:ascii="仿宋" w:hAnsi="仿宋" w:eastAsia="仿宋"/>
          <w:b/>
          <w:sz w:val="24"/>
        </w:rPr>
      </w:pPr>
      <w:r>
        <w:rPr>
          <w:rFonts w:ascii="仿宋" w:hAnsi="仿宋" w:eastAsia="仿宋"/>
          <w:b/>
          <w:sz w:val="24"/>
        </w:rPr>
        <w:t>2</w:t>
      </w:r>
      <w:r>
        <w:rPr>
          <w:rFonts w:hint="eastAsia" w:ascii="仿宋" w:hAnsi="仿宋" w:eastAsia="仿宋"/>
          <w:b/>
          <w:sz w:val="24"/>
        </w:rPr>
        <w:t>.质量保证</w:t>
      </w:r>
    </w:p>
    <w:p>
      <w:pPr>
        <w:spacing w:line="360" w:lineRule="auto"/>
        <w:ind w:firstLine="486" w:firstLineChars="200"/>
        <w:rPr>
          <w:rFonts w:ascii="仿宋" w:hAnsi="仿宋" w:eastAsia="仿宋"/>
          <w:sz w:val="24"/>
        </w:rPr>
      </w:pPr>
      <w:r>
        <w:rPr>
          <w:rFonts w:hint="eastAsia" w:ascii="仿宋" w:hAnsi="仿宋" w:eastAsia="仿宋"/>
          <w:sz w:val="24"/>
        </w:rPr>
        <w:t>（1）投标单位须保证所提供产品符合国家有关规定。投标单位须保证所提供产品具有合法的版权或使用权，本项目采购的产品，如在本项目范围内使用过程中出现版权或使用权纠纷，应由投标单位负责，采购人不承担责任。</w:t>
      </w:r>
    </w:p>
    <w:p>
      <w:pPr>
        <w:spacing w:line="360" w:lineRule="auto"/>
        <w:ind w:firstLine="486" w:firstLineChars="200"/>
        <w:rPr>
          <w:rFonts w:ascii="仿宋" w:hAnsi="仿宋" w:eastAsia="仿宋"/>
          <w:sz w:val="24"/>
        </w:rPr>
      </w:pPr>
      <w:r>
        <w:rPr>
          <w:rFonts w:hint="eastAsia" w:ascii="仿宋" w:hAnsi="仿宋" w:eastAsia="仿宋"/>
          <w:sz w:val="24"/>
        </w:rPr>
        <w:t>（2）投标单位必须保证解决项目所涉及的技术问题，如因技术原因无法满足采购人需求，由此产生的风险由投标单位承担。</w:t>
      </w:r>
    </w:p>
    <w:p>
      <w:pPr>
        <w:spacing w:line="360" w:lineRule="auto"/>
        <w:ind w:firstLine="486" w:firstLineChars="200"/>
        <w:rPr>
          <w:rFonts w:ascii="仿宋" w:hAnsi="仿宋" w:eastAsia="仿宋"/>
          <w:sz w:val="24"/>
        </w:rPr>
      </w:pPr>
      <w:r>
        <w:rPr>
          <w:rFonts w:hint="eastAsia" w:ascii="仿宋" w:hAnsi="仿宋" w:eastAsia="仿宋"/>
          <w:sz w:val="24"/>
        </w:rPr>
        <w:t>（3）免费维保期：自项目验收合格之日起一年，免费维保期内投标单位应根据项目实际情况，保证提供7×24技术支持服务。</w:t>
      </w:r>
    </w:p>
    <w:p>
      <w:pPr>
        <w:spacing w:line="360" w:lineRule="auto"/>
        <w:outlineLvl w:val="1"/>
        <w:rPr>
          <w:rFonts w:ascii="仿宋" w:hAnsi="仿宋" w:eastAsia="仿宋"/>
          <w:b/>
          <w:sz w:val="24"/>
        </w:rPr>
      </w:pPr>
      <w:r>
        <w:rPr>
          <w:rFonts w:ascii="仿宋" w:hAnsi="仿宋" w:eastAsia="仿宋"/>
          <w:b/>
          <w:sz w:val="24"/>
        </w:rPr>
        <w:t>3</w:t>
      </w:r>
      <w:r>
        <w:rPr>
          <w:rFonts w:hint="eastAsia" w:ascii="仿宋" w:hAnsi="仿宋" w:eastAsia="仿宋"/>
          <w:b/>
          <w:sz w:val="24"/>
        </w:rPr>
        <w:t>.可用性要求</w:t>
      </w:r>
    </w:p>
    <w:p>
      <w:pPr>
        <w:spacing w:line="360" w:lineRule="auto"/>
        <w:ind w:firstLine="486" w:firstLineChars="200"/>
        <w:rPr>
          <w:rFonts w:ascii="仿宋" w:hAnsi="仿宋" w:eastAsia="仿宋"/>
          <w:sz w:val="24"/>
        </w:rPr>
      </w:pPr>
      <w:r>
        <w:rPr>
          <w:rFonts w:hint="eastAsia" w:ascii="仿宋" w:hAnsi="仿宋" w:eastAsia="仿宋"/>
          <w:sz w:val="24"/>
        </w:rPr>
        <w:t>满足高可用性，确保7*24小时不间断工作。</w:t>
      </w:r>
    </w:p>
    <w:p>
      <w:pPr>
        <w:spacing w:line="360" w:lineRule="auto"/>
        <w:outlineLvl w:val="1"/>
        <w:rPr>
          <w:rFonts w:ascii="仿宋" w:hAnsi="仿宋" w:eastAsia="仿宋"/>
          <w:b/>
          <w:sz w:val="24"/>
        </w:rPr>
      </w:pPr>
      <w:r>
        <w:rPr>
          <w:rFonts w:ascii="仿宋" w:hAnsi="仿宋" w:eastAsia="仿宋"/>
          <w:b/>
          <w:sz w:val="24"/>
        </w:rPr>
        <w:t>4</w:t>
      </w:r>
      <w:r>
        <w:rPr>
          <w:rFonts w:hint="eastAsia" w:ascii="仿宋" w:hAnsi="仿宋" w:eastAsia="仿宋"/>
          <w:b/>
          <w:sz w:val="24"/>
        </w:rPr>
        <w:t>.数据库安全要求</w:t>
      </w:r>
    </w:p>
    <w:p>
      <w:pPr>
        <w:spacing w:line="360" w:lineRule="auto"/>
        <w:ind w:firstLine="486" w:firstLineChars="200"/>
        <w:rPr>
          <w:rFonts w:ascii="仿宋" w:hAnsi="仿宋" w:eastAsia="仿宋"/>
          <w:sz w:val="24"/>
        </w:rPr>
      </w:pPr>
      <w:r>
        <w:rPr>
          <w:rFonts w:hint="eastAsia" w:ascii="仿宋" w:hAnsi="仿宋" w:eastAsia="仿宋"/>
          <w:sz w:val="24"/>
        </w:rPr>
        <w:t>数据库安全是指数据库的任何部分都不允许收到恶意侵害或未经授权的存取或修改，主要需要从保密性、完整性、可用性三个方面来保障数据库安全，主要要面对信息泄露、非法的数据修改和拒绝服务等可能存在的安全威胁做好预先防御工作。</w:t>
      </w:r>
    </w:p>
    <w:p>
      <w:pPr>
        <w:spacing w:line="360" w:lineRule="auto"/>
        <w:outlineLvl w:val="1"/>
        <w:rPr>
          <w:rFonts w:ascii="仿宋" w:hAnsi="仿宋" w:eastAsia="仿宋"/>
          <w:b/>
          <w:sz w:val="24"/>
        </w:rPr>
      </w:pPr>
      <w:r>
        <w:rPr>
          <w:rFonts w:ascii="仿宋" w:hAnsi="仿宋" w:eastAsia="仿宋"/>
          <w:b/>
          <w:sz w:val="24"/>
        </w:rPr>
        <w:t>5</w:t>
      </w:r>
      <w:r>
        <w:rPr>
          <w:rFonts w:hint="eastAsia" w:ascii="仿宋" w:hAnsi="仿宋" w:eastAsia="仿宋"/>
          <w:b/>
          <w:sz w:val="24"/>
        </w:rPr>
        <w:t>.应用层安全需求</w:t>
      </w:r>
    </w:p>
    <w:p>
      <w:pPr>
        <w:spacing w:line="360" w:lineRule="auto"/>
        <w:ind w:firstLine="486" w:firstLineChars="200"/>
        <w:rPr>
          <w:rFonts w:ascii="仿宋" w:hAnsi="仿宋" w:eastAsia="仿宋"/>
          <w:sz w:val="24"/>
        </w:rPr>
      </w:pPr>
      <w:r>
        <w:rPr>
          <w:rFonts w:hint="eastAsia" w:ascii="仿宋" w:hAnsi="仿宋" w:eastAsia="仿宋"/>
          <w:sz w:val="24"/>
        </w:rPr>
        <w:t>计算机系统和系统中的信息存在一定的脆弱性，面对各种人为的、非人为的、恶意的、非恶意的、内部的或外部的威胁，计算机系统中的信息在使用、传输、存储、很容易被干扰、滥用、丢失、泄露、窃取、篡改和破坏。本项目中存在很多重要的基础数据、业务数据和管理信息，因此必须遵循国家有关计算机信息系统的安全规定，建立严格、有效、完善的安全保护机制，确保平台及数据使用安全。</w:t>
      </w:r>
    </w:p>
    <w:p>
      <w:pPr>
        <w:spacing w:line="360" w:lineRule="auto"/>
        <w:outlineLvl w:val="1"/>
        <w:rPr>
          <w:rFonts w:ascii="仿宋" w:hAnsi="仿宋" w:eastAsia="仿宋"/>
          <w:b/>
          <w:sz w:val="24"/>
        </w:rPr>
      </w:pPr>
      <w:r>
        <w:rPr>
          <w:rFonts w:ascii="仿宋" w:hAnsi="仿宋" w:eastAsia="仿宋"/>
          <w:b/>
          <w:sz w:val="24"/>
        </w:rPr>
        <w:t>7.</w:t>
      </w:r>
      <w:r>
        <w:rPr>
          <w:rFonts w:hint="eastAsia" w:ascii="仿宋" w:hAnsi="仿宋" w:eastAsia="仿宋"/>
          <w:b/>
          <w:sz w:val="24"/>
        </w:rPr>
        <w:t>项目成果要求</w:t>
      </w:r>
    </w:p>
    <w:p>
      <w:pPr>
        <w:spacing w:line="360" w:lineRule="auto"/>
        <w:ind w:firstLine="486" w:firstLineChars="200"/>
        <w:rPr>
          <w:rFonts w:ascii="仿宋" w:hAnsi="仿宋" w:eastAsia="仿宋"/>
          <w:sz w:val="24"/>
        </w:rPr>
      </w:pPr>
      <w:r>
        <w:rPr>
          <w:rFonts w:hint="eastAsia" w:ascii="仿宋" w:hAnsi="仿宋" w:eastAsia="仿宋"/>
          <w:sz w:val="24"/>
        </w:rPr>
        <w:t>本项目完成后预期取得的成果以系统成果、文档成果等形式表现。</w:t>
      </w:r>
    </w:p>
    <w:p>
      <w:pPr>
        <w:pStyle w:val="55"/>
        <w:numPr>
          <w:ilvl w:val="0"/>
          <w:numId w:val="10"/>
        </w:numPr>
        <w:ind w:firstLineChars="0"/>
        <w:rPr>
          <w:rFonts w:ascii="仿宋" w:hAnsi="仿宋" w:eastAsia="仿宋"/>
        </w:rPr>
      </w:pPr>
      <w:r>
        <w:rPr>
          <w:rFonts w:hint="eastAsia" w:ascii="仿宋" w:hAnsi="仿宋" w:eastAsia="仿宋"/>
        </w:rPr>
        <w:t>标准规范成果</w:t>
      </w:r>
    </w:p>
    <w:p>
      <w:pPr>
        <w:spacing w:line="360" w:lineRule="auto"/>
        <w:ind w:firstLine="486" w:firstLineChars="200"/>
        <w:rPr>
          <w:rFonts w:ascii="仿宋" w:hAnsi="仿宋" w:eastAsia="仿宋"/>
          <w:sz w:val="24"/>
        </w:rPr>
      </w:pPr>
      <w:r>
        <w:rPr>
          <w:rFonts w:hint="eastAsia" w:ascii="仿宋" w:hAnsi="仿宋" w:eastAsia="仿宋"/>
          <w:sz w:val="24"/>
        </w:rPr>
        <w:t>标准规范成果提供平台管理及运行整套标准。</w:t>
      </w:r>
    </w:p>
    <w:p>
      <w:pPr>
        <w:pStyle w:val="55"/>
        <w:numPr>
          <w:ilvl w:val="0"/>
          <w:numId w:val="10"/>
        </w:numPr>
        <w:ind w:firstLineChars="0"/>
        <w:rPr>
          <w:rFonts w:ascii="仿宋" w:hAnsi="仿宋" w:eastAsia="仿宋"/>
        </w:rPr>
      </w:pPr>
      <w:r>
        <w:rPr>
          <w:rFonts w:ascii="仿宋" w:hAnsi="仿宋" w:eastAsia="仿宋"/>
        </w:rPr>
        <w:t>数据成果</w:t>
      </w:r>
    </w:p>
    <w:p>
      <w:pPr>
        <w:spacing w:line="360" w:lineRule="auto"/>
        <w:ind w:firstLine="486" w:firstLineChars="200"/>
        <w:rPr>
          <w:rFonts w:ascii="仿宋" w:hAnsi="仿宋" w:eastAsia="仿宋"/>
          <w:sz w:val="24"/>
        </w:rPr>
      </w:pPr>
      <w:r>
        <w:rPr>
          <w:rFonts w:hint="eastAsia" w:ascii="仿宋" w:hAnsi="仿宋" w:eastAsia="仿宋"/>
          <w:sz w:val="24"/>
        </w:rPr>
        <w:t>数据成果主要指克州市国土空间数据资源库，包含国土空间现状数据库、规划数据库、管理数据库等，成果满足国土空间规划信息化平台配套标准规范要求，并能为平台功能应用与数据共享提供基础支撑。</w:t>
      </w:r>
    </w:p>
    <w:p>
      <w:pPr>
        <w:pStyle w:val="55"/>
        <w:numPr>
          <w:ilvl w:val="0"/>
          <w:numId w:val="10"/>
        </w:numPr>
        <w:ind w:firstLineChars="0"/>
        <w:rPr>
          <w:rFonts w:ascii="仿宋" w:hAnsi="仿宋" w:eastAsia="仿宋"/>
        </w:rPr>
      </w:pPr>
      <w:r>
        <w:rPr>
          <w:rFonts w:hint="eastAsia" w:ascii="仿宋" w:hAnsi="仿宋" w:eastAsia="仿宋"/>
        </w:rPr>
        <w:t>系统成果</w:t>
      </w:r>
    </w:p>
    <w:p>
      <w:pPr>
        <w:spacing w:line="360" w:lineRule="auto"/>
        <w:ind w:firstLine="486" w:firstLineChars="200"/>
        <w:rPr>
          <w:rFonts w:ascii="仿宋" w:hAnsi="仿宋" w:eastAsia="仿宋"/>
          <w:sz w:val="24"/>
        </w:rPr>
      </w:pPr>
      <w:r>
        <w:rPr>
          <w:rFonts w:hint="eastAsia" w:ascii="仿宋" w:hAnsi="仿宋" w:eastAsia="仿宋"/>
          <w:sz w:val="24"/>
        </w:rPr>
        <w:t>系统成果主要指国土空间基础信息平台、“一张图”实施监督信息系统、移动应用系统。</w:t>
      </w:r>
    </w:p>
    <w:p>
      <w:pPr>
        <w:spacing w:line="360" w:lineRule="auto"/>
        <w:ind w:firstLine="486" w:firstLineChars="200"/>
        <w:rPr>
          <w:rFonts w:ascii="仿宋" w:hAnsi="仿宋" w:eastAsia="仿宋"/>
          <w:sz w:val="24"/>
        </w:rPr>
      </w:pPr>
      <w:r>
        <w:rPr>
          <w:rFonts w:hint="eastAsia" w:ascii="仿宋" w:hAnsi="仿宋" w:eastAsia="仿宋"/>
          <w:sz w:val="24"/>
        </w:rPr>
        <w:t>其中国土空间基础信息平台软件包含如下功能模块成果：平台门户、一张图展示中心、应用中心、资源中心、下载中心等。国土空间规划“一张图”实施监督信息系统包含如下功能模块成果：一张图应用、国土空间分析评价、成果审查与管理、国土空间规划实施监督、指标模型管理、社会公众服务。移动应用系统包含如下功能：基础地图、图层管理、信息查询、对比分析、动态标绘等。</w:t>
      </w:r>
    </w:p>
    <w:p>
      <w:pPr>
        <w:spacing w:line="360" w:lineRule="auto"/>
        <w:ind w:firstLine="486"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）文档成果</w:t>
      </w:r>
    </w:p>
    <w:p>
      <w:pPr>
        <w:spacing w:line="360" w:lineRule="auto"/>
        <w:ind w:firstLine="486" w:firstLineChars="200"/>
        <w:rPr>
          <w:rFonts w:ascii="仿宋" w:hAnsi="仿宋" w:eastAsia="仿宋"/>
          <w:sz w:val="24"/>
        </w:rPr>
      </w:pPr>
      <w:r>
        <w:rPr>
          <w:rFonts w:hint="eastAsia" w:ascii="仿宋" w:hAnsi="仿宋" w:eastAsia="仿宋"/>
          <w:sz w:val="24"/>
        </w:rPr>
        <w:t>提供完整的软件安装、操作、使用、测试、部署和维护手册，能够满足业主单位信息化团队、后续售后运维团队、用户等不同角色的知识转移的要求，主要包括以下内容：需求规格说明书、系统设计说明书、系统部署手册、系统维护手册、用户使用手册、技术总结等。</w:t>
      </w:r>
    </w:p>
    <w:p>
      <w:pPr>
        <w:spacing w:line="360" w:lineRule="auto"/>
        <w:outlineLvl w:val="1"/>
        <w:rPr>
          <w:rFonts w:ascii="仿宋" w:hAnsi="仿宋" w:eastAsia="仿宋"/>
          <w:b/>
          <w:sz w:val="24"/>
        </w:rPr>
      </w:pPr>
      <w:r>
        <w:rPr>
          <w:rFonts w:hint="eastAsia" w:ascii="仿宋" w:hAnsi="仿宋" w:eastAsia="仿宋"/>
          <w:b/>
          <w:sz w:val="24"/>
        </w:rPr>
        <w:t>8</w:t>
      </w:r>
      <w:r>
        <w:rPr>
          <w:rFonts w:ascii="仿宋" w:hAnsi="仿宋" w:eastAsia="仿宋"/>
          <w:b/>
          <w:sz w:val="24"/>
        </w:rPr>
        <w:t>.</w:t>
      </w:r>
      <w:r>
        <w:rPr>
          <w:rFonts w:hint="eastAsia" w:ascii="仿宋" w:hAnsi="仿宋" w:eastAsia="仿宋"/>
          <w:b/>
          <w:sz w:val="24"/>
        </w:rPr>
        <w:t>建设工期要求</w:t>
      </w:r>
    </w:p>
    <w:p>
      <w:pPr>
        <w:spacing w:line="360" w:lineRule="auto"/>
        <w:ind w:firstLine="486" w:firstLineChars="200"/>
        <w:rPr>
          <w:rFonts w:ascii="仿宋" w:hAnsi="仿宋" w:eastAsia="仿宋"/>
          <w:sz w:val="24"/>
        </w:rPr>
      </w:pPr>
      <w:r>
        <w:rPr>
          <w:rFonts w:hint="eastAsia" w:ascii="仿宋" w:hAnsi="仿宋" w:eastAsia="仿宋"/>
          <w:sz w:val="24"/>
        </w:rPr>
        <w:t>本项目拟定建设期限为3个月。</w:t>
      </w:r>
    </w:p>
    <w:p>
      <w:pPr>
        <w:spacing w:line="360" w:lineRule="auto"/>
        <w:outlineLvl w:val="1"/>
        <w:rPr>
          <w:rFonts w:ascii="仿宋" w:hAnsi="仿宋" w:eastAsia="仿宋"/>
          <w:b/>
          <w:sz w:val="24"/>
        </w:rPr>
      </w:pPr>
      <w:r>
        <w:rPr>
          <w:rFonts w:hint="eastAsia" w:ascii="仿宋" w:hAnsi="仿宋" w:eastAsia="仿宋"/>
          <w:b/>
          <w:sz w:val="24"/>
        </w:rPr>
        <w:t>9</w:t>
      </w:r>
      <w:r>
        <w:rPr>
          <w:rFonts w:ascii="仿宋" w:hAnsi="仿宋" w:eastAsia="仿宋"/>
          <w:b/>
          <w:sz w:val="24"/>
        </w:rPr>
        <w:t>.</w:t>
      </w:r>
      <w:r>
        <w:rPr>
          <w:rFonts w:hint="eastAsia" w:ascii="仿宋" w:hAnsi="仿宋" w:eastAsia="仿宋"/>
          <w:b/>
          <w:sz w:val="24"/>
        </w:rPr>
        <w:t>验收条件</w:t>
      </w:r>
    </w:p>
    <w:p>
      <w:pPr>
        <w:spacing w:line="360" w:lineRule="auto"/>
        <w:ind w:firstLine="486" w:firstLineChars="200"/>
        <w:rPr>
          <w:rFonts w:ascii="仿宋" w:hAnsi="仿宋" w:eastAsia="仿宋"/>
          <w:sz w:val="24"/>
        </w:rPr>
      </w:pPr>
      <w:r>
        <w:rPr>
          <w:rFonts w:hint="eastAsia" w:ascii="仿宋" w:hAnsi="仿宋" w:eastAsia="仿宋"/>
          <w:sz w:val="24"/>
        </w:rPr>
        <w:t>投标单位需提供已完成的相关服务内容的完整书面资料，并按国家相关规定标准验收。</w:t>
      </w:r>
    </w:p>
    <w:p>
      <w:pPr>
        <w:pageBreakBefore/>
        <w:spacing w:line="440" w:lineRule="exact"/>
        <w:jc w:val="center"/>
        <w:outlineLvl w:val="0"/>
        <w:rPr>
          <w:rFonts w:ascii="黑体" w:eastAsia="黑体"/>
          <w:sz w:val="30"/>
          <w:szCs w:val="30"/>
        </w:rPr>
      </w:pPr>
      <w:r>
        <w:rPr>
          <w:rFonts w:hint="eastAsia" w:ascii="黑体" w:eastAsia="黑体"/>
          <w:sz w:val="30"/>
          <w:szCs w:val="30"/>
        </w:rPr>
        <w:t>第五章 合同条款及格式</w:t>
      </w:r>
      <w:bookmarkEnd w:id="143"/>
      <w:bookmarkStart w:id="147" w:name="_Toc20669"/>
    </w:p>
    <w:p>
      <w:pPr>
        <w:spacing w:line="480" w:lineRule="exact"/>
        <w:jc w:val="center"/>
        <w:outlineLvl w:val="1"/>
        <w:rPr>
          <w:rFonts w:ascii="宋体" w:hAnsi="宋体" w:cs="宋体"/>
          <w:szCs w:val="21"/>
          <w:highlight w:val="none"/>
        </w:rPr>
      </w:pPr>
      <w:bookmarkStart w:id="148" w:name="_Toc111210558"/>
      <w:bookmarkStart w:id="149" w:name="_Toc111210762"/>
      <w:bookmarkStart w:id="150" w:name="_Toc111210335"/>
      <w:r>
        <w:rPr>
          <w:rFonts w:hint="eastAsia" w:ascii="宋体" w:hAnsi="宋体" w:cs="宋体"/>
          <w:szCs w:val="21"/>
          <w:highlight w:val="none"/>
        </w:rPr>
        <w:t>（本合同为合同样稿，最终稿由供需双方协商后确定）</w:t>
      </w:r>
      <w:bookmarkEnd w:id="147"/>
      <w:bookmarkEnd w:id="148"/>
      <w:bookmarkEnd w:id="149"/>
      <w:bookmarkEnd w:id="150"/>
    </w:p>
    <w:p>
      <w:pPr>
        <w:tabs>
          <w:tab w:val="left" w:pos="5580"/>
        </w:tabs>
        <w:spacing w:line="500" w:lineRule="atLeast"/>
        <w:rPr>
          <w:rFonts w:ascii="宋体" w:hAnsi="宋体" w:cs="宋体"/>
          <w:color w:val="FF0000"/>
          <w:sz w:val="24"/>
        </w:rPr>
      </w:pPr>
    </w:p>
    <w:p>
      <w:pPr>
        <w:tabs>
          <w:tab w:val="left" w:pos="5580"/>
        </w:tabs>
        <w:spacing w:line="500" w:lineRule="atLeast"/>
        <w:ind w:firstLine="642" w:firstLineChars="177"/>
        <w:jc w:val="center"/>
        <w:rPr>
          <w:rFonts w:ascii="宋体" w:hAnsi="宋体" w:cs="宋体"/>
          <w:b/>
          <w:bCs/>
          <w:color w:val="auto"/>
          <w:sz w:val="36"/>
          <w:szCs w:val="36"/>
        </w:rPr>
      </w:pPr>
      <w:r>
        <w:rPr>
          <w:rFonts w:hint="eastAsia" w:ascii="宋体" w:hAnsi="宋体" w:cs="宋体"/>
          <w:b/>
          <w:bCs/>
          <w:color w:val="auto"/>
          <w:sz w:val="36"/>
          <w:szCs w:val="36"/>
        </w:rPr>
        <w:t>政府采购合同</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项目名称：克州国土空间规划信息化建设项目（克州国土基础信息平台和国土空间规划“一张图”实施监督信息系统、国土空间数据整理、测试运行、运维）</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项目编号：</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甲方：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地址：</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电话：</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传真：</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乙方：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地址：</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电话：</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传真：</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根据《中华人民共和国民法典》和《中华人民共和国政府采购法》等有关法律法规，为明确采购单位（甲方）和供应单位（乙方）购销过程中的权利、义务和经济责任，双方遵循平等、自愿、公平和诚实信用原则，经友好协商，同意按照下面的条款和条件订立本合同，以资共同遵守。</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一、定义</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以下术语有特定的含义：</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服务是指根据合同规定乙方应承担克州国土空间规划信息化建设项目（克州国土基础信息平台和国土空间规划“一张图”实施监督信息系统、国土空间数据整理、测试运行、运维） 等工作和合同中规定乙方应承担的其它义务。</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合同价款是指根据成交单位的响应文件和合同规定，乙方在正确地履行合同义务后甲方应支付给乙方的价款。</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甲方是指合同中明确规定的实际购买和接受服务的单位。</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乙方是指合同中规定的提供服务的单位。</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损失是指合同一方因不履行合同义务而导致另一方及第三方的各种损失的费用，还包括守约方为减轻损失或维护权利而需支付的各种调查费用、车旅费用、律师费用等。</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二、合同项目及期限</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2.1乙方负责克州国土空间规划信息化建设项目（克州国土基础信息平台和国土空间规划“一张图”实施监督信息系统、国土空间数据整理、测试运行、运维）的服务工作。</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2.2服务期限：</w:t>
      </w:r>
      <w:r>
        <w:rPr>
          <w:rFonts w:ascii="宋体" w:hAnsi="宋体" w:cs="宋体"/>
          <w:color w:val="auto"/>
          <w:sz w:val="24"/>
        </w:rPr>
        <w:t>3</w:t>
      </w:r>
      <w:r>
        <w:rPr>
          <w:rFonts w:hint="eastAsia" w:ascii="宋体" w:hAnsi="宋体" w:cs="宋体"/>
          <w:color w:val="auto"/>
          <w:sz w:val="24"/>
        </w:rPr>
        <w:t>个月。</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2.3服务地点：根据甲方指定地点。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三、合同总价款：大写人民币</w:t>
      </w:r>
      <w:r>
        <w:rPr>
          <w:rFonts w:hint="eastAsia" w:ascii="宋体" w:hAnsi="宋体" w:cs="宋体"/>
          <w:color w:val="auto"/>
          <w:sz w:val="24"/>
          <w:u w:val="single"/>
        </w:rPr>
        <w:t xml:space="preserve">           </w:t>
      </w:r>
      <w:r>
        <w:rPr>
          <w:rFonts w:hint="eastAsia" w:ascii="宋体" w:hAnsi="宋体" w:cs="宋体"/>
          <w:color w:val="auto"/>
          <w:sz w:val="24"/>
        </w:rPr>
        <w:t>元整，小写￥</w:t>
      </w:r>
      <w:r>
        <w:rPr>
          <w:rFonts w:hint="eastAsia" w:ascii="宋体" w:hAnsi="宋体" w:cs="宋体"/>
          <w:color w:val="auto"/>
          <w:sz w:val="24"/>
          <w:u w:val="single"/>
        </w:rPr>
        <w:t xml:space="preserve">                  </w:t>
      </w:r>
      <w:r>
        <w:rPr>
          <w:rFonts w:hint="eastAsia" w:ascii="宋体" w:hAnsi="宋体" w:cs="宋体"/>
          <w:color w:val="auto"/>
          <w:sz w:val="24"/>
        </w:rPr>
        <w:t>。合同总价款包括在承包期内综合服务的需要的服务管理内容、各类人员的工资、加班费、服装、福利、意外险、高温费、节假日补贴以及国家规定的社会保险、管理费、人员培训费、通讯、服装、胸卡、各种税费、保险、劳保、利润、税金、政策性文件规定及合同包含的所有风险、责任等各项应有费用。</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四、付款方式</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1.付款步骤：</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（1）于2023年</w:t>
      </w:r>
      <w:r>
        <w:rPr>
          <w:rFonts w:ascii="宋体" w:hAnsi="宋体" w:cs="宋体"/>
          <w:color w:val="auto"/>
          <w:sz w:val="24"/>
        </w:rPr>
        <w:t>12</w:t>
      </w:r>
      <w:r>
        <w:rPr>
          <w:rFonts w:hint="eastAsia" w:ascii="宋体" w:hAnsi="宋体" w:cs="宋体"/>
          <w:color w:val="auto"/>
          <w:sz w:val="24"/>
        </w:rPr>
        <w:t>月</w:t>
      </w:r>
      <w:r>
        <w:rPr>
          <w:rFonts w:ascii="宋体" w:hAnsi="宋体" w:cs="宋体"/>
          <w:color w:val="auto"/>
          <w:sz w:val="24"/>
        </w:rPr>
        <w:t>31</w:t>
      </w:r>
      <w:r>
        <w:rPr>
          <w:rFonts w:hint="eastAsia" w:ascii="宋体" w:hAnsi="宋体" w:cs="宋体"/>
          <w:color w:val="auto"/>
          <w:sz w:val="24"/>
        </w:rPr>
        <w:t>日前，甲方向乙方支付合同金额40%的款项。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（2）于202</w:t>
      </w:r>
      <w:r>
        <w:rPr>
          <w:rFonts w:ascii="宋体" w:hAnsi="宋体" w:cs="宋体"/>
          <w:color w:val="auto"/>
          <w:sz w:val="24"/>
        </w:rPr>
        <w:t>4</w:t>
      </w:r>
      <w:r>
        <w:rPr>
          <w:rFonts w:hint="eastAsia" w:ascii="宋体" w:hAnsi="宋体" w:cs="宋体"/>
          <w:color w:val="auto"/>
          <w:sz w:val="24"/>
        </w:rPr>
        <w:t>年</w:t>
      </w:r>
      <w:r>
        <w:rPr>
          <w:rFonts w:ascii="宋体" w:hAnsi="宋体" w:cs="宋体"/>
          <w:color w:val="auto"/>
          <w:sz w:val="24"/>
        </w:rPr>
        <w:t>12</w:t>
      </w:r>
      <w:r>
        <w:rPr>
          <w:rFonts w:hint="eastAsia" w:ascii="宋体" w:hAnsi="宋体" w:cs="宋体"/>
          <w:color w:val="auto"/>
          <w:sz w:val="24"/>
        </w:rPr>
        <w:t>月</w:t>
      </w:r>
      <w:r>
        <w:rPr>
          <w:rFonts w:ascii="宋体" w:hAnsi="宋体" w:cs="宋体"/>
          <w:color w:val="auto"/>
          <w:sz w:val="24"/>
        </w:rPr>
        <w:t>31</w:t>
      </w:r>
      <w:r>
        <w:rPr>
          <w:rFonts w:hint="eastAsia" w:ascii="宋体" w:hAnsi="宋体" w:cs="宋体"/>
          <w:color w:val="auto"/>
          <w:sz w:val="24"/>
        </w:rPr>
        <w:t>日前，甲方向乙方支付合同金额40%的款项。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（3）于202</w:t>
      </w:r>
      <w:r>
        <w:rPr>
          <w:rFonts w:ascii="宋体" w:hAnsi="宋体" w:cs="宋体"/>
          <w:color w:val="auto"/>
          <w:sz w:val="24"/>
        </w:rPr>
        <w:t>5</w:t>
      </w:r>
      <w:r>
        <w:rPr>
          <w:rFonts w:hint="eastAsia" w:ascii="宋体" w:hAnsi="宋体" w:cs="宋体"/>
          <w:color w:val="auto"/>
          <w:sz w:val="24"/>
        </w:rPr>
        <w:t>年</w:t>
      </w:r>
      <w:r>
        <w:rPr>
          <w:rFonts w:ascii="宋体" w:hAnsi="宋体" w:cs="宋体"/>
          <w:color w:val="auto"/>
          <w:sz w:val="24"/>
        </w:rPr>
        <w:t>12</w:t>
      </w:r>
      <w:r>
        <w:rPr>
          <w:rFonts w:hint="eastAsia" w:ascii="宋体" w:hAnsi="宋体" w:cs="宋体"/>
          <w:color w:val="auto"/>
          <w:sz w:val="24"/>
        </w:rPr>
        <w:t>月</w:t>
      </w:r>
      <w:r>
        <w:rPr>
          <w:rFonts w:ascii="宋体" w:hAnsi="宋体" w:cs="宋体"/>
          <w:color w:val="auto"/>
          <w:sz w:val="24"/>
        </w:rPr>
        <w:t>31</w:t>
      </w:r>
      <w:r>
        <w:rPr>
          <w:rFonts w:hint="eastAsia" w:ascii="宋体" w:hAnsi="宋体" w:cs="宋体"/>
          <w:color w:val="auto"/>
          <w:sz w:val="24"/>
        </w:rPr>
        <w:t>日前，甲方向乙方支付合同金额40%的款项。如乙方存在违约行为或系统存在严重问题，甲方有权就损失及违约金，直接从余款中予以折抵，不足部分甲方有权要求乙方予以赔偿。</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）在签订合同时，乙方明确表示无需预付款或者主动要求降低预付款比例的，甲方可不适用上述关于预付款的规定。</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2.根据国家现行税法对甲方征收的与本合同有关的税费均由甲方承担；根据国家现行税法对乙方征收的与本合同有关的一切税费均由乙方承担。如乙方在履约过程中产生额外的收益，归甲方所有。</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3.账户信息</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乙方开户名称：</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开户银行：</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银行账号：</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五、甲、乙双方的责任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1.甲方责任：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1.1依本合同约定按期支付合同款项；</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1.2依本合同约定及时组织验收；</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1.3协助乙方进行项目的相关协调工作及约定期限内提供相关资料以利于开展项目。</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2.乙方责任：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乙方负责完成本次采购要求的全部服务工作，乙方应按采购文件以及合同约定的技术规范、标准进行实施，并保证按期、保质保量完成项目的实施工作，对提交的项目质量负责。</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六、违约责任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1.甲方违约责任：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1.1在合同生效后，甲方无故要求解除合同的，应向乙方偿付合同总价款5%的违约金，违约金不足以补偿损失的，乙方有权要求甲方补足。</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1.2甲方逾期付款的应按照逾期付款金额的每天万分之四支付逾期付款违约金，总额不超总价款的5%。</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2.乙方的违约责任：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2.1 在合同生效后，乙方无故要求解除合同的，应向甲方偿付合同总价款5%的违约金，违约金不足以补偿损失的，甲方有权要求乙方补足。</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2.2乙方未按合同规定的质量要求提供服务，不能完成合同时，甲方有权解除合同，乙方向甲方偿付合同总价款5%的违约金，违约金不足以补偿损失的甲方有权要求乙方补足。</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2.3乙方必须自己完成合同内容，不得自行分包，否则，甲方有权按乙方不能完成合同处理。</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2.4乙方应执行国家有关规定（如苏州最低工资标准和其他规定），负责乙方员工的生病、事故、伤残、死亡和劳务纠纷，甲方不承担任何相关责任。</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2.5乙方负有对自己员工的安全责任，甲方不承担任何相关责任。</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七、不可抗力</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1.如果乙方和甲方因不可抗力而导致合同实施延误或不能履行合同义务，不应该承担误期赔偿或不能履行合同义务的责任。因乙方或甲方先延误或不能履行合同而后遇不可抗力的情形除外。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2.本条所述的“不可抗力”系指那些双方无法控制，不可预见的事件，但不包括双方的违约或疏忽。这些事件包括但不限于：战争、严重火灾、洪水、台风、地震以及其它双方商定的事件。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3.在不可抗力事件发生后，当事方应在十五日内以书面形式将不可抗力的情况和原因通知对方。双方应尽实际可能继续履行合同义务，并积极寻求采取合理的方案履行不受不可抗力影响的其他事项。双方应通过友好协商在合理的时间内达成进一步履行合同的协议。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八、争端的解决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1.甲方和乙方应通过友好协商，解决在执行本合同过程中所发生的或与本合同有关的一切争端。如从协商开始十天内仍不能解决，可向有关合同管理部门提请调解。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2.如果调解不成，双方中的任何一方可向人民法院提起诉讼。诉讼由合同签订地人民法院管辖。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3.诉讼费由败诉方负担。</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4.因合同部分履行引发诉讼的，在诉讼期间，除正在进行诉讼的部分外，本合同的其它部分应继续执行。</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九、违约终止合同</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1.在甲方因乙方违约而按合同约定采取的任何补救措施不受影响的情况下，甲方可在下列情况下向乙方发出书面通知，提出终止部分或全部合同。</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1.1 如果乙方未能在合同规定的限期或甲方同意延长的限期内提供部分或全部服务。</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1.2 如果乙方未能履行合同规定的其它任何义务。</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1.3 如果乙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损害甲方的利益，包括响应单位之间串通，人为地使采购活动丧失竞争性，损害甲方所能获得的权益。</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2.如果甲方根据以上的规定，终止了全部或部分合同，甲方可以依其认为适当的条件和方法购买与未提供服务类似的服务，乙方应对购买类似服务所超出的那部分费用负责。并且，乙方应继续履行合同中未终止的部分。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3.如果甲方违约，应承担相应的违约责任。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十、破产终止合同：如果乙方破产或丧失清偿能力，甲方可在任何时候以书面形式通知乙方终止合同而不给乙方补偿。该终止合同将不损害或影响甲方已经采取或将要采取任何补救措施的权力。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十一、政府采购法对政府采购合同变更终止的规定：政府采购合同的双方当事人（指甲乙双方）不得擅自变更、中止或者终止合同。政府采购合同继续履行将损害国家利益和社会公共利益的，双方当事人应当变更、中止或者终止合同。有过错的一方应当承担赔偿责任，双方都有过错的，各自承担相应的责任。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十二、合同转让和分包：本项目不得转让和分包。</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十三、需要补充的合同条款：（根据评审过程中或者商务谈判时商定的条款和条件在订立合同时标明）。</w:t>
      </w:r>
    </w:p>
    <w:p>
      <w:pPr>
        <w:tabs>
          <w:tab w:val="left" w:pos="5580"/>
        </w:tabs>
        <w:spacing w:line="500" w:lineRule="atLeast"/>
        <w:ind w:firstLine="429" w:firstLineChars="177"/>
        <w:rPr>
          <w:rFonts w:ascii="宋体" w:hAnsi="宋体" w:cs="宋体"/>
          <w:color w:val="auto"/>
          <w:sz w:val="24"/>
        </w:rPr>
      </w:pPr>
      <w:r>
        <w:rPr>
          <w:rFonts w:ascii="宋体" w:hAnsi="宋体" w:cs="宋体"/>
          <w:color w:val="auto"/>
          <w:sz w:val="24"/>
        </w:rPr>
        <w:t xml:space="preserve">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十四、合同生效</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1.双方签约人为各自法定代表人或被授权代表。</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2.本合同系指本文件及其附件中的所有部分，采购文件、成交单位的响应文件、成交通知书、成交单位在采购过程中的澄清和承诺等为本合同不可缺少的组成部分。</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3.本合同自甲乙双方签字盖章之日起生效。</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4.本合同壹式伍份，甲乙双方各执贰份，采购代理机构执壹份，各份具有同等法律效力。</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5.本合同应按照中华人民共和国的现行法律进行解释。</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6.合同修改：除甲乙双方签署书面修改、补充协议，并成为本合同不可分割的一部分之外，本合同条件不得有任何变化或修改。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甲方（公章）：                                      乙方（公章）：</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法定代表人或授权代表（签字或盖章）：                法定代表人或授权代表（签字或盖章）： </w:t>
      </w: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 xml:space="preserve">签约日期：                                          签约日期： </w:t>
      </w:r>
    </w:p>
    <w:p>
      <w:pPr>
        <w:tabs>
          <w:tab w:val="left" w:pos="5580"/>
        </w:tabs>
        <w:spacing w:line="500" w:lineRule="atLeast"/>
        <w:ind w:firstLine="429" w:firstLineChars="177"/>
        <w:rPr>
          <w:rFonts w:ascii="宋体" w:hAnsi="宋体" w:cs="宋体"/>
          <w:color w:val="auto"/>
          <w:sz w:val="24"/>
        </w:rPr>
      </w:pPr>
    </w:p>
    <w:p>
      <w:pPr>
        <w:tabs>
          <w:tab w:val="left" w:pos="5580"/>
        </w:tabs>
        <w:spacing w:line="500" w:lineRule="atLeast"/>
        <w:ind w:firstLine="429" w:firstLineChars="177"/>
        <w:rPr>
          <w:rFonts w:ascii="宋体" w:hAnsi="宋体" w:cs="宋体"/>
          <w:color w:val="auto"/>
          <w:sz w:val="24"/>
        </w:rPr>
      </w:pPr>
      <w:r>
        <w:rPr>
          <w:rFonts w:hint="eastAsia" w:ascii="宋体" w:hAnsi="宋体" w:cs="宋体"/>
          <w:color w:val="auto"/>
          <w:sz w:val="24"/>
        </w:rPr>
        <w:t>合同签定地：</w:t>
      </w:r>
      <w:bookmarkStart w:id="151" w:name="_Toc111210560"/>
      <w:bookmarkStart w:id="152" w:name="_Toc111210764"/>
    </w:p>
    <w:p>
      <w:pPr>
        <w:spacing w:line="600" w:lineRule="exact"/>
        <w:jc w:val="center"/>
        <w:outlineLvl w:val="1"/>
        <w:rPr>
          <w:rFonts w:ascii="黑体" w:eastAsia="黑体"/>
          <w:b/>
          <w:color w:val="auto"/>
          <w:sz w:val="24"/>
        </w:rPr>
      </w:pPr>
    </w:p>
    <w:p>
      <w:pPr>
        <w:spacing w:line="600" w:lineRule="exact"/>
        <w:jc w:val="center"/>
        <w:outlineLvl w:val="1"/>
        <w:rPr>
          <w:rFonts w:ascii="黑体" w:eastAsia="黑体"/>
          <w:b/>
          <w:color w:val="auto"/>
          <w:sz w:val="24"/>
        </w:rPr>
      </w:pPr>
    </w:p>
    <w:p>
      <w:pPr>
        <w:pStyle w:val="39"/>
        <w:rPr>
          <w:color w:val="auto"/>
        </w:rPr>
      </w:pPr>
    </w:p>
    <w:bookmarkEnd w:id="151"/>
    <w:bookmarkEnd w:id="152"/>
    <w:p>
      <w:pPr>
        <w:pageBreakBefore/>
        <w:jc w:val="center"/>
        <w:outlineLvl w:val="0"/>
        <w:rPr>
          <w:rFonts w:ascii="宋体"/>
          <w:b/>
          <w:sz w:val="30"/>
          <w:szCs w:val="30"/>
        </w:rPr>
      </w:pPr>
      <w:bookmarkStart w:id="153" w:name="_Toc111210765"/>
      <w:r>
        <w:rPr>
          <w:rFonts w:hint="eastAsia" w:ascii="宋体"/>
          <w:b/>
          <w:sz w:val="30"/>
          <w:szCs w:val="30"/>
        </w:rPr>
        <w:t>第六章  投标文件格式</w:t>
      </w:r>
      <w:bookmarkEnd w:id="153"/>
    </w:p>
    <w:p>
      <w:pPr>
        <w:spacing w:line="240" w:lineRule="atLeast"/>
        <w:ind w:left="745" w:leftChars="350" w:firstLine="121" w:firstLineChars="50"/>
        <w:rPr>
          <w:rFonts w:ascii="仿宋" w:hAnsi="仿宋" w:eastAsia="仿宋" w:cs="仿宋"/>
          <w:sz w:val="24"/>
        </w:rPr>
      </w:pPr>
    </w:p>
    <w:p>
      <w:pPr>
        <w:jc w:val="center"/>
        <w:outlineLvl w:val="1"/>
        <w:rPr>
          <w:rFonts w:ascii="宋体"/>
          <w:b/>
          <w:sz w:val="28"/>
          <w:szCs w:val="28"/>
        </w:rPr>
      </w:pPr>
      <w:bookmarkStart w:id="154" w:name="_Toc8919"/>
      <w:bookmarkStart w:id="155" w:name="_Toc111210766"/>
      <w:bookmarkStart w:id="156" w:name="_Toc18974"/>
      <w:bookmarkStart w:id="157" w:name="_Toc18694"/>
      <w:bookmarkStart w:id="158" w:name="_Toc515647803"/>
      <w:r>
        <w:rPr>
          <w:rFonts w:hint="eastAsia" w:ascii="宋体"/>
          <w:b/>
          <w:sz w:val="28"/>
          <w:szCs w:val="28"/>
        </w:rPr>
        <w:t>第一部分 开标一览表及资格证明文件</w:t>
      </w:r>
      <w:bookmarkEnd w:id="154"/>
      <w:bookmarkEnd w:id="155"/>
      <w:bookmarkEnd w:id="156"/>
      <w:bookmarkEnd w:id="157"/>
      <w:bookmarkEnd w:id="158"/>
    </w:p>
    <w:p>
      <w:pPr>
        <w:spacing w:line="240" w:lineRule="atLeast"/>
        <w:ind w:left="717" w:hanging="716" w:hangingChars="295"/>
        <w:jc w:val="center"/>
        <w:rPr>
          <w:rFonts w:ascii="宋体" w:hAnsi="宋体" w:cs="宋体"/>
          <w:sz w:val="24"/>
        </w:rPr>
      </w:pPr>
    </w:p>
    <w:p>
      <w:pPr>
        <w:tabs>
          <w:tab w:val="left" w:pos="5580"/>
        </w:tabs>
        <w:spacing w:line="500" w:lineRule="atLeast"/>
        <w:ind w:firstLine="429" w:firstLineChars="177"/>
        <w:rPr>
          <w:rFonts w:ascii="宋体" w:hAnsi="宋体" w:cs="宋体"/>
          <w:sz w:val="24"/>
        </w:rPr>
      </w:pPr>
      <w:r>
        <w:rPr>
          <w:rFonts w:hint="eastAsia" w:ascii="宋体" w:hAnsi="宋体" w:cs="宋体"/>
          <w:sz w:val="24"/>
        </w:rPr>
        <w:t xml:space="preserve"> 1、开标一览表（见投标文件格式一）;</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2、（三证合一）营业执照；</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3、法定代表人投标需提供法定代表人资格证明书，委托代理人投标需提供法定代表人授权委托书；</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4、有依法缴纳税收和社会保障资金的良好记录(提供承诺函及依法缴纳社会保障资金证明）；</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5、参加采购活动前三年内，在经营活动中没有重大违法记录，供应商须提供 “信用中国”网站（http://www.creditchina.gov.cn/）、“中国政府采购网”网站（http://www.ccgp.gov.cn）无违法违规行为的查询纪录（提供查询结果网页截图并加盖供应商公章）&lt;自公告发布之日起至投标截止时间从上述网站中查询&gt;；</w:t>
      </w:r>
    </w:p>
    <w:p>
      <w:pPr>
        <w:tabs>
          <w:tab w:val="left" w:pos="5580"/>
        </w:tabs>
        <w:spacing w:line="500" w:lineRule="atLeast"/>
        <w:ind w:left="1" w:firstLine="571" w:firstLineChars="235"/>
        <w:rPr>
          <w:rFonts w:ascii="宋体" w:hAnsi="宋体" w:cs="宋体"/>
          <w:color w:val="auto"/>
          <w:sz w:val="24"/>
          <w:highlight w:val="none"/>
        </w:rPr>
      </w:pPr>
      <w:r>
        <w:rPr>
          <w:rFonts w:hint="eastAsia" w:ascii="宋体" w:hAnsi="宋体" w:cs="宋体"/>
          <w:color w:val="auto"/>
          <w:sz w:val="24"/>
          <w:highlight w:val="none"/>
        </w:rPr>
        <w:t>6、投标人须具备城乡规划编制甲级资质和测绘（地理信息系统工程、地图编制）资质，或土地规划甲级资质和测绘（地理信息工程、地图编制）资质；</w:t>
      </w:r>
    </w:p>
    <w:p>
      <w:pPr>
        <w:tabs>
          <w:tab w:val="left" w:pos="5580"/>
        </w:tabs>
        <w:spacing w:line="500" w:lineRule="atLeast"/>
        <w:ind w:left="1" w:firstLine="571" w:firstLineChars="235"/>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、项目负责人不超过2人，整体应具有城乡规划且具有测绘或数据系统相关专业高级职称证书（专业类型以相关人员职称证书专业为准）；</w:t>
      </w:r>
    </w:p>
    <w:p>
      <w:pPr>
        <w:tabs>
          <w:tab w:val="left" w:pos="5580"/>
        </w:tabs>
        <w:spacing w:line="500" w:lineRule="atLeast"/>
        <w:ind w:left="1" w:firstLine="571" w:firstLineChars="235"/>
        <w:rPr>
          <w:rFonts w:ascii="宋体" w:hAnsi="宋体" w:cs="宋体"/>
          <w:sz w:val="24"/>
          <w:highlight w:val="none"/>
        </w:rPr>
      </w:pPr>
      <w:r>
        <w:rPr>
          <w:rFonts w:hint="eastAsia" w:ascii="宋体" w:hAnsi="宋体" w:cs="宋体"/>
          <w:sz w:val="24"/>
          <w:highlight w:val="none"/>
        </w:rPr>
        <w:t>8、保证金收据或保函等票据；</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9、参加政府采购活动前3年内在经营活动中没有重大违法记录的书面声明；</w:t>
      </w:r>
    </w:p>
    <w:p>
      <w:pPr>
        <w:tabs>
          <w:tab w:val="left" w:pos="5580"/>
        </w:tabs>
        <w:spacing w:line="500" w:lineRule="atLeast"/>
        <w:ind w:left="1" w:firstLine="571" w:firstLineChars="235"/>
        <w:rPr>
          <w:rFonts w:ascii="宋体" w:hAnsi="宋体" w:cs="宋体"/>
          <w:sz w:val="24"/>
        </w:rPr>
      </w:pPr>
      <w:r>
        <w:rPr>
          <w:rFonts w:hint="eastAsia" w:ascii="宋体" w:hAnsi="宋体" w:cs="宋体"/>
          <w:sz w:val="24"/>
        </w:rPr>
        <w:t>10、投标人须知资料表要求的其他资格证明文件。</w:t>
      </w:r>
    </w:p>
    <w:p>
      <w:pPr>
        <w:tabs>
          <w:tab w:val="left" w:pos="5580"/>
        </w:tabs>
        <w:spacing w:line="240" w:lineRule="atLeast"/>
        <w:rPr>
          <w:rFonts w:ascii="宋体" w:hAnsi="宋体" w:cs="宋体"/>
          <w:sz w:val="24"/>
        </w:rPr>
      </w:pPr>
      <w:r>
        <w:rPr>
          <w:rFonts w:ascii="宋体" w:hAnsi="宋体" w:cs="宋体"/>
          <w:sz w:val="24"/>
        </w:rPr>
        <w:br w:type="page"/>
      </w:r>
    </w:p>
    <w:p>
      <w:pPr>
        <w:pStyle w:val="4"/>
        <w:spacing w:line="240" w:lineRule="atLeast"/>
        <w:ind w:left="0" w:firstLine="0"/>
        <w:rPr>
          <w:rFonts w:ascii="宋体" w:hAnsi="宋体" w:cs="宋体"/>
        </w:rPr>
      </w:pPr>
      <w:bookmarkStart w:id="159" w:name="_Toc515647804"/>
      <w:bookmarkStart w:id="160" w:name="_Toc111210563"/>
      <w:bookmarkStart w:id="161" w:name="_Toc111210340"/>
      <w:bookmarkStart w:id="162" w:name="_Toc19050"/>
      <w:bookmarkStart w:id="163" w:name="_Toc16568"/>
      <w:bookmarkStart w:id="164" w:name="_Toc30524"/>
      <w:bookmarkStart w:id="165" w:name="_Toc111210767"/>
      <w:r>
        <w:rPr>
          <w:rFonts w:hint="eastAsia" w:ascii="宋体" w:hAnsi="宋体" w:cs="宋体"/>
        </w:rPr>
        <w:t>1、开标一览表（投标文件格式一）</w:t>
      </w:r>
      <w:bookmarkEnd w:id="159"/>
      <w:bookmarkEnd w:id="160"/>
      <w:bookmarkEnd w:id="161"/>
      <w:bookmarkEnd w:id="162"/>
      <w:bookmarkEnd w:id="163"/>
      <w:bookmarkEnd w:id="164"/>
      <w:bookmarkEnd w:id="165"/>
    </w:p>
    <w:p>
      <w:pPr>
        <w:pStyle w:val="12"/>
        <w:tabs>
          <w:tab w:val="left" w:pos="5580"/>
        </w:tabs>
        <w:spacing w:line="240" w:lineRule="atLeast"/>
        <w:ind w:left="272" w:leftChars="128"/>
        <w:rPr>
          <w:rFonts w:hAnsi="宋体" w:cs="宋体"/>
          <w:color w:val="auto"/>
          <w:sz w:val="24"/>
        </w:rPr>
      </w:pPr>
    </w:p>
    <w:p>
      <w:pPr>
        <w:pStyle w:val="6"/>
        <w:tabs>
          <w:tab w:val="left" w:pos="5580"/>
        </w:tabs>
        <w:spacing w:line="240" w:lineRule="atLeast"/>
        <w:ind w:firstLine="3364" w:firstLineChars="927"/>
        <w:rPr>
          <w:rFonts w:ascii="宋体" w:hAnsi="宋体" w:cs="宋体"/>
        </w:rPr>
      </w:pPr>
      <w:bookmarkStart w:id="166" w:name="_Hlt520356241"/>
      <w:bookmarkEnd w:id="166"/>
      <w:bookmarkStart w:id="167" w:name="_Toc494296984"/>
      <w:bookmarkStart w:id="168" w:name="_Toc480942349"/>
      <w:bookmarkStart w:id="169" w:name="_Ref467988698"/>
      <w:bookmarkStart w:id="170" w:name="_Toc520356217"/>
      <w:bookmarkStart w:id="171" w:name="_Toc216582813"/>
      <w:r>
        <w:rPr>
          <w:rFonts w:hint="eastAsia" w:ascii="宋体" w:hAnsi="宋体" w:cs="宋体"/>
          <w:b/>
          <w:sz w:val="36"/>
          <w:szCs w:val="24"/>
        </w:rPr>
        <w:t>开标一览表</w:t>
      </w:r>
      <w:bookmarkEnd w:id="167"/>
      <w:r>
        <w:rPr>
          <w:rFonts w:hint="eastAsia" w:ascii="宋体" w:hAnsi="宋体" w:cs="宋体"/>
          <w:b/>
          <w:sz w:val="36"/>
          <w:szCs w:val="24"/>
        </w:rPr>
        <w:cr/>
      </w:r>
    </w:p>
    <w:p>
      <w:pPr>
        <w:adjustRightInd w:val="0"/>
        <w:snapToGrid w:val="0"/>
        <w:spacing w:line="500" w:lineRule="exact"/>
        <w:rPr>
          <w:rFonts w:ascii="宋体" w:hAnsi="宋体" w:cs="宋体"/>
          <w:szCs w:val="21"/>
          <w:u w:val="single"/>
        </w:rPr>
      </w:pPr>
      <w:r>
        <w:rPr>
          <w:rFonts w:hint="eastAsia" w:ascii="宋体" w:hAnsi="宋体" w:cs="宋体"/>
          <w:szCs w:val="21"/>
        </w:rPr>
        <w:t xml:space="preserve">招标项目名称： </w:t>
      </w:r>
      <w:r>
        <w:rPr>
          <w:rFonts w:hint="eastAsia" w:ascii="宋体" w:hAnsi="宋体" w:cs="宋体"/>
          <w:szCs w:val="21"/>
          <w:u w:val="single"/>
        </w:rPr>
        <w:t xml:space="preserve">                         </w:t>
      </w:r>
    </w:p>
    <w:p>
      <w:pPr>
        <w:adjustRightInd w:val="0"/>
        <w:snapToGrid w:val="0"/>
        <w:spacing w:line="500" w:lineRule="exact"/>
        <w:rPr>
          <w:rFonts w:ascii="宋体" w:hAnsi="宋体" w:cs="宋体"/>
          <w:i/>
          <w:iCs/>
          <w:szCs w:val="21"/>
        </w:rPr>
      </w:pPr>
      <w:r>
        <w:rPr>
          <w:rFonts w:hint="eastAsia" w:ascii="宋体" w:hAnsi="宋体" w:cs="宋体"/>
          <w:szCs w:val="21"/>
        </w:rPr>
        <w:t>招标项目编号：</w:t>
      </w:r>
      <w:r>
        <w:rPr>
          <w:rFonts w:hint="eastAsia" w:ascii="宋体" w:hAnsi="宋体" w:cs="宋体"/>
          <w:i/>
          <w:iCs/>
          <w:szCs w:val="21"/>
        </w:rPr>
        <w:t xml:space="preserve"> </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 xml:space="preserve">                                                 单位：元（人民币）</w:t>
      </w:r>
    </w:p>
    <w:tbl>
      <w:tblPr>
        <w:tblStyle w:val="23"/>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trPr>
        <w:tc>
          <w:tcPr>
            <w:tcW w:w="2595" w:type="dxa"/>
            <w:gridSpan w:val="2"/>
            <w:vAlign w:val="center"/>
          </w:tcPr>
          <w:p>
            <w:pPr>
              <w:jc w:val="center"/>
              <w:rPr>
                <w:rFonts w:ascii="宋体" w:hAnsi="宋体" w:cs="宋体"/>
                <w:szCs w:val="21"/>
              </w:rPr>
            </w:pPr>
            <w:r>
              <w:rPr>
                <w:rFonts w:hint="eastAsia" w:ascii="宋体" w:hAnsi="宋体" w:cs="宋体"/>
                <w:szCs w:val="21"/>
              </w:rPr>
              <w:t>投标项目名称</w:t>
            </w:r>
          </w:p>
        </w:tc>
        <w:tc>
          <w:tcPr>
            <w:tcW w:w="61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595" w:type="dxa"/>
            <w:gridSpan w:val="2"/>
            <w:vAlign w:val="center"/>
          </w:tcPr>
          <w:p>
            <w:pPr>
              <w:jc w:val="center"/>
              <w:rPr>
                <w:rFonts w:ascii="宋体" w:hAnsi="宋体" w:cs="宋体"/>
                <w:szCs w:val="21"/>
              </w:rPr>
            </w:pPr>
            <w:r>
              <w:rPr>
                <w:rFonts w:hint="eastAsia" w:ascii="宋体" w:hAnsi="宋体" w:cs="宋体"/>
                <w:szCs w:val="21"/>
              </w:rPr>
              <w:t>服务周期</w:t>
            </w:r>
          </w:p>
        </w:tc>
        <w:tc>
          <w:tcPr>
            <w:tcW w:w="618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2595" w:type="dxa"/>
            <w:gridSpan w:val="2"/>
            <w:tcBorders>
              <w:top w:val="single" w:color="auto" w:sz="4" w:space="0"/>
            </w:tcBorders>
            <w:vAlign w:val="center"/>
          </w:tcPr>
          <w:p>
            <w:pPr>
              <w:jc w:val="center"/>
              <w:rPr>
                <w:rFonts w:ascii="宋体" w:hAnsi="宋体" w:cs="宋体"/>
                <w:szCs w:val="21"/>
              </w:rPr>
            </w:pPr>
            <w:r>
              <w:rPr>
                <w:rFonts w:hint="eastAsia" w:ascii="宋体" w:hAnsi="宋体" w:cs="宋体"/>
                <w:szCs w:val="21"/>
              </w:rPr>
              <w:t>投标有效期</w:t>
            </w:r>
          </w:p>
        </w:tc>
        <w:tc>
          <w:tcPr>
            <w:tcW w:w="618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621" w:type="dxa"/>
            <w:vMerge w:val="restart"/>
            <w:vAlign w:val="center"/>
          </w:tcPr>
          <w:p>
            <w:pPr>
              <w:jc w:val="center"/>
              <w:rPr>
                <w:rFonts w:ascii="宋体" w:hAnsi="宋体" w:cs="宋体"/>
                <w:szCs w:val="21"/>
              </w:rPr>
            </w:pPr>
            <w:r>
              <w:rPr>
                <w:rFonts w:hint="eastAsia" w:ascii="宋体" w:hAnsi="宋体" w:cs="宋体"/>
                <w:szCs w:val="21"/>
              </w:rPr>
              <w:t>投标报价</w:t>
            </w:r>
          </w:p>
          <w:p>
            <w:pPr>
              <w:jc w:val="center"/>
              <w:rPr>
                <w:rFonts w:ascii="宋体" w:hAnsi="宋体" w:cs="宋体"/>
                <w:szCs w:val="21"/>
              </w:rPr>
            </w:pPr>
            <w:r>
              <w:rPr>
                <w:rFonts w:hint="eastAsia" w:ascii="宋体" w:hAnsi="宋体" w:cs="宋体"/>
                <w:szCs w:val="21"/>
              </w:rPr>
              <w:t>（人民币）</w:t>
            </w:r>
          </w:p>
        </w:tc>
        <w:tc>
          <w:tcPr>
            <w:tcW w:w="974" w:type="dxa"/>
            <w:tcBorders>
              <w:top w:val="single" w:color="auto" w:sz="4" w:space="0"/>
              <w:bottom w:val="single" w:color="auto" w:sz="4" w:space="0"/>
            </w:tcBorders>
            <w:vAlign w:val="center"/>
          </w:tcPr>
          <w:p>
            <w:pPr>
              <w:widowControl/>
              <w:jc w:val="center"/>
              <w:rPr>
                <w:rFonts w:ascii="宋体" w:hAnsi="宋体" w:cs="宋体"/>
                <w:szCs w:val="21"/>
              </w:rPr>
            </w:pPr>
            <w:r>
              <w:rPr>
                <w:rFonts w:hint="eastAsia" w:ascii="宋体" w:hAnsi="宋体" w:cs="宋体"/>
                <w:szCs w:val="21"/>
              </w:rPr>
              <w:t>小写</w:t>
            </w:r>
          </w:p>
        </w:tc>
        <w:tc>
          <w:tcPr>
            <w:tcW w:w="618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rPr>
        <w:tc>
          <w:tcPr>
            <w:tcW w:w="1621" w:type="dxa"/>
            <w:vMerge w:val="continue"/>
            <w:vAlign w:val="center"/>
          </w:tcPr>
          <w:p>
            <w:pPr>
              <w:jc w:val="center"/>
              <w:rPr>
                <w:rFonts w:ascii="宋体" w:hAnsi="宋体" w:cs="宋体"/>
                <w:szCs w:val="21"/>
              </w:rPr>
            </w:pPr>
          </w:p>
        </w:tc>
        <w:tc>
          <w:tcPr>
            <w:tcW w:w="974" w:type="dxa"/>
            <w:tcBorders>
              <w:top w:val="single" w:color="auto" w:sz="4" w:space="0"/>
              <w:bottom w:val="single" w:color="auto" w:sz="4" w:space="0"/>
            </w:tcBorders>
            <w:vAlign w:val="center"/>
          </w:tcPr>
          <w:p>
            <w:pPr>
              <w:widowControl/>
              <w:jc w:val="center"/>
              <w:rPr>
                <w:rFonts w:ascii="宋体" w:hAnsi="宋体" w:cs="宋体"/>
                <w:szCs w:val="21"/>
              </w:rPr>
            </w:pPr>
            <w:r>
              <w:rPr>
                <w:rFonts w:hint="eastAsia" w:ascii="宋体" w:hAnsi="宋体" w:cs="宋体"/>
                <w:szCs w:val="21"/>
              </w:rPr>
              <w:t>大写</w:t>
            </w:r>
          </w:p>
        </w:tc>
        <w:tc>
          <w:tcPr>
            <w:tcW w:w="6185" w:type="dxa"/>
            <w:vAlign w:val="center"/>
          </w:tcPr>
          <w:p>
            <w:pPr>
              <w:jc w:val="center"/>
              <w:rPr>
                <w:rFonts w:ascii="宋体" w:hAnsi="宋体" w:cs="宋体"/>
                <w:szCs w:val="21"/>
              </w:rPr>
            </w:pPr>
          </w:p>
        </w:tc>
      </w:tr>
    </w:tbl>
    <w:p>
      <w:pPr>
        <w:spacing w:line="500" w:lineRule="exact"/>
        <w:ind w:firstLine="416" w:firstLineChars="196"/>
        <w:rPr>
          <w:rFonts w:ascii="宋体" w:hAnsi="宋体" w:cs="宋体"/>
          <w:szCs w:val="21"/>
        </w:rPr>
      </w:pPr>
      <w:r>
        <w:rPr>
          <w:rFonts w:hint="eastAsia" w:ascii="宋体" w:hAnsi="宋体" w:cs="宋体"/>
          <w:szCs w:val="21"/>
        </w:rPr>
        <w:t>填写说明：</w:t>
      </w:r>
    </w:p>
    <w:p>
      <w:pPr>
        <w:spacing w:line="500" w:lineRule="exact"/>
        <w:ind w:firstLine="416" w:firstLineChars="196"/>
        <w:rPr>
          <w:rFonts w:ascii="宋体" w:hAnsi="宋体" w:cs="宋体"/>
          <w:szCs w:val="21"/>
        </w:rPr>
      </w:pPr>
      <w:r>
        <w:rPr>
          <w:rFonts w:hint="eastAsia" w:ascii="宋体" w:hAnsi="宋体" w:cs="宋体"/>
          <w:szCs w:val="21"/>
        </w:rPr>
        <w:t>1.为方便开标唱标，投标人应将开标一览表单独密封，并在信封上标明“开标一览表”字样，然后在递交投标文件时单独递交</w:t>
      </w:r>
      <w:r>
        <w:rPr>
          <w:rFonts w:hint="eastAsia" w:ascii="宋体" w:hAnsi="宋体" w:cs="宋体"/>
          <w:b/>
          <w:bCs/>
          <w:sz w:val="24"/>
        </w:rPr>
        <w:t>。</w:t>
      </w:r>
    </w:p>
    <w:p>
      <w:pPr>
        <w:spacing w:line="500" w:lineRule="exact"/>
        <w:ind w:firstLine="426" w:firstLineChars="200"/>
        <w:rPr>
          <w:rFonts w:ascii="宋体" w:hAnsi="宋体" w:cs="宋体"/>
          <w:szCs w:val="21"/>
        </w:rPr>
      </w:pPr>
      <w:r>
        <w:rPr>
          <w:rFonts w:hint="eastAsia" w:ascii="宋体" w:hAnsi="宋体" w:cs="宋体"/>
          <w:szCs w:val="21"/>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6" w:firstLineChars="200"/>
        <w:rPr>
          <w:rFonts w:ascii="宋体" w:hAnsi="宋体" w:cs="宋体"/>
          <w:szCs w:val="21"/>
        </w:rPr>
      </w:pPr>
      <w:r>
        <w:rPr>
          <w:rFonts w:hint="eastAsia" w:ascii="宋体" w:hAnsi="宋体" w:cs="宋体"/>
          <w:szCs w:val="21"/>
        </w:rPr>
        <w:t>3.投标总价为招标范围所列全部招标项目的报价总和，并应与投标报价明细表及分项价格表保持一致。</w:t>
      </w:r>
    </w:p>
    <w:p>
      <w:pPr>
        <w:spacing w:line="500" w:lineRule="exact"/>
        <w:ind w:firstLine="426" w:firstLineChars="200"/>
        <w:rPr>
          <w:rFonts w:ascii="宋体" w:hAnsi="宋体" w:cs="宋体"/>
          <w:szCs w:val="21"/>
        </w:rPr>
      </w:pPr>
      <w:r>
        <w:rPr>
          <w:rFonts w:hint="eastAsia" w:ascii="宋体" w:hAnsi="宋体" w:cs="宋体"/>
          <w:szCs w:val="21"/>
        </w:rPr>
        <w:t>4.必须在投标文件中装订。</w:t>
      </w:r>
    </w:p>
    <w:p>
      <w:pPr>
        <w:spacing w:line="500" w:lineRule="exact"/>
        <w:ind w:firstLine="426" w:firstLineChars="200"/>
        <w:rPr>
          <w:rFonts w:ascii="宋体" w:hAnsi="宋体" w:cs="宋体"/>
          <w:szCs w:val="21"/>
        </w:rPr>
      </w:pPr>
      <w:r>
        <w:rPr>
          <w:rFonts w:hint="eastAsia" w:ascii="宋体" w:hAnsi="宋体" w:cs="宋体"/>
          <w:szCs w:val="21"/>
        </w:rPr>
        <w:t>5.投标报价不得填报选择性报价。</w:t>
      </w:r>
    </w:p>
    <w:p>
      <w:pPr>
        <w:spacing w:line="500" w:lineRule="exact"/>
        <w:ind w:firstLine="426"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firstLine="426" w:firstLineChars="2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ascii="宋体" w:hAnsi="宋体" w:cs="宋体"/>
          <w:szCs w:val="21"/>
        </w:rPr>
      </w:pPr>
      <w:r>
        <w:rPr>
          <w:rFonts w:hint="eastAsia" w:ascii="宋体" w:hAnsi="宋体" w:cs="宋体"/>
          <w:szCs w:val="21"/>
        </w:rPr>
        <w:t>授权代表签字或盖章：</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6" w:firstLineChars="200"/>
        <w:rPr>
          <w:rFonts w:ascii="宋体" w:hAnsi="宋体" w:cs="宋体"/>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9"/>
      </w:pPr>
      <w:r>
        <w:br w:type="page"/>
      </w:r>
    </w:p>
    <w:p>
      <w:pPr>
        <w:pStyle w:val="4"/>
        <w:spacing w:line="400" w:lineRule="exact"/>
        <w:ind w:left="0" w:firstLine="0"/>
        <w:rPr>
          <w:rFonts w:ascii="宋体" w:hAnsi="宋体" w:cs="宋体"/>
        </w:rPr>
      </w:pPr>
      <w:bookmarkStart w:id="172" w:name="_Toc515647805"/>
      <w:bookmarkStart w:id="173" w:name="_Toc4844"/>
      <w:bookmarkStart w:id="174" w:name="_Toc111210341"/>
      <w:bookmarkStart w:id="175" w:name="_Toc17577"/>
      <w:bookmarkStart w:id="176" w:name="_Toc111210564"/>
      <w:bookmarkStart w:id="177" w:name="_Toc111210768"/>
      <w:bookmarkStart w:id="178" w:name="_Toc29899"/>
      <w:r>
        <w:rPr>
          <w:rFonts w:hint="eastAsia" w:ascii="宋体" w:hAnsi="宋体" w:cs="宋体"/>
        </w:rPr>
        <w:t>2、 法人或者非法人组织的营业执照等证明文件</w:t>
      </w:r>
      <w:bookmarkEnd w:id="172"/>
      <w:bookmarkStart w:id="179" w:name="_Toc515647806"/>
      <w:r>
        <w:rPr>
          <w:rFonts w:hint="eastAsia" w:ascii="宋体" w:hAnsi="宋体" w:cs="宋体"/>
        </w:rPr>
        <w:t>或自然人的身份证明</w:t>
      </w:r>
      <w:bookmarkEnd w:id="173"/>
      <w:bookmarkEnd w:id="174"/>
      <w:bookmarkEnd w:id="175"/>
      <w:bookmarkEnd w:id="176"/>
      <w:bookmarkEnd w:id="177"/>
      <w:bookmarkEnd w:id="178"/>
      <w:bookmarkEnd w:id="179"/>
    </w:p>
    <w:p>
      <w:pPr>
        <w:pStyle w:val="12"/>
        <w:tabs>
          <w:tab w:val="left" w:pos="5580"/>
        </w:tabs>
        <w:spacing w:line="400" w:lineRule="exact"/>
        <w:ind w:left="1087" w:leftChars="257" w:hanging="540"/>
        <w:jc w:val="center"/>
        <w:rPr>
          <w:rFonts w:hAnsi="宋体" w:cs="宋体"/>
          <w:b/>
          <w:color w:val="auto"/>
          <w:sz w:val="24"/>
        </w:rPr>
      </w:pPr>
    </w:p>
    <w:p>
      <w:pPr>
        <w:pStyle w:val="12"/>
        <w:tabs>
          <w:tab w:val="left" w:pos="5580"/>
        </w:tabs>
        <w:spacing w:line="400" w:lineRule="exact"/>
        <w:ind w:left="1087" w:leftChars="257" w:hanging="540"/>
        <w:rPr>
          <w:rFonts w:hAnsi="宋体" w:cs="宋体"/>
          <w:b/>
          <w:color w:val="auto"/>
          <w:sz w:val="24"/>
        </w:rPr>
      </w:pPr>
    </w:p>
    <w:p>
      <w:pPr>
        <w:pStyle w:val="12"/>
        <w:tabs>
          <w:tab w:val="left" w:pos="5580"/>
        </w:tabs>
        <w:spacing w:line="400" w:lineRule="exact"/>
        <w:ind w:left="1087" w:leftChars="257" w:hanging="540"/>
        <w:rPr>
          <w:rFonts w:hAnsi="宋体" w:cs="宋体"/>
          <w:b/>
          <w:color w:val="auto"/>
          <w:sz w:val="24"/>
        </w:rPr>
      </w:pPr>
    </w:p>
    <w:p>
      <w:pPr>
        <w:pStyle w:val="12"/>
        <w:tabs>
          <w:tab w:val="left" w:pos="5580"/>
        </w:tabs>
        <w:spacing w:line="400" w:lineRule="exact"/>
        <w:ind w:left="1087" w:leftChars="257" w:hanging="540"/>
        <w:rPr>
          <w:rFonts w:hAnsi="宋体" w:cs="宋体"/>
          <w:color w:val="auto"/>
          <w:sz w:val="24"/>
        </w:rPr>
      </w:pPr>
      <w:r>
        <w:rPr>
          <w:rFonts w:hint="eastAsia" w:hAnsi="宋体" w:cs="宋体"/>
          <w:color w:val="auto"/>
          <w:sz w:val="24"/>
        </w:rPr>
        <w:t>说明：1.提供有效的营业执照等证明文件复印件，复印件上应加盖本单位章。</w:t>
      </w:r>
    </w:p>
    <w:p>
      <w:pPr>
        <w:pStyle w:val="12"/>
        <w:tabs>
          <w:tab w:val="left" w:pos="5580"/>
        </w:tabs>
        <w:spacing w:line="400" w:lineRule="exact"/>
        <w:ind w:left="1087" w:leftChars="257" w:hanging="540"/>
        <w:rPr>
          <w:rFonts w:hAnsi="宋体" w:cs="宋体"/>
          <w:color w:val="auto"/>
          <w:sz w:val="24"/>
        </w:rPr>
      </w:pPr>
      <w:r>
        <w:rPr>
          <w:rFonts w:hint="eastAsia" w:hAnsi="宋体" w:cs="宋体"/>
          <w:color w:val="auto"/>
          <w:sz w:val="24"/>
        </w:rPr>
        <w:t xml:space="preserve">      2. 投标人为自然人的，应提供身份证明的复印件。</w:t>
      </w:r>
    </w:p>
    <w:p>
      <w:pPr>
        <w:pStyle w:val="12"/>
        <w:tabs>
          <w:tab w:val="left" w:pos="5580"/>
        </w:tabs>
        <w:spacing w:line="400" w:lineRule="exact"/>
        <w:ind w:left="1087" w:leftChars="257" w:hanging="540"/>
        <w:rPr>
          <w:rFonts w:hAnsi="宋体" w:cs="宋体"/>
          <w:color w:val="auto"/>
          <w:sz w:val="24"/>
        </w:rPr>
      </w:pPr>
      <w:r>
        <w:rPr>
          <w:rFonts w:hint="eastAsia" w:hAnsi="宋体" w:cs="宋体"/>
          <w:color w:val="auto"/>
          <w:sz w:val="24"/>
        </w:rPr>
        <w:t xml:space="preserve">      3.联合体投标应提供联合体各方满足以上要求的证明文件。</w:t>
      </w:r>
    </w:p>
    <w:p>
      <w:pPr>
        <w:pStyle w:val="12"/>
        <w:tabs>
          <w:tab w:val="left" w:pos="5580"/>
        </w:tabs>
        <w:spacing w:line="400" w:lineRule="exact"/>
        <w:ind w:left="1087" w:leftChars="257" w:hanging="540"/>
        <w:rPr>
          <w:rFonts w:hAnsi="宋体" w:cs="宋体"/>
          <w:color w:val="auto"/>
          <w:sz w:val="24"/>
        </w:rPr>
      </w:pPr>
    </w:p>
    <w:p>
      <w:pPr>
        <w:pStyle w:val="12"/>
        <w:tabs>
          <w:tab w:val="left" w:pos="5580"/>
        </w:tabs>
        <w:spacing w:line="400" w:lineRule="exact"/>
        <w:rPr>
          <w:rFonts w:hAnsi="宋体" w:cs="宋体"/>
          <w:color w:val="auto"/>
          <w:sz w:val="24"/>
        </w:rPr>
      </w:pPr>
    </w:p>
    <w:p>
      <w:pPr>
        <w:pStyle w:val="12"/>
        <w:tabs>
          <w:tab w:val="left" w:pos="5580"/>
        </w:tabs>
        <w:spacing w:line="400" w:lineRule="exact"/>
        <w:rPr>
          <w:rFonts w:hAnsi="宋体" w:cs="宋体"/>
          <w:color w:val="auto"/>
          <w:sz w:val="24"/>
        </w:rPr>
      </w:pPr>
    </w:p>
    <w:p>
      <w:pPr>
        <w:pStyle w:val="12"/>
        <w:tabs>
          <w:tab w:val="left" w:pos="5580"/>
        </w:tabs>
        <w:spacing w:line="240" w:lineRule="atLeast"/>
        <w:rPr>
          <w:rFonts w:hAnsi="宋体" w:cs="宋体"/>
          <w:color w:val="auto"/>
          <w:sz w:val="24"/>
        </w:rPr>
      </w:pPr>
    </w:p>
    <w:p>
      <w:pPr>
        <w:pStyle w:val="42"/>
        <w:rPr>
          <w:rFonts w:ascii="宋体" w:hAnsi="宋体" w:cs="宋体"/>
        </w:rPr>
      </w:pPr>
      <w:bookmarkStart w:id="180" w:name="_Toc23503"/>
      <w:bookmarkStart w:id="181" w:name="_Toc515647807"/>
      <w:bookmarkStart w:id="182" w:name="_Toc22472"/>
      <w:bookmarkStart w:id="183" w:name="_Toc1083"/>
      <w:bookmarkStart w:id="184" w:name="_Toc32520"/>
      <w:bookmarkStart w:id="185" w:name="_Toc515647808"/>
      <w:bookmarkStart w:id="186" w:name="_Toc7039"/>
      <w:r>
        <w:rPr>
          <w:rFonts w:ascii="宋体" w:hAnsi="宋体" w:cs="宋体"/>
        </w:rPr>
        <w:br w:type="page"/>
      </w:r>
    </w:p>
    <w:p>
      <w:pPr>
        <w:pStyle w:val="4"/>
        <w:spacing w:line="240" w:lineRule="atLeast"/>
        <w:ind w:left="0" w:firstLine="0"/>
        <w:rPr>
          <w:rFonts w:ascii="宋体" w:hAnsi="宋体" w:cs="宋体"/>
          <w:u w:val="single"/>
        </w:rPr>
      </w:pPr>
      <w:bookmarkStart w:id="187" w:name="_Toc111210769"/>
      <w:bookmarkStart w:id="188" w:name="_Toc111210342"/>
      <w:bookmarkStart w:id="189" w:name="_Toc111210565"/>
      <w:bookmarkStart w:id="190" w:name="_Toc30244"/>
      <w:r>
        <w:rPr>
          <w:rFonts w:hint="eastAsia" w:ascii="宋体" w:hAnsi="宋体" w:cs="宋体"/>
        </w:rPr>
        <w:t>3 、法定代表人资格证明书（见投标文件格式二，自然人投标的无需提供）</w:t>
      </w:r>
      <w:bookmarkEnd w:id="187"/>
      <w:bookmarkEnd w:id="188"/>
      <w:bookmarkEnd w:id="189"/>
    </w:p>
    <w:p>
      <w:pPr>
        <w:adjustRightInd w:val="0"/>
        <w:snapToGrid w:val="0"/>
        <w:spacing w:before="325" w:beforeLines="100" w:after="325" w:afterLines="100" w:line="500" w:lineRule="exact"/>
        <w:rPr>
          <w:rFonts w:ascii="宋体" w:hAnsi="宋体" w:cs="宋体"/>
          <w:sz w:val="24"/>
        </w:rPr>
      </w:pPr>
      <w:r>
        <w:rPr>
          <w:rFonts w:hint="eastAsia" w:ascii="宋体" w:hAnsi="宋体" w:cs="宋体"/>
          <w:sz w:val="24"/>
        </w:rPr>
        <w:t>致：</w:t>
      </w:r>
    </w:p>
    <w:p>
      <w:pPr>
        <w:spacing w:line="50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500" w:lineRule="exact"/>
        <w:ind w:firstLine="243" w:firstLineChars="100"/>
        <w:rPr>
          <w:rFonts w:ascii="宋体" w:hAnsi="宋体" w:cs="宋体"/>
          <w:sz w:val="24"/>
        </w:rPr>
      </w:pPr>
      <w:r>
        <w:rPr>
          <w:rFonts w:hint="eastAsia" w:ascii="宋体" w:hAnsi="宋体" w:cs="宋体"/>
          <w:sz w:val="24"/>
        </w:rPr>
        <w:t>签发日期：                  单位：           （盖章）</w:t>
      </w:r>
    </w:p>
    <w:p>
      <w:pPr>
        <w:spacing w:line="500" w:lineRule="exact"/>
        <w:ind w:firstLine="243" w:firstLineChars="100"/>
        <w:rPr>
          <w:rFonts w:ascii="宋体" w:hAnsi="宋体" w:cs="宋体"/>
          <w:sz w:val="24"/>
        </w:rPr>
      </w:pPr>
      <w:r>
        <w:rPr>
          <w:rFonts w:hint="eastAsia" w:ascii="宋体" w:hAnsi="宋体" w:cs="宋体"/>
          <w:sz w:val="24"/>
        </w:rPr>
        <w:t>附：代表人性别：            年龄：           身份证号码：</w:t>
      </w:r>
    </w:p>
    <w:p>
      <w:pPr>
        <w:spacing w:line="500" w:lineRule="exact"/>
        <w:ind w:firstLine="243" w:firstLineChars="100"/>
        <w:rPr>
          <w:rFonts w:ascii="宋体" w:hAnsi="宋体" w:cs="宋体"/>
          <w:sz w:val="24"/>
        </w:rPr>
      </w:pPr>
      <w:r>
        <w:rPr>
          <w:rFonts w:hint="eastAsia" w:ascii="宋体" w:hAnsi="宋体" w:cs="宋体"/>
          <w:sz w:val="24"/>
        </w:rPr>
        <w:t>联系电话：</w:t>
      </w:r>
    </w:p>
    <w:p>
      <w:pPr>
        <w:spacing w:line="500" w:lineRule="exact"/>
        <w:ind w:firstLine="243" w:firstLineChars="100"/>
        <w:rPr>
          <w:rFonts w:ascii="宋体" w:hAnsi="宋体" w:cs="宋体"/>
          <w:sz w:val="24"/>
        </w:rPr>
      </w:pPr>
      <w:r>
        <w:rPr>
          <w:rFonts w:hint="eastAsia" w:ascii="宋体" w:hAnsi="宋体" w:cs="宋体"/>
          <w:sz w:val="24"/>
        </w:rPr>
        <w:t>营业执照号码：              经济性质：</w:t>
      </w:r>
    </w:p>
    <w:p>
      <w:pPr>
        <w:spacing w:line="500" w:lineRule="exact"/>
        <w:rPr>
          <w:rFonts w:ascii="宋体" w:hAnsi="宋体" w:cs="宋体"/>
          <w:sz w:val="24"/>
        </w:rPr>
      </w:pPr>
      <w:r>
        <w:rPr>
          <w:rFonts w:hint="eastAsia" w:ascii="宋体" w:hAnsi="宋体" w:cs="宋体"/>
          <w:sz w:val="24"/>
        </w:rPr>
        <w:t>说明：</w:t>
      </w:r>
    </w:p>
    <w:p>
      <w:pPr>
        <w:spacing w:line="500" w:lineRule="exact"/>
        <w:ind w:firstLine="243" w:firstLineChars="100"/>
        <w:rPr>
          <w:rFonts w:ascii="宋体" w:hAnsi="宋体" w:cs="宋体"/>
          <w:sz w:val="24"/>
        </w:rPr>
      </w:pPr>
      <w:r>
        <w:rPr>
          <w:rFonts w:hint="eastAsia" w:ascii="宋体" w:hAnsi="宋体" w:cs="宋体"/>
          <w:sz w:val="24"/>
        </w:rPr>
        <w:t>1、法定代表人为企业事业单位、国家机关、社会团体的主要行政负责人。</w:t>
      </w:r>
    </w:p>
    <w:p>
      <w:pPr>
        <w:spacing w:line="500" w:lineRule="exact"/>
        <w:rPr>
          <w:rFonts w:ascii="宋体" w:hAnsi="宋体" w:cs="宋体"/>
          <w:sz w:val="24"/>
        </w:rPr>
      </w:pPr>
      <w:r>
        <w:rPr>
          <w:rFonts w:hint="eastAsia" w:ascii="宋体" w:hAnsi="宋体" w:cs="宋体"/>
          <w:sz w:val="24"/>
        </w:rPr>
        <w:t xml:space="preserve">  2、内容必须填写真实、清楚、涂改无效，不得转让。</w:t>
      </w:r>
    </w:p>
    <w:p>
      <w:pPr>
        <w:spacing w:line="500" w:lineRule="exact"/>
        <w:ind w:firstLine="243" w:firstLineChars="100"/>
        <w:rPr>
          <w:rFonts w:ascii="宋体" w:hAnsi="宋体" w:cs="宋体"/>
          <w:sz w:val="24"/>
        </w:rPr>
      </w:pPr>
      <w:r>
        <w:rPr>
          <w:rFonts w:hint="eastAsia" w:ascii="宋体" w:hAnsi="宋体" w:cs="宋体"/>
          <w:sz w:val="24"/>
        </w:rPr>
        <w:t>3、将此证明书原件提交采购代理机构作为投标文件附件。</w:t>
      </w:r>
    </w:p>
    <w:p>
      <w:pPr>
        <w:spacing w:line="500" w:lineRule="exact"/>
        <w:rPr>
          <w:rFonts w:ascii="宋体" w:hAnsi="宋体" w:cs="宋体"/>
          <w:sz w:val="24"/>
        </w:rPr>
      </w:pPr>
      <w:r>
        <w:rPr>
          <w:rFonts w:hint="eastAsia" w:ascii="宋体" w:hAnsi="宋体" w:cs="宋体"/>
          <w:sz w:val="24"/>
        </w:rPr>
        <w:t xml:space="preserve">  (为避免废标，请投标人务必提供本附件)</w:t>
      </w:r>
    </w:p>
    <w:p>
      <w:pPr>
        <w:spacing w:line="500" w:lineRule="exact"/>
        <w:rPr>
          <w:rFonts w:ascii="宋体" w:hAnsi="宋体" w:cs="宋体"/>
          <w:sz w:val="24"/>
        </w:rPr>
      </w:pPr>
    </w:p>
    <w:p>
      <w:pPr>
        <w:spacing w:line="500" w:lineRule="exact"/>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398780</wp:posOffset>
                </wp:positionH>
                <wp:positionV relativeFrom="paragraph">
                  <wp:posOffset>38100</wp:posOffset>
                </wp:positionV>
                <wp:extent cx="2333625" cy="1584325"/>
                <wp:effectExtent l="6350" t="9525" r="12700" b="635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1.4pt;margin-top:3pt;height:124.75pt;width:183.75pt;z-index:251662336;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BfHjWAAAACAEAAA8AAAAAAAAAAQAgAAAAIgAAAGRycy9kb3ducmV2Lnht&#10;bFBLAQIUABQAAAAIAIdO4kBSz46qNAIAAJMEAAAOAAAAAAAAAAEAIAAAACUBAABkcnMvZTJvRG9j&#10;LnhtbFBLBQYAAAAABgAGAFkBAADL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5080" t="5715" r="13970" b="10160"/>
                <wp:wrapNone/>
                <wp:docPr id="1" name="AutoShape 1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rot="0" vert="horz" wrap="square" lIns="91440" tIns="45720" rIns="91440" bIns="45720" anchor="t" anchorCtr="0" upright="1">
                        <a:noAutofit/>
                      </wps:bodyPr>
                    </wps:wsp>
                  </a:graphicData>
                </a:graphic>
              </wp:anchor>
            </w:drawing>
          </mc:Choice>
          <mc:Fallback>
            <w:pict>
              <v:shape id="AutoShape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TxGHYAAAACQEAAA8AAAAAAAAAAQAgAAAAIgAAAGRycy9kb3ducmV2&#10;LnhtbFBLAQIUABQAAAAIAIdO4kAiu0DaNQIAAJQEAAAOAAAAAAAAAAEAIAAAACcBAABkcnMvZTJv&#10;RG9jLnhtbFBLBQYAAAAABgAGAFkBAADO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p>
    <w:p>
      <w:pPr>
        <w:spacing w:line="500" w:lineRule="exact"/>
        <w:rPr>
          <w:rFonts w:ascii="宋体" w:hAnsi="宋体" w:cs="宋体"/>
          <w:sz w:val="24"/>
        </w:rPr>
      </w:pPr>
    </w:p>
    <w:p>
      <w:pPr>
        <w:spacing w:line="500" w:lineRule="exact"/>
        <w:rPr>
          <w:rFonts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sz w:val="24"/>
        </w:rPr>
      </w:pPr>
    </w:p>
    <w:p>
      <w:pPr>
        <w:spacing w:line="500" w:lineRule="exact"/>
        <w:jc w:val="center"/>
        <w:rPr>
          <w:rFonts w:ascii="宋体" w:hAnsi="宋体" w:cs="宋体"/>
          <w:sz w:val="24"/>
        </w:rPr>
      </w:pPr>
    </w:p>
    <w:p>
      <w:pPr>
        <w:autoSpaceDE w:val="0"/>
        <w:autoSpaceDN w:val="0"/>
        <w:adjustRightInd w:val="0"/>
        <w:spacing w:line="500" w:lineRule="exact"/>
        <w:ind w:right="246" w:firstLine="793" w:firstLineChars="327"/>
        <w:rPr>
          <w:rFonts w:ascii="宋体" w:hAnsi="宋体" w:cs="宋体"/>
          <w:kern w:val="0"/>
          <w:sz w:val="24"/>
        </w:rPr>
      </w:pPr>
    </w:p>
    <w:p>
      <w:pPr>
        <w:pStyle w:val="12"/>
        <w:tabs>
          <w:tab w:val="left" w:pos="5580"/>
        </w:tabs>
        <w:spacing w:line="240" w:lineRule="atLeast"/>
        <w:ind w:firstLine="486" w:firstLineChars="200"/>
        <w:rPr>
          <w:rFonts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 xml:space="preserve">                           </w:t>
      </w:r>
    </w:p>
    <w:p>
      <w:pPr>
        <w:pStyle w:val="12"/>
        <w:tabs>
          <w:tab w:val="left" w:pos="5580"/>
        </w:tabs>
        <w:spacing w:line="240" w:lineRule="atLeast"/>
        <w:ind w:firstLine="486" w:firstLineChars="200"/>
        <w:rPr>
          <w:rFonts w:hAnsi="宋体" w:cs="宋体"/>
          <w:color w:val="auto"/>
          <w:sz w:val="24"/>
        </w:rPr>
      </w:pPr>
      <w:r>
        <w:rPr>
          <w:rFonts w:hint="eastAsia" w:hAnsi="宋体" w:cs="宋体"/>
          <w:color w:val="auto"/>
          <w:sz w:val="24"/>
        </w:rPr>
        <w:t>法定代表人（签字或签章）：</w:t>
      </w:r>
      <w:r>
        <w:rPr>
          <w:rFonts w:hint="eastAsia" w:hAnsi="宋体" w:cs="宋体"/>
          <w:color w:val="auto"/>
          <w:sz w:val="24"/>
          <w:u w:val="single"/>
        </w:rPr>
        <w:t xml:space="preserve">                     </w:t>
      </w:r>
    </w:p>
    <w:p>
      <w:pPr>
        <w:spacing w:line="360" w:lineRule="auto"/>
        <w:ind w:firstLine="486" w:firstLineChars="200"/>
        <w:jc w:val="left"/>
        <w:rPr>
          <w:rFonts w:ascii="宋体" w:hAnsi="宋体" w:cs="宋体"/>
          <w:sz w:val="24"/>
          <w:szCs w:val="20"/>
          <w:u w:color="000000"/>
        </w:rPr>
      </w:pPr>
      <w:r>
        <w:rPr>
          <w:rFonts w:hint="eastAsia" w:ascii="宋体" w:hAnsi="宋体" w:cs="宋体"/>
          <w:sz w:val="24"/>
          <w:szCs w:val="20"/>
          <w:u w:color="000000"/>
        </w:rPr>
        <w:t xml:space="preserve">年   月   日 </w:t>
      </w:r>
    </w:p>
    <w:p>
      <w:pPr>
        <w:spacing w:line="500" w:lineRule="exact"/>
        <w:jc w:val="center"/>
        <w:rPr>
          <w:rFonts w:ascii="宋体" w:hAnsi="宋体" w:cs="宋体"/>
          <w:b/>
          <w:sz w:val="28"/>
          <w:szCs w:val="28"/>
        </w:rPr>
      </w:pPr>
    </w:p>
    <w:p>
      <w:pPr>
        <w:pStyle w:val="42"/>
        <w:rPr>
          <w:rFonts w:ascii="宋体" w:hAnsi="宋体" w:cs="宋体"/>
          <w:b/>
          <w:sz w:val="28"/>
          <w:szCs w:val="28"/>
        </w:rPr>
      </w:pPr>
    </w:p>
    <w:p>
      <w:pPr>
        <w:spacing w:line="500" w:lineRule="exact"/>
        <w:rPr>
          <w:rFonts w:ascii="宋体" w:hAnsi="宋体" w:cs="宋体"/>
          <w:b/>
          <w:sz w:val="28"/>
          <w:szCs w:val="28"/>
        </w:rPr>
      </w:pPr>
      <w:r>
        <w:rPr>
          <w:rFonts w:ascii="宋体" w:hAnsi="宋体" w:cs="宋体"/>
          <w:b/>
          <w:sz w:val="28"/>
          <w:szCs w:val="28"/>
        </w:rPr>
        <w:br w:type="page"/>
      </w:r>
    </w:p>
    <w:p>
      <w:pPr>
        <w:pStyle w:val="4"/>
        <w:spacing w:line="240" w:lineRule="atLeast"/>
        <w:ind w:left="0" w:firstLine="0"/>
        <w:rPr>
          <w:rFonts w:ascii="宋体" w:hAnsi="宋体" w:cs="宋体"/>
          <w:u w:val="single"/>
        </w:rPr>
      </w:pPr>
      <w:bookmarkStart w:id="191" w:name="_Toc111210770"/>
      <w:bookmarkStart w:id="192" w:name="_Toc111210343"/>
      <w:bookmarkStart w:id="193" w:name="_Toc111210566"/>
      <w:r>
        <w:rPr>
          <w:rFonts w:hint="eastAsia" w:ascii="宋体" w:hAnsi="宋体" w:cs="宋体"/>
        </w:rPr>
        <w:t>4 、法定代表人授权委托书(投标文件格式三，自然人投标的无需提供)</w:t>
      </w:r>
      <w:bookmarkEnd w:id="180"/>
      <w:bookmarkEnd w:id="181"/>
      <w:bookmarkEnd w:id="182"/>
      <w:bookmarkEnd w:id="183"/>
      <w:bookmarkEnd w:id="190"/>
      <w:bookmarkEnd w:id="191"/>
      <w:bookmarkEnd w:id="192"/>
      <w:bookmarkEnd w:id="193"/>
    </w:p>
    <w:p>
      <w:pPr>
        <w:pStyle w:val="12"/>
        <w:spacing w:line="240" w:lineRule="atLeast"/>
        <w:ind w:left="1087" w:leftChars="257" w:hanging="540"/>
        <w:rPr>
          <w:rFonts w:hAnsi="宋体" w:cs="宋体"/>
          <w:color w:val="auto"/>
          <w:sz w:val="24"/>
        </w:rPr>
      </w:pPr>
      <w:r>
        <w:rPr>
          <w:rFonts w:hint="eastAsia" w:hAnsi="宋体" w:cs="宋体"/>
          <w:color w:val="auto"/>
          <w:sz w:val="24"/>
          <w:u w:val="single"/>
        </w:rPr>
        <w:cr/>
      </w:r>
    </w:p>
    <w:p>
      <w:pPr>
        <w:pStyle w:val="12"/>
        <w:tabs>
          <w:tab w:val="left" w:pos="5580"/>
        </w:tabs>
        <w:spacing w:line="360" w:lineRule="auto"/>
        <w:rPr>
          <w:rFonts w:hAnsi="宋体" w:cs="宋体"/>
          <w:color w:val="auto"/>
          <w:sz w:val="24"/>
        </w:rPr>
      </w:pPr>
      <w:r>
        <w:rPr>
          <w:rFonts w:hint="eastAsia" w:hAnsi="宋体" w:cs="宋体"/>
          <w:color w:val="auto"/>
          <w:sz w:val="24"/>
        </w:rPr>
        <w:t xml:space="preserve">    本授权书声明：注册于</w:t>
      </w:r>
      <w:r>
        <w:rPr>
          <w:rFonts w:hint="eastAsia" w:hAnsi="宋体" w:cs="宋体"/>
          <w:color w:val="auto"/>
          <w:sz w:val="24"/>
          <w:u w:val="single"/>
        </w:rPr>
        <w:t>（国家或地区的名称）</w:t>
      </w:r>
      <w:r>
        <w:rPr>
          <w:rFonts w:hint="eastAsia" w:hAnsi="宋体" w:cs="宋体"/>
          <w:color w:val="auto"/>
          <w:sz w:val="24"/>
        </w:rPr>
        <w:t>的（</w:t>
      </w:r>
      <w:r>
        <w:rPr>
          <w:rFonts w:hint="eastAsia" w:hAnsi="宋体" w:cs="宋体"/>
          <w:i/>
          <w:color w:val="auto"/>
          <w:sz w:val="24"/>
          <w:u w:val="single"/>
        </w:rPr>
        <w:t>投标人</w:t>
      </w:r>
      <w:r>
        <w:rPr>
          <w:rFonts w:hint="eastAsia" w:hAnsi="宋体" w:cs="宋体"/>
          <w:color w:val="auto"/>
          <w:sz w:val="24"/>
        </w:rPr>
        <w:t>）的在下面签字的（</w:t>
      </w:r>
      <w:r>
        <w:rPr>
          <w:rFonts w:hint="eastAsia" w:hAnsi="宋体" w:cs="宋体"/>
          <w:i/>
          <w:color w:val="auto"/>
          <w:sz w:val="24"/>
          <w:u w:val="single"/>
        </w:rPr>
        <w:t>法人代表姓名、职务</w:t>
      </w:r>
      <w:r>
        <w:rPr>
          <w:rFonts w:hint="eastAsia" w:hAnsi="宋体" w:cs="宋体"/>
          <w:color w:val="auto"/>
          <w:sz w:val="24"/>
        </w:rPr>
        <w:t>）代表我单位授权（</w:t>
      </w:r>
      <w:r>
        <w:rPr>
          <w:rFonts w:hint="eastAsia" w:hAnsi="宋体" w:cs="宋体"/>
          <w:i/>
          <w:color w:val="auto"/>
          <w:sz w:val="24"/>
          <w:u w:val="single"/>
        </w:rPr>
        <w:t>单位名称</w:t>
      </w:r>
      <w:r>
        <w:rPr>
          <w:rFonts w:hint="eastAsia" w:hAnsi="宋体" w:cs="宋体"/>
          <w:color w:val="auto"/>
          <w:sz w:val="24"/>
        </w:rPr>
        <w:t>）的在下面签字的（</w:t>
      </w:r>
      <w:r>
        <w:rPr>
          <w:rFonts w:hint="eastAsia" w:hAnsi="宋体" w:cs="宋体"/>
          <w:i/>
          <w:color w:val="auto"/>
          <w:sz w:val="24"/>
          <w:u w:val="single"/>
        </w:rPr>
        <w:t>被授权人的姓名、职务</w:t>
      </w:r>
      <w:r>
        <w:rPr>
          <w:rFonts w:hint="eastAsia" w:hAnsi="宋体" w:cs="宋体"/>
          <w:color w:val="auto"/>
          <w:sz w:val="24"/>
        </w:rPr>
        <w:t>）为我单位的合法代理人，就（</w:t>
      </w:r>
      <w:r>
        <w:rPr>
          <w:rFonts w:hint="eastAsia" w:hAnsi="宋体" w:cs="宋体"/>
          <w:i/>
          <w:color w:val="auto"/>
          <w:sz w:val="24"/>
          <w:u w:val="single"/>
        </w:rPr>
        <w:t>项目名称</w:t>
      </w:r>
      <w:r>
        <w:rPr>
          <w:rFonts w:hint="eastAsia" w:hAnsi="宋体" w:cs="宋体"/>
          <w:color w:val="auto"/>
          <w:sz w:val="24"/>
        </w:rPr>
        <w:t>）投标，以我单位名义处理一切与之有关的事务。</w:t>
      </w:r>
      <w:r>
        <w:rPr>
          <w:rFonts w:hint="eastAsia" w:hAnsi="宋体" w:cs="宋体"/>
          <w:color w:val="auto"/>
          <w:sz w:val="24"/>
        </w:rPr>
        <w:cr/>
      </w:r>
      <w:r>
        <w:rPr>
          <w:rFonts w:hint="eastAsia" w:hAnsi="宋体" w:cs="宋体"/>
          <w:color w:val="auto"/>
          <w:sz w:val="24"/>
        </w:rPr>
        <w:t>　　本授权书于</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日签字生效,特此声明。</w:t>
      </w:r>
      <w:r>
        <w:rPr>
          <w:rFonts w:hint="eastAsia" w:hAnsi="宋体" w:cs="宋体"/>
          <w:color w:val="auto"/>
          <w:sz w:val="24"/>
        </w:rPr>
        <w:cr/>
      </w:r>
    </w:p>
    <w:p>
      <w:pPr>
        <w:pStyle w:val="12"/>
        <w:tabs>
          <w:tab w:val="left" w:pos="5580"/>
        </w:tabs>
        <w:spacing w:line="240" w:lineRule="atLeast"/>
        <w:ind w:left="-547" w:leftChars="-257" w:firstLine="911" w:firstLineChars="375"/>
        <w:rPr>
          <w:rFonts w:hAnsi="宋体" w:cs="宋体"/>
          <w:color w:val="auto"/>
          <w:sz w:val="24"/>
        </w:rPr>
      </w:pPr>
      <w:r>
        <w:rPr>
          <w:rFonts w:hAnsi="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0" t="0" r="0" b="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td2mqCQCAABY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WoQJlbwVLNohWE3&#10;jIXcGXaEBthbJ9oOpC8S4egEDZcUHS9H7Oj78wR690N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hcki2wAAAAoBAAAPAAAAAAAAAAEAIAAAACIAAABkcnMvZG93bnJldi54bWxQSwECFAAUAAAA&#10;CACHTuJAtd2mqCQCAABYBAAADgAAAAAAAAABACAAAAAqAQAAZHJzL2Uyb0RvYy54bWxQSwUGAAAA&#10;AAYABgBZAQAAwA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0" t="0" r="6985" b="0"/>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EjIw1gAAAAgBAAAPAAAAAAAAAAEAIAAAACIAAABkcnMvZG93bnJldi54bWxQSwECFAAU&#10;AAAACACHTuJAUEf67iwCAABQBAAADgAAAAAAAAABACAAAAAlAQAAZHJzL2Uyb0RvYy54bWxQSwUG&#10;AAAAAAYABgBZAQAAww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3018155</wp:posOffset>
                </wp:positionH>
                <wp:positionV relativeFrom="paragraph">
                  <wp:posOffset>53975</wp:posOffset>
                </wp:positionV>
                <wp:extent cx="2535555" cy="1029335"/>
                <wp:effectExtent l="0" t="0" r="0" b="0"/>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1312;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patNJAIAAFg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BoRJFTzWLFmx3/ZD&#10;IbeWHaABds7LpgXpx5lwcoKGy4oOlyN19P15B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c0gvaAAAACQEAAA8AAAAAAAAAAQAgAAAAIgAAAGRycy9kb3ducmV2LnhtbFBLAQIUABQAAAAI&#10;AIdO4kCrpatNJAIAAFgEAAAOAAAAAAAAAAEAIAAAACkBAABkcnMvZTJvRG9jLnhtbFBLBQYAAAAA&#10;BgAGAFkBAAC/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0" t="0" r="0" b="381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65vKCYCAABY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AFhUgUPNUtW7Df9&#10;UMiNZXtogK3zsmlB+nEmnJyg4bKiw+VIHX1/nkHvfg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O+C3vYAAAACAEAAA8AAAAAAAAAAQAgAAAAIgAAAGRycy9kb3ducmV2LnhtbFBLAQIUABQAAAAI&#10;AIdO4kCDrm8oJgIAAFgEAAAOAAAAAAAAAAEAIAAAACcBAABkcnMvZTJvRG9jLnhtbFBLBQYAAAAA&#10;BgAGAFkBAAC/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spacing w:line="360" w:lineRule="auto"/>
        <w:ind w:firstLine="243" w:firstLineChars="100"/>
        <w:rPr>
          <w:rFonts w:ascii="宋体" w:hAnsi="宋体" w:cs="宋体"/>
          <w:sz w:val="24"/>
        </w:rPr>
      </w:pPr>
    </w:p>
    <w:p>
      <w:pPr>
        <w:pStyle w:val="12"/>
        <w:tabs>
          <w:tab w:val="left" w:pos="5580"/>
        </w:tabs>
        <w:spacing w:line="240" w:lineRule="atLeast"/>
        <w:ind w:left="-547" w:leftChars="-257" w:firstLine="911" w:firstLineChars="375"/>
        <w:rPr>
          <w:rFonts w:hAnsi="宋体" w:cs="宋体"/>
          <w:color w:val="auto"/>
          <w:sz w:val="24"/>
        </w:rPr>
      </w:pPr>
    </w:p>
    <w:p>
      <w:pPr>
        <w:pStyle w:val="12"/>
        <w:tabs>
          <w:tab w:val="left" w:pos="5580"/>
        </w:tabs>
        <w:spacing w:line="240" w:lineRule="atLeast"/>
        <w:ind w:left="-547" w:leftChars="-257" w:firstLine="911" w:firstLineChars="375"/>
        <w:rPr>
          <w:rFonts w:hAnsi="宋体" w:cs="宋体"/>
          <w:color w:val="auto"/>
          <w:sz w:val="24"/>
        </w:rPr>
      </w:pPr>
    </w:p>
    <w:p>
      <w:pPr>
        <w:pStyle w:val="12"/>
        <w:tabs>
          <w:tab w:val="left" w:pos="5580"/>
        </w:tabs>
        <w:spacing w:line="240" w:lineRule="atLeast"/>
        <w:ind w:firstLine="486" w:firstLineChars="200"/>
        <w:rPr>
          <w:rFonts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 xml:space="preserve">                           </w:t>
      </w:r>
    </w:p>
    <w:p>
      <w:pPr>
        <w:pStyle w:val="12"/>
        <w:tabs>
          <w:tab w:val="left" w:pos="5580"/>
        </w:tabs>
        <w:spacing w:line="240" w:lineRule="atLeast"/>
        <w:ind w:firstLine="486" w:firstLineChars="200"/>
        <w:rPr>
          <w:rFonts w:hAnsi="宋体" w:cs="宋体"/>
          <w:color w:val="auto"/>
          <w:sz w:val="24"/>
        </w:rPr>
      </w:pPr>
      <w:r>
        <w:rPr>
          <w:rFonts w:hint="eastAsia" w:hAnsi="宋体" w:cs="宋体"/>
          <w:color w:val="auto"/>
          <w:sz w:val="24"/>
        </w:rPr>
        <w:t>法定代表人（签字或签章）：</w:t>
      </w:r>
      <w:r>
        <w:rPr>
          <w:rFonts w:hint="eastAsia" w:hAnsi="宋体" w:cs="宋体"/>
          <w:color w:val="auto"/>
          <w:sz w:val="24"/>
          <w:u w:val="single"/>
        </w:rPr>
        <w:t xml:space="preserve">                     </w:t>
      </w:r>
    </w:p>
    <w:p>
      <w:pPr>
        <w:pStyle w:val="12"/>
        <w:tabs>
          <w:tab w:val="left" w:pos="5580"/>
        </w:tabs>
        <w:spacing w:line="240" w:lineRule="atLeast"/>
        <w:ind w:firstLine="486" w:firstLineChars="200"/>
        <w:rPr>
          <w:rFonts w:hAnsi="宋体" w:cs="宋体"/>
          <w:color w:val="auto"/>
          <w:sz w:val="24"/>
          <w:u w:val="single"/>
        </w:rPr>
      </w:pPr>
      <w:r>
        <w:rPr>
          <w:rFonts w:hint="eastAsia" w:hAnsi="宋体" w:cs="宋体"/>
          <w:color w:val="auto"/>
          <w:sz w:val="24"/>
        </w:rPr>
        <w:t>委托代理人：</w:t>
      </w:r>
      <w:r>
        <w:rPr>
          <w:rFonts w:hint="eastAsia" w:hAnsi="宋体" w:cs="宋体"/>
          <w:color w:val="auto"/>
          <w:sz w:val="24"/>
          <w:u w:val="single"/>
        </w:rPr>
        <w:t xml:space="preserve">                                   </w:t>
      </w:r>
    </w:p>
    <w:p>
      <w:pPr>
        <w:spacing w:line="360" w:lineRule="auto"/>
        <w:ind w:firstLine="486" w:firstLineChars="200"/>
        <w:jc w:val="left"/>
        <w:rPr>
          <w:rFonts w:ascii="宋体" w:hAnsi="宋体" w:cs="宋体"/>
          <w:sz w:val="24"/>
          <w:szCs w:val="20"/>
          <w:u w:color="000000"/>
        </w:rPr>
      </w:pPr>
      <w:r>
        <w:rPr>
          <w:rFonts w:hint="eastAsia" w:ascii="宋体" w:hAnsi="宋体" w:cs="宋体"/>
          <w:sz w:val="24"/>
          <w:szCs w:val="20"/>
          <w:u w:color="000000"/>
        </w:rPr>
        <w:t xml:space="preserve">年   月   日 </w:t>
      </w:r>
    </w:p>
    <w:p>
      <w:pPr>
        <w:pStyle w:val="4"/>
        <w:spacing w:line="240" w:lineRule="atLeast"/>
        <w:ind w:left="547" w:leftChars="257" w:firstLine="0"/>
        <w:rPr>
          <w:rFonts w:ascii="宋体" w:hAnsi="宋体" w:cs="宋体"/>
        </w:rPr>
      </w:pPr>
      <w:r>
        <w:rPr>
          <w:rFonts w:hint="eastAsia" w:ascii="宋体" w:hAnsi="宋体" w:cs="宋体"/>
        </w:rPr>
        <w:br w:type="page"/>
      </w:r>
      <w:bookmarkStart w:id="194" w:name="_Toc26357"/>
    </w:p>
    <w:bookmarkEnd w:id="184"/>
    <w:bookmarkEnd w:id="185"/>
    <w:bookmarkEnd w:id="186"/>
    <w:bookmarkEnd w:id="194"/>
    <w:p>
      <w:pPr>
        <w:pStyle w:val="4"/>
        <w:spacing w:line="240" w:lineRule="atLeast"/>
        <w:ind w:left="0" w:firstLine="0"/>
        <w:rPr>
          <w:rFonts w:ascii="宋体" w:hAnsi="宋体" w:cs="宋体"/>
        </w:rPr>
      </w:pPr>
      <w:bookmarkStart w:id="195" w:name="_Toc4866"/>
      <w:bookmarkStart w:id="196" w:name="_Toc515647809"/>
      <w:bookmarkStart w:id="197" w:name="_Toc111210568"/>
      <w:bookmarkStart w:id="198" w:name="_Toc28445"/>
      <w:bookmarkStart w:id="199" w:name="_Toc111210772"/>
      <w:bookmarkStart w:id="200" w:name="_Toc111210345"/>
      <w:bookmarkStart w:id="201" w:name="_Toc11047"/>
      <w:r>
        <w:rPr>
          <w:rFonts w:hint="eastAsia" w:ascii="宋体" w:hAnsi="宋体" w:cs="宋体"/>
        </w:rPr>
        <w:t>5、投标保证金缴纳凭证或投标担保函</w:t>
      </w:r>
      <w:bookmarkEnd w:id="195"/>
      <w:bookmarkEnd w:id="196"/>
      <w:bookmarkEnd w:id="197"/>
      <w:bookmarkEnd w:id="198"/>
      <w:bookmarkEnd w:id="199"/>
      <w:bookmarkEnd w:id="200"/>
      <w:bookmarkEnd w:id="201"/>
    </w:p>
    <w:p>
      <w:pPr>
        <w:ind w:firstLine="486" w:firstLineChars="200"/>
        <w:rPr>
          <w:rFonts w:ascii="宋体" w:hAnsi="宋体" w:cs="宋体"/>
          <w:sz w:val="24"/>
        </w:rPr>
      </w:pPr>
      <w:bookmarkStart w:id="202" w:name="_Toc494296665"/>
      <w:bookmarkStart w:id="203" w:name="_Toc494296991"/>
    </w:p>
    <w:p>
      <w:pPr>
        <w:ind w:firstLine="486" w:firstLineChars="200"/>
        <w:rPr>
          <w:rFonts w:ascii="宋体" w:hAnsi="宋体" w:cs="宋体"/>
          <w:sz w:val="24"/>
        </w:rPr>
      </w:pPr>
      <w:r>
        <w:rPr>
          <w:rFonts w:hint="eastAsia" w:ascii="宋体" w:hAnsi="宋体" w:cs="宋体"/>
          <w:sz w:val="24"/>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202"/>
      <w:bookmarkEnd w:id="203"/>
    </w:p>
    <w:p>
      <w:pPr>
        <w:pStyle w:val="6"/>
        <w:rPr>
          <w:rFonts w:ascii="宋体" w:hAnsi="宋体" w:cs="宋体"/>
        </w:rPr>
      </w:pPr>
    </w:p>
    <w:tbl>
      <w:tblPr>
        <w:tblStyle w:val="23"/>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tcPr>
          <w:p>
            <w:pP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投标保证金收据</w:t>
            </w:r>
          </w:p>
        </w:tc>
      </w:tr>
    </w:tbl>
    <w:p>
      <w:pPr>
        <w:pStyle w:val="6"/>
        <w:rPr>
          <w:rFonts w:ascii="宋体" w:hAnsi="宋体" w:cs="宋体"/>
        </w:rPr>
      </w:pPr>
    </w:p>
    <w:p>
      <w:pPr>
        <w:spacing w:line="240" w:lineRule="atLeast"/>
        <w:ind w:left="1087" w:leftChars="257" w:hanging="540"/>
        <w:jc w:val="center"/>
        <w:rPr>
          <w:rFonts w:ascii="宋体" w:hAnsi="宋体" w:cs="宋体"/>
          <w:sz w:val="24"/>
        </w:rPr>
      </w:pPr>
    </w:p>
    <w:p>
      <w:pPr>
        <w:rPr>
          <w:rFonts w:ascii="宋体" w:hAnsi="宋体" w:cs="宋体"/>
          <w:sz w:val="28"/>
          <w:szCs w:val="28"/>
        </w:rPr>
      </w:pPr>
    </w:p>
    <w:tbl>
      <w:tblPr>
        <w:tblStyle w:val="23"/>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tc>
      </w:tr>
    </w:tbl>
    <w:p>
      <w:pPr>
        <w:pStyle w:val="6"/>
        <w:rPr>
          <w:rFonts w:ascii="宋体" w:hAnsi="宋体" w:cs="宋体"/>
        </w:rPr>
      </w:pPr>
    </w:p>
    <w:p>
      <w:pPr>
        <w:pStyle w:val="6"/>
        <w:rPr>
          <w:rFonts w:ascii="宋体" w:hAnsi="宋体" w:cs="宋体"/>
        </w:rPr>
      </w:pPr>
    </w:p>
    <w:p>
      <w:pPr>
        <w:pStyle w:val="6"/>
        <w:rPr>
          <w:rFonts w:ascii="宋体" w:hAnsi="宋体" w:cs="宋体"/>
        </w:rPr>
      </w:pPr>
    </w:p>
    <w:p>
      <w:pPr>
        <w:pStyle w:val="6"/>
        <w:rPr>
          <w:rFonts w:ascii="宋体" w:hAnsi="宋体" w:cs="宋体"/>
        </w:rPr>
      </w:pPr>
    </w:p>
    <w:p>
      <w:pPr>
        <w:pStyle w:val="6"/>
        <w:rPr>
          <w:rFonts w:ascii="宋体" w:hAnsi="宋体" w:cs="宋体"/>
        </w:rPr>
      </w:pPr>
    </w:p>
    <w:p>
      <w:pPr>
        <w:pStyle w:val="6"/>
        <w:rPr>
          <w:rFonts w:ascii="宋体" w:hAnsi="宋体" w:cs="宋体"/>
        </w:rPr>
      </w:pPr>
    </w:p>
    <w:p/>
    <w:p>
      <w:pPr>
        <w:pStyle w:val="6"/>
        <w:rPr>
          <w:rFonts w:ascii="宋体" w:hAnsi="宋体" w:cs="宋体"/>
        </w:rPr>
      </w:pPr>
    </w:p>
    <w:p>
      <w:pPr>
        <w:jc w:val="center"/>
        <w:rPr>
          <w:rFonts w:ascii="宋体" w:hAnsi="宋体" w:cs="宋体"/>
          <w:sz w:val="28"/>
          <w:szCs w:val="28"/>
        </w:rPr>
      </w:pPr>
      <w:r>
        <w:rPr>
          <w:rFonts w:hint="eastAsia" w:ascii="宋体" w:hAnsi="宋体" w:cs="宋体"/>
          <w:sz w:val="28"/>
          <w:szCs w:val="28"/>
          <w:highlight w:val="none"/>
        </w:rPr>
        <w:t>6、政府采购投标担保函 （项目用）（投标文件格式三）</w:t>
      </w:r>
    </w:p>
    <w:p>
      <w:pPr>
        <w:ind w:firstLine="5856" w:firstLineChars="3200"/>
        <w:rPr>
          <w:rFonts w:ascii="宋体" w:hAnsi="宋体" w:cs="宋体"/>
          <w:sz w:val="18"/>
          <w:szCs w:val="18"/>
        </w:rPr>
      </w:pPr>
      <w:r>
        <w:rPr>
          <w:rFonts w:hint="eastAsia" w:ascii="宋体" w:hAnsi="宋体" w:cs="宋体"/>
          <w:sz w:val="18"/>
          <w:szCs w:val="18"/>
        </w:rPr>
        <w:t>编号：</w:t>
      </w:r>
    </w:p>
    <w:p>
      <w:pPr>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u w:val="single"/>
        </w:rPr>
        <w:t xml:space="preserve">                  </w:t>
      </w:r>
      <w:r>
        <w:rPr>
          <w:rFonts w:hint="eastAsia" w:ascii="宋体" w:hAnsi="宋体" w:cs="宋体"/>
          <w:sz w:val="18"/>
          <w:szCs w:val="18"/>
        </w:rPr>
        <w:t>（采购人或采购代理机构）：</w:t>
      </w:r>
    </w:p>
    <w:p>
      <w:pPr>
        <w:ind w:firstLine="366" w:firstLineChars="200"/>
        <w:rPr>
          <w:rFonts w:ascii="宋体" w:hAnsi="宋体" w:cs="宋体"/>
          <w:sz w:val="18"/>
          <w:szCs w:val="18"/>
        </w:rPr>
      </w:pPr>
      <w:r>
        <w:rPr>
          <w:rFonts w:hint="eastAsia" w:ascii="宋体" w:hAnsi="宋体" w:cs="宋体"/>
          <w:sz w:val="18"/>
          <w:szCs w:val="18"/>
        </w:rPr>
        <w:t>鉴于</w:t>
      </w:r>
      <w:r>
        <w:rPr>
          <w:rFonts w:hint="eastAsia" w:ascii="宋体" w:hAnsi="宋体" w:cs="宋体"/>
          <w:sz w:val="18"/>
          <w:szCs w:val="18"/>
          <w:u w:val="single"/>
        </w:rPr>
        <w:t xml:space="preserve">               </w:t>
      </w:r>
      <w:r>
        <w:rPr>
          <w:rFonts w:hint="eastAsia" w:ascii="宋体" w:hAnsi="宋体" w:cs="宋体"/>
          <w:sz w:val="18"/>
          <w:szCs w:val="18"/>
        </w:rPr>
        <w:t>（以下简称“投标人”）拟参加编号为</w:t>
      </w:r>
      <w:r>
        <w:rPr>
          <w:rFonts w:hint="eastAsia" w:ascii="宋体" w:hAnsi="宋体" w:cs="宋体"/>
          <w:sz w:val="18"/>
          <w:szCs w:val="18"/>
          <w:u w:val="single"/>
        </w:rPr>
        <w:t xml:space="preserve">            </w:t>
      </w:r>
      <w:r>
        <w:rPr>
          <w:rFonts w:hint="eastAsia" w:ascii="宋体" w:hAnsi="宋体" w:cs="宋体"/>
          <w:sz w:val="18"/>
          <w:szCs w:val="18"/>
        </w:rPr>
        <w:t>的</w:t>
      </w:r>
      <w:r>
        <w:rPr>
          <w:rFonts w:hint="eastAsia" w:ascii="宋体" w:hAnsi="宋体" w:cs="宋体"/>
          <w:sz w:val="18"/>
          <w:szCs w:val="18"/>
          <w:u w:val="single"/>
        </w:rPr>
        <w:t xml:space="preserve">           </w:t>
      </w:r>
      <w:r>
        <w:rPr>
          <w:rFonts w:hint="eastAsia" w:ascii="宋体" w:hAnsi="宋体" w:cs="宋体"/>
          <w:sz w:val="18"/>
          <w:szCs w:val="18"/>
        </w:rPr>
        <w:t xml:space="preserve">                            </w:t>
      </w:r>
    </w:p>
    <w:p>
      <w:pPr>
        <w:rPr>
          <w:rFonts w:ascii="宋体" w:hAnsi="宋体" w:cs="宋体"/>
          <w:sz w:val="18"/>
          <w:szCs w:val="18"/>
        </w:rPr>
      </w:pPr>
      <w:r>
        <w:rPr>
          <w:rFonts w:hint="eastAsia" w:ascii="宋体" w:hAnsi="宋体" w:cs="宋体"/>
          <w:sz w:val="18"/>
          <w:szCs w:val="18"/>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366" w:firstLineChars="200"/>
        <w:rPr>
          <w:rFonts w:ascii="宋体" w:hAnsi="宋体" w:cs="宋体"/>
          <w:sz w:val="18"/>
          <w:szCs w:val="18"/>
        </w:rPr>
      </w:pPr>
      <w:r>
        <w:rPr>
          <w:rFonts w:hint="eastAsia" w:ascii="宋体" w:hAnsi="宋体" w:cs="宋体"/>
          <w:sz w:val="18"/>
          <w:szCs w:val="18"/>
        </w:rPr>
        <w:t>一、保证责任的情形及保证金额</w:t>
      </w:r>
    </w:p>
    <w:p>
      <w:pPr>
        <w:ind w:firstLine="183" w:firstLineChars="100"/>
        <w:rPr>
          <w:rFonts w:ascii="宋体" w:hAnsi="宋体" w:cs="宋体"/>
          <w:sz w:val="18"/>
          <w:szCs w:val="18"/>
        </w:rPr>
      </w:pPr>
      <w:r>
        <w:rPr>
          <w:rFonts w:hint="eastAsia" w:ascii="宋体" w:hAnsi="宋体" w:cs="宋体"/>
          <w:sz w:val="18"/>
          <w:szCs w:val="18"/>
        </w:rPr>
        <w:t>（一）在投标人出现下列情形之一时，我方承担保证责任：</w:t>
      </w:r>
    </w:p>
    <w:p>
      <w:pPr>
        <w:ind w:firstLine="366" w:firstLineChars="200"/>
        <w:rPr>
          <w:rFonts w:ascii="宋体" w:hAnsi="宋体" w:cs="宋体"/>
          <w:sz w:val="18"/>
          <w:szCs w:val="18"/>
        </w:rPr>
      </w:pPr>
      <w:r>
        <w:rPr>
          <w:rFonts w:hint="eastAsia" w:ascii="宋体" w:hAnsi="宋体" w:cs="宋体"/>
          <w:sz w:val="18"/>
          <w:szCs w:val="18"/>
        </w:rPr>
        <w:t>1．中标后投标人无正当理由不与采购人或者采购代理机构签订《政府采购合同》；</w:t>
      </w:r>
    </w:p>
    <w:p>
      <w:pPr>
        <w:ind w:firstLine="366" w:firstLineChars="200"/>
        <w:rPr>
          <w:rFonts w:ascii="宋体" w:hAnsi="宋体" w:cs="宋体"/>
          <w:sz w:val="18"/>
          <w:szCs w:val="18"/>
        </w:rPr>
      </w:pPr>
      <w:r>
        <w:rPr>
          <w:rFonts w:hint="eastAsia" w:ascii="宋体" w:hAnsi="宋体" w:cs="宋体"/>
          <w:sz w:val="18"/>
          <w:szCs w:val="18"/>
        </w:rPr>
        <w:t>2．招标文件规定的投标人应当缴纳保证金的其他情形。</w:t>
      </w:r>
    </w:p>
    <w:p>
      <w:pPr>
        <w:ind w:firstLine="183" w:firstLineChars="100"/>
        <w:rPr>
          <w:rFonts w:ascii="宋体" w:hAnsi="宋体" w:cs="宋体"/>
          <w:sz w:val="18"/>
          <w:szCs w:val="18"/>
        </w:rPr>
      </w:pPr>
      <w:r>
        <w:rPr>
          <w:rFonts w:hint="eastAsia" w:ascii="宋体" w:hAnsi="宋体" w:cs="宋体"/>
          <w:sz w:val="18"/>
          <w:szCs w:val="18"/>
        </w:rPr>
        <w:t>（二）我方承担保证责任的最高金额为人民币</w:t>
      </w:r>
      <w:r>
        <w:rPr>
          <w:rFonts w:hint="eastAsia" w:ascii="宋体" w:hAnsi="宋体" w:cs="宋体"/>
          <w:sz w:val="18"/>
          <w:szCs w:val="18"/>
          <w:u w:val="single"/>
        </w:rPr>
        <w:t xml:space="preserve">      </w:t>
      </w:r>
      <w:r>
        <w:rPr>
          <w:rFonts w:hint="eastAsia" w:ascii="宋体" w:hAnsi="宋体" w:cs="宋体"/>
          <w:sz w:val="18"/>
          <w:szCs w:val="18"/>
        </w:rPr>
        <w:t>元（大写</w:t>
      </w:r>
      <w:r>
        <w:rPr>
          <w:rFonts w:hint="eastAsia" w:ascii="宋体" w:hAnsi="宋体" w:cs="宋体"/>
          <w:sz w:val="18"/>
          <w:szCs w:val="18"/>
          <w:u w:val="single"/>
        </w:rPr>
        <w:t xml:space="preserve">            </w:t>
      </w:r>
      <w:r>
        <w:rPr>
          <w:rFonts w:hint="eastAsia" w:ascii="宋体" w:hAnsi="宋体" w:cs="宋体"/>
          <w:sz w:val="18"/>
          <w:szCs w:val="18"/>
        </w:rPr>
        <w:t>），即本项目的投标保证金金额。</w:t>
      </w:r>
    </w:p>
    <w:p>
      <w:pPr>
        <w:ind w:firstLine="366" w:firstLineChars="200"/>
        <w:rPr>
          <w:rFonts w:ascii="宋体" w:hAnsi="宋体" w:cs="宋体"/>
          <w:sz w:val="18"/>
          <w:szCs w:val="18"/>
        </w:rPr>
      </w:pPr>
      <w:r>
        <w:rPr>
          <w:rFonts w:hint="eastAsia" w:ascii="宋体" w:hAnsi="宋体" w:cs="宋体"/>
          <w:sz w:val="18"/>
          <w:szCs w:val="18"/>
        </w:rPr>
        <w:t>二、保证的方式及保证期间</w:t>
      </w:r>
    </w:p>
    <w:p>
      <w:pPr>
        <w:ind w:firstLine="366" w:firstLineChars="200"/>
        <w:rPr>
          <w:rFonts w:ascii="宋体" w:hAnsi="宋体" w:cs="宋体"/>
          <w:sz w:val="18"/>
          <w:szCs w:val="18"/>
        </w:rPr>
      </w:pPr>
      <w:r>
        <w:rPr>
          <w:rFonts w:hint="eastAsia" w:ascii="宋体" w:hAnsi="宋体" w:cs="宋体"/>
          <w:sz w:val="18"/>
          <w:szCs w:val="18"/>
        </w:rPr>
        <w:t>我方保证的方式为：连带责任保证。</w:t>
      </w:r>
    </w:p>
    <w:p>
      <w:pPr>
        <w:ind w:firstLine="366" w:firstLineChars="200"/>
        <w:rPr>
          <w:rFonts w:ascii="宋体" w:hAnsi="宋体" w:cs="宋体"/>
          <w:sz w:val="18"/>
          <w:szCs w:val="18"/>
        </w:rPr>
      </w:pPr>
      <w:r>
        <w:rPr>
          <w:rFonts w:hint="eastAsia" w:ascii="宋体" w:hAnsi="宋体" w:cs="宋体"/>
          <w:sz w:val="18"/>
          <w:szCs w:val="18"/>
        </w:rPr>
        <w:t>我方的保证期间为：自本保函生效之日起</w:t>
      </w:r>
      <w:r>
        <w:rPr>
          <w:rFonts w:hint="eastAsia" w:ascii="宋体" w:hAnsi="宋体" w:cs="宋体"/>
          <w:sz w:val="18"/>
          <w:szCs w:val="18"/>
          <w:u w:val="single"/>
        </w:rPr>
        <w:t xml:space="preserve">    </w:t>
      </w:r>
      <w:r>
        <w:rPr>
          <w:rFonts w:hint="eastAsia" w:ascii="宋体" w:hAnsi="宋体" w:cs="宋体"/>
          <w:sz w:val="18"/>
          <w:szCs w:val="18"/>
        </w:rPr>
        <w:t>个月止。</w:t>
      </w:r>
    </w:p>
    <w:p>
      <w:pPr>
        <w:ind w:firstLine="366" w:firstLineChars="200"/>
        <w:rPr>
          <w:rFonts w:ascii="宋体" w:hAnsi="宋体" w:cs="宋体"/>
          <w:sz w:val="18"/>
          <w:szCs w:val="18"/>
        </w:rPr>
      </w:pPr>
      <w:r>
        <w:rPr>
          <w:rFonts w:hint="eastAsia" w:ascii="宋体" w:hAnsi="宋体" w:cs="宋体"/>
          <w:sz w:val="18"/>
          <w:szCs w:val="18"/>
        </w:rPr>
        <w:t>三、承担保证责任的程序</w:t>
      </w:r>
    </w:p>
    <w:p>
      <w:pPr>
        <w:ind w:firstLine="366" w:firstLineChars="200"/>
        <w:rPr>
          <w:rFonts w:ascii="宋体" w:hAnsi="宋体" w:cs="宋体"/>
          <w:sz w:val="18"/>
          <w:szCs w:val="18"/>
        </w:rPr>
      </w:pPr>
      <w:r>
        <w:rPr>
          <w:rFonts w:hint="eastAsia" w:ascii="宋体" w:hAnsi="宋体" w:cs="宋体"/>
          <w:sz w:val="18"/>
          <w:szCs w:val="18"/>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366" w:firstLineChars="200"/>
        <w:rPr>
          <w:rFonts w:ascii="宋体" w:hAnsi="宋体" w:cs="宋体"/>
          <w:sz w:val="18"/>
          <w:szCs w:val="18"/>
        </w:rPr>
      </w:pPr>
      <w:r>
        <w:rPr>
          <w:rFonts w:hint="eastAsia" w:ascii="宋体" w:hAnsi="宋体" w:cs="宋体"/>
          <w:sz w:val="18"/>
          <w:szCs w:val="18"/>
        </w:rPr>
        <w:t>2．我方在收到索赔通知及相关证明材料后，在</w:t>
      </w:r>
      <w:r>
        <w:rPr>
          <w:rFonts w:hint="eastAsia" w:ascii="宋体" w:hAnsi="宋体" w:cs="宋体"/>
          <w:sz w:val="18"/>
          <w:szCs w:val="18"/>
          <w:u w:val="single"/>
        </w:rPr>
        <w:t>　　　</w:t>
      </w:r>
      <w:r>
        <w:rPr>
          <w:rFonts w:hint="eastAsia" w:ascii="宋体" w:hAnsi="宋体" w:cs="宋体"/>
          <w:sz w:val="18"/>
          <w:szCs w:val="18"/>
        </w:rPr>
        <w:t>个工作日内进行审查，符合应承担保证责任情形的，我方应按照你方的要求代投标人向你方支付投标保证金。</w:t>
      </w:r>
    </w:p>
    <w:p>
      <w:pPr>
        <w:ind w:firstLine="366" w:firstLineChars="200"/>
        <w:rPr>
          <w:rFonts w:ascii="宋体" w:hAnsi="宋体" w:cs="宋体"/>
          <w:sz w:val="18"/>
          <w:szCs w:val="18"/>
        </w:rPr>
      </w:pPr>
      <w:r>
        <w:rPr>
          <w:rFonts w:hint="eastAsia" w:ascii="宋体" w:hAnsi="宋体" w:cs="宋体"/>
          <w:sz w:val="18"/>
          <w:szCs w:val="18"/>
        </w:rPr>
        <w:t>四、保证责任的终止</w:t>
      </w:r>
    </w:p>
    <w:p>
      <w:pPr>
        <w:ind w:firstLine="366" w:firstLineChars="200"/>
        <w:rPr>
          <w:rFonts w:ascii="宋体" w:hAnsi="宋体" w:cs="宋体"/>
          <w:sz w:val="18"/>
          <w:szCs w:val="18"/>
        </w:rPr>
      </w:pPr>
      <w:r>
        <w:rPr>
          <w:rFonts w:hint="eastAsia" w:ascii="宋体" w:hAnsi="宋体" w:cs="宋体"/>
          <w:sz w:val="18"/>
          <w:szCs w:val="18"/>
        </w:rPr>
        <w:t>1．保证期间届满你方未向我方书面主张保证责任的，自保证期间届满次日起，我方保证责任自动终止。</w:t>
      </w:r>
    </w:p>
    <w:p>
      <w:pPr>
        <w:ind w:firstLine="366" w:firstLineChars="200"/>
        <w:rPr>
          <w:rFonts w:ascii="宋体" w:hAnsi="宋体" w:cs="宋体"/>
          <w:sz w:val="18"/>
          <w:szCs w:val="18"/>
        </w:rPr>
      </w:pPr>
      <w:r>
        <w:rPr>
          <w:rFonts w:hint="eastAsia" w:ascii="宋体" w:hAnsi="宋体" w:cs="宋体"/>
          <w:sz w:val="18"/>
          <w:szCs w:val="18"/>
        </w:rPr>
        <w:t>2．我方按照本保函向你贵方履行了保证责任后，自我方向你贵方支付款项（支付款项从我方账户划出）之日起，保证责任终止。</w:t>
      </w:r>
    </w:p>
    <w:p>
      <w:pPr>
        <w:ind w:firstLine="366" w:firstLineChars="200"/>
        <w:rPr>
          <w:rFonts w:ascii="宋体" w:hAnsi="宋体" w:cs="宋体"/>
          <w:sz w:val="18"/>
          <w:szCs w:val="18"/>
        </w:rPr>
      </w:pPr>
      <w:r>
        <w:rPr>
          <w:rFonts w:hint="eastAsia" w:ascii="宋体" w:hAnsi="宋体" w:cs="宋体"/>
          <w:sz w:val="18"/>
          <w:szCs w:val="18"/>
        </w:rPr>
        <w:t>3．按照法律法规的规定或出现我方保证责任终止的其它情形的，我方在本保函项下的保证责任亦终止。</w:t>
      </w:r>
    </w:p>
    <w:p>
      <w:pPr>
        <w:ind w:firstLine="366" w:firstLineChars="200"/>
        <w:rPr>
          <w:rFonts w:ascii="宋体" w:hAnsi="宋体" w:cs="宋体"/>
          <w:sz w:val="18"/>
          <w:szCs w:val="18"/>
        </w:rPr>
      </w:pPr>
      <w:r>
        <w:rPr>
          <w:rFonts w:hint="eastAsia" w:ascii="宋体" w:hAnsi="宋体" w:cs="宋体"/>
          <w:sz w:val="18"/>
          <w:szCs w:val="18"/>
        </w:rPr>
        <w:t>五、免责条款</w:t>
      </w:r>
    </w:p>
    <w:p>
      <w:pPr>
        <w:ind w:firstLine="366" w:firstLineChars="200"/>
        <w:rPr>
          <w:rFonts w:ascii="宋体" w:hAnsi="宋体" w:cs="宋体"/>
          <w:sz w:val="18"/>
          <w:szCs w:val="18"/>
        </w:rPr>
      </w:pPr>
      <w:r>
        <w:rPr>
          <w:rFonts w:hint="eastAsia" w:ascii="宋体" w:hAnsi="宋体" w:cs="宋体"/>
          <w:sz w:val="18"/>
          <w:szCs w:val="18"/>
        </w:rPr>
        <w:t>1．依照法律规定或你方与投标人的另行约定，全部或者部分免除投标人投标保证金义务时，我方亦免除相应的保证责任。</w:t>
      </w:r>
    </w:p>
    <w:p>
      <w:pPr>
        <w:ind w:firstLine="366" w:firstLineChars="200"/>
        <w:rPr>
          <w:rFonts w:ascii="宋体" w:hAnsi="宋体" w:cs="宋体"/>
          <w:sz w:val="18"/>
          <w:szCs w:val="18"/>
        </w:rPr>
      </w:pPr>
      <w:r>
        <w:rPr>
          <w:rFonts w:hint="eastAsia" w:ascii="宋体" w:hAnsi="宋体" w:cs="宋体"/>
          <w:sz w:val="18"/>
          <w:szCs w:val="18"/>
        </w:rPr>
        <w:t>2．因你方原因致使投标人发生本保函第一条第（一）款约定情形的，我方不承担保证责任。</w:t>
      </w:r>
    </w:p>
    <w:p>
      <w:pPr>
        <w:ind w:firstLine="366" w:firstLineChars="200"/>
        <w:rPr>
          <w:rFonts w:ascii="宋体" w:hAnsi="宋体" w:cs="宋体"/>
          <w:sz w:val="18"/>
          <w:szCs w:val="18"/>
        </w:rPr>
      </w:pPr>
      <w:r>
        <w:rPr>
          <w:rFonts w:hint="eastAsia" w:ascii="宋体" w:hAnsi="宋体" w:cs="宋体"/>
          <w:sz w:val="18"/>
          <w:szCs w:val="18"/>
        </w:rPr>
        <w:t>3．因不可抗力造成投标人发生本保函第一条约定情形的，我方不承担保证责任。</w:t>
      </w:r>
    </w:p>
    <w:p>
      <w:pPr>
        <w:ind w:firstLine="366" w:firstLineChars="200"/>
        <w:rPr>
          <w:rFonts w:ascii="宋体" w:hAnsi="宋体" w:cs="宋体"/>
          <w:sz w:val="18"/>
          <w:szCs w:val="18"/>
        </w:rPr>
      </w:pPr>
      <w:r>
        <w:rPr>
          <w:rFonts w:hint="eastAsia" w:ascii="宋体" w:hAnsi="宋体" w:cs="宋体"/>
          <w:sz w:val="18"/>
          <w:szCs w:val="18"/>
        </w:rPr>
        <w:t>4．你方或其他有权机关对招标文件进行任何澄清或修改，加重我方保证责任的，我方对加重部分不承担保证责任，但该澄清或修改经我方事先书面同意的除外。</w:t>
      </w:r>
    </w:p>
    <w:p>
      <w:pPr>
        <w:ind w:firstLine="366" w:firstLineChars="200"/>
        <w:rPr>
          <w:rFonts w:ascii="宋体" w:hAnsi="宋体" w:cs="宋体"/>
          <w:sz w:val="18"/>
          <w:szCs w:val="18"/>
        </w:rPr>
      </w:pPr>
      <w:r>
        <w:rPr>
          <w:rFonts w:hint="eastAsia" w:ascii="宋体" w:hAnsi="宋体" w:cs="宋体"/>
          <w:sz w:val="18"/>
          <w:szCs w:val="18"/>
        </w:rPr>
        <w:t>六、争议的解决</w:t>
      </w:r>
    </w:p>
    <w:p>
      <w:pPr>
        <w:ind w:firstLine="366" w:firstLineChars="200"/>
        <w:rPr>
          <w:rFonts w:ascii="宋体" w:hAnsi="宋体" w:cs="宋体"/>
          <w:sz w:val="18"/>
          <w:szCs w:val="18"/>
        </w:rPr>
      </w:pPr>
      <w:r>
        <w:rPr>
          <w:rFonts w:hint="eastAsia" w:ascii="宋体" w:hAnsi="宋体" w:cs="宋体"/>
          <w:sz w:val="18"/>
          <w:szCs w:val="18"/>
        </w:rPr>
        <w:t>因本保函发生的纠纷，由你我双方协商解决，协商不成的，通过诉讼程序解决，诉讼管辖地法院为</w:t>
      </w:r>
      <w:r>
        <w:rPr>
          <w:rFonts w:hint="eastAsia" w:ascii="宋体" w:hAnsi="宋体" w:cs="宋体"/>
          <w:sz w:val="18"/>
          <w:szCs w:val="18"/>
          <w:u w:val="single"/>
        </w:rPr>
        <w:t xml:space="preserve">          </w:t>
      </w:r>
      <w:r>
        <w:rPr>
          <w:rFonts w:hint="eastAsia" w:ascii="宋体" w:hAnsi="宋体" w:cs="宋体"/>
          <w:sz w:val="18"/>
          <w:szCs w:val="18"/>
        </w:rPr>
        <w:t>法院。</w:t>
      </w:r>
    </w:p>
    <w:p>
      <w:pPr>
        <w:ind w:firstLine="366" w:firstLineChars="200"/>
        <w:rPr>
          <w:rFonts w:ascii="宋体" w:hAnsi="宋体" w:cs="宋体"/>
          <w:sz w:val="18"/>
          <w:szCs w:val="18"/>
        </w:rPr>
      </w:pPr>
      <w:r>
        <w:rPr>
          <w:rFonts w:hint="eastAsia" w:ascii="宋体" w:hAnsi="宋体" w:cs="宋体"/>
          <w:sz w:val="18"/>
          <w:szCs w:val="18"/>
        </w:rPr>
        <w:t>七、保函的生效</w:t>
      </w:r>
    </w:p>
    <w:p>
      <w:pPr>
        <w:ind w:firstLine="366" w:firstLineChars="200"/>
        <w:rPr>
          <w:rFonts w:ascii="宋体" w:hAnsi="宋体" w:cs="宋体"/>
          <w:sz w:val="18"/>
          <w:szCs w:val="18"/>
        </w:rPr>
      </w:pPr>
      <w:r>
        <w:rPr>
          <w:rFonts w:hint="eastAsia" w:ascii="宋体" w:hAnsi="宋体" w:cs="宋体"/>
          <w:sz w:val="18"/>
          <w:szCs w:val="18"/>
        </w:rPr>
        <w:t>本保函自我方加盖公章之日起生效。</w:t>
      </w:r>
    </w:p>
    <w:p>
      <w:pPr>
        <w:rPr>
          <w:rFonts w:ascii="宋体" w:hAnsi="宋体" w:cs="宋体"/>
          <w:sz w:val="18"/>
          <w:szCs w:val="18"/>
        </w:rPr>
        <w:sectPr>
          <w:headerReference r:id="rId5" w:type="default"/>
          <w:footerReference r:id="rId6" w:type="default"/>
          <w:pgSz w:w="11905" w:h="16838"/>
          <w:pgMar w:top="1440" w:right="1797" w:bottom="1440" w:left="1797" w:header="850" w:footer="992" w:gutter="0"/>
          <w:cols w:space="720" w:num="1"/>
          <w:docGrid w:type="linesAndChars" w:linePitch="325" w:charSpace="635"/>
        </w:sectPr>
      </w:pPr>
      <w:r>
        <w:rPr>
          <w:rFonts w:hint="eastAsia" w:ascii="宋体" w:hAnsi="宋体" w:cs="宋体"/>
          <w:sz w:val="18"/>
          <w:szCs w:val="18"/>
        </w:rPr>
        <w:t>保证人：（公章）                                             年     月      日</w:t>
      </w:r>
    </w:p>
    <w:p>
      <w:pPr>
        <w:pStyle w:val="4"/>
        <w:spacing w:line="240" w:lineRule="atLeast"/>
        <w:ind w:left="0" w:firstLine="0"/>
        <w:rPr>
          <w:rFonts w:ascii="宋体" w:hAnsi="宋体" w:cs="宋体"/>
        </w:rPr>
      </w:pPr>
      <w:bookmarkStart w:id="204" w:name="_Toc32670"/>
      <w:bookmarkStart w:id="205" w:name="_Toc24428"/>
      <w:bookmarkStart w:id="206" w:name="_Toc515647811"/>
      <w:bookmarkStart w:id="207" w:name="_Toc4937"/>
      <w:r>
        <w:rPr>
          <w:rFonts w:hint="eastAsia" w:ascii="宋体" w:hAnsi="宋体" w:cs="宋体"/>
        </w:rPr>
        <w:t xml:space="preserve"> </w:t>
      </w:r>
    </w:p>
    <w:p>
      <w:pPr>
        <w:pStyle w:val="4"/>
        <w:spacing w:line="240" w:lineRule="atLeast"/>
        <w:ind w:left="0" w:firstLine="0"/>
        <w:rPr>
          <w:rFonts w:ascii="宋体" w:hAnsi="宋体" w:cs="宋体"/>
        </w:rPr>
      </w:pPr>
      <w:bookmarkStart w:id="208" w:name="_Toc111210774"/>
      <w:bookmarkStart w:id="209" w:name="_Toc111210347"/>
      <w:bookmarkStart w:id="210" w:name="_Toc111210570"/>
      <w:r>
        <w:rPr>
          <w:rFonts w:hint="eastAsia" w:ascii="宋体" w:hAnsi="宋体" w:cs="宋体"/>
        </w:rPr>
        <w:t>7、参加政府采购活动前3年内</w:t>
      </w:r>
      <w:bookmarkEnd w:id="204"/>
      <w:bookmarkEnd w:id="205"/>
      <w:bookmarkEnd w:id="206"/>
      <w:bookmarkStart w:id="211" w:name="_Toc1137"/>
      <w:bookmarkStart w:id="212" w:name="_Toc6008"/>
      <w:bookmarkStart w:id="213" w:name="_Toc515647812"/>
      <w:r>
        <w:rPr>
          <w:rFonts w:hint="eastAsia" w:ascii="宋体" w:hAnsi="宋体" w:cs="宋体"/>
        </w:rPr>
        <w:t>在经营活动中没有重大违法记录的书面声明</w:t>
      </w:r>
      <w:bookmarkEnd w:id="207"/>
      <w:bookmarkEnd w:id="208"/>
      <w:bookmarkEnd w:id="209"/>
      <w:bookmarkEnd w:id="210"/>
      <w:bookmarkEnd w:id="211"/>
      <w:bookmarkEnd w:id="212"/>
      <w:bookmarkEnd w:id="213"/>
    </w:p>
    <w:p>
      <w:pPr>
        <w:pStyle w:val="12"/>
        <w:tabs>
          <w:tab w:val="left" w:pos="5580"/>
        </w:tabs>
        <w:spacing w:line="240" w:lineRule="atLeast"/>
        <w:ind w:left="1080" w:leftChars="257" w:hanging="540"/>
        <w:jc w:val="center"/>
        <w:rPr>
          <w:rFonts w:hAnsi="宋体" w:cs="宋体"/>
          <w:b/>
          <w:color w:val="auto"/>
          <w:sz w:val="24"/>
        </w:rPr>
      </w:pPr>
    </w:p>
    <w:p>
      <w:pPr>
        <w:pStyle w:val="12"/>
        <w:tabs>
          <w:tab w:val="left" w:pos="5580"/>
        </w:tabs>
        <w:spacing w:line="240" w:lineRule="atLeast"/>
        <w:ind w:left="1080" w:leftChars="257" w:hanging="540"/>
        <w:rPr>
          <w:rFonts w:hAnsi="宋体" w:cs="宋体"/>
          <w:color w:val="auto"/>
          <w:sz w:val="24"/>
        </w:rPr>
      </w:pPr>
    </w:p>
    <w:p>
      <w:pPr>
        <w:pStyle w:val="12"/>
        <w:tabs>
          <w:tab w:val="left" w:pos="5580"/>
        </w:tabs>
        <w:spacing w:line="240" w:lineRule="atLeast"/>
        <w:ind w:left="1080" w:leftChars="257" w:hanging="540"/>
        <w:rPr>
          <w:rFonts w:hAnsi="宋体" w:cs="宋体"/>
          <w:color w:val="auto"/>
          <w:sz w:val="24"/>
        </w:rPr>
      </w:pP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说明：1.投标人应按照相关法规规定如实作出说明。</w:t>
      </w:r>
    </w:p>
    <w:p>
      <w:pPr>
        <w:pStyle w:val="12"/>
        <w:tabs>
          <w:tab w:val="left" w:pos="5580"/>
        </w:tabs>
        <w:spacing w:line="240" w:lineRule="atLeast"/>
        <w:ind w:left="645" w:leftChars="307" w:firstLine="600" w:firstLineChars="250"/>
        <w:rPr>
          <w:rFonts w:hAnsi="宋体" w:cs="宋体"/>
          <w:color w:val="auto"/>
          <w:sz w:val="24"/>
        </w:rPr>
      </w:pPr>
      <w:r>
        <w:rPr>
          <w:rFonts w:hint="eastAsia" w:hAnsi="宋体" w:cs="宋体"/>
          <w:color w:val="auto"/>
          <w:sz w:val="24"/>
        </w:rPr>
        <w:t>2．按照招标文件的规定加盖单位章（自然人投标的无需盖章，需要签字）。</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 xml:space="preserve">  </w:t>
      </w:r>
    </w:p>
    <w:p>
      <w:pPr>
        <w:rPr>
          <w:rFonts w:ascii="宋体" w:hAnsi="宋体" w:cs="宋体"/>
          <w:sz w:val="24"/>
        </w:rPr>
      </w:pPr>
      <w:r>
        <w:rPr>
          <w:rFonts w:hint="eastAsia" w:ascii="宋体" w:hAnsi="宋体" w:cs="宋体"/>
          <w:sz w:val="24"/>
        </w:rPr>
        <w:br w:type="page"/>
      </w:r>
    </w:p>
    <w:p>
      <w:pPr>
        <w:pStyle w:val="4"/>
        <w:spacing w:line="240" w:lineRule="atLeast"/>
        <w:ind w:left="0" w:firstLine="0"/>
        <w:rPr>
          <w:rFonts w:ascii="宋体" w:hAnsi="宋体" w:cs="宋体"/>
        </w:rPr>
      </w:pPr>
      <w:bookmarkStart w:id="214" w:name="_Toc111210348"/>
      <w:bookmarkStart w:id="215" w:name="_Toc5548"/>
      <w:bookmarkStart w:id="216" w:name="_Toc111210571"/>
      <w:bookmarkStart w:id="217" w:name="_Toc29703"/>
      <w:bookmarkStart w:id="218" w:name="_Toc515647813"/>
      <w:bookmarkStart w:id="219" w:name="_Toc111210775"/>
      <w:bookmarkStart w:id="220" w:name="_Toc17207"/>
      <w:r>
        <w:rPr>
          <w:rFonts w:hint="eastAsia" w:ascii="宋体" w:hAnsi="宋体" w:cs="宋体"/>
        </w:rPr>
        <w:t>8、 投标人须知资料表要求的其他资格证明文件</w:t>
      </w:r>
      <w:bookmarkEnd w:id="214"/>
      <w:bookmarkEnd w:id="215"/>
      <w:bookmarkEnd w:id="216"/>
      <w:bookmarkEnd w:id="217"/>
      <w:bookmarkEnd w:id="218"/>
      <w:bookmarkEnd w:id="219"/>
      <w:bookmarkEnd w:id="220"/>
    </w:p>
    <w:p>
      <w:pPr>
        <w:spacing w:line="240" w:lineRule="atLeast"/>
        <w:ind w:left="1080" w:leftChars="257" w:hanging="540"/>
        <w:jc w:val="center"/>
        <w:rPr>
          <w:rFonts w:ascii="宋体" w:hAnsi="宋体" w:cs="宋体"/>
          <w:b/>
          <w:bCs/>
          <w:sz w:val="24"/>
        </w:rPr>
      </w:pPr>
    </w:p>
    <w:p>
      <w:pPr>
        <w:spacing w:line="240" w:lineRule="atLeast"/>
        <w:ind w:left="1080" w:leftChars="257" w:hanging="540"/>
        <w:jc w:val="center"/>
        <w:rPr>
          <w:rFonts w:ascii="宋体" w:hAnsi="宋体" w:cs="宋体"/>
          <w:b/>
          <w:bCs/>
          <w:sz w:val="24"/>
        </w:rPr>
      </w:pPr>
    </w:p>
    <w:p>
      <w:pPr>
        <w:spacing w:line="240" w:lineRule="atLeast"/>
        <w:ind w:left="1080" w:leftChars="257" w:hanging="540"/>
        <w:jc w:val="center"/>
        <w:rPr>
          <w:rFonts w:ascii="宋体" w:hAnsi="宋体" w:cs="宋体"/>
          <w:b/>
          <w:bCs/>
          <w:sz w:val="24"/>
        </w:rPr>
      </w:pP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说明：1.应提供</w:t>
      </w:r>
      <w:r>
        <w:rPr>
          <w:rFonts w:hint="eastAsia" w:hAnsi="宋体" w:cs="宋体"/>
          <w:color w:val="auto"/>
          <w:sz w:val="24"/>
          <w:u w:val="single"/>
        </w:rPr>
        <w:t>投标人须知资料表</w:t>
      </w:r>
      <w:r>
        <w:rPr>
          <w:rFonts w:hint="eastAsia" w:hAnsi="宋体" w:cs="宋体"/>
          <w:color w:val="auto"/>
          <w:sz w:val="24"/>
        </w:rPr>
        <w:t>要求的其他资格证明文件。</w:t>
      </w:r>
    </w:p>
    <w:p>
      <w:pPr>
        <w:snapToGrid w:val="0"/>
        <w:spacing w:line="290" w:lineRule="exact"/>
        <w:rPr>
          <w:rFonts w:hAnsi="宋体" w:cs="宋体"/>
          <w:sz w:val="24"/>
        </w:rPr>
      </w:pPr>
      <w:r>
        <w:rPr>
          <w:rFonts w:hint="eastAsia" w:hAnsi="宋体" w:cs="宋体"/>
          <w:sz w:val="24"/>
        </w:rPr>
        <w:t>主要包括：</w:t>
      </w:r>
    </w:p>
    <w:p>
      <w:pPr>
        <w:snapToGrid w:val="0"/>
        <w:spacing w:line="290" w:lineRule="exact"/>
        <w:rPr>
          <w:rFonts w:ascii="宋体" w:hAnsi="宋体" w:cs="宋体"/>
          <w:sz w:val="24"/>
          <w:szCs w:val="20"/>
          <w:highlight w:val="none"/>
          <w:u w:color="000000"/>
        </w:rPr>
      </w:pPr>
      <w:r>
        <w:rPr>
          <w:rFonts w:hint="eastAsia" w:ascii="宋体" w:hAnsi="宋体" w:cs="宋体"/>
          <w:sz w:val="24"/>
          <w:szCs w:val="20"/>
          <w:highlight w:val="none"/>
          <w:u w:color="000000"/>
        </w:rPr>
        <w:t>（1）具备合格的三证合一营业执照；</w:t>
      </w:r>
    </w:p>
    <w:p>
      <w:pPr>
        <w:snapToGrid w:val="0"/>
        <w:spacing w:line="290" w:lineRule="exact"/>
        <w:rPr>
          <w:rFonts w:ascii="宋体" w:hAnsi="宋体" w:cs="宋体"/>
          <w:sz w:val="24"/>
          <w:szCs w:val="20"/>
          <w:u w:color="000000"/>
        </w:rPr>
      </w:pPr>
      <w:r>
        <w:rPr>
          <w:rFonts w:hint="eastAsia" w:ascii="宋体" w:hAnsi="宋体" w:cs="宋体"/>
          <w:sz w:val="24"/>
          <w:szCs w:val="20"/>
          <w:u w:color="000000"/>
        </w:rPr>
        <w:t>（2）法定代表人投标需提供法定代表人资格证明书，委托代理人投标需提供法定代表人授权委托书；</w:t>
      </w:r>
    </w:p>
    <w:p>
      <w:pPr>
        <w:snapToGrid w:val="0"/>
        <w:spacing w:line="290" w:lineRule="exact"/>
        <w:rPr>
          <w:rFonts w:ascii="宋体" w:hAnsi="宋体" w:cs="宋体"/>
          <w:sz w:val="24"/>
          <w:szCs w:val="20"/>
          <w:u w:color="000000"/>
        </w:rPr>
      </w:pPr>
      <w:r>
        <w:rPr>
          <w:rFonts w:hint="eastAsia" w:ascii="宋体" w:hAnsi="宋体" w:cs="宋体"/>
          <w:sz w:val="24"/>
          <w:szCs w:val="20"/>
          <w:u w:color="000000"/>
        </w:rPr>
        <w:t>（3）有依法缴纳税收和社会保障资金的良好记录(提供承诺函及依法缴纳社会保障资金证明）；</w:t>
      </w:r>
    </w:p>
    <w:p>
      <w:pPr>
        <w:snapToGrid w:val="0"/>
        <w:spacing w:line="290" w:lineRule="exact"/>
        <w:rPr>
          <w:rFonts w:ascii="宋体" w:hAnsi="宋体" w:cs="宋体"/>
          <w:color w:val="auto"/>
          <w:sz w:val="24"/>
          <w:szCs w:val="20"/>
          <w:u w:color="000000"/>
        </w:rPr>
      </w:pPr>
      <w:r>
        <w:rPr>
          <w:rFonts w:hint="eastAsia" w:ascii="宋体" w:hAnsi="宋体" w:cs="宋体"/>
          <w:sz w:val="24"/>
          <w:szCs w:val="20"/>
          <w:u w:color="000000"/>
        </w:rPr>
        <w:t>（4）参加采购活动前三年内，在经营活动中没有重大违法记录，供应商须提供 “信用中国”网站（http://www.creditchina.gov.cn/）、“中国政府采购网”网站（http://www.ccgp.gov.cn）无违法违规行为的查询纪录（提供查询结果网页截图并加</w:t>
      </w:r>
      <w:r>
        <w:rPr>
          <w:rFonts w:hint="eastAsia" w:ascii="宋体" w:hAnsi="宋体" w:cs="宋体"/>
          <w:color w:val="auto"/>
          <w:sz w:val="24"/>
          <w:szCs w:val="20"/>
          <w:u w:color="000000"/>
        </w:rPr>
        <w:t>盖供应商公章）&lt;自公告发布之日起至投标截止时间从上述网站中查询&gt;；</w:t>
      </w:r>
    </w:p>
    <w:p>
      <w:pPr>
        <w:pStyle w:val="2"/>
        <w:rPr>
          <w:rFonts w:ascii="ˎ̥" w:hAnsi="ˎ̥"/>
          <w:color w:val="auto"/>
          <w:sz w:val="24"/>
          <w:highlight w:val="none"/>
        </w:rPr>
      </w:pPr>
      <w:r>
        <w:rPr>
          <w:rFonts w:hint="eastAsia" w:ascii="ˎ̥" w:hAnsi="ˎ̥"/>
          <w:color w:val="auto"/>
          <w:sz w:val="24"/>
          <w:highlight w:val="none"/>
        </w:rPr>
        <w:t>（5）投标人须具备城乡规划编制甲级资质和测绘（地理信息系统工程、地图编制）资质，或土地规划甲级资质和测绘（地理信息工程、地图编制）资质；</w:t>
      </w:r>
    </w:p>
    <w:p>
      <w:pPr>
        <w:pStyle w:val="2"/>
        <w:rPr>
          <w:rFonts w:ascii="ˎ̥" w:hAnsi="ˎ̥"/>
          <w:color w:val="auto"/>
          <w:sz w:val="24"/>
          <w:highlight w:val="none"/>
        </w:rPr>
      </w:pPr>
      <w:r>
        <w:rPr>
          <w:rFonts w:hint="eastAsia" w:ascii="ˎ̥" w:hAnsi="ˎ̥"/>
          <w:color w:val="auto"/>
          <w:sz w:val="24"/>
          <w:highlight w:val="none"/>
        </w:rPr>
        <w:t>（6）项目负责人不超过2人，整体应具有城乡规划且具有测绘或数据系统相关专业高级职称证书（专业类型以相关人员职称证书专业为准）；</w:t>
      </w:r>
    </w:p>
    <w:p>
      <w:pPr>
        <w:snapToGrid w:val="0"/>
        <w:spacing w:line="290" w:lineRule="exact"/>
        <w:rPr>
          <w:rFonts w:ascii="宋体" w:hAnsi="宋体" w:cs="宋体"/>
          <w:sz w:val="24"/>
          <w:szCs w:val="20"/>
          <w:u w:color="000000"/>
        </w:rPr>
      </w:pPr>
      <w:r>
        <w:rPr>
          <w:rFonts w:hint="eastAsia" w:ascii="宋体" w:hAnsi="宋体" w:cs="宋体"/>
          <w:sz w:val="24"/>
          <w:szCs w:val="20"/>
          <w:u w:color="000000"/>
        </w:rPr>
        <w:t>（7）保证金收据或保函等票据  </w:t>
      </w:r>
    </w:p>
    <w:p>
      <w:pPr>
        <w:pStyle w:val="2"/>
      </w:pPr>
    </w:p>
    <w:p>
      <w:pPr>
        <w:pStyle w:val="12"/>
        <w:tabs>
          <w:tab w:val="left" w:pos="5580"/>
        </w:tabs>
        <w:spacing w:line="240" w:lineRule="atLeast"/>
        <w:rPr>
          <w:rFonts w:hAnsi="宋体" w:cs="宋体"/>
          <w:color w:val="auto"/>
          <w:sz w:val="24"/>
        </w:rPr>
      </w:pPr>
      <w:r>
        <w:rPr>
          <w:rFonts w:hint="eastAsia" w:hAnsi="宋体" w:cs="宋体"/>
          <w:color w:val="auto"/>
          <w:sz w:val="24"/>
        </w:rPr>
        <w:t>2.复印件上应加盖本单位章（自然人投标的无需盖章，需要签字）。</w:t>
      </w:r>
    </w:p>
    <w:p>
      <w:pPr>
        <w:pStyle w:val="12"/>
        <w:tabs>
          <w:tab w:val="left" w:pos="5580"/>
        </w:tabs>
        <w:spacing w:line="240" w:lineRule="atLeast"/>
        <w:ind w:left="1260" w:leftChars="344" w:hanging="538"/>
        <w:rPr>
          <w:rFonts w:hAnsi="宋体" w:cs="宋体"/>
          <w:color w:val="auto"/>
          <w:sz w:val="24"/>
        </w:rPr>
      </w:pPr>
      <w:r>
        <w:rPr>
          <w:rFonts w:hint="eastAsia" w:hAnsi="宋体" w:cs="宋体"/>
          <w:color w:val="auto"/>
          <w:sz w:val="24"/>
        </w:rPr>
        <w:t xml:space="preserve">  </w:t>
      </w:r>
    </w:p>
    <w:p>
      <w:pPr>
        <w:pStyle w:val="42"/>
        <w:ind w:firstLine="0"/>
        <w:rPr>
          <w:rFonts w:ascii="宋体" w:hAnsi="宋体" w:cs="宋体"/>
          <w:bCs/>
          <w:color w:val="000000"/>
          <w:sz w:val="32"/>
          <w:szCs w:val="32"/>
        </w:rPr>
      </w:pPr>
      <w:bookmarkStart w:id="221" w:name="_Toc496526145"/>
      <w:bookmarkStart w:id="222" w:name="_Toc495251048"/>
      <w:bookmarkStart w:id="223" w:name="_Toc495250856"/>
      <w:r>
        <w:rPr>
          <w:rFonts w:ascii="宋体" w:hAnsi="宋体" w:cs="宋体"/>
          <w:bCs/>
          <w:color w:val="000000"/>
          <w:sz w:val="32"/>
          <w:szCs w:val="32"/>
        </w:rPr>
        <w:br w:type="page"/>
      </w:r>
    </w:p>
    <w:bookmarkEnd w:id="221"/>
    <w:bookmarkEnd w:id="222"/>
    <w:bookmarkEnd w:id="223"/>
    <w:p>
      <w:pPr>
        <w:jc w:val="center"/>
        <w:outlineLvl w:val="1"/>
        <w:rPr>
          <w:rFonts w:ascii="宋体"/>
          <w:b/>
          <w:sz w:val="28"/>
          <w:szCs w:val="28"/>
        </w:rPr>
      </w:pPr>
      <w:bookmarkStart w:id="224" w:name="_Toc111210776"/>
      <w:bookmarkStart w:id="225" w:name="_Toc22967"/>
      <w:bookmarkStart w:id="226" w:name="_Toc5695"/>
      <w:bookmarkStart w:id="227" w:name="_Toc515647816"/>
      <w:bookmarkStart w:id="228" w:name="_Toc11180"/>
      <w:r>
        <w:rPr>
          <w:rFonts w:hint="eastAsia" w:ascii="宋体"/>
          <w:b/>
          <w:sz w:val="28"/>
          <w:szCs w:val="28"/>
        </w:rPr>
        <w:t>第二部分  商务及技术文件</w:t>
      </w:r>
      <w:bookmarkEnd w:id="224"/>
      <w:bookmarkEnd w:id="225"/>
      <w:bookmarkEnd w:id="226"/>
      <w:bookmarkEnd w:id="227"/>
      <w:bookmarkEnd w:id="228"/>
    </w:p>
    <w:p>
      <w:pPr>
        <w:pStyle w:val="12"/>
        <w:spacing w:line="400" w:lineRule="exact"/>
        <w:ind w:left="1080" w:leftChars="257" w:hanging="540"/>
        <w:rPr>
          <w:rFonts w:hAnsi="宋体" w:cs="宋体"/>
          <w:color w:val="auto"/>
          <w:sz w:val="24"/>
        </w:rPr>
      </w:pPr>
    </w:p>
    <w:p>
      <w:pPr>
        <w:pStyle w:val="12"/>
        <w:spacing w:line="360" w:lineRule="auto"/>
        <w:ind w:left="1080" w:leftChars="257" w:hanging="540"/>
        <w:rPr>
          <w:rFonts w:hAnsi="宋体" w:cs="宋体"/>
          <w:color w:val="auto"/>
          <w:sz w:val="24"/>
        </w:rPr>
      </w:pPr>
      <w:r>
        <w:rPr>
          <w:rFonts w:hint="eastAsia" w:hAnsi="宋体" w:cs="宋体"/>
          <w:color w:val="auto"/>
          <w:sz w:val="24"/>
        </w:rPr>
        <w:t>1、投标书（投标文件格式五）</w:t>
      </w:r>
    </w:p>
    <w:p>
      <w:pPr>
        <w:pStyle w:val="12"/>
        <w:spacing w:line="360" w:lineRule="auto"/>
        <w:ind w:left="1080" w:leftChars="257" w:hanging="540"/>
        <w:rPr>
          <w:rFonts w:hAnsi="宋体" w:cs="宋体"/>
          <w:color w:val="auto"/>
          <w:sz w:val="24"/>
        </w:rPr>
      </w:pPr>
      <w:r>
        <w:rPr>
          <w:rFonts w:hint="eastAsia" w:hAnsi="宋体" w:cs="宋体"/>
          <w:color w:val="auto"/>
          <w:sz w:val="24"/>
        </w:rPr>
        <w:t>2、报价明细表（投标文件格式六）</w:t>
      </w:r>
    </w:p>
    <w:p>
      <w:pPr>
        <w:pStyle w:val="12"/>
        <w:spacing w:line="360" w:lineRule="auto"/>
        <w:ind w:left="1080" w:leftChars="257" w:hanging="540"/>
        <w:rPr>
          <w:rFonts w:hAnsi="宋体" w:cs="宋体"/>
          <w:b/>
          <w:bCs/>
          <w:sz w:val="24"/>
        </w:rPr>
      </w:pPr>
      <w:r>
        <w:rPr>
          <w:rFonts w:hint="eastAsia" w:hAnsi="宋体" w:cs="宋体"/>
          <w:color w:val="auto"/>
          <w:sz w:val="24"/>
        </w:rPr>
        <w:t>3、</w:t>
      </w:r>
      <w:r>
        <w:rPr>
          <w:rFonts w:hint="eastAsia" w:hAnsi="宋体" w:cs="宋体"/>
          <w:bCs/>
          <w:sz w:val="24"/>
        </w:rPr>
        <w:t>供应商</w:t>
      </w:r>
      <w:r>
        <w:rPr>
          <w:rFonts w:hAnsi="宋体" w:cs="宋体"/>
          <w:bCs/>
          <w:sz w:val="24"/>
        </w:rPr>
        <w:t>基本情况表（附资格审查资料）</w:t>
      </w:r>
      <w:r>
        <w:rPr>
          <w:rFonts w:hint="eastAsia" w:hAnsi="宋体" w:cs="宋体"/>
          <w:color w:val="auto"/>
          <w:sz w:val="24"/>
        </w:rPr>
        <w:t>（投标文件格式七）</w:t>
      </w:r>
    </w:p>
    <w:p>
      <w:pPr>
        <w:pStyle w:val="12"/>
        <w:spacing w:line="360" w:lineRule="auto"/>
        <w:ind w:left="1080" w:leftChars="257" w:hanging="540"/>
        <w:rPr>
          <w:rFonts w:hAnsi="宋体" w:cs="宋体"/>
          <w:b/>
          <w:sz w:val="24"/>
          <w:szCs w:val="24"/>
        </w:rPr>
      </w:pPr>
      <w:r>
        <w:rPr>
          <w:rFonts w:hint="eastAsia" w:hAnsi="宋体" w:cs="宋体"/>
          <w:color w:val="auto"/>
          <w:sz w:val="24"/>
          <w:szCs w:val="24"/>
        </w:rPr>
        <w:t>4、</w:t>
      </w:r>
      <w:r>
        <w:rPr>
          <w:rFonts w:hint="eastAsia" w:hAnsi="宋体" w:cs="宋体"/>
          <w:sz w:val="24"/>
          <w:szCs w:val="24"/>
        </w:rPr>
        <w:t>拟投入项目设计负责人简历表</w:t>
      </w:r>
    </w:p>
    <w:p>
      <w:pPr>
        <w:pStyle w:val="12"/>
        <w:spacing w:line="360" w:lineRule="auto"/>
        <w:ind w:left="1080" w:leftChars="257" w:hanging="540"/>
        <w:rPr>
          <w:rFonts w:hAnsi="宋体" w:cs="宋体"/>
          <w:color w:val="auto"/>
          <w:sz w:val="24"/>
        </w:rPr>
      </w:pPr>
      <w:r>
        <w:rPr>
          <w:rFonts w:hint="eastAsia" w:hAnsi="宋体" w:cs="宋体"/>
          <w:bCs/>
          <w:color w:val="auto"/>
          <w:sz w:val="24"/>
        </w:rPr>
        <w:t>5、</w:t>
      </w:r>
      <w:r>
        <w:rPr>
          <w:rFonts w:hint="eastAsia" w:hAnsi="宋体" w:cs="宋体"/>
          <w:color w:val="auto"/>
          <w:sz w:val="24"/>
        </w:rPr>
        <w:t>拟投入本项目主要人员汇总表</w:t>
      </w:r>
    </w:p>
    <w:p>
      <w:pPr>
        <w:pStyle w:val="13"/>
        <w:spacing w:line="360" w:lineRule="auto"/>
        <w:ind w:left="0" w:leftChars="0" w:firstLine="588" w:firstLineChars="245"/>
        <w:rPr>
          <w:rFonts w:ascii="宋体" w:hAnsi="宋体"/>
          <w:sz w:val="24"/>
        </w:rPr>
      </w:pPr>
      <w:r>
        <w:rPr>
          <w:rFonts w:hint="eastAsia" w:ascii="宋体" w:hAnsi="宋体"/>
          <w:bCs/>
          <w:sz w:val="24"/>
        </w:rPr>
        <w:t>6、</w:t>
      </w:r>
      <w:r>
        <w:rPr>
          <w:rFonts w:hint="eastAsia" w:ascii="宋体" w:hAnsi="宋体"/>
          <w:sz w:val="24"/>
        </w:rPr>
        <w:t>拟投入本项目的主要人员简历表</w:t>
      </w:r>
    </w:p>
    <w:p>
      <w:pPr>
        <w:spacing w:line="360" w:lineRule="auto"/>
        <w:ind w:firstLine="588" w:firstLineChars="245"/>
        <w:rPr>
          <w:rStyle w:val="60"/>
          <w:rFonts w:ascii="宋体" w:hAnsi="宋体"/>
          <w:b w:val="0"/>
          <w:sz w:val="24"/>
        </w:rPr>
      </w:pPr>
      <w:r>
        <w:rPr>
          <w:rFonts w:hint="eastAsia" w:ascii="宋体" w:hAnsi="宋体"/>
          <w:sz w:val="24"/>
        </w:rPr>
        <w:t>7、</w:t>
      </w:r>
      <w:r>
        <w:rPr>
          <w:rStyle w:val="60"/>
          <w:rFonts w:hint="eastAsia" w:ascii="宋体" w:hAnsi="宋体"/>
          <w:b w:val="0"/>
          <w:sz w:val="24"/>
        </w:rPr>
        <w:t>企业业绩</w:t>
      </w:r>
    </w:p>
    <w:p>
      <w:pPr>
        <w:pStyle w:val="4"/>
        <w:spacing w:line="360" w:lineRule="auto"/>
        <w:ind w:left="0" w:firstLine="600" w:firstLineChars="250"/>
        <w:rPr>
          <w:rFonts w:ascii="宋体" w:hAnsi="宋体" w:cs="宋体"/>
          <w:bCs/>
        </w:rPr>
      </w:pPr>
      <w:bookmarkStart w:id="229" w:name="_Toc111210573"/>
      <w:bookmarkStart w:id="230" w:name="_Toc111210350"/>
      <w:bookmarkStart w:id="231" w:name="_Toc111210777"/>
      <w:r>
        <w:rPr>
          <w:rFonts w:hint="eastAsia" w:ascii="宋体" w:hAnsi="宋体" w:cs="宋体"/>
          <w:bCs/>
        </w:rPr>
        <w:t>8、技术标准偏离表（投标文件格式八）</w:t>
      </w:r>
      <w:bookmarkEnd w:id="229"/>
      <w:bookmarkEnd w:id="230"/>
      <w:bookmarkEnd w:id="231"/>
    </w:p>
    <w:p>
      <w:pPr>
        <w:pStyle w:val="4"/>
        <w:spacing w:line="360" w:lineRule="auto"/>
        <w:ind w:left="0" w:firstLine="588" w:firstLineChars="245"/>
        <w:jc w:val="left"/>
        <w:rPr>
          <w:rFonts w:ascii="宋体" w:hAnsi="宋体" w:cs="宋体"/>
          <w:bCs/>
        </w:rPr>
      </w:pPr>
      <w:bookmarkStart w:id="232" w:name="_Toc111210574"/>
      <w:bookmarkStart w:id="233" w:name="_Toc111210778"/>
      <w:bookmarkStart w:id="234" w:name="_Toc111210351"/>
      <w:r>
        <w:rPr>
          <w:rFonts w:hint="eastAsia" w:ascii="宋体" w:hAnsi="宋体" w:cs="宋体"/>
          <w:bCs/>
        </w:rPr>
        <w:t>9、商务条款偏离表（投标文件格式九）</w:t>
      </w:r>
      <w:bookmarkEnd w:id="232"/>
      <w:bookmarkEnd w:id="233"/>
      <w:bookmarkEnd w:id="234"/>
    </w:p>
    <w:p>
      <w:pPr>
        <w:pStyle w:val="12"/>
        <w:spacing w:line="360" w:lineRule="auto"/>
        <w:ind w:left="584" w:leftChars="278"/>
        <w:rPr>
          <w:rFonts w:hAnsi="宋体" w:cs="宋体"/>
          <w:color w:val="FF0000"/>
          <w:sz w:val="24"/>
        </w:rPr>
      </w:pPr>
      <w:r>
        <w:rPr>
          <w:rFonts w:hint="eastAsia" w:hAnsi="宋体" w:cs="宋体"/>
          <w:color w:val="auto"/>
          <w:sz w:val="24"/>
        </w:rPr>
        <w:t>10、《投标人企业（单位）类型声明函》</w:t>
      </w:r>
    </w:p>
    <w:p>
      <w:pPr>
        <w:pStyle w:val="4"/>
        <w:numPr>
          <w:ilvl w:val="1"/>
          <w:numId w:val="0"/>
        </w:numPr>
        <w:spacing w:line="360" w:lineRule="auto"/>
        <w:ind w:firstLine="480" w:firstLineChars="200"/>
        <w:jc w:val="left"/>
        <w:rPr>
          <w:rFonts w:ascii="宋体" w:hAnsi="宋体" w:cs="宋体"/>
        </w:rPr>
      </w:pPr>
      <w:r>
        <w:rPr>
          <w:rFonts w:hint="eastAsia" w:ascii="宋体" w:hAnsi="宋体" w:cs="宋体"/>
        </w:rPr>
        <w:t>11、《残疾人福利性单位声明函》</w:t>
      </w:r>
    </w:p>
    <w:p>
      <w:pPr>
        <w:pStyle w:val="12"/>
        <w:spacing w:line="360" w:lineRule="auto"/>
        <w:ind w:left="311" w:leftChars="148" w:firstLine="228"/>
        <w:rPr>
          <w:rFonts w:hAnsi="宋体" w:cs="宋体"/>
          <w:color w:val="auto"/>
          <w:sz w:val="24"/>
        </w:rPr>
      </w:pPr>
      <w:r>
        <w:rPr>
          <w:rFonts w:hint="eastAsia" w:hAnsi="宋体" w:cs="宋体"/>
          <w:color w:val="auto"/>
          <w:sz w:val="24"/>
        </w:rPr>
        <w:t>12、投标人关联单位的说明（格式自拟）</w:t>
      </w:r>
    </w:p>
    <w:p>
      <w:pPr>
        <w:pStyle w:val="4"/>
        <w:numPr>
          <w:ilvl w:val="1"/>
          <w:numId w:val="0"/>
        </w:numPr>
        <w:spacing w:line="360" w:lineRule="auto"/>
        <w:ind w:firstLine="470" w:firstLineChars="196"/>
        <w:jc w:val="left"/>
        <w:rPr>
          <w:rFonts w:hAnsi="宋体" w:cs="宋体"/>
        </w:rPr>
      </w:pPr>
      <w:bookmarkStart w:id="235" w:name="_Toc111210352"/>
      <w:bookmarkStart w:id="236" w:name="_Toc111210575"/>
      <w:bookmarkStart w:id="237" w:name="_Toc111210779"/>
      <w:r>
        <w:rPr>
          <w:rFonts w:hint="eastAsia" w:hAnsi="宋体" w:cs="宋体"/>
        </w:rPr>
        <w:t>13、评分标准和细则中技术部分证明材料（格式自拟）</w:t>
      </w:r>
      <w:bookmarkEnd w:id="235"/>
      <w:bookmarkEnd w:id="236"/>
      <w:bookmarkEnd w:id="237"/>
    </w:p>
    <w:p>
      <w:pPr>
        <w:pStyle w:val="4"/>
        <w:numPr>
          <w:ilvl w:val="1"/>
          <w:numId w:val="0"/>
        </w:numPr>
        <w:spacing w:line="360" w:lineRule="auto"/>
        <w:ind w:firstLine="480" w:firstLineChars="200"/>
        <w:jc w:val="left"/>
        <w:rPr>
          <w:rFonts w:ascii="宋体" w:hAnsi="宋体" w:cs="宋体"/>
        </w:rPr>
      </w:pPr>
      <w:bookmarkStart w:id="238" w:name="_Toc111210353"/>
      <w:bookmarkStart w:id="239" w:name="_Toc111210576"/>
      <w:bookmarkStart w:id="240" w:name="_Toc111210780"/>
      <w:r>
        <w:rPr>
          <w:rFonts w:hint="eastAsia" w:ascii="宋体" w:hAnsi="宋体" w:cs="宋体"/>
        </w:rPr>
        <w:t>14、评分标准和细则中商务部分证明材料（格式自拟）</w:t>
      </w:r>
      <w:bookmarkEnd w:id="238"/>
      <w:bookmarkEnd w:id="239"/>
      <w:bookmarkEnd w:id="240"/>
    </w:p>
    <w:p>
      <w:pPr>
        <w:pStyle w:val="12"/>
        <w:spacing w:line="360" w:lineRule="auto"/>
        <w:ind w:firstLine="470" w:firstLineChars="196"/>
        <w:rPr>
          <w:rFonts w:hAnsi="宋体" w:cs="宋体"/>
          <w:color w:val="auto"/>
          <w:sz w:val="24"/>
        </w:rPr>
      </w:pPr>
      <w:r>
        <w:rPr>
          <w:rFonts w:hint="eastAsia" w:hAnsi="宋体" w:cs="宋体"/>
          <w:color w:val="auto"/>
          <w:sz w:val="24"/>
        </w:rPr>
        <w:t>15、投标人认为有必要提供的其他证明材料（格式自拟）</w:t>
      </w:r>
    </w:p>
    <w:p>
      <w:pPr>
        <w:pStyle w:val="12"/>
        <w:tabs>
          <w:tab w:val="left" w:pos="5580"/>
        </w:tabs>
        <w:spacing w:line="360" w:lineRule="auto"/>
        <w:ind w:left="561" w:leftChars="267"/>
        <w:rPr>
          <w:rFonts w:hAnsi="宋体" w:cs="宋体"/>
          <w:color w:val="auto"/>
          <w:sz w:val="24"/>
        </w:rPr>
      </w:pPr>
      <w:r>
        <w:rPr>
          <w:rFonts w:hint="eastAsia" w:hAnsi="宋体" w:cs="宋体"/>
          <w:color w:val="auto"/>
          <w:sz w:val="24"/>
        </w:rPr>
        <w:br w:type="page"/>
      </w:r>
    </w:p>
    <w:p>
      <w:pPr>
        <w:pStyle w:val="12"/>
        <w:tabs>
          <w:tab w:val="left" w:pos="5580"/>
        </w:tabs>
        <w:spacing w:line="400" w:lineRule="exact"/>
        <w:rPr>
          <w:rFonts w:hAnsi="宋体" w:cs="宋体"/>
          <w:color w:val="auto"/>
          <w:sz w:val="24"/>
        </w:rPr>
      </w:pPr>
    </w:p>
    <w:p>
      <w:pPr>
        <w:pStyle w:val="4"/>
        <w:spacing w:line="240" w:lineRule="atLeast"/>
        <w:ind w:left="0" w:firstLine="0"/>
        <w:rPr>
          <w:rFonts w:ascii="宋体" w:hAnsi="宋体" w:cs="宋体"/>
          <w:b/>
          <w:bCs/>
        </w:rPr>
      </w:pPr>
      <w:bookmarkStart w:id="241" w:name="_Toc515647817"/>
      <w:bookmarkStart w:id="242" w:name="_Toc2041"/>
      <w:bookmarkStart w:id="243" w:name="_Toc111210781"/>
      <w:bookmarkStart w:id="244" w:name="_Toc111210577"/>
      <w:bookmarkStart w:id="245" w:name="_Toc14915"/>
      <w:bookmarkStart w:id="246" w:name="_Toc6695"/>
      <w:bookmarkStart w:id="247" w:name="_Toc111210354"/>
      <w:r>
        <w:rPr>
          <w:rFonts w:hint="eastAsia" w:ascii="宋体" w:hAnsi="宋体" w:cs="宋体"/>
          <w:b/>
          <w:bCs/>
        </w:rPr>
        <w:t xml:space="preserve">1 </w:t>
      </w:r>
      <w:bookmarkStart w:id="248" w:name="_Hlt520355504"/>
      <w:bookmarkEnd w:id="248"/>
      <w:r>
        <w:rPr>
          <w:rFonts w:hint="eastAsia" w:ascii="宋体" w:hAnsi="宋体" w:cs="宋体"/>
          <w:b/>
          <w:bCs/>
        </w:rPr>
        <w:t>、投标</w:t>
      </w:r>
      <w:bookmarkEnd w:id="168"/>
      <w:bookmarkEnd w:id="169"/>
      <w:r>
        <w:rPr>
          <w:rFonts w:hint="eastAsia" w:ascii="宋体" w:hAnsi="宋体" w:cs="宋体"/>
          <w:b/>
          <w:bCs/>
        </w:rPr>
        <w:t>书</w:t>
      </w:r>
      <w:bookmarkEnd w:id="170"/>
      <w:r>
        <w:rPr>
          <w:rFonts w:hint="eastAsia" w:ascii="宋体" w:hAnsi="宋体" w:cs="宋体"/>
          <w:b/>
          <w:bCs/>
        </w:rPr>
        <w:t>（投标文件格式五）</w:t>
      </w:r>
      <w:bookmarkEnd w:id="171"/>
      <w:bookmarkEnd w:id="241"/>
      <w:bookmarkEnd w:id="242"/>
      <w:bookmarkEnd w:id="243"/>
      <w:bookmarkEnd w:id="244"/>
      <w:bookmarkEnd w:id="245"/>
      <w:bookmarkEnd w:id="246"/>
      <w:bookmarkEnd w:id="247"/>
    </w:p>
    <w:p>
      <w:pPr>
        <w:tabs>
          <w:tab w:val="left" w:pos="5580"/>
        </w:tabs>
        <w:spacing w:line="240" w:lineRule="atLeast"/>
        <w:ind w:left="1080" w:leftChars="257" w:hanging="540"/>
        <w:rPr>
          <w:rFonts w:ascii="宋体" w:hAnsi="宋体" w:cs="宋体"/>
          <w:sz w:val="24"/>
        </w:rPr>
      </w:pPr>
    </w:p>
    <w:p>
      <w:pPr>
        <w:tabs>
          <w:tab w:val="left" w:pos="5580"/>
        </w:tabs>
        <w:spacing w:line="240" w:lineRule="atLeast"/>
        <w:ind w:left="1080" w:hanging="1080"/>
        <w:rPr>
          <w:rFonts w:ascii="宋体" w:hAnsi="宋体" w:cs="宋体"/>
          <w:sz w:val="24"/>
        </w:rPr>
      </w:pPr>
      <w:bookmarkStart w:id="249" w:name="_Toc41514353"/>
      <w:bookmarkStart w:id="250" w:name="_Toc41514647"/>
      <w:bookmarkStart w:id="251" w:name="_Toc216582817"/>
      <w:bookmarkStart w:id="252" w:name="_Toc515647820"/>
      <w:bookmarkStart w:id="253" w:name="_Toc22563"/>
      <w:bookmarkStart w:id="254" w:name="_Toc28959"/>
      <w:r>
        <w:rPr>
          <w:rFonts w:hint="eastAsia" w:ascii="宋体" w:hAnsi="宋体" w:cs="宋体"/>
          <w:sz w:val="24"/>
        </w:rPr>
        <w:t>致：</w:t>
      </w:r>
      <w:r>
        <w:rPr>
          <w:rFonts w:hint="eastAsia" w:ascii="宋体" w:hAnsi="宋体" w:cs="宋体"/>
          <w:sz w:val="24"/>
          <w:u w:val="single"/>
        </w:rPr>
        <w:t>采购代理机构</w:t>
      </w:r>
    </w:p>
    <w:p>
      <w:pPr>
        <w:pStyle w:val="12"/>
        <w:tabs>
          <w:tab w:val="left" w:pos="5580"/>
        </w:tabs>
        <w:spacing w:line="240" w:lineRule="atLeast"/>
        <w:ind w:left="1080" w:leftChars="257" w:hanging="540"/>
        <w:rPr>
          <w:rFonts w:hAnsi="宋体" w:cs="宋体"/>
          <w:color w:val="auto"/>
          <w:sz w:val="24"/>
        </w:rPr>
      </w:pPr>
    </w:p>
    <w:p>
      <w:pPr>
        <w:pStyle w:val="12"/>
        <w:tabs>
          <w:tab w:val="left" w:pos="5580"/>
        </w:tabs>
        <w:spacing w:line="240" w:lineRule="atLeast"/>
        <w:ind w:left="2" w:leftChars="1" w:firstLine="480" w:firstLineChars="200"/>
        <w:rPr>
          <w:rFonts w:hAnsi="宋体" w:cs="宋体"/>
          <w:color w:val="auto"/>
          <w:sz w:val="24"/>
        </w:rPr>
      </w:pPr>
      <w:r>
        <w:rPr>
          <w:rFonts w:hint="eastAsia" w:hAnsi="宋体" w:cs="宋体"/>
          <w:color w:val="auto"/>
          <w:sz w:val="24"/>
        </w:rPr>
        <w:t>根据贵方（采购项目名称)</w:t>
      </w:r>
      <w:r>
        <w:rPr>
          <w:rFonts w:hint="eastAsia" w:hAnsi="宋体" w:cs="宋体"/>
          <w:color w:val="auto"/>
          <w:sz w:val="24"/>
          <w:u w:val="single"/>
        </w:rPr>
        <w:t xml:space="preserve">    </w:t>
      </w:r>
      <w:r>
        <w:rPr>
          <w:rFonts w:hint="eastAsia" w:hAnsi="宋体" w:cs="宋体"/>
          <w:color w:val="auto"/>
          <w:sz w:val="24"/>
        </w:rPr>
        <w:t xml:space="preserve"> 项目的投标邀请(</w:t>
      </w:r>
      <w:r>
        <w:rPr>
          <w:rFonts w:hint="eastAsia" w:hAnsi="宋体" w:cs="宋体"/>
          <w:color w:val="auto"/>
          <w:sz w:val="24"/>
          <w:u w:val="single"/>
        </w:rPr>
        <w:t>招标编号</w:t>
      </w:r>
      <w:r>
        <w:rPr>
          <w:rFonts w:hint="eastAsia" w:hAnsi="宋体" w:cs="宋体"/>
          <w:color w:val="auto"/>
          <w:sz w:val="24"/>
        </w:rPr>
        <w:t>),签字代表(</w:t>
      </w:r>
      <w:r>
        <w:rPr>
          <w:rFonts w:hint="eastAsia" w:hAnsi="宋体" w:cs="宋体"/>
          <w:color w:val="auto"/>
          <w:sz w:val="24"/>
          <w:u w:val="single"/>
        </w:rPr>
        <w:t>姓名、职务)</w:t>
      </w:r>
      <w:r>
        <w:rPr>
          <w:rFonts w:hint="eastAsia" w:hAnsi="宋体" w:cs="宋体"/>
          <w:color w:val="auto"/>
          <w:sz w:val="24"/>
        </w:rPr>
        <w:t>经正式授权并代表投标人（</w:t>
      </w:r>
      <w:r>
        <w:rPr>
          <w:rFonts w:hint="eastAsia" w:hAnsi="宋体" w:cs="宋体"/>
          <w:color w:val="auto"/>
          <w:sz w:val="24"/>
          <w:u w:val="single"/>
        </w:rPr>
        <w:t>名称、地址</w:t>
      </w:r>
      <w:r>
        <w:rPr>
          <w:rFonts w:hint="eastAsia" w:hAnsi="宋体" w:cs="宋体"/>
          <w:color w:val="auto"/>
          <w:sz w:val="24"/>
        </w:rPr>
        <w:t>）在政采云上提交本项目相关的投标文件，并出具的金额为人民币</w:t>
      </w:r>
      <w:r>
        <w:rPr>
          <w:rFonts w:hint="eastAsia" w:hAnsi="宋体" w:cs="宋体"/>
          <w:color w:val="auto"/>
          <w:sz w:val="24"/>
          <w:u w:val="single"/>
        </w:rPr>
        <w:t>　　　　</w:t>
      </w:r>
      <w:r>
        <w:rPr>
          <w:rFonts w:hint="eastAsia" w:hAnsi="宋体" w:cs="宋体"/>
          <w:color w:val="auto"/>
          <w:sz w:val="24"/>
        </w:rPr>
        <w:t>元的投标保证金。</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据此，签字代表宣布如下：</w:t>
      </w:r>
    </w:p>
    <w:p>
      <w:pPr>
        <w:pStyle w:val="12"/>
        <w:numPr>
          <w:ilvl w:val="0"/>
          <w:numId w:val="11"/>
        </w:numPr>
        <w:tabs>
          <w:tab w:val="left" w:pos="720"/>
          <w:tab w:val="left" w:pos="900"/>
        </w:tabs>
        <w:spacing w:line="240" w:lineRule="atLeast"/>
        <w:ind w:left="769" w:leftChars="257" w:hanging="229"/>
        <w:rPr>
          <w:rFonts w:hAnsi="宋体" w:cs="宋体"/>
          <w:color w:val="auto"/>
          <w:sz w:val="24"/>
        </w:rPr>
      </w:pPr>
      <w:r>
        <w:rPr>
          <w:rFonts w:hint="eastAsia" w:hAnsi="宋体" w:cs="宋体"/>
          <w:color w:val="auto"/>
          <w:sz w:val="24"/>
        </w:rPr>
        <w:t>附投标书报价中规定的投标总价详见开标一览表</w:t>
      </w:r>
    </w:p>
    <w:p>
      <w:pPr>
        <w:pStyle w:val="12"/>
        <w:numPr>
          <w:ilvl w:val="0"/>
          <w:numId w:val="11"/>
        </w:numPr>
        <w:tabs>
          <w:tab w:val="left" w:pos="720"/>
          <w:tab w:val="left" w:pos="900"/>
        </w:tabs>
        <w:spacing w:line="240" w:lineRule="atLeast"/>
        <w:ind w:left="769" w:leftChars="257" w:hanging="229"/>
        <w:rPr>
          <w:rFonts w:hAnsi="宋体" w:cs="宋体"/>
          <w:color w:val="auto"/>
          <w:sz w:val="24"/>
          <w:u w:val="single"/>
        </w:rPr>
      </w:pPr>
      <w:r>
        <w:rPr>
          <w:rFonts w:hint="eastAsia" w:hAnsi="宋体" w:cs="宋体"/>
          <w:color w:val="auto"/>
          <w:sz w:val="24"/>
        </w:rPr>
        <w:t>本投标有效期为投标标截止之日起</w:t>
      </w:r>
      <w:r>
        <w:rPr>
          <w:rFonts w:hint="eastAsia" w:hAnsi="宋体" w:cs="宋体"/>
          <w:color w:val="auto"/>
          <w:sz w:val="24"/>
          <w:u w:val="single"/>
        </w:rPr>
        <w:t xml:space="preserve">   </w:t>
      </w:r>
      <w:r>
        <w:rPr>
          <w:rFonts w:hint="eastAsia" w:hAnsi="宋体" w:cs="宋体"/>
          <w:color w:val="auto"/>
          <w:sz w:val="24"/>
        </w:rPr>
        <w:t>个日历日。</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3</w:t>
      </w:r>
      <w:r>
        <w:rPr>
          <w:rFonts w:hint="eastAsia" w:hAnsi="宋体" w:cs="宋体"/>
          <w:color w:val="auto"/>
          <w:sz w:val="24"/>
        </w:rPr>
        <w:t>）已详细审查全部招标文件，包括所有补充通知（如果有的话），完全理解并同意放弃对这方面有不明、误解和质疑的权力。</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4</w:t>
      </w:r>
      <w:r>
        <w:rPr>
          <w:rFonts w:hint="eastAsia" w:hAnsi="宋体" w:cs="宋体"/>
          <w:color w:val="auto"/>
          <w:sz w:val="24"/>
        </w:rPr>
        <w:t>）在规定的开标时间后，遵守招标文件中有关保证金的规定。</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5</w:t>
      </w:r>
      <w:r>
        <w:rPr>
          <w:rFonts w:hint="eastAsia" w:hAnsi="宋体" w:cs="宋体"/>
          <w:color w:val="auto"/>
          <w:sz w:val="24"/>
        </w:rPr>
        <w:t>）我方不是为本项目提供规范编制或者项目管理、监理、检测等服务的供应商，我方不是采购代理机构的附属机构。</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6</w:t>
      </w:r>
      <w:r>
        <w:rPr>
          <w:rFonts w:hint="eastAsia" w:hAnsi="宋体" w:cs="宋体"/>
          <w:color w:val="auto"/>
          <w:sz w:val="24"/>
        </w:rPr>
        <w:t>）在领取中标通知书的同时按招标文件规定的形式，向贵方一次性支付中标服务费。</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7</w:t>
      </w:r>
      <w:r>
        <w:rPr>
          <w:rFonts w:hint="eastAsia" w:hAnsi="宋体" w:cs="宋体"/>
          <w:color w:val="auto"/>
          <w:sz w:val="24"/>
        </w:rPr>
        <w:t>）按照贵方可能要求，提供与其投标有关的一切数据或资料，完全理解贵方不一定接受最低价的投标或收到的任何投标。</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w:t>
      </w:r>
      <w:r>
        <w:rPr>
          <w:rFonts w:hAnsi="宋体" w:cs="宋体"/>
          <w:color w:val="auto"/>
          <w:sz w:val="24"/>
        </w:rPr>
        <w:t>8</w:t>
      </w:r>
      <w:r>
        <w:rPr>
          <w:rFonts w:hint="eastAsia" w:hAnsi="宋体" w:cs="宋体"/>
          <w:color w:val="auto"/>
          <w:sz w:val="24"/>
        </w:rPr>
        <w:t>）按照招标文件的规定履行合同责任和义务。</w:t>
      </w:r>
    </w:p>
    <w:p>
      <w:pPr>
        <w:pStyle w:val="12"/>
        <w:tabs>
          <w:tab w:val="left" w:pos="5580"/>
        </w:tabs>
        <w:spacing w:line="240" w:lineRule="atLeast"/>
        <w:ind w:left="359" w:leftChars="68" w:hanging="216" w:hangingChars="90"/>
        <w:rPr>
          <w:rFonts w:hAnsi="宋体" w:cs="宋体"/>
          <w:color w:val="auto"/>
          <w:sz w:val="24"/>
        </w:rPr>
      </w:pPr>
      <w:r>
        <w:rPr>
          <w:rFonts w:hint="eastAsia" w:hAnsi="宋体" w:cs="宋体"/>
          <w:color w:val="auto"/>
          <w:sz w:val="24"/>
        </w:rPr>
        <w:t xml:space="preserve">  与本投标有关的一切正式往来信函请寄：</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地址</w:t>
      </w:r>
      <w:r>
        <w:rPr>
          <w:rFonts w:hint="eastAsia" w:hAnsi="宋体" w:cs="宋体"/>
          <w:color w:val="auto"/>
          <w:sz w:val="24"/>
          <w:u w:val="single"/>
        </w:rPr>
        <w:t xml:space="preserve">                         </w:t>
      </w:r>
      <w:r>
        <w:rPr>
          <w:rFonts w:hint="eastAsia" w:hAnsi="宋体" w:cs="宋体"/>
          <w:color w:val="auto"/>
          <w:sz w:val="24"/>
        </w:rPr>
        <w:t xml:space="preserve">     传真</w:t>
      </w:r>
      <w:r>
        <w:rPr>
          <w:rFonts w:hint="eastAsia" w:hAnsi="宋体" w:cs="宋体"/>
          <w:color w:val="auto"/>
          <w:sz w:val="24"/>
          <w:u w:val="single"/>
        </w:rPr>
        <w:t xml:space="preserve">                             </w:t>
      </w:r>
    </w:p>
    <w:p>
      <w:pPr>
        <w:pStyle w:val="12"/>
        <w:tabs>
          <w:tab w:val="left" w:pos="5580"/>
        </w:tabs>
        <w:spacing w:line="240" w:lineRule="atLeast"/>
        <w:ind w:left="1080" w:leftChars="257" w:hanging="540"/>
        <w:rPr>
          <w:rFonts w:hAnsi="宋体" w:cs="宋体"/>
          <w:b/>
          <w:color w:val="auto"/>
          <w:sz w:val="24"/>
        </w:rPr>
      </w:pPr>
      <w:r>
        <w:rPr>
          <w:rFonts w:hint="eastAsia" w:hAnsi="宋体" w:cs="宋体"/>
          <w:color w:val="auto"/>
          <w:sz w:val="24"/>
        </w:rPr>
        <w:t>电话</w:t>
      </w:r>
      <w:r>
        <w:rPr>
          <w:rFonts w:hint="eastAsia" w:hAnsi="宋体" w:cs="宋体"/>
          <w:color w:val="auto"/>
          <w:sz w:val="24"/>
          <w:u w:val="single"/>
        </w:rPr>
        <w:t xml:space="preserve">                         </w:t>
      </w:r>
      <w:r>
        <w:rPr>
          <w:rFonts w:hint="eastAsia" w:hAnsi="宋体" w:cs="宋体"/>
          <w:color w:val="auto"/>
          <w:sz w:val="24"/>
        </w:rPr>
        <w:t xml:space="preserve">     电子函件</w:t>
      </w:r>
      <w:r>
        <w:rPr>
          <w:rFonts w:hint="eastAsia" w:hAnsi="宋体" w:cs="宋体"/>
          <w:color w:val="auto"/>
          <w:sz w:val="24"/>
          <w:u w:val="single"/>
        </w:rPr>
        <w:t xml:space="preserve">                         </w:t>
      </w:r>
    </w:p>
    <w:p>
      <w:pPr>
        <w:pStyle w:val="12"/>
        <w:tabs>
          <w:tab w:val="left" w:pos="5580"/>
        </w:tabs>
        <w:spacing w:line="240" w:lineRule="atLeast"/>
        <w:ind w:left="1080" w:leftChars="257" w:hanging="540"/>
        <w:rPr>
          <w:rFonts w:hAnsi="宋体" w:cs="宋体"/>
          <w:color w:val="auto"/>
          <w:sz w:val="24"/>
        </w:rPr>
      </w:pP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法定代表人或其委托代理人签字-----------------</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投标人名称（全称）-----------------</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投标人开户银行（全称）</w:t>
      </w:r>
      <w:r>
        <w:rPr>
          <w:rFonts w:hint="eastAsia" w:hAnsi="宋体" w:cs="宋体"/>
          <w:color w:val="auto"/>
          <w:sz w:val="24"/>
          <w:u w:val="single"/>
        </w:rPr>
        <w:t xml:space="preserve">　　　　　　 </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投标人银行帐号</w:t>
      </w:r>
      <w:r>
        <w:rPr>
          <w:rFonts w:hint="eastAsia" w:hAnsi="宋体" w:cs="宋体"/>
          <w:color w:val="auto"/>
          <w:sz w:val="24"/>
          <w:u w:val="single"/>
        </w:rPr>
        <w:t>　　　　　　　　 　　</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投标人单位章-------------------------</w:t>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rPr>
        <w:t>日期-------------------------------</w:t>
      </w:r>
    </w:p>
    <w:p>
      <w:pPr>
        <w:pStyle w:val="4"/>
        <w:spacing w:line="240" w:lineRule="atLeast"/>
        <w:ind w:left="431" w:firstLine="0"/>
        <w:rPr>
          <w:rFonts w:ascii="宋体" w:hAnsi="宋体" w:cs="宋体"/>
        </w:rPr>
      </w:pPr>
      <w:r>
        <w:rPr>
          <w:rFonts w:hint="eastAsia" w:ascii="宋体" w:hAnsi="宋体" w:cs="宋体"/>
        </w:rPr>
        <w:br w:type="page"/>
      </w:r>
    </w:p>
    <w:p>
      <w:pPr>
        <w:pStyle w:val="4"/>
        <w:spacing w:line="240" w:lineRule="atLeast"/>
        <w:ind w:left="0" w:firstLine="0"/>
        <w:rPr>
          <w:rFonts w:ascii="宋体" w:hAnsi="宋体" w:cs="宋体"/>
          <w:b/>
          <w:bCs/>
        </w:rPr>
      </w:pPr>
      <w:bookmarkStart w:id="255" w:name="_Toc111210578"/>
      <w:bookmarkStart w:id="256" w:name="_Toc111210355"/>
      <w:bookmarkStart w:id="257" w:name="_Toc111210782"/>
      <w:r>
        <w:rPr>
          <w:rFonts w:hint="eastAsia" w:ascii="宋体" w:hAnsi="宋体" w:cs="宋体"/>
          <w:b/>
          <w:bCs/>
        </w:rPr>
        <w:t>2 、</w:t>
      </w:r>
      <w:bookmarkEnd w:id="255"/>
      <w:bookmarkEnd w:id="256"/>
      <w:bookmarkEnd w:id="257"/>
      <w:r>
        <w:rPr>
          <w:rFonts w:hint="eastAsia" w:ascii="宋体" w:hAnsi="宋体" w:cs="宋体"/>
          <w:b/>
          <w:bCs/>
        </w:rPr>
        <w:t>报价明细表（投标文件格式六）</w:t>
      </w:r>
    </w:p>
    <w:p>
      <w:pPr>
        <w:adjustRightInd w:val="0"/>
        <w:spacing w:line="360" w:lineRule="auto"/>
        <w:rPr>
          <w:rFonts w:ascii="宋体" w:hAnsi="宋体"/>
          <w:b/>
          <w:sz w:val="22"/>
          <w:szCs w:val="22"/>
        </w:rPr>
      </w:pPr>
    </w:p>
    <w:tbl>
      <w:tblPr>
        <w:tblStyle w:val="23"/>
        <w:tblW w:w="8510" w:type="dxa"/>
        <w:tblInd w:w="10" w:type="dxa"/>
        <w:tblLayout w:type="fixed"/>
        <w:tblCellMar>
          <w:top w:w="0" w:type="dxa"/>
          <w:left w:w="0" w:type="dxa"/>
          <w:bottom w:w="0" w:type="dxa"/>
          <w:right w:w="0" w:type="dxa"/>
        </w:tblCellMar>
      </w:tblPr>
      <w:tblGrid>
        <w:gridCol w:w="1944"/>
        <w:gridCol w:w="6566"/>
      </w:tblGrid>
      <w:tr>
        <w:tblPrEx>
          <w:tblCellMar>
            <w:top w:w="0" w:type="dxa"/>
            <w:left w:w="0" w:type="dxa"/>
            <w:bottom w:w="0" w:type="dxa"/>
            <w:right w:w="0" w:type="dxa"/>
          </w:tblCellMar>
        </w:tblPrEx>
        <w:trPr>
          <w:trHeight w:val="836"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招标单位</w:t>
            </w:r>
          </w:p>
        </w:tc>
        <w:tc>
          <w:tcPr>
            <w:tcW w:w="656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r>
      <w:tr>
        <w:tblPrEx>
          <w:tblCellMar>
            <w:top w:w="0" w:type="dxa"/>
            <w:left w:w="0" w:type="dxa"/>
            <w:bottom w:w="0" w:type="dxa"/>
            <w:right w:w="0" w:type="dxa"/>
          </w:tblCellMar>
        </w:tblPrEx>
        <w:trPr>
          <w:trHeight w:val="776"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cs="宋体"/>
              </w:rPr>
              <w:t>项</w:t>
            </w:r>
            <w:r>
              <w:rPr>
                <w:rFonts w:hint="eastAsia" w:ascii="宋体" w:hAnsi="宋体"/>
              </w:rPr>
              <w:t>目名称</w:t>
            </w:r>
          </w:p>
        </w:tc>
        <w:tc>
          <w:tcPr>
            <w:tcW w:w="656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r>
      <w:tr>
        <w:tblPrEx>
          <w:tblCellMar>
            <w:top w:w="0" w:type="dxa"/>
            <w:left w:w="0" w:type="dxa"/>
            <w:bottom w:w="0" w:type="dxa"/>
            <w:right w:w="0" w:type="dxa"/>
          </w:tblCellMar>
        </w:tblPrEx>
        <w:trPr>
          <w:trHeight w:val="788" w:hRule="exact"/>
        </w:trPr>
        <w:tc>
          <w:tcPr>
            <w:tcW w:w="19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投</w:t>
            </w:r>
            <w:r>
              <w:rPr>
                <w:rFonts w:hint="eastAsia" w:ascii="宋体" w:hAnsi="宋体" w:cs="宋体"/>
              </w:rPr>
              <w:t>标</w:t>
            </w:r>
            <w:r>
              <w:rPr>
                <w:rFonts w:hint="eastAsia" w:ascii="宋体" w:hAnsi="宋体"/>
              </w:rPr>
              <w:t>人名称</w:t>
            </w:r>
          </w:p>
        </w:tc>
        <w:tc>
          <w:tcPr>
            <w:tcW w:w="656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p>
        </w:tc>
      </w:tr>
      <w:tr>
        <w:tblPrEx>
          <w:tblCellMar>
            <w:top w:w="0" w:type="dxa"/>
            <w:left w:w="0" w:type="dxa"/>
            <w:bottom w:w="0" w:type="dxa"/>
            <w:right w:w="0" w:type="dxa"/>
          </w:tblCellMar>
        </w:tblPrEx>
        <w:trPr>
          <w:trHeight w:val="1595" w:hRule="atLeast"/>
        </w:trPr>
        <w:tc>
          <w:tcPr>
            <w:tcW w:w="1944" w:type="dxa"/>
            <w:tcBorders>
              <w:top w:val="single" w:color="auto" w:sz="8" w:space="0"/>
              <w:left w:val="single" w:color="auto" w:sz="8" w:space="0"/>
              <w:bottom w:val="nil"/>
              <w:right w:val="single" w:color="auto" w:sz="8" w:space="0"/>
            </w:tcBorders>
            <w:vAlign w:val="center"/>
          </w:tcPr>
          <w:p>
            <w:pPr>
              <w:jc w:val="center"/>
              <w:rPr>
                <w:rFonts w:ascii="宋体" w:hAnsi="宋体"/>
              </w:rPr>
            </w:pPr>
            <w:r>
              <w:rPr>
                <w:rFonts w:hint="eastAsia" w:ascii="宋体" w:hAnsi="宋体"/>
              </w:rPr>
              <w:t>投</w:t>
            </w:r>
            <w:r>
              <w:rPr>
                <w:rFonts w:hint="eastAsia" w:ascii="宋体" w:hAnsi="宋体" w:cs="宋体"/>
              </w:rPr>
              <w:t>标报</w:t>
            </w:r>
            <w:r>
              <w:rPr>
                <w:rFonts w:hint="eastAsia" w:ascii="宋体" w:hAnsi="宋体"/>
              </w:rPr>
              <w:t>价</w:t>
            </w:r>
          </w:p>
        </w:tc>
        <w:tc>
          <w:tcPr>
            <w:tcW w:w="6566" w:type="dxa"/>
            <w:tcBorders>
              <w:top w:val="single" w:color="auto" w:sz="8" w:space="0"/>
              <w:left w:val="single" w:color="auto" w:sz="8" w:space="0"/>
              <w:bottom w:val="nil"/>
              <w:right w:val="single" w:color="auto" w:sz="8" w:space="0"/>
            </w:tcBorders>
            <w:vAlign w:val="center"/>
          </w:tcPr>
          <w:p>
            <w:pPr>
              <w:ind w:firstLine="105" w:firstLineChars="50"/>
              <w:rPr>
                <w:rFonts w:ascii="宋体" w:hAnsi="宋体"/>
              </w:rPr>
            </w:pPr>
          </w:p>
          <w:p>
            <w:pPr>
              <w:ind w:firstLine="105" w:firstLineChars="50"/>
              <w:rPr>
                <w:rFonts w:ascii="宋体" w:hAnsi="宋体" w:cs="宋体"/>
              </w:rPr>
            </w:pPr>
            <w:r>
              <w:rPr>
                <w:rFonts w:hint="eastAsia" w:ascii="宋体" w:hAnsi="宋体"/>
              </w:rPr>
              <w:t>投</w:t>
            </w:r>
            <w:r>
              <w:rPr>
                <w:rFonts w:hint="eastAsia" w:ascii="宋体" w:hAnsi="宋体" w:cs="宋体"/>
              </w:rPr>
              <w:t>标报</w:t>
            </w:r>
            <w:r>
              <w:rPr>
                <w:rFonts w:hint="eastAsia" w:ascii="宋体" w:hAnsi="宋体"/>
              </w:rPr>
              <w:t>价：</w:t>
            </w:r>
          </w:p>
          <w:p>
            <w:pPr>
              <w:ind w:firstLine="1155" w:firstLineChars="550"/>
              <w:rPr>
                <w:rFonts w:ascii="宋体" w:hAnsi="宋体" w:cs="宋体"/>
                <w:u w:val="single"/>
              </w:rPr>
            </w:pPr>
            <w:r>
              <w:rPr>
                <w:rFonts w:hint="eastAsia" w:ascii="宋体" w:hAnsi="宋体" w:cs="宋体"/>
              </w:rPr>
              <w:t>（大写）</w:t>
            </w:r>
            <w:r>
              <w:rPr>
                <w:rFonts w:hint="eastAsia" w:ascii="宋体" w:hAnsi="宋体" w:cs="宋体"/>
                <w:u w:val="single"/>
              </w:rPr>
              <w:t>：                         元人民币</w:t>
            </w:r>
          </w:p>
          <w:p>
            <w:pPr>
              <w:ind w:firstLine="1155" w:firstLineChars="550"/>
              <w:rPr>
                <w:rFonts w:ascii="宋体" w:hAnsi="宋体" w:cs="宋体"/>
              </w:rPr>
            </w:pPr>
          </w:p>
          <w:p>
            <w:pPr>
              <w:rPr>
                <w:rFonts w:ascii="宋体" w:hAnsi="宋体" w:cs="宋体"/>
                <w:u w:val="single"/>
              </w:rPr>
            </w:pPr>
            <w:r>
              <w:rPr>
                <w:rFonts w:hint="eastAsia" w:ascii="宋体" w:hAnsi="宋体" w:cs="宋体"/>
              </w:rPr>
              <w:t xml:space="preserve">          （小写）</w:t>
            </w:r>
            <w:r>
              <w:rPr>
                <w:rFonts w:hint="eastAsia" w:ascii="宋体" w:hAnsi="宋体" w:cs="宋体"/>
                <w:u w:val="single"/>
              </w:rPr>
              <w:t>：                         元人民币</w:t>
            </w:r>
          </w:p>
          <w:p>
            <w:pPr>
              <w:ind w:firstLine="1155" w:firstLineChars="550"/>
              <w:rPr>
                <w:rFonts w:ascii="宋体" w:hAnsi="宋体"/>
                <w:u w:val="single"/>
              </w:rPr>
            </w:pPr>
          </w:p>
        </w:tc>
      </w:tr>
      <w:tr>
        <w:tblPrEx>
          <w:tblCellMar>
            <w:top w:w="0" w:type="dxa"/>
            <w:left w:w="0" w:type="dxa"/>
            <w:bottom w:w="0" w:type="dxa"/>
            <w:right w:w="0" w:type="dxa"/>
          </w:tblCellMar>
        </w:tblPrEx>
        <w:trPr>
          <w:trHeight w:val="1078" w:hRule="atLeast"/>
        </w:trPr>
        <w:tc>
          <w:tcPr>
            <w:tcW w:w="1944" w:type="dxa"/>
            <w:tcBorders>
              <w:top w:val="single" w:color="auto" w:sz="8" w:space="0"/>
              <w:left w:val="single" w:color="auto" w:sz="8" w:space="0"/>
              <w:bottom w:val="nil"/>
              <w:right w:val="single" w:color="auto" w:sz="8" w:space="0"/>
            </w:tcBorders>
            <w:vAlign w:val="center"/>
          </w:tcPr>
          <w:p>
            <w:pPr>
              <w:jc w:val="center"/>
              <w:rPr>
                <w:rFonts w:ascii="宋体" w:hAnsi="宋体"/>
              </w:rPr>
            </w:pPr>
            <w:r>
              <w:rPr>
                <w:rFonts w:hint="eastAsia" w:ascii="宋体" w:hAnsi="宋体"/>
              </w:rPr>
              <w:t>项目负责人</w:t>
            </w:r>
          </w:p>
        </w:tc>
        <w:tc>
          <w:tcPr>
            <w:tcW w:w="6566" w:type="dxa"/>
            <w:tcBorders>
              <w:top w:val="single" w:color="auto" w:sz="8" w:space="0"/>
              <w:left w:val="single" w:color="auto" w:sz="8" w:space="0"/>
              <w:bottom w:val="nil"/>
              <w:right w:val="single" w:color="auto" w:sz="8" w:space="0"/>
            </w:tcBorders>
            <w:vAlign w:val="center"/>
          </w:tcPr>
          <w:p>
            <w:pPr>
              <w:ind w:firstLine="105" w:firstLineChars="50"/>
              <w:rPr>
                <w:rFonts w:ascii="宋体" w:hAnsi="宋体"/>
              </w:rPr>
            </w:pPr>
          </w:p>
        </w:tc>
      </w:tr>
      <w:tr>
        <w:tblPrEx>
          <w:tblCellMar>
            <w:top w:w="0" w:type="dxa"/>
            <w:left w:w="0" w:type="dxa"/>
            <w:bottom w:w="0" w:type="dxa"/>
            <w:right w:w="0" w:type="dxa"/>
          </w:tblCellMar>
        </w:tblPrEx>
        <w:trPr>
          <w:trHeight w:val="1550" w:hRule="atLeast"/>
        </w:trPr>
        <w:tc>
          <w:tcPr>
            <w:tcW w:w="1944" w:type="dxa"/>
            <w:tcBorders>
              <w:top w:val="single" w:color="auto" w:sz="8" w:space="0"/>
              <w:left w:val="single" w:color="auto" w:sz="8" w:space="0"/>
              <w:bottom w:val="nil"/>
              <w:right w:val="single" w:color="auto" w:sz="8" w:space="0"/>
            </w:tcBorders>
            <w:vAlign w:val="center"/>
          </w:tcPr>
          <w:p>
            <w:pPr>
              <w:jc w:val="center"/>
              <w:rPr>
                <w:rFonts w:ascii="宋体" w:hAnsi="宋体"/>
              </w:rPr>
            </w:pPr>
            <w:r>
              <w:rPr>
                <w:rFonts w:hint="eastAsia" w:ascii="宋体" w:hAnsi="宋体"/>
              </w:rPr>
              <w:t>服务范围</w:t>
            </w:r>
          </w:p>
        </w:tc>
        <w:tc>
          <w:tcPr>
            <w:tcW w:w="6566" w:type="dxa"/>
            <w:tcBorders>
              <w:top w:val="single" w:color="auto" w:sz="8" w:space="0"/>
              <w:left w:val="single" w:color="auto" w:sz="8" w:space="0"/>
              <w:bottom w:val="nil"/>
              <w:right w:val="single" w:color="auto" w:sz="8" w:space="0"/>
            </w:tcBorders>
            <w:vAlign w:val="center"/>
          </w:tcPr>
          <w:p>
            <w:pPr>
              <w:ind w:left="40" w:leftChars="19" w:right="145" w:rightChars="69"/>
              <w:jc w:val="left"/>
              <w:rPr>
                <w:rFonts w:ascii="宋体" w:hAnsi="宋体"/>
              </w:rPr>
            </w:pPr>
          </w:p>
        </w:tc>
      </w:tr>
      <w:tr>
        <w:tblPrEx>
          <w:tblCellMar>
            <w:top w:w="0" w:type="dxa"/>
            <w:left w:w="0" w:type="dxa"/>
            <w:bottom w:w="0" w:type="dxa"/>
            <w:right w:w="0" w:type="dxa"/>
          </w:tblCellMar>
        </w:tblPrEx>
        <w:trPr>
          <w:cantSplit/>
          <w:trHeight w:val="1540" w:hRule="atLeast"/>
        </w:trPr>
        <w:tc>
          <w:tcPr>
            <w:tcW w:w="1944" w:type="dxa"/>
            <w:tcBorders>
              <w:top w:val="single" w:color="auto" w:sz="8" w:space="0"/>
              <w:left w:val="single" w:color="auto" w:sz="8" w:space="0"/>
              <w:bottom w:val="nil"/>
              <w:right w:val="single" w:color="auto" w:sz="8" w:space="0"/>
            </w:tcBorders>
            <w:vAlign w:val="center"/>
          </w:tcPr>
          <w:p>
            <w:pPr>
              <w:jc w:val="center"/>
              <w:rPr>
                <w:rFonts w:ascii="宋体" w:hAnsi="宋体"/>
              </w:rPr>
            </w:pPr>
            <w:r>
              <w:rPr>
                <w:rFonts w:hint="eastAsia" w:ascii="宋体" w:hAnsi="宋体" w:cs="宋体"/>
              </w:rPr>
              <w:t>规划设计周期</w:t>
            </w:r>
          </w:p>
        </w:tc>
        <w:tc>
          <w:tcPr>
            <w:tcW w:w="6566" w:type="dxa"/>
            <w:tcBorders>
              <w:top w:val="single" w:color="auto" w:sz="8" w:space="0"/>
              <w:left w:val="single" w:color="auto" w:sz="8" w:space="0"/>
              <w:bottom w:val="nil"/>
              <w:right w:val="single" w:color="auto" w:sz="8" w:space="0"/>
            </w:tcBorders>
            <w:vAlign w:val="center"/>
          </w:tcPr>
          <w:p>
            <w:pPr>
              <w:jc w:val="center"/>
              <w:rPr>
                <w:rFonts w:ascii="宋体" w:hAnsi="宋体"/>
              </w:rPr>
            </w:pPr>
          </w:p>
        </w:tc>
      </w:tr>
      <w:tr>
        <w:tblPrEx>
          <w:tblCellMar>
            <w:top w:w="0" w:type="dxa"/>
            <w:left w:w="0" w:type="dxa"/>
            <w:bottom w:w="0" w:type="dxa"/>
            <w:right w:w="0" w:type="dxa"/>
          </w:tblCellMar>
        </w:tblPrEx>
        <w:trPr>
          <w:trHeight w:val="798" w:hRule="exact"/>
        </w:trPr>
        <w:tc>
          <w:tcPr>
            <w:tcW w:w="1944"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rPr>
            </w:pPr>
            <w:r>
              <w:rPr>
                <w:rFonts w:hint="eastAsia" w:ascii="宋体" w:hAnsi="宋体"/>
              </w:rPr>
              <w:t>备注</w:t>
            </w:r>
          </w:p>
        </w:tc>
        <w:tc>
          <w:tcPr>
            <w:tcW w:w="6566"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rPr>
            </w:pPr>
          </w:p>
        </w:tc>
      </w:tr>
    </w:tbl>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报价明细表应与《开标一览表》中投标价相一致。</w:t>
      </w:r>
    </w:p>
    <w:p>
      <w:pPr>
        <w:spacing w:line="360" w:lineRule="auto"/>
        <w:ind w:firstLine="420" w:firstLineChars="200"/>
        <w:rPr>
          <w:rFonts w:ascii="宋体" w:hAnsi="宋体"/>
        </w:rPr>
      </w:pPr>
      <w:r>
        <w:rPr>
          <w:rFonts w:hint="eastAsia" w:ascii="宋体" w:hAnsi="宋体"/>
        </w:rPr>
        <w:t>投</w:t>
      </w:r>
      <w:r>
        <w:rPr>
          <w:rFonts w:hint="eastAsia" w:ascii="宋体" w:hAnsi="宋体" w:cs="宋体"/>
        </w:rPr>
        <w:t>标</w:t>
      </w:r>
      <w:r>
        <w:rPr>
          <w:rFonts w:hint="eastAsia" w:ascii="宋体" w:hAnsi="宋体"/>
        </w:rPr>
        <w:t>人：</w:t>
      </w:r>
      <w:r>
        <w:rPr>
          <w:rFonts w:hint="eastAsia" w:ascii="宋体" w:hAnsi="宋体"/>
          <w:u w:val="single"/>
        </w:rPr>
        <w:t>（全称、签章）</w:t>
      </w:r>
    </w:p>
    <w:p>
      <w:pPr>
        <w:spacing w:line="360" w:lineRule="auto"/>
        <w:ind w:firstLine="420" w:firstLineChars="200"/>
        <w:rPr>
          <w:rFonts w:ascii="宋体" w:hAnsi="宋体"/>
          <w:u w:val="single"/>
        </w:rPr>
      </w:pPr>
      <w:r>
        <w:rPr>
          <w:rFonts w:hint="eastAsia" w:ascii="宋体" w:hAnsi="宋体"/>
        </w:rPr>
        <w:t>地址：</w:t>
      </w:r>
    </w:p>
    <w:p>
      <w:pPr>
        <w:spacing w:line="360" w:lineRule="auto"/>
        <w:ind w:firstLine="420" w:firstLineChars="200"/>
        <w:rPr>
          <w:rFonts w:ascii="宋体" w:hAnsi="宋体"/>
        </w:rPr>
      </w:pPr>
      <w:r>
        <w:rPr>
          <w:rFonts w:hint="eastAsia" w:ascii="宋体" w:hAnsi="宋体" w:cs="宋体"/>
        </w:rPr>
        <w:t>电话</w:t>
      </w:r>
      <w:r>
        <w:rPr>
          <w:rFonts w:hint="eastAsia" w:ascii="宋体" w:hAnsi="宋体"/>
        </w:rPr>
        <w:t>：</w:t>
      </w:r>
    </w:p>
    <w:p>
      <w:pPr>
        <w:spacing w:line="360" w:lineRule="auto"/>
        <w:ind w:firstLine="420" w:firstLineChars="200"/>
        <w:rPr>
          <w:rFonts w:ascii="宋体" w:hAnsi="宋体"/>
        </w:rPr>
      </w:pPr>
      <w:r>
        <w:rPr>
          <w:rFonts w:hint="eastAsia" w:ascii="宋体" w:hAnsi="宋体"/>
        </w:rPr>
        <w:t>法定代表人或授</w:t>
      </w:r>
      <w:r>
        <w:rPr>
          <w:rFonts w:hint="eastAsia" w:ascii="宋体" w:hAnsi="宋体" w:cs="宋体"/>
        </w:rPr>
        <w:t>权</w:t>
      </w:r>
      <w:r>
        <w:rPr>
          <w:rFonts w:hint="eastAsia" w:ascii="宋体" w:hAnsi="宋体"/>
        </w:rPr>
        <w:t>委托人：</w:t>
      </w:r>
      <w:r>
        <w:rPr>
          <w:rFonts w:hint="eastAsia" w:ascii="宋体" w:hAnsi="宋体"/>
          <w:u w:val="single"/>
        </w:rPr>
        <w:t>（盖章、签字）</w:t>
      </w:r>
    </w:p>
    <w:p>
      <w:pPr>
        <w:spacing w:line="360" w:lineRule="auto"/>
        <w:ind w:firstLine="420" w:firstLineChars="200"/>
        <w:rPr>
          <w:rFonts w:ascii="宋体" w:hAnsi="宋体"/>
          <w:b/>
          <w:sz w:val="22"/>
          <w:szCs w:val="22"/>
        </w:rPr>
        <w:sectPr>
          <w:pgSz w:w="11906" w:h="16838"/>
          <w:pgMar w:top="1440" w:right="1247" w:bottom="1440" w:left="1474" w:header="851" w:footer="851" w:gutter="0"/>
          <w:cols w:space="720" w:num="1"/>
          <w:docGrid w:linePitch="312" w:charSpace="0"/>
        </w:sectPr>
      </w:pPr>
      <w:r>
        <w:rPr>
          <w:rFonts w:hint="eastAsia" w:ascii="宋体" w:hAnsi="宋体"/>
        </w:rPr>
        <w:t>日期：年月日</w:t>
      </w:r>
    </w:p>
    <w:p>
      <w:pPr>
        <w:keepNext/>
        <w:keepLines/>
        <w:spacing w:before="260" w:after="260" w:line="416" w:lineRule="auto"/>
        <w:jc w:val="center"/>
        <w:outlineLvl w:val="1"/>
        <w:rPr>
          <w:rFonts w:ascii="Calibri Light" w:hAnsi="Calibri Light"/>
          <w:b/>
          <w:bCs/>
          <w:sz w:val="32"/>
          <w:szCs w:val="32"/>
        </w:rPr>
      </w:pPr>
      <w:bookmarkStart w:id="258" w:name="_Toc111210356"/>
      <w:bookmarkStart w:id="259" w:name="_Toc111210783"/>
      <w:bookmarkStart w:id="260" w:name="_Toc111210579"/>
      <w:r>
        <w:rPr>
          <w:rFonts w:hint="eastAsia" w:ascii="Calibri Light" w:hAnsi="Calibri Light"/>
          <w:b/>
          <w:bCs/>
          <w:sz w:val="24"/>
        </w:rPr>
        <w:t>3</w:t>
      </w:r>
      <w:r>
        <w:rPr>
          <w:rFonts w:ascii="Calibri Light" w:hAnsi="Calibri Light"/>
          <w:b/>
          <w:bCs/>
          <w:sz w:val="24"/>
        </w:rPr>
        <w:t>、</w:t>
      </w:r>
      <w:r>
        <w:rPr>
          <w:rFonts w:hint="eastAsia" w:ascii="Calibri Light" w:hAnsi="Calibri Light"/>
          <w:b/>
          <w:bCs/>
          <w:sz w:val="24"/>
        </w:rPr>
        <w:t>供应商</w:t>
      </w:r>
      <w:r>
        <w:rPr>
          <w:rFonts w:ascii="Calibri Light" w:hAnsi="Calibri Light"/>
          <w:b/>
          <w:bCs/>
          <w:sz w:val="24"/>
        </w:rPr>
        <w:t>基本情况表（附资格审查资料）</w:t>
      </w:r>
      <w:bookmarkEnd w:id="249"/>
      <w:bookmarkEnd w:id="250"/>
      <w:r>
        <w:rPr>
          <w:rFonts w:hint="eastAsia" w:ascii="宋体" w:hAnsi="宋体" w:cs="宋体"/>
          <w:b/>
          <w:bCs/>
        </w:rPr>
        <w:t>（投标文件格式七）</w:t>
      </w:r>
      <w:bookmarkEnd w:id="258"/>
      <w:bookmarkEnd w:id="259"/>
      <w:bookmarkEnd w:id="260"/>
    </w:p>
    <w:tbl>
      <w:tblPr>
        <w:tblStyle w:val="23"/>
        <w:tblpPr w:leftFromText="180" w:rightFromText="180" w:vertAnchor="text" w:tblpXSpec="center" w:tblpY="1"/>
        <w:tblOverlap w:val="never"/>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1134"/>
        <w:gridCol w:w="709"/>
        <w:gridCol w:w="1275"/>
        <w:gridCol w:w="650"/>
        <w:gridCol w:w="343"/>
        <w:gridCol w:w="283"/>
        <w:gridCol w:w="992"/>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2"/>
              <w:ind w:left="157" w:right="158"/>
              <w:jc w:val="center"/>
              <w:rPr>
                <w:rFonts w:hAnsi="宋体" w:cs="宋体"/>
                <w:sz w:val="24"/>
              </w:rPr>
            </w:pPr>
            <w:r>
              <w:rPr>
                <w:rFonts w:hint="eastAsia" w:hAnsi="宋体" w:cs="宋体"/>
                <w:sz w:val="24"/>
              </w:rPr>
              <w:t>供应商</w:t>
            </w:r>
            <w:r>
              <w:rPr>
                <w:rFonts w:hAnsi="宋体" w:cs="宋体"/>
                <w:sz w:val="24"/>
              </w:rPr>
              <w:t>名称</w:t>
            </w:r>
          </w:p>
        </w:tc>
        <w:tc>
          <w:tcPr>
            <w:tcW w:w="6950" w:type="dxa"/>
            <w:gridSpan w:val="8"/>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注册地址</w:t>
            </w:r>
          </w:p>
        </w:tc>
        <w:tc>
          <w:tcPr>
            <w:tcW w:w="3118"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spacing w:before="111"/>
              <w:ind w:left="199"/>
              <w:rPr>
                <w:rFonts w:hAnsi="宋体" w:cs="宋体"/>
                <w:sz w:val="24"/>
              </w:rPr>
            </w:pPr>
            <w:r>
              <w:rPr>
                <w:rFonts w:hAnsi="宋体" w:cs="宋体"/>
                <w:sz w:val="24"/>
              </w:rPr>
              <w:t>邮政编码</w:t>
            </w: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2269"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Ansi="宋体" w:cs="宋体"/>
                <w:b/>
                <w:sz w:val="24"/>
              </w:rPr>
            </w:pPr>
          </w:p>
          <w:p>
            <w:pPr>
              <w:spacing w:before="138"/>
              <w:ind w:left="387" w:firstLine="243" w:firstLineChars="100"/>
              <w:rPr>
                <w:rFonts w:hAnsi="宋体" w:cs="宋体"/>
                <w:sz w:val="24"/>
              </w:rPr>
            </w:pPr>
            <w:r>
              <w:rPr>
                <w:rFonts w:hAnsi="宋体" w:cs="宋体"/>
                <w:sz w:val="24"/>
              </w:rPr>
              <w:t>联系方式</w:t>
            </w: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spacing w:before="112"/>
              <w:ind w:right="1"/>
              <w:jc w:val="center"/>
              <w:rPr>
                <w:rFonts w:hAnsi="宋体" w:cs="宋体"/>
                <w:sz w:val="24"/>
              </w:rPr>
            </w:pPr>
            <w:r>
              <w:rPr>
                <w:rFonts w:hAnsi="宋体" w:cs="宋体"/>
                <w:sz w:val="24"/>
              </w:rPr>
              <w:t>联系人</w:t>
            </w:r>
          </w:p>
        </w:tc>
        <w:tc>
          <w:tcPr>
            <w:tcW w:w="1984"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650" w:type="dxa"/>
            <w:tcBorders>
              <w:top w:val="single" w:color="000000" w:sz="4" w:space="0"/>
              <w:left w:val="single" w:color="000000" w:sz="4" w:space="0"/>
              <w:bottom w:val="single" w:color="000000" w:sz="4" w:space="0"/>
              <w:right w:val="nil"/>
              <w:tl2br w:val="nil"/>
              <w:tr2bl w:val="nil"/>
            </w:tcBorders>
          </w:tcPr>
          <w:p>
            <w:pPr>
              <w:spacing w:before="112"/>
              <w:ind w:right="1"/>
              <w:jc w:val="center"/>
              <w:rPr>
                <w:rFonts w:hAnsi="宋体" w:cs="宋体"/>
                <w:sz w:val="24"/>
              </w:rPr>
            </w:pPr>
            <w:r>
              <w:rPr>
                <w:rFonts w:hAnsi="宋体" w:cs="宋体"/>
                <w:sz w:val="24"/>
              </w:rPr>
              <w:t>电</w:t>
            </w:r>
          </w:p>
        </w:tc>
        <w:tc>
          <w:tcPr>
            <w:tcW w:w="343" w:type="dxa"/>
            <w:tcBorders>
              <w:top w:val="single" w:color="000000" w:sz="4" w:space="0"/>
              <w:left w:val="nil"/>
              <w:bottom w:val="single" w:color="000000" w:sz="4" w:space="0"/>
              <w:right w:val="nil"/>
              <w:tl2br w:val="nil"/>
              <w:tr2bl w:val="nil"/>
            </w:tcBorders>
          </w:tcPr>
          <w:p>
            <w:pPr>
              <w:spacing w:before="112"/>
              <w:ind w:right="1"/>
              <w:jc w:val="center"/>
              <w:rPr>
                <w:rFonts w:hAnsi="宋体" w:cs="宋体"/>
                <w:sz w:val="24"/>
              </w:rPr>
            </w:pPr>
            <w:r>
              <w:rPr>
                <w:rFonts w:hAnsi="宋体" w:cs="宋体"/>
                <w:sz w:val="24"/>
              </w:rPr>
              <w:t>话</w:t>
            </w:r>
          </w:p>
        </w:tc>
        <w:tc>
          <w:tcPr>
            <w:tcW w:w="283" w:type="dxa"/>
            <w:tcBorders>
              <w:top w:val="single" w:color="000000" w:sz="4" w:space="0"/>
              <w:left w:val="nil"/>
              <w:bottom w:val="single" w:color="000000" w:sz="4" w:space="0"/>
              <w:right w:val="single" w:color="000000" w:sz="4" w:space="0"/>
              <w:tl2br w:val="nil"/>
              <w:tr2bl w:val="nil"/>
            </w:tcBorders>
          </w:tcPr>
          <w:p>
            <w:pPr>
              <w:ind w:right="1"/>
              <w:jc w:val="center"/>
              <w:rPr>
                <w:rFonts w:hAnsi="宋体" w:cs="宋体"/>
                <w:sz w:val="24"/>
              </w:rPr>
            </w:pP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2269"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tabs>
                <w:tab w:val="left" w:pos="419"/>
              </w:tabs>
              <w:spacing w:before="111"/>
              <w:ind w:right="1"/>
              <w:jc w:val="center"/>
              <w:rPr>
                <w:rFonts w:hAnsi="宋体" w:cs="宋体"/>
                <w:sz w:val="24"/>
              </w:rPr>
            </w:pPr>
            <w:r>
              <w:rPr>
                <w:rFonts w:hAnsi="宋体" w:cs="宋体"/>
                <w:sz w:val="24"/>
              </w:rPr>
              <w:t>传</w:t>
            </w:r>
            <w:r>
              <w:rPr>
                <w:rFonts w:hAnsi="宋体" w:cs="宋体"/>
                <w:sz w:val="24"/>
              </w:rPr>
              <w:tab/>
            </w:r>
            <w:r>
              <w:rPr>
                <w:rFonts w:hAnsi="宋体" w:cs="宋体"/>
                <w:sz w:val="24"/>
              </w:rPr>
              <w:t>真</w:t>
            </w:r>
          </w:p>
        </w:tc>
        <w:tc>
          <w:tcPr>
            <w:tcW w:w="1984"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650" w:type="dxa"/>
            <w:tcBorders>
              <w:top w:val="single" w:color="000000" w:sz="4" w:space="0"/>
              <w:left w:val="single" w:color="000000" w:sz="4" w:space="0"/>
              <w:bottom w:val="single" w:color="000000" w:sz="4" w:space="0"/>
              <w:right w:val="nil"/>
              <w:tl2br w:val="nil"/>
              <w:tr2bl w:val="nil"/>
            </w:tcBorders>
          </w:tcPr>
          <w:p>
            <w:pPr>
              <w:spacing w:before="112"/>
              <w:ind w:right="1"/>
              <w:jc w:val="center"/>
              <w:rPr>
                <w:rFonts w:hAnsi="宋体" w:cs="宋体"/>
                <w:sz w:val="24"/>
              </w:rPr>
            </w:pPr>
            <w:r>
              <w:rPr>
                <w:rFonts w:hAnsi="宋体" w:cs="宋体"/>
                <w:sz w:val="24"/>
              </w:rPr>
              <w:t>网</w:t>
            </w:r>
          </w:p>
        </w:tc>
        <w:tc>
          <w:tcPr>
            <w:tcW w:w="343" w:type="dxa"/>
            <w:tcBorders>
              <w:top w:val="single" w:color="000000" w:sz="4" w:space="0"/>
              <w:left w:val="nil"/>
              <w:bottom w:val="single" w:color="000000" w:sz="4" w:space="0"/>
              <w:right w:val="nil"/>
              <w:tl2br w:val="nil"/>
              <w:tr2bl w:val="nil"/>
            </w:tcBorders>
          </w:tcPr>
          <w:p>
            <w:pPr>
              <w:spacing w:before="112"/>
              <w:ind w:right="1"/>
              <w:jc w:val="center"/>
              <w:rPr>
                <w:rFonts w:hAnsi="宋体" w:cs="宋体"/>
                <w:sz w:val="24"/>
              </w:rPr>
            </w:pPr>
            <w:r>
              <w:rPr>
                <w:rFonts w:hAnsi="宋体" w:cs="宋体"/>
                <w:sz w:val="24"/>
              </w:rPr>
              <w:t>址</w:t>
            </w:r>
          </w:p>
        </w:tc>
        <w:tc>
          <w:tcPr>
            <w:tcW w:w="283" w:type="dxa"/>
            <w:tcBorders>
              <w:top w:val="single" w:color="000000" w:sz="4" w:space="0"/>
              <w:left w:val="nil"/>
              <w:bottom w:val="single" w:color="000000" w:sz="4" w:space="0"/>
              <w:right w:val="single" w:color="000000" w:sz="4" w:space="0"/>
              <w:tl2br w:val="nil"/>
              <w:tr2bl w:val="nil"/>
            </w:tcBorders>
          </w:tcPr>
          <w:p>
            <w:pPr>
              <w:spacing w:before="112"/>
              <w:ind w:right="1"/>
              <w:jc w:val="center"/>
              <w:rPr>
                <w:rFonts w:hAnsi="宋体" w:cs="宋体"/>
                <w:sz w:val="24"/>
              </w:rPr>
            </w:pP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2"/>
              <w:ind w:left="157" w:right="158"/>
              <w:jc w:val="center"/>
              <w:rPr>
                <w:rFonts w:hAnsi="宋体" w:cs="宋体"/>
                <w:sz w:val="24"/>
              </w:rPr>
            </w:pPr>
            <w:r>
              <w:rPr>
                <w:rFonts w:hAnsi="宋体" w:cs="宋体"/>
                <w:sz w:val="24"/>
              </w:rPr>
              <w:t>法定代表人</w:t>
            </w: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spacing w:before="112"/>
              <w:ind w:right="1"/>
              <w:jc w:val="center"/>
              <w:rPr>
                <w:rFonts w:hAnsi="宋体" w:cs="宋体"/>
                <w:sz w:val="24"/>
              </w:rPr>
            </w:pPr>
            <w:r>
              <w:rPr>
                <w:rFonts w:hAnsi="宋体" w:cs="宋体"/>
                <w:sz w:val="24"/>
              </w:rPr>
              <w:t>姓名</w:t>
            </w:r>
          </w:p>
        </w:tc>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pPr>
              <w:spacing w:before="112"/>
              <w:ind w:left="134" w:right="135"/>
              <w:jc w:val="center"/>
              <w:rPr>
                <w:rFonts w:hAnsi="宋体" w:cs="宋体"/>
                <w:sz w:val="24"/>
              </w:rPr>
            </w:pPr>
            <w:r>
              <w:rPr>
                <w:rFonts w:hAnsi="宋体" w:cs="宋体"/>
                <w:sz w:val="24"/>
              </w:rPr>
              <w:t>技术职称</w:t>
            </w: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992" w:type="dxa"/>
            <w:tcBorders>
              <w:top w:val="single" w:color="000000" w:sz="4" w:space="0"/>
              <w:left w:val="single" w:color="000000" w:sz="4" w:space="0"/>
              <w:bottom w:val="single" w:color="000000" w:sz="4" w:space="0"/>
              <w:right w:val="single" w:color="000000" w:sz="4" w:space="0"/>
              <w:tl2br w:val="nil"/>
              <w:tr2bl w:val="nil"/>
            </w:tcBorders>
          </w:tcPr>
          <w:p>
            <w:pPr>
              <w:spacing w:before="112"/>
              <w:ind w:left="139" w:right="126"/>
              <w:jc w:val="center"/>
              <w:rPr>
                <w:rFonts w:hAnsi="宋体" w:cs="宋体"/>
                <w:sz w:val="24"/>
              </w:rPr>
            </w:pPr>
            <w:r>
              <w:rPr>
                <w:rFonts w:hAnsi="宋体" w:cs="宋体"/>
                <w:sz w:val="24"/>
              </w:rPr>
              <w:t>电话</w:t>
            </w:r>
          </w:p>
        </w:tc>
        <w:tc>
          <w:tcPr>
            <w:tcW w:w="1564" w:type="dxa"/>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技术负责人</w:t>
            </w:r>
          </w:p>
        </w:tc>
        <w:tc>
          <w:tcPr>
            <w:tcW w:w="1134" w:type="dxa"/>
            <w:tcBorders>
              <w:top w:val="single" w:color="000000" w:sz="4" w:space="0"/>
              <w:left w:val="single" w:color="000000" w:sz="4" w:space="0"/>
              <w:bottom w:val="single" w:color="000000" w:sz="4" w:space="0"/>
              <w:right w:val="single" w:color="000000" w:sz="4" w:space="0"/>
              <w:tl2br w:val="nil"/>
              <w:tr2bl w:val="nil"/>
            </w:tcBorders>
          </w:tcPr>
          <w:p>
            <w:pPr>
              <w:spacing w:before="111"/>
              <w:ind w:right="1"/>
              <w:jc w:val="center"/>
              <w:rPr>
                <w:rFonts w:hAnsi="宋体" w:cs="宋体"/>
                <w:sz w:val="24"/>
              </w:rPr>
            </w:pPr>
            <w:r>
              <w:rPr>
                <w:rFonts w:hAnsi="宋体" w:cs="宋体"/>
                <w:sz w:val="24"/>
              </w:rPr>
              <w:t>姓名</w:t>
            </w:r>
          </w:p>
        </w:tc>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34" w:right="135"/>
              <w:jc w:val="center"/>
              <w:rPr>
                <w:rFonts w:hAnsi="宋体" w:cs="宋体"/>
                <w:sz w:val="24"/>
              </w:rPr>
            </w:pPr>
            <w:r>
              <w:rPr>
                <w:rFonts w:hAnsi="宋体" w:cs="宋体"/>
                <w:sz w:val="24"/>
              </w:rPr>
              <w:t>技术职称</w:t>
            </w: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992"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39" w:right="126"/>
              <w:jc w:val="center"/>
              <w:rPr>
                <w:rFonts w:hAnsi="宋体" w:cs="宋体"/>
                <w:sz w:val="24"/>
              </w:rPr>
            </w:pPr>
            <w:r>
              <w:rPr>
                <w:rFonts w:hAnsi="宋体" w:cs="宋体"/>
                <w:sz w:val="24"/>
              </w:rPr>
              <w:t>电话</w:t>
            </w:r>
          </w:p>
        </w:tc>
        <w:tc>
          <w:tcPr>
            <w:tcW w:w="1564" w:type="dxa"/>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1"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企业设计资质证书</w:t>
            </w:r>
          </w:p>
        </w:tc>
        <w:tc>
          <w:tcPr>
            <w:tcW w:w="1134" w:type="dxa"/>
            <w:tcBorders>
              <w:top w:val="single" w:color="000000" w:sz="4" w:space="0"/>
              <w:left w:val="single" w:color="000000" w:sz="4" w:space="0"/>
              <w:bottom w:val="single" w:color="000000" w:sz="4" w:space="0"/>
              <w:right w:val="nil"/>
              <w:tl2br w:val="nil"/>
              <w:tr2bl w:val="nil"/>
            </w:tcBorders>
          </w:tcPr>
          <w:p>
            <w:pPr>
              <w:spacing w:before="113"/>
              <w:ind w:right="138"/>
              <w:rPr>
                <w:rFonts w:hAnsi="宋体" w:cs="宋体"/>
                <w:sz w:val="24"/>
              </w:rPr>
            </w:pPr>
            <w:r>
              <w:rPr>
                <w:rFonts w:hAnsi="宋体" w:cs="宋体"/>
                <w:sz w:val="24"/>
              </w:rPr>
              <w:t>类型：</w:t>
            </w:r>
          </w:p>
        </w:tc>
        <w:tc>
          <w:tcPr>
            <w:tcW w:w="1984" w:type="dxa"/>
            <w:gridSpan w:val="2"/>
            <w:tcBorders>
              <w:top w:val="single" w:color="000000" w:sz="4" w:space="0"/>
              <w:left w:val="nil"/>
              <w:bottom w:val="single" w:color="000000" w:sz="4" w:space="0"/>
              <w:right w:val="nil"/>
              <w:tl2br w:val="nil"/>
              <w:tr2bl w:val="nil"/>
            </w:tcBorders>
          </w:tcPr>
          <w:p>
            <w:pPr>
              <w:spacing w:before="113"/>
              <w:ind w:firstLine="972" w:firstLineChars="400"/>
              <w:rPr>
                <w:rFonts w:hAnsi="宋体" w:cs="宋体"/>
                <w:sz w:val="24"/>
              </w:rPr>
            </w:pPr>
            <w:r>
              <w:rPr>
                <w:rFonts w:hAnsi="宋体" w:cs="宋体"/>
                <w:sz w:val="24"/>
              </w:rPr>
              <w:t>等级：</w:t>
            </w:r>
          </w:p>
        </w:tc>
        <w:tc>
          <w:tcPr>
            <w:tcW w:w="650" w:type="dxa"/>
            <w:tcBorders>
              <w:top w:val="single" w:color="000000" w:sz="4" w:space="0"/>
              <w:left w:val="nil"/>
              <w:bottom w:val="single" w:color="000000" w:sz="4" w:space="0"/>
              <w:right w:val="nil"/>
              <w:tl2br w:val="nil"/>
              <w:tr2bl w:val="nil"/>
            </w:tcBorders>
          </w:tcPr>
          <w:p>
            <w:pPr>
              <w:rPr>
                <w:rFonts w:hAnsi="宋体" w:cs="宋体"/>
                <w:sz w:val="24"/>
              </w:rPr>
            </w:pPr>
          </w:p>
        </w:tc>
        <w:tc>
          <w:tcPr>
            <w:tcW w:w="343" w:type="dxa"/>
            <w:tcBorders>
              <w:top w:val="single" w:color="000000" w:sz="4" w:space="0"/>
              <w:left w:val="nil"/>
              <w:bottom w:val="single" w:color="000000" w:sz="4" w:space="0"/>
              <w:right w:val="nil"/>
              <w:tl2br w:val="nil"/>
              <w:tr2bl w:val="nil"/>
            </w:tcBorders>
          </w:tcPr>
          <w:p>
            <w:pPr>
              <w:rPr>
                <w:rFonts w:hAnsi="宋体" w:cs="宋体"/>
                <w:sz w:val="24"/>
              </w:rPr>
            </w:pPr>
          </w:p>
        </w:tc>
        <w:tc>
          <w:tcPr>
            <w:tcW w:w="2839" w:type="dxa"/>
            <w:gridSpan w:val="3"/>
            <w:tcBorders>
              <w:top w:val="single" w:color="000000" w:sz="4" w:space="0"/>
              <w:left w:val="nil"/>
              <w:bottom w:val="single" w:color="000000" w:sz="4" w:space="0"/>
              <w:right w:val="single" w:color="000000" w:sz="4" w:space="0"/>
              <w:tl2br w:val="nil"/>
              <w:tr2bl w:val="nil"/>
            </w:tcBorders>
          </w:tcPr>
          <w:p>
            <w:pPr>
              <w:spacing w:before="113"/>
              <w:ind w:left="148" w:firstLine="243" w:firstLineChars="100"/>
              <w:rPr>
                <w:rFonts w:hAnsi="宋体" w:cs="宋体"/>
                <w:sz w:val="24"/>
              </w:rPr>
            </w:pPr>
            <w:r>
              <w:rPr>
                <w:rFonts w:hAnsi="宋体" w:cs="宋体"/>
                <w:sz w:val="24"/>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质量管理体系证书（如有）</w:t>
            </w:r>
          </w:p>
        </w:tc>
        <w:tc>
          <w:tcPr>
            <w:tcW w:w="1134" w:type="dxa"/>
            <w:tcBorders>
              <w:top w:val="single" w:color="000000" w:sz="4" w:space="0"/>
              <w:left w:val="single" w:color="000000" w:sz="4" w:space="0"/>
              <w:bottom w:val="single" w:color="000000" w:sz="4" w:space="0"/>
              <w:right w:val="nil"/>
              <w:tl2br w:val="nil"/>
              <w:tr2bl w:val="nil"/>
            </w:tcBorders>
          </w:tcPr>
          <w:p>
            <w:pPr>
              <w:spacing w:before="112"/>
              <w:ind w:left="84" w:right="138"/>
              <w:rPr>
                <w:rFonts w:hAnsi="宋体" w:cs="宋体"/>
                <w:sz w:val="24"/>
              </w:rPr>
            </w:pPr>
            <w:r>
              <w:rPr>
                <w:rFonts w:hAnsi="宋体" w:cs="宋体"/>
                <w:sz w:val="24"/>
              </w:rPr>
              <w:t>类型：</w:t>
            </w:r>
          </w:p>
        </w:tc>
        <w:tc>
          <w:tcPr>
            <w:tcW w:w="1984" w:type="dxa"/>
            <w:gridSpan w:val="2"/>
            <w:tcBorders>
              <w:top w:val="single" w:color="000000" w:sz="4" w:space="0"/>
              <w:left w:val="nil"/>
              <w:bottom w:val="single" w:color="000000" w:sz="4" w:space="0"/>
              <w:right w:val="nil"/>
              <w:tl2br w:val="nil"/>
              <w:tr2bl w:val="nil"/>
            </w:tcBorders>
          </w:tcPr>
          <w:p>
            <w:pPr>
              <w:spacing w:before="112"/>
              <w:ind w:firstLine="972" w:firstLineChars="400"/>
              <w:rPr>
                <w:rFonts w:hAnsi="宋体" w:cs="宋体"/>
                <w:sz w:val="24"/>
              </w:rPr>
            </w:pPr>
            <w:r>
              <w:rPr>
                <w:rFonts w:hAnsi="宋体" w:cs="宋体"/>
                <w:sz w:val="24"/>
              </w:rPr>
              <w:t>等级：</w:t>
            </w:r>
          </w:p>
        </w:tc>
        <w:tc>
          <w:tcPr>
            <w:tcW w:w="650" w:type="dxa"/>
            <w:tcBorders>
              <w:top w:val="single" w:color="000000" w:sz="4" w:space="0"/>
              <w:left w:val="nil"/>
              <w:bottom w:val="single" w:color="000000" w:sz="4" w:space="0"/>
              <w:right w:val="nil"/>
              <w:tl2br w:val="nil"/>
              <w:tr2bl w:val="nil"/>
            </w:tcBorders>
          </w:tcPr>
          <w:p>
            <w:pPr>
              <w:rPr>
                <w:rFonts w:hAnsi="宋体" w:cs="宋体"/>
                <w:sz w:val="24"/>
              </w:rPr>
            </w:pPr>
          </w:p>
        </w:tc>
        <w:tc>
          <w:tcPr>
            <w:tcW w:w="343" w:type="dxa"/>
            <w:tcBorders>
              <w:top w:val="single" w:color="000000" w:sz="4" w:space="0"/>
              <w:left w:val="nil"/>
              <w:bottom w:val="single" w:color="000000" w:sz="4" w:space="0"/>
              <w:right w:val="nil"/>
              <w:tl2br w:val="nil"/>
              <w:tr2bl w:val="nil"/>
            </w:tcBorders>
          </w:tcPr>
          <w:p>
            <w:pPr>
              <w:rPr>
                <w:rFonts w:hAnsi="宋体" w:cs="宋体"/>
                <w:sz w:val="24"/>
              </w:rPr>
            </w:pPr>
          </w:p>
        </w:tc>
        <w:tc>
          <w:tcPr>
            <w:tcW w:w="2839" w:type="dxa"/>
            <w:gridSpan w:val="3"/>
            <w:tcBorders>
              <w:top w:val="single" w:color="000000" w:sz="4" w:space="0"/>
              <w:left w:val="nil"/>
              <w:bottom w:val="single" w:color="000000" w:sz="4" w:space="0"/>
              <w:right w:val="single" w:color="000000" w:sz="4" w:space="0"/>
              <w:tl2br w:val="nil"/>
              <w:tr2bl w:val="nil"/>
            </w:tcBorders>
          </w:tcPr>
          <w:p>
            <w:pPr>
              <w:spacing w:before="112"/>
              <w:ind w:left="148"/>
              <w:rPr>
                <w:rFonts w:hAnsi="宋体" w:cs="宋体"/>
                <w:sz w:val="24"/>
              </w:rPr>
            </w:pPr>
            <w:r>
              <w:rPr>
                <w:rFonts w:hAnsi="宋体" w:cs="宋体"/>
                <w:sz w:val="24"/>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营业执照号</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c>
          <w:tcPr>
            <w:tcW w:w="5107" w:type="dxa"/>
            <w:gridSpan w:val="6"/>
            <w:tcBorders>
              <w:top w:val="single" w:color="000000" w:sz="4" w:space="0"/>
              <w:left w:val="single" w:color="000000" w:sz="4" w:space="0"/>
              <w:bottom w:val="single" w:color="000000" w:sz="4" w:space="0"/>
              <w:right w:val="single" w:color="000000" w:sz="4" w:space="0"/>
              <w:tl2br w:val="nil"/>
              <w:tr2bl w:val="nil"/>
            </w:tcBorders>
          </w:tcPr>
          <w:p>
            <w:pPr>
              <w:spacing w:before="111"/>
              <w:ind w:right="2057"/>
              <w:rPr>
                <w:rFonts w:hAnsi="宋体" w:cs="宋体"/>
                <w:sz w:val="24"/>
              </w:rPr>
            </w:pPr>
            <w:r>
              <w:rPr>
                <w:rFonts w:hAnsi="宋体" w:cs="宋体"/>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2"/>
              <w:ind w:left="157" w:right="158"/>
              <w:jc w:val="center"/>
              <w:rPr>
                <w:rFonts w:hAnsi="宋体" w:cs="宋体"/>
                <w:sz w:val="24"/>
              </w:rPr>
            </w:pPr>
            <w:r>
              <w:rPr>
                <w:rFonts w:hAnsi="宋体" w:cs="宋体"/>
                <w:sz w:val="24"/>
              </w:rPr>
              <w:t>注册资本</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tcPr>
          <w:p>
            <w:pPr>
              <w:spacing w:before="112"/>
              <w:rPr>
                <w:rFonts w:hAnsi="宋体" w:cs="宋体"/>
                <w:sz w:val="24"/>
              </w:rPr>
            </w:pPr>
            <w:r>
              <w:rPr>
                <w:rFonts w:hAnsi="宋体" w:cs="宋体"/>
                <w:sz w:val="24"/>
              </w:rPr>
              <w:t>（万元）</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b/>
                <w:sz w:val="24"/>
              </w:rPr>
            </w:pPr>
          </w:p>
          <w:p>
            <w:pPr>
              <w:jc w:val="center"/>
              <w:rPr>
                <w:rFonts w:hAnsi="宋体" w:cs="宋体"/>
                <w:b/>
                <w:sz w:val="24"/>
              </w:rPr>
            </w:pPr>
          </w:p>
          <w:p>
            <w:pPr>
              <w:jc w:val="center"/>
              <w:rPr>
                <w:rFonts w:hAnsi="宋体" w:cs="宋体"/>
                <w:b/>
                <w:sz w:val="24"/>
              </w:rPr>
            </w:pPr>
          </w:p>
          <w:p>
            <w:pPr>
              <w:spacing w:before="8"/>
              <w:jc w:val="center"/>
              <w:rPr>
                <w:rFonts w:hAnsi="宋体" w:cs="宋体"/>
                <w:b/>
                <w:sz w:val="24"/>
              </w:rPr>
            </w:pPr>
          </w:p>
          <w:p>
            <w:pPr>
              <w:ind w:left="364"/>
              <w:jc w:val="center"/>
              <w:rPr>
                <w:rFonts w:hAnsi="宋体" w:cs="宋体"/>
                <w:sz w:val="24"/>
              </w:rPr>
            </w:pPr>
            <w:r>
              <w:rPr>
                <w:rFonts w:hAnsi="宋体" w:cs="宋体"/>
                <w:sz w:val="24"/>
              </w:rPr>
              <w:t>其中</w:t>
            </w: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spacing w:before="112"/>
              <w:ind w:left="174"/>
              <w:jc w:val="center"/>
              <w:rPr>
                <w:rFonts w:hAnsi="宋体" w:cs="宋体"/>
                <w:sz w:val="24"/>
              </w:rPr>
            </w:pPr>
            <w:r>
              <w:rPr>
                <w:rFonts w:hAnsi="宋体" w:cs="宋体"/>
                <w:sz w:val="24"/>
              </w:rPr>
              <w:t>高级职称人员</w:t>
            </w: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成立日期</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spacing w:before="111"/>
              <w:ind w:left="174"/>
              <w:jc w:val="center"/>
              <w:rPr>
                <w:rFonts w:hAnsi="宋体" w:cs="宋体"/>
                <w:sz w:val="24"/>
              </w:rPr>
            </w:pPr>
            <w:r>
              <w:rPr>
                <w:rFonts w:hAnsi="宋体" w:cs="宋体"/>
                <w:sz w:val="24"/>
              </w:rPr>
              <w:t>中级职称人员</w:t>
            </w: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基本账户开户银行</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spacing w:before="113"/>
              <w:ind w:left="174"/>
              <w:jc w:val="center"/>
              <w:rPr>
                <w:rFonts w:hAnsi="宋体" w:cs="宋体"/>
                <w:sz w:val="24"/>
              </w:rPr>
            </w:pPr>
            <w:r>
              <w:rPr>
                <w:rFonts w:hAnsi="宋体" w:cs="宋体"/>
                <w:sz w:val="24"/>
              </w:rPr>
              <w:t>技术人员数量</w:t>
            </w: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基本账户银行账号</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c>
          <w:tcPr>
            <w:tcW w:w="1276" w:type="dxa"/>
            <w:gridSpan w:val="3"/>
            <w:tcBorders>
              <w:top w:val="single" w:color="000000" w:sz="4" w:space="0"/>
              <w:left w:val="single" w:color="000000" w:sz="4" w:space="0"/>
              <w:bottom w:val="single" w:color="000000" w:sz="4" w:space="0"/>
              <w:right w:val="single" w:color="000000" w:sz="4" w:space="0"/>
              <w:tl2br w:val="nil"/>
              <w:tr2bl w:val="nil"/>
            </w:tcBorders>
          </w:tcPr>
          <w:p>
            <w:pPr>
              <w:spacing w:before="112"/>
              <w:ind w:left="174"/>
              <w:jc w:val="center"/>
              <w:rPr>
                <w:rFonts w:hAnsi="宋体" w:cs="宋体"/>
                <w:sz w:val="24"/>
              </w:rPr>
            </w:pPr>
            <w:r>
              <w:rPr>
                <w:rFonts w:hAnsi="宋体" w:cs="宋体"/>
                <w:sz w:val="24"/>
              </w:rPr>
              <w:t>各类注册人员</w:t>
            </w:r>
          </w:p>
        </w:tc>
        <w:tc>
          <w:tcPr>
            <w:tcW w:w="2556" w:type="dxa"/>
            <w:gridSpan w:val="2"/>
            <w:tcBorders>
              <w:top w:val="single" w:color="000000" w:sz="4" w:space="0"/>
              <w:left w:val="single" w:color="000000" w:sz="4" w:space="0"/>
              <w:bottom w:val="single" w:color="000000" w:sz="4" w:space="0"/>
              <w:right w:val="single" w:color="000000" w:sz="4" w:space="0"/>
              <w:tl2br w:val="nil"/>
              <w:tr2bl w:val="nil"/>
            </w:tcBorders>
          </w:tcPr>
          <w:p>
            <w:pPr>
              <w:jc w:val="cente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jc w:val="center"/>
              <w:rPr>
                <w:rFonts w:hAnsi="宋体" w:cs="宋体"/>
                <w:sz w:val="24"/>
              </w:rPr>
            </w:pPr>
            <w:r>
              <w:rPr>
                <w:rFonts w:hAnsi="宋体" w:cs="宋体"/>
                <w:sz w:val="24"/>
              </w:rPr>
              <w:t>经营范围</w:t>
            </w:r>
          </w:p>
        </w:tc>
        <w:tc>
          <w:tcPr>
            <w:tcW w:w="6950" w:type="dxa"/>
            <w:gridSpan w:val="8"/>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4"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1"/>
              <w:ind w:left="157" w:right="158"/>
              <w:rPr>
                <w:rFonts w:hAnsi="宋体" w:cs="宋体"/>
                <w:sz w:val="24"/>
              </w:rPr>
            </w:pPr>
            <w:r>
              <w:rPr>
                <w:rFonts w:hint="eastAsia" w:hAnsi="宋体" w:cs="宋体"/>
                <w:sz w:val="24"/>
              </w:rPr>
              <w:t>供应商</w:t>
            </w:r>
            <w:r>
              <w:rPr>
                <w:rFonts w:hAnsi="宋体" w:cs="宋体"/>
                <w:sz w:val="24"/>
              </w:rPr>
              <w:t>关联企业情况（包括但不限于与</w:t>
            </w:r>
            <w:r>
              <w:rPr>
                <w:rFonts w:hint="eastAsia" w:hAnsi="宋体" w:cs="宋体"/>
                <w:sz w:val="24"/>
              </w:rPr>
              <w:t>供应商</w:t>
            </w:r>
            <w:r>
              <w:rPr>
                <w:rFonts w:hAnsi="宋体" w:cs="宋体"/>
                <w:sz w:val="24"/>
              </w:rPr>
              <w:t>法定代表人为同一人或者存在控股、管理关系的不同单位）</w:t>
            </w:r>
          </w:p>
        </w:tc>
        <w:tc>
          <w:tcPr>
            <w:tcW w:w="6950" w:type="dxa"/>
            <w:gridSpan w:val="8"/>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exact"/>
        </w:trPr>
        <w:tc>
          <w:tcPr>
            <w:tcW w:w="2269" w:type="dxa"/>
            <w:tcBorders>
              <w:top w:val="single" w:color="000000" w:sz="4" w:space="0"/>
              <w:left w:val="single" w:color="000000" w:sz="4" w:space="0"/>
              <w:bottom w:val="single" w:color="000000" w:sz="4" w:space="0"/>
              <w:right w:val="single" w:color="000000" w:sz="4" w:space="0"/>
              <w:tl2br w:val="nil"/>
              <w:tr2bl w:val="nil"/>
            </w:tcBorders>
          </w:tcPr>
          <w:p>
            <w:pPr>
              <w:spacing w:before="113"/>
              <w:ind w:left="157" w:right="157"/>
              <w:jc w:val="center"/>
              <w:rPr>
                <w:rFonts w:hAnsi="宋体" w:cs="宋体"/>
                <w:sz w:val="24"/>
              </w:rPr>
            </w:pPr>
            <w:r>
              <w:rPr>
                <w:rFonts w:hAnsi="宋体" w:cs="宋体"/>
                <w:sz w:val="24"/>
              </w:rPr>
              <w:t>备注</w:t>
            </w:r>
          </w:p>
        </w:tc>
        <w:tc>
          <w:tcPr>
            <w:tcW w:w="6950" w:type="dxa"/>
            <w:gridSpan w:val="8"/>
            <w:tcBorders>
              <w:top w:val="single" w:color="000000" w:sz="4" w:space="0"/>
              <w:left w:val="single" w:color="000000" w:sz="4" w:space="0"/>
              <w:bottom w:val="single" w:color="000000" w:sz="4" w:space="0"/>
              <w:right w:val="single" w:color="000000" w:sz="4" w:space="0"/>
              <w:tl2br w:val="nil"/>
              <w:tr2bl w:val="nil"/>
            </w:tcBorders>
          </w:tcPr>
          <w:p>
            <w:pPr>
              <w:rPr>
                <w:rFonts w:hAnsi="宋体" w:cs="宋体"/>
                <w:sz w:val="24"/>
              </w:rPr>
            </w:pPr>
          </w:p>
        </w:tc>
      </w:tr>
    </w:tbl>
    <w:p>
      <w:pPr>
        <w:tabs>
          <w:tab w:val="left" w:pos="9214"/>
        </w:tabs>
        <w:autoSpaceDE w:val="0"/>
        <w:autoSpaceDN w:val="0"/>
        <w:spacing w:before="2"/>
        <w:jc w:val="left"/>
        <w:rPr>
          <w:rFonts w:ascii="宋体" w:hAnsi="宋体"/>
          <w:b/>
        </w:rPr>
      </w:pPr>
      <w:r>
        <w:rPr>
          <w:rFonts w:hint="eastAsia" w:hAnsi="宋体" w:cs="宋体"/>
          <w:b/>
          <w:sz w:val="18"/>
          <w:szCs w:val="18"/>
          <w:lang w:bidi="zh-CN"/>
        </w:rPr>
        <w:t>注：在本表后应附：编制投标文件时，后附供应商简介、并将企业营业执照、资质证书等的原件扫描件作为本表的附件。</w:t>
      </w:r>
    </w:p>
    <w:p>
      <w:pPr>
        <w:pStyle w:val="4"/>
        <w:jc w:val="left"/>
        <w:rPr>
          <w:rFonts w:ascii="宋体" w:hAnsi="宋体"/>
          <w:b/>
        </w:rPr>
      </w:pPr>
    </w:p>
    <w:p/>
    <w:p>
      <w:pPr>
        <w:pStyle w:val="4"/>
        <w:jc w:val="left"/>
        <w:rPr>
          <w:rFonts w:ascii="宋体" w:hAnsi="宋体"/>
          <w:b/>
          <w:color w:val="auto"/>
          <w:highlight w:val="none"/>
        </w:rPr>
      </w:pPr>
      <w:bookmarkStart w:id="261" w:name="_Toc111210357"/>
      <w:bookmarkStart w:id="262" w:name="_Toc111210784"/>
      <w:bookmarkStart w:id="263" w:name="_Toc111210580"/>
      <w:r>
        <w:rPr>
          <w:rFonts w:hint="eastAsia" w:ascii="宋体" w:hAnsi="宋体"/>
          <w:b/>
          <w:color w:val="auto"/>
          <w:highlight w:val="none"/>
        </w:rPr>
        <w:t>4、拟投入项目负责人简历表</w:t>
      </w:r>
      <w:bookmarkEnd w:id="261"/>
      <w:bookmarkEnd w:id="262"/>
      <w:bookmarkEnd w:id="263"/>
    </w:p>
    <w:p>
      <w:pPr>
        <w:rPr>
          <w:rFonts w:hAnsi="宋体" w:cs="宋体"/>
          <w:sz w:val="24"/>
        </w:rPr>
      </w:pPr>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906"/>
        <w:gridCol w:w="1018"/>
        <w:gridCol w:w="2118"/>
        <w:gridCol w:w="2664"/>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spacing w:before="8"/>
              <w:rPr>
                <w:rFonts w:hAnsi="宋体" w:cs="宋体"/>
                <w:b/>
                <w:sz w:val="24"/>
              </w:rPr>
            </w:pPr>
          </w:p>
          <w:p>
            <w:pPr>
              <w:ind w:left="115"/>
              <w:rPr>
                <w:rFonts w:hAnsi="宋体" w:cs="宋体"/>
                <w:sz w:val="24"/>
              </w:rPr>
            </w:pPr>
            <w:r>
              <w:rPr>
                <w:rFonts w:hint="eastAsia" w:hAnsi="宋体" w:cs="宋体"/>
                <w:sz w:val="24"/>
              </w:rPr>
              <w:t>姓名</w:t>
            </w:r>
          </w:p>
        </w:tc>
        <w:tc>
          <w:tcPr>
            <w:tcW w:w="906"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pPr>
              <w:spacing w:before="8"/>
              <w:rPr>
                <w:rFonts w:hAnsi="宋体" w:cs="宋体"/>
                <w:b/>
                <w:sz w:val="24"/>
              </w:rPr>
            </w:pPr>
          </w:p>
          <w:p>
            <w:pPr>
              <w:ind w:left="106"/>
              <w:rPr>
                <w:rFonts w:hAnsi="宋体" w:cs="宋体"/>
                <w:sz w:val="24"/>
              </w:rPr>
            </w:pPr>
            <w:r>
              <w:rPr>
                <w:rFonts w:hint="eastAsia" w:hAnsi="宋体" w:cs="宋体"/>
                <w:sz w:val="24"/>
              </w:rPr>
              <w:t>年龄</w:t>
            </w:r>
          </w:p>
        </w:tc>
        <w:tc>
          <w:tcPr>
            <w:tcW w:w="2118"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r>
              <w:rPr>
                <w:rFonts w:hint="eastAsia" w:hAnsi="宋体" w:cs="宋体"/>
                <w:sz w:val="24"/>
              </w:rPr>
              <w:t>执 业 资 格 证 书</w:t>
            </w:r>
          </w:p>
          <w:p>
            <w:pPr>
              <w:ind w:left="115"/>
              <w:rPr>
                <w:rFonts w:hAnsi="宋体" w:cs="宋体"/>
                <w:sz w:val="24"/>
              </w:rPr>
            </w:pPr>
            <w:r>
              <w:rPr>
                <w:rFonts w:hint="eastAsia" w:hAnsi="宋体" w:cs="宋体"/>
                <w:sz w:val="24"/>
              </w:rPr>
              <w:t>（或上岗证书）名称</w:t>
            </w: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spacing w:before="178"/>
              <w:ind w:left="115"/>
              <w:rPr>
                <w:rFonts w:hAnsi="宋体" w:cs="宋体"/>
                <w:sz w:val="24"/>
              </w:rPr>
            </w:pPr>
            <w:r>
              <w:rPr>
                <w:rFonts w:hint="eastAsia" w:hAnsi="宋体" w:cs="宋体"/>
                <w:sz w:val="24"/>
              </w:rPr>
              <w:t>职称</w:t>
            </w:r>
          </w:p>
        </w:tc>
        <w:tc>
          <w:tcPr>
            <w:tcW w:w="906"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pPr>
              <w:spacing w:before="178"/>
              <w:ind w:left="106"/>
              <w:rPr>
                <w:rFonts w:hAnsi="宋体" w:cs="宋体"/>
                <w:sz w:val="24"/>
              </w:rPr>
            </w:pPr>
            <w:r>
              <w:rPr>
                <w:rFonts w:hint="eastAsia" w:hAnsi="宋体" w:cs="宋体"/>
                <w:sz w:val="24"/>
              </w:rPr>
              <w:t>学历</w:t>
            </w:r>
          </w:p>
        </w:tc>
        <w:tc>
          <w:tcPr>
            <w:tcW w:w="2118"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spacing w:before="178"/>
              <w:ind w:left="106"/>
              <w:rPr>
                <w:rFonts w:hAnsi="宋体" w:cs="宋体"/>
                <w:sz w:val="24"/>
              </w:rPr>
            </w:pPr>
            <w:r>
              <w:rPr>
                <w:rFonts w:hint="eastAsia" w:hAnsi="宋体" w:cs="宋体"/>
                <w:sz w:val="24"/>
              </w:rPr>
              <w:t>拟在本项目任职</w:t>
            </w: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exact"/>
          <w:jc w:val="center"/>
        </w:trPr>
        <w:tc>
          <w:tcPr>
            <w:tcW w:w="2914" w:type="dxa"/>
            <w:gridSpan w:val="3"/>
            <w:tcBorders>
              <w:top w:val="single" w:color="auto" w:sz="4" w:space="0"/>
              <w:left w:val="single" w:color="auto" w:sz="4" w:space="0"/>
              <w:bottom w:val="single" w:color="auto" w:sz="4" w:space="0"/>
              <w:right w:val="single" w:color="auto" w:sz="4" w:space="0"/>
              <w:tl2br w:val="nil"/>
              <w:tr2bl w:val="nil"/>
            </w:tcBorders>
          </w:tcPr>
          <w:p>
            <w:pPr>
              <w:spacing w:before="178"/>
              <w:ind w:left="106"/>
              <w:rPr>
                <w:rFonts w:hAnsi="宋体" w:cs="宋体"/>
                <w:sz w:val="24"/>
              </w:rPr>
            </w:pPr>
            <w:r>
              <w:rPr>
                <w:rFonts w:hint="eastAsia" w:hAnsi="宋体" w:cs="宋体"/>
                <w:sz w:val="24"/>
              </w:rPr>
              <w:t>工作年限</w:t>
            </w:r>
          </w:p>
        </w:tc>
        <w:tc>
          <w:tcPr>
            <w:tcW w:w="2118"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spacing w:before="178"/>
              <w:ind w:left="106"/>
              <w:rPr>
                <w:rFonts w:hAnsi="宋体" w:cs="宋体"/>
                <w:sz w:val="24"/>
              </w:rPr>
            </w:pPr>
            <w:r>
              <w:rPr>
                <w:rFonts w:hint="eastAsia" w:hAnsi="宋体" w:cs="宋体"/>
                <w:sz w:val="24"/>
              </w:rPr>
              <w:t>从事设计工作年限</w:t>
            </w: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rPr>
                <w:rFonts w:hAnsi="宋体" w:cs="宋体"/>
                <w:b/>
                <w:sz w:val="24"/>
              </w:rPr>
            </w:pPr>
          </w:p>
          <w:p>
            <w:pPr>
              <w:ind w:left="115" w:right="100"/>
              <w:rPr>
                <w:rFonts w:hAnsi="宋体" w:cs="宋体"/>
                <w:sz w:val="24"/>
              </w:rPr>
            </w:pPr>
            <w:r>
              <w:rPr>
                <w:rFonts w:hint="eastAsia" w:hAnsi="宋体" w:cs="宋体"/>
                <w:sz w:val="24"/>
              </w:rPr>
              <w:t>毕业 学  校</w:t>
            </w:r>
          </w:p>
        </w:tc>
        <w:tc>
          <w:tcPr>
            <w:tcW w:w="4042" w:type="dxa"/>
            <w:gridSpan w:val="3"/>
            <w:tcBorders>
              <w:top w:val="single" w:color="auto" w:sz="4" w:space="0"/>
              <w:left w:val="single" w:color="auto" w:sz="4" w:space="0"/>
              <w:bottom w:val="single" w:color="auto" w:sz="4" w:space="0"/>
              <w:right w:val="single" w:color="auto" w:sz="4" w:space="0"/>
              <w:tl2br w:val="nil"/>
              <w:tr2bl w:val="nil"/>
            </w:tcBorders>
          </w:tcPr>
          <w:p>
            <w:pPr>
              <w:spacing w:before="5"/>
              <w:jc w:val="center"/>
              <w:rPr>
                <w:rFonts w:hAnsi="宋体" w:cs="宋体"/>
                <w:b/>
                <w:sz w:val="24"/>
              </w:rPr>
            </w:pPr>
          </w:p>
          <w:p>
            <w:pPr>
              <w:ind w:firstLine="486" w:firstLineChars="200"/>
              <w:rPr>
                <w:rFonts w:hAnsi="宋体" w:cs="宋体"/>
                <w:sz w:val="24"/>
              </w:rPr>
            </w:pPr>
            <w:r>
              <w:rPr>
                <w:rFonts w:hint="eastAsia" w:hAnsi="宋体" w:cs="宋体"/>
                <w:sz w:val="24"/>
              </w:rPr>
              <w:t>年毕业于             学校</w:t>
            </w:r>
          </w:p>
          <w:p>
            <w:pPr>
              <w:spacing w:before="5"/>
              <w:rPr>
                <w:rFonts w:hAnsi="宋体" w:cs="宋体"/>
                <w:b/>
                <w:sz w:val="24"/>
              </w:rPr>
            </w:pPr>
          </w:p>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jc w:val="center"/>
              <w:rPr>
                <w:rFonts w:hAnsi="宋体" w:cs="宋体"/>
                <w:sz w:val="24"/>
              </w:rPr>
            </w:pPr>
          </w:p>
          <w:p>
            <w:pPr>
              <w:ind w:left="115"/>
              <w:jc w:val="center"/>
              <w:rPr>
                <w:rFonts w:hAnsi="宋体" w:cs="宋体"/>
                <w:sz w:val="24"/>
              </w:rPr>
            </w:pPr>
            <w:r>
              <w:rPr>
                <w:rFonts w:hint="eastAsia" w:hAnsi="宋体" w:cs="宋体"/>
                <w:sz w:val="24"/>
              </w:rPr>
              <w:t>专业</w:t>
            </w: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9435" w:type="dxa"/>
            <w:gridSpan w:val="6"/>
            <w:tcBorders>
              <w:top w:val="single" w:color="auto" w:sz="4" w:space="0"/>
              <w:left w:val="single" w:color="auto" w:sz="4" w:space="0"/>
              <w:bottom w:val="single" w:color="auto" w:sz="4" w:space="0"/>
              <w:right w:val="single" w:color="auto" w:sz="4" w:space="0"/>
              <w:tl2br w:val="nil"/>
              <w:tr2bl w:val="nil"/>
            </w:tcBorders>
          </w:tcPr>
          <w:p>
            <w:pPr>
              <w:spacing w:before="178"/>
              <w:ind w:left="106"/>
              <w:rPr>
                <w:rFonts w:hAnsi="宋体" w:cs="宋体"/>
                <w:sz w:val="24"/>
              </w:rPr>
            </w:pPr>
            <w:r>
              <w:rPr>
                <w:rFonts w:hint="eastAsia"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rPr>
                <w:rFonts w:hAnsi="宋体" w:cs="宋体"/>
                <w:b/>
                <w:sz w:val="24"/>
              </w:rPr>
            </w:pPr>
          </w:p>
          <w:p>
            <w:pPr>
              <w:spacing w:before="1"/>
              <w:rPr>
                <w:rFonts w:hAnsi="宋体" w:cs="宋体"/>
                <w:b/>
                <w:sz w:val="24"/>
              </w:rPr>
            </w:pPr>
          </w:p>
          <w:p>
            <w:pPr>
              <w:ind w:left="115"/>
              <w:rPr>
                <w:rFonts w:hAnsi="宋体" w:cs="宋体"/>
                <w:sz w:val="24"/>
              </w:rPr>
            </w:pPr>
            <w:r>
              <w:rPr>
                <w:rFonts w:hint="eastAsia" w:hAnsi="宋体" w:cs="宋体"/>
                <w:sz w:val="24"/>
              </w:rPr>
              <w:t>时间</w:t>
            </w:r>
          </w:p>
        </w:tc>
        <w:tc>
          <w:tcPr>
            <w:tcW w:w="4042" w:type="dxa"/>
            <w:gridSpan w:val="3"/>
            <w:tcBorders>
              <w:top w:val="single" w:color="auto" w:sz="4" w:space="0"/>
              <w:left w:val="single" w:color="auto" w:sz="4" w:space="0"/>
              <w:bottom w:val="single" w:color="auto" w:sz="4" w:space="0"/>
              <w:right w:val="single" w:color="auto" w:sz="4" w:space="0"/>
              <w:tl2br w:val="nil"/>
              <w:tr2bl w:val="nil"/>
            </w:tcBorders>
          </w:tcPr>
          <w:p>
            <w:pPr>
              <w:rPr>
                <w:rFonts w:hAnsi="宋体" w:cs="宋体"/>
                <w:b/>
                <w:sz w:val="24"/>
              </w:rPr>
            </w:pPr>
          </w:p>
          <w:p>
            <w:pPr>
              <w:spacing w:before="1"/>
              <w:rPr>
                <w:rFonts w:hAnsi="宋体" w:cs="宋体"/>
                <w:b/>
                <w:sz w:val="24"/>
              </w:rPr>
            </w:pPr>
          </w:p>
          <w:p>
            <w:pPr>
              <w:ind w:left="107"/>
              <w:rPr>
                <w:rFonts w:hAnsi="宋体" w:cs="宋体"/>
                <w:sz w:val="24"/>
              </w:rPr>
            </w:pPr>
            <w:r>
              <w:rPr>
                <w:rFonts w:hint="eastAsia" w:hAnsi="宋体" w:cs="宋体"/>
                <w:sz w:val="24"/>
              </w:rPr>
              <w:t>参加过的类似项目</w:t>
            </w: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p>
            <w:pPr>
              <w:spacing w:before="1"/>
              <w:ind w:left="115"/>
              <w:rPr>
                <w:rFonts w:hAnsi="宋体" w:cs="宋体"/>
                <w:sz w:val="24"/>
              </w:rPr>
            </w:pPr>
          </w:p>
          <w:p>
            <w:pPr>
              <w:ind w:left="115"/>
              <w:rPr>
                <w:rFonts w:hAnsi="宋体" w:cs="宋体"/>
                <w:sz w:val="24"/>
              </w:rPr>
            </w:pPr>
            <w:r>
              <w:rPr>
                <w:rFonts w:hint="eastAsia" w:hAnsi="宋体" w:cs="宋体"/>
                <w:sz w:val="24"/>
              </w:rPr>
              <w:t>担任职务</w:t>
            </w:r>
          </w:p>
        </w:tc>
        <w:tc>
          <w:tcPr>
            <w:tcW w:w="1739" w:type="dxa"/>
            <w:tcBorders>
              <w:top w:val="single" w:color="auto" w:sz="4" w:space="0"/>
              <w:left w:val="single" w:color="auto" w:sz="4" w:space="0"/>
              <w:bottom w:val="single" w:color="auto" w:sz="4" w:space="0"/>
              <w:right w:val="single" w:color="auto" w:sz="4" w:space="0"/>
              <w:tl2br w:val="nil"/>
              <w:tr2bl w:val="nil"/>
            </w:tcBorders>
          </w:tcPr>
          <w:p>
            <w:pPr>
              <w:rPr>
                <w:rFonts w:hAnsi="宋体" w:cs="宋体"/>
                <w:b/>
                <w:sz w:val="24"/>
              </w:rPr>
            </w:pPr>
          </w:p>
          <w:p>
            <w:pPr>
              <w:spacing w:before="1"/>
              <w:rPr>
                <w:rFonts w:hAnsi="宋体" w:cs="宋体"/>
                <w:b/>
                <w:sz w:val="24"/>
              </w:rPr>
            </w:pPr>
          </w:p>
          <w:p>
            <w:pPr>
              <w:ind w:left="115"/>
              <w:rPr>
                <w:rFonts w:hAnsi="宋体" w:cs="宋体"/>
                <w:sz w:val="24"/>
              </w:rPr>
            </w:pPr>
            <w:r>
              <w:rPr>
                <w:rFonts w:hint="eastAsia" w:hAnsi="宋体" w:cs="宋体"/>
                <w:sz w:val="24"/>
              </w:rPr>
              <w:t>联系人及</w:t>
            </w:r>
          </w:p>
          <w:p>
            <w:pPr>
              <w:ind w:left="115"/>
              <w:rPr>
                <w:rFonts w:hAnsi="宋体" w:cs="宋体"/>
                <w:sz w:val="24"/>
              </w:rPr>
            </w:pPr>
            <w:r>
              <w:rPr>
                <w:rFonts w:hint="eastAsia"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4042" w:type="dxa"/>
            <w:gridSpan w:val="3"/>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4042" w:type="dxa"/>
            <w:gridSpan w:val="3"/>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exact"/>
          <w:jc w:val="center"/>
        </w:trPr>
        <w:tc>
          <w:tcPr>
            <w:tcW w:w="990" w:type="dxa"/>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4042" w:type="dxa"/>
            <w:gridSpan w:val="3"/>
            <w:tcBorders>
              <w:top w:val="single" w:color="auto" w:sz="4" w:space="0"/>
              <w:left w:val="single" w:color="auto" w:sz="4" w:space="0"/>
              <w:bottom w:val="single" w:color="auto" w:sz="4" w:space="0"/>
              <w:right w:val="single" w:color="auto" w:sz="4" w:space="0"/>
              <w:tl2br w:val="nil"/>
              <w:tr2bl w:val="nil"/>
            </w:tcBorders>
          </w:tcPr>
          <w:p>
            <w:pPr>
              <w:rPr>
                <w:rFonts w:hAnsi="宋体" w:cs="宋体"/>
                <w:sz w:val="24"/>
              </w:rPr>
            </w:pPr>
          </w:p>
        </w:tc>
        <w:tc>
          <w:tcPr>
            <w:tcW w:w="2664"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c>
          <w:tcPr>
            <w:tcW w:w="1739" w:type="dxa"/>
            <w:tcBorders>
              <w:top w:val="single" w:color="auto" w:sz="4" w:space="0"/>
              <w:left w:val="single" w:color="auto" w:sz="4" w:space="0"/>
              <w:bottom w:val="single" w:color="auto" w:sz="4" w:space="0"/>
              <w:right w:val="single" w:color="auto" w:sz="4" w:space="0"/>
              <w:tl2br w:val="nil"/>
              <w:tr2bl w:val="nil"/>
            </w:tcBorders>
          </w:tcPr>
          <w:p>
            <w:pPr>
              <w:ind w:left="115"/>
              <w:rPr>
                <w:rFonts w:hAnsi="宋体" w:cs="宋体"/>
                <w:sz w:val="24"/>
              </w:rPr>
            </w:pPr>
          </w:p>
        </w:tc>
      </w:tr>
    </w:tbl>
    <w:p>
      <w:pPr>
        <w:rPr>
          <w:rFonts w:hAnsi="宋体" w:cs="宋体"/>
          <w:color w:val="FF0000"/>
          <w:sz w:val="24"/>
        </w:rPr>
      </w:pPr>
    </w:p>
    <w:p>
      <w:pPr>
        <w:rPr>
          <w:rFonts w:hAnsi="宋体" w:cs="宋体"/>
          <w:sz w:val="24"/>
        </w:rPr>
      </w:pPr>
    </w:p>
    <w:p>
      <w:pPr>
        <w:rPr>
          <w:rFonts w:hAnsi="宋体" w:cs="宋体"/>
          <w:sz w:val="24"/>
        </w:rPr>
      </w:pPr>
      <w:r>
        <w:rPr>
          <w:rFonts w:hint="eastAsia" w:hAnsi="宋体" w:cs="宋体"/>
          <w:sz w:val="24"/>
        </w:rPr>
        <w:t>说明：供应商编制投标文件时，应将项目设计负责人职称证书、项目负责人资格证、身份证的扫描件、近三个月的社保缴费凭证及个人明细等作为本表的附件。</w:t>
      </w:r>
    </w:p>
    <w:p>
      <w:pPr>
        <w:ind w:firstLine="473"/>
        <w:rPr>
          <w:rFonts w:hAnsi="宋体" w:cs="宋体"/>
          <w:w w:val="99"/>
          <w:sz w:val="24"/>
        </w:rPr>
      </w:pPr>
    </w:p>
    <w:p>
      <w:pPr>
        <w:ind w:firstLine="473"/>
        <w:rPr>
          <w:rFonts w:hAnsi="宋体" w:cs="宋体"/>
          <w:w w:val="99"/>
          <w:sz w:val="24"/>
        </w:rPr>
      </w:pPr>
    </w:p>
    <w:p>
      <w:pPr>
        <w:ind w:firstLine="473"/>
        <w:rPr>
          <w:rFonts w:hAnsi="宋体" w:cs="宋体"/>
          <w:w w:val="99"/>
          <w:sz w:val="24"/>
        </w:rPr>
      </w:pPr>
    </w:p>
    <w:p>
      <w:pPr>
        <w:ind w:firstLine="473"/>
        <w:rPr>
          <w:rFonts w:hAnsi="宋体" w:cs="宋体"/>
          <w:w w:val="99"/>
          <w:sz w:val="24"/>
        </w:rPr>
      </w:pPr>
    </w:p>
    <w:p>
      <w:pPr>
        <w:ind w:firstLine="473"/>
        <w:rPr>
          <w:rFonts w:hAnsi="宋体" w:cs="宋体"/>
          <w:w w:val="99"/>
          <w:sz w:val="24"/>
        </w:rPr>
      </w:pPr>
    </w:p>
    <w:p>
      <w:pPr>
        <w:pStyle w:val="39"/>
        <w:jc w:val="center"/>
        <w:rPr>
          <w:rFonts w:hAnsi="宋体"/>
        </w:rPr>
      </w:pPr>
      <w:r>
        <w:rPr>
          <w:rFonts w:hint="eastAsia" w:hAnsi="宋体"/>
        </w:rPr>
        <w:t>供应商：</w:t>
      </w:r>
      <w:r>
        <w:rPr>
          <w:rFonts w:hint="eastAsia" w:hAnsi="宋体"/>
          <w:u w:val="single"/>
        </w:rPr>
        <w:t xml:space="preserve">          </w:t>
      </w:r>
      <w:r>
        <w:rPr>
          <w:rFonts w:hint="eastAsia" w:hAnsi="宋体"/>
        </w:rPr>
        <w:t>（盖章）</w:t>
      </w:r>
    </w:p>
    <w:p>
      <w:pPr>
        <w:pStyle w:val="39"/>
        <w:wordWrap w:val="0"/>
        <w:jc w:val="center"/>
        <w:rPr>
          <w:rFonts w:hAnsi="宋体"/>
          <w:u w:val="single"/>
        </w:rPr>
      </w:pPr>
      <w:r>
        <w:rPr>
          <w:rFonts w:hint="eastAsia" w:hAnsi="宋体"/>
        </w:rPr>
        <w:t>日期：    年    月    日</w:t>
      </w:r>
    </w:p>
    <w:p>
      <w:pPr>
        <w:pStyle w:val="39"/>
        <w:rPr>
          <w:rFonts w:hAnsi="宋体"/>
          <w:highlight w:val="cyan"/>
        </w:rPr>
      </w:pPr>
    </w:p>
    <w:p>
      <w:pPr>
        <w:pStyle w:val="39"/>
        <w:rPr>
          <w:rFonts w:hAnsi="宋体"/>
          <w:highlight w:val="cyan"/>
        </w:rPr>
      </w:pPr>
    </w:p>
    <w:p>
      <w:pPr>
        <w:pStyle w:val="39"/>
        <w:rPr>
          <w:rFonts w:hAnsi="宋体"/>
          <w:highlight w:val="cyan"/>
        </w:rPr>
      </w:pPr>
    </w:p>
    <w:p>
      <w:pPr>
        <w:keepNext/>
        <w:keepLines/>
        <w:spacing w:before="260" w:after="260" w:line="416" w:lineRule="auto"/>
        <w:jc w:val="left"/>
        <w:outlineLvl w:val="2"/>
        <w:rPr>
          <w:rFonts w:ascii="宋体" w:hAnsi="宋体"/>
          <w:b/>
          <w:sz w:val="24"/>
        </w:rPr>
      </w:pPr>
      <w:r>
        <w:rPr>
          <w:rFonts w:hint="eastAsia" w:hAnsi="宋体" w:cs="宋体"/>
          <w:sz w:val="24"/>
        </w:rPr>
        <w:br w:type="page"/>
      </w:r>
      <w:bookmarkStart w:id="264" w:name="_Toc111210785"/>
      <w:bookmarkStart w:id="265" w:name="_Toc111210581"/>
      <w:bookmarkStart w:id="266" w:name="_Toc111210358"/>
      <w:r>
        <w:rPr>
          <w:rFonts w:hint="eastAsia" w:ascii="宋体" w:hAnsi="宋体"/>
          <w:b/>
          <w:bCs/>
          <w:sz w:val="24"/>
        </w:rPr>
        <w:t>5、</w:t>
      </w:r>
      <w:r>
        <w:rPr>
          <w:rFonts w:hint="eastAsia" w:ascii="宋体" w:hAnsi="宋体"/>
          <w:b/>
          <w:sz w:val="24"/>
        </w:rPr>
        <w:t>拟投入本项目主要人员汇总表</w:t>
      </w:r>
      <w:bookmarkEnd w:id="264"/>
      <w:bookmarkEnd w:id="265"/>
      <w:bookmarkEnd w:id="266"/>
    </w:p>
    <w:p>
      <w:pPr>
        <w:spacing w:line="440" w:lineRule="exact"/>
        <w:ind w:firstLine="486" w:firstLineChars="200"/>
        <w:rPr>
          <w:rFonts w:hAnsi="宋体" w:cs="宋体"/>
          <w:sz w:val="24"/>
        </w:rPr>
      </w:pPr>
    </w:p>
    <w:p>
      <w:pPr>
        <w:spacing w:line="440" w:lineRule="exact"/>
        <w:ind w:firstLine="486" w:firstLineChars="200"/>
        <w:rPr>
          <w:rFonts w:hAnsi="宋体" w:cs="宋体"/>
          <w:sz w:val="24"/>
        </w:rPr>
      </w:pPr>
      <w:r>
        <w:rPr>
          <w:rFonts w:hint="eastAsia" w:hAnsi="宋体" w:cs="宋体"/>
          <w:sz w:val="24"/>
        </w:rPr>
        <w:t>供应商名称：</w:t>
      </w:r>
    </w:p>
    <w:p>
      <w:pPr>
        <w:spacing w:line="440" w:lineRule="exact"/>
        <w:ind w:firstLine="486" w:firstLineChars="200"/>
        <w:rPr>
          <w:rFonts w:hAnsi="宋体" w:cs="宋体"/>
          <w:sz w:val="24"/>
        </w:rPr>
      </w:pPr>
    </w:p>
    <w:tbl>
      <w:tblPr>
        <w:tblStyle w:val="23"/>
        <w:tblW w:w="8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1440"/>
        <w:gridCol w:w="720"/>
        <w:gridCol w:w="816"/>
        <w:gridCol w:w="984"/>
        <w:gridCol w:w="816"/>
        <w:gridCol w:w="882"/>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序号</w:t>
            </w: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姓 名</w:t>
            </w: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年龄</w:t>
            </w: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性别</w:t>
            </w: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学 历</w:t>
            </w: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专业</w:t>
            </w: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职称</w:t>
            </w: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hAnsi="宋体" w:cs="宋体"/>
                <w:sz w:val="24"/>
              </w:rPr>
            </w:pPr>
            <w:r>
              <w:rPr>
                <w:rFonts w:hint="eastAsia" w:hAnsi="宋体" w:cs="宋体"/>
                <w:sz w:val="24"/>
              </w:rPr>
              <w:t>在本项目拟任职务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807"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720"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984"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1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88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c>
          <w:tcPr>
            <w:tcW w:w="2275"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ind w:firstLine="486" w:firstLineChars="200"/>
              <w:rPr>
                <w:rFonts w:hAnsi="宋体" w:cs="宋体"/>
                <w:sz w:val="24"/>
              </w:rPr>
            </w:pPr>
          </w:p>
        </w:tc>
      </w:tr>
    </w:tbl>
    <w:p>
      <w:pPr>
        <w:spacing w:line="440" w:lineRule="exact"/>
        <w:ind w:firstLine="486" w:firstLineChars="200"/>
        <w:rPr>
          <w:rFonts w:hAnsi="宋体" w:cs="宋体"/>
          <w:sz w:val="24"/>
        </w:rPr>
      </w:pPr>
    </w:p>
    <w:p>
      <w:pPr>
        <w:spacing w:line="440" w:lineRule="exact"/>
        <w:ind w:firstLine="426" w:firstLineChars="200"/>
        <w:rPr>
          <w:rFonts w:hAnsi="宋体" w:cs="宋体"/>
          <w:szCs w:val="21"/>
        </w:rPr>
      </w:pPr>
      <w:r>
        <w:rPr>
          <w:rFonts w:hint="eastAsia" w:hAnsi="宋体" w:cs="宋体"/>
          <w:szCs w:val="21"/>
        </w:rPr>
        <w:t>注：我单位承诺以上填报内容真实。如不真实，将按照有关规定接受处理。</w:t>
      </w:r>
    </w:p>
    <w:p>
      <w:pPr>
        <w:spacing w:line="440" w:lineRule="exact"/>
        <w:ind w:firstLine="426" w:firstLineChars="200"/>
        <w:rPr>
          <w:rFonts w:hAnsi="宋体" w:cs="宋体"/>
          <w:sz w:val="24"/>
        </w:rPr>
      </w:pPr>
      <w:r>
        <w:rPr>
          <w:rFonts w:hint="eastAsia" w:hAnsi="宋体" w:cs="宋体"/>
          <w:szCs w:val="21"/>
        </w:rPr>
        <w:t>特别要求：拟投入本项目的工作人员须满足本项目的工作要求，在合同履行过程中，中标人须根据本项目的实际需求或采购人的进度要求，对人员进行合理的增加，费用均包含在内</w:t>
      </w:r>
      <w:r>
        <w:rPr>
          <w:rFonts w:hint="eastAsia" w:hAnsi="宋体" w:cs="宋体"/>
          <w:sz w:val="24"/>
        </w:rPr>
        <w:t>。</w:t>
      </w:r>
    </w:p>
    <w:p>
      <w:pPr>
        <w:keepNext/>
        <w:keepLines/>
        <w:spacing w:before="260" w:after="260" w:line="416" w:lineRule="auto"/>
        <w:jc w:val="left"/>
        <w:outlineLvl w:val="2"/>
        <w:rPr>
          <w:rFonts w:ascii="宋体" w:hAnsi="宋体"/>
          <w:b/>
          <w:sz w:val="24"/>
        </w:rPr>
      </w:pPr>
      <w:r>
        <w:rPr>
          <w:rFonts w:hint="eastAsia" w:hAnsi="宋体"/>
          <w:b/>
          <w:sz w:val="32"/>
        </w:rPr>
        <w:br w:type="page"/>
      </w:r>
      <w:bookmarkStart w:id="267" w:name="_Toc111210359"/>
      <w:bookmarkStart w:id="268" w:name="_Toc111210582"/>
      <w:bookmarkStart w:id="269" w:name="_Toc111210786"/>
      <w:r>
        <w:rPr>
          <w:rFonts w:hint="eastAsia" w:ascii="宋体" w:hAnsi="宋体"/>
          <w:b/>
          <w:bCs/>
          <w:sz w:val="24"/>
        </w:rPr>
        <w:t>6、</w:t>
      </w:r>
      <w:r>
        <w:rPr>
          <w:rFonts w:hint="eastAsia" w:ascii="宋体" w:hAnsi="宋体"/>
          <w:b/>
          <w:sz w:val="24"/>
        </w:rPr>
        <w:t>拟投入本项目的主要人员简历表</w:t>
      </w:r>
      <w:bookmarkEnd w:id="267"/>
      <w:bookmarkEnd w:id="268"/>
      <w:bookmarkEnd w:id="269"/>
    </w:p>
    <w:tbl>
      <w:tblPr>
        <w:tblStyle w:val="23"/>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7"/>
        <w:gridCol w:w="1144"/>
        <w:gridCol w:w="615"/>
        <w:gridCol w:w="330"/>
        <w:gridCol w:w="859"/>
        <w:gridCol w:w="1024"/>
        <w:gridCol w:w="257"/>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姓 名</w:t>
            </w:r>
          </w:p>
        </w:tc>
        <w:tc>
          <w:tcPr>
            <w:tcW w:w="11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94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性别</w:t>
            </w:r>
          </w:p>
        </w:tc>
        <w:tc>
          <w:tcPr>
            <w:tcW w:w="85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10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出生日期</w:t>
            </w:r>
          </w:p>
        </w:tc>
        <w:tc>
          <w:tcPr>
            <w:tcW w:w="262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从事本专业时间</w:t>
            </w:r>
          </w:p>
        </w:tc>
        <w:tc>
          <w:tcPr>
            <w:tcW w:w="294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102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毕业时间</w:t>
            </w:r>
          </w:p>
        </w:tc>
        <w:tc>
          <w:tcPr>
            <w:tcW w:w="262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毕业院校及专业</w:t>
            </w:r>
          </w:p>
        </w:tc>
        <w:tc>
          <w:tcPr>
            <w:tcW w:w="6593" w:type="dxa"/>
            <w:gridSpan w:val="7"/>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执 业 注 册</w:t>
            </w:r>
          </w:p>
        </w:tc>
        <w:tc>
          <w:tcPr>
            <w:tcW w:w="175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2213"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职 称</w:t>
            </w:r>
          </w:p>
        </w:tc>
        <w:tc>
          <w:tcPr>
            <w:tcW w:w="262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40"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主要经历：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时间</w:t>
            </w:r>
          </w:p>
        </w:tc>
        <w:tc>
          <w:tcPr>
            <w:tcW w:w="4229"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rPr>
                <w:rFonts w:hAnsi="宋体" w:cs="宋体"/>
                <w:sz w:val="24"/>
              </w:rPr>
            </w:pPr>
            <w:r>
              <w:rPr>
                <w:rFonts w:hint="eastAsia" w:hAnsi="宋体" w:cs="宋体"/>
                <w:sz w:val="24"/>
              </w:rPr>
              <w:t>参加过的类似项目名称及主要内容等</w:t>
            </w:r>
          </w:p>
        </w:tc>
        <w:tc>
          <w:tcPr>
            <w:tcW w:w="23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r>
              <w:rPr>
                <w:rFonts w:hint="eastAsia" w:hAnsi="宋体" w:cs="宋体"/>
                <w:sz w:val="24"/>
              </w:rPr>
              <w:t>该项目中任职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jc w:val="center"/>
        </w:trPr>
        <w:tc>
          <w:tcPr>
            <w:tcW w:w="204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4229"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c>
          <w:tcPr>
            <w:tcW w:w="236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86" w:firstLineChars="200"/>
              <w:rPr>
                <w:rFonts w:hAnsi="宋体" w:cs="宋体"/>
                <w:sz w:val="24"/>
              </w:rPr>
            </w:pPr>
          </w:p>
        </w:tc>
      </w:tr>
    </w:tbl>
    <w:p>
      <w:pPr>
        <w:spacing w:line="440" w:lineRule="exact"/>
        <w:ind w:firstLine="486" w:firstLineChars="200"/>
        <w:rPr>
          <w:rFonts w:hAnsi="宋体" w:cs="宋体"/>
          <w:sz w:val="24"/>
        </w:rPr>
      </w:pPr>
    </w:p>
    <w:p>
      <w:pPr>
        <w:spacing w:line="440" w:lineRule="exact"/>
        <w:ind w:firstLine="426" w:firstLineChars="200"/>
        <w:rPr>
          <w:rFonts w:hAnsi="宋体" w:cs="宋体"/>
          <w:szCs w:val="21"/>
        </w:rPr>
      </w:pPr>
      <w:r>
        <w:rPr>
          <w:rFonts w:hint="eastAsia" w:hAnsi="宋体" w:cs="宋体"/>
          <w:szCs w:val="21"/>
        </w:rPr>
        <w:t>注：我单位承诺以上填报内容真实。如不真实，将按照有关规定接受处理。</w:t>
      </w:r>
    </w:p>
    <w:p>
      <w:pPr>
        <w:spacing w:line="440" w:lineRule="exact"/>
        <w:ind w:firstLine="426" w:firstLineChars="200"/>
        <w:rPr>
          <w:rFonts w:hAnsi="宋体" w:cs="宋体"/>
          <w:szCs w:val="21"/>
        </w:rPr>
      </w:pPr>
      <w:r>
        <w:rPr>
          <w:rFonts w:hint="eastAsia" w:hAnsi="宋体" w:cs="宋体"/>
          <w:szCs w:val="21"/>
        </w:rPr>
        <w:t>附：注册类证书（如有）、职称证书（如有）等相关证件的复印件。</w:t>
      </w:r>
    </w:p>
    <w:p>
      <w:pPr>
        <w:pStyle w:val="5"/>
        <w:jc w:val="left"/>
        <w:rPr>
          <w:rStyle w:val="60"/>
          <w:rFonts w:ascii="宋体" w:hAnsi="宋体"/>
          <w:b/>
          <w:sz w:val="24"/>
        </w:rPr>
      </w:pPr>
      <w:r>
        <w:rPr>
          <w:rFonts w:hint="eastAsia" w:ascii="宋体" w:cs="宋体"/>
          <w:sz w:val="24"/>
        </w:rPr>
        <w:br w:type="page"/>
      </w:r>
      <w:bookmarkStart w:id="270" w:name="_Toc23675"/>
      <w:bookmarkStart w:id="271" w:name="_Toc111210787"/>
      <w:bookmarkStart w:id="272" w:name="_Toc9603"/>
      <w:bookmarkStart w:id="273" w:name="_Toc111210583"/>
      <w:bookmarkStart w:id="274" w:name="_Toc4737"/>
      <w:bookmarkStart w:id="275" w:name="_Toc2760"/>
      <w:bookmarkStart w:id="276" w:name="_Toc111210360"/>
      <w:r>
        <w:rPr>
          <w:rFonts w:hint="eastAsia" w:ascii="宋体" w:hAnsi="宋体"/>
          <w:sz w:val="24"/>
          <w:szCs w:val="24"/>
        </w:rPr>
        <w:t>7、</w:t>
      </w:r>
      <w:r>
        <w:rPr>
          <w:rStyle w:val="60"/>
          <w:rFonts w:hint="eastAsia" w:ascii="宋体" w:hAnsi="宋体"/>
          <w:b/>
          <w:sz w:val="24"/>
        </w:rPr>
        <w:t>企业业绩</w:t>
      </w:r>
      <w:bookmarkEnd w:id="270"/>
      <w:bookmarkEnd w:id="271"/>
      <w:bookmarkEnd w:id="272"/>
      <w:bookmarkEnd w:id="273"/>
      <w:bookmarkEnd w:id="274"/>
      <w:bookmarkEnd w:id="275"/>
      <w:bookmarkEnd w:id="276"/>
    </w:p>
    <w:p>
      <w:pPr>
        <w:spacing w:line="360" w:lineRule="auto"/>
        <w:rPr>
          <w:rFonts w:hAnsi="宋体" w:cs="宋体"/>
          <w:b/>
          <w:color w:val="000000"/>
          <w:sz w:val="24"/>
        </w:rPr>
      </w:pPr>
    </w:p>
    <w:tbl>
      <w:tblPr>
        <w:tblStyle w:val="23"/>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737"/>
        <w:gridCol w:w="2263"/>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r>
              <w:rPr>
                <w:rFonts w:hint="eastAsia" w:hAnsi="宋体" w:cs="宋体"/>
                <w:color w:val="000000"/>
                <w:sz w:val="24"/>
              </w:rPr>
              <w:t>序号</w:t>
            </w:r>
          </w:p>
        </w:tc>
        <w:tc>
          <w:tcPr>
            <w:tcW w:w="2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r>
              <w:rPr>
                <w:rFonts w:hint="eastAsia" w:hAnsi="宋体" w:cs="宋体"/>
                <w:color w:val="000000"/>
                <w:sz w:val="24"/>
              </w:rPr>
              <w:t>项目名称</w:t>
            </w: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r>
              <w:rPr>
                <w:rFonts w:hint="eastAsia" w:hAnsi="宋体" w:cs="宋体"/>
                <w:color w:val="000000"/>
                <w:sz w:val="24"/>
              </w:rPr>
              <w:t>项目单位</w:t>
            </w:r>
          </w:p>
        </w:tc>
        <w:tc>
          <w:tcPr>
            <w:tcW w:w="25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r>
              <w:rPr>
                <w:rFonts w:hint="eastAsia" w:hAnsi="宋体" w:cs="宋体"/>
                <w:color w:val="000000"/>
                <w:sz w:val="24"/>
              </w:rPr>
              <w:t>项目单位联系人/电话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Ansi="宋体" w:cs="宋体"/>
                <w:color w:val="000000"/>
                <w:sz w:val="24"/>
              </w:rPr>
            </w:pPr>
            <w:r>
              <w:rPr>
                <w:rFonts w:hint="eastAsia" w:hAnsi="宋体" w:cs="宋体"/>
                <w:color w:val="000000"/>
                <w:sz w:val="24"/>
              </w:rPr>
              <w:t>1</w:t>
            </w:r>
          </w:p>
        </w:tc>
        <w:tc>
          <w:tcPr>
            <w:tcW w:w="2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5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Ansi="宋体" w:cs="宋体"/>
                <w:color w:val="000000"/>
                <w:sz w:val="24"/>
              </w:rPr>
            </w:pPr>
            <w:r>
              <w:rPr>
                <w:rFonts w:hint="eastAsia" w:hAnsi="宋体" w:cs="宋体"/>
                <w:color w:val="000000"/>
                <w:sz w:val="24"/>
              </w:rPr>
              <w:t>2</w:t>
            </w:r>
          </w:p>
        </w:tc>
        <w:tc>
          <w:tcPr>
            <w:tcW w:w="2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5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Ansi="宋体" w:cs="宋体"/>
                <w:color w:val="000000"/>
                <w:sz w:val="24"/>
              </w:rPr>
            </w:pPr>
            <w:r>
              <w:rPr>
                <w:rFonts w:hint="eastAsia" w:hAnsi="宋体" w:cs="宋体"/>
                <w:color w:val="000000"/>
                <w:sz w:val="24"/>
              </w:rPr>
              <w:t>3</w:t>
            </w:r>
          </w:p>
          <w:p>
            <w:pPr>
              <w:widowControl/>
              <w:jc w:val="center"/>
              <w:rPr>
                <w:rFonts w:hAnsi="宋体" w:cs="宋体"/>
                <w:color w:val="000000"/>
                <w:sz w:val="24"/>
              </w:rPr>
            </w:pPr>
          </w:p>
        </w:tc>
        <w:tc>
          <w:tcPr>
            <w:tcW w:w="2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5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r>
              <w:rPr>
                <w:rFonts w:hint="eastAsia" w:hAnsi="宋体" w:cs="宋体"/>
                <w:color w:val="000000"/>
                <w:sz w:val="24"/>
              </w:rPr>
              <w:t>…</w:t>
            </w:r>
          </w:p>
          <w:p>
            <w:pPr>
              <w:jc w:val="center"/>
              <w:rPr>
                <w:rFonts w:hAnsi="宋体" w:cs="宋体"/>
                <w:color w:val="000000"/>
                <w:sz w:val="24"/>
              </w:rPr>
            </w:pPr>
          </w:p>
        </w:tc>
        <w:tc>
          <w:tcPr>
            <w:tcW w:w="273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c>
          <w:tcPr>
            <w:tcW w:w="25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Ansi="宋体" w:cs="宋体"/>
                <w:color w:val="000000"/>
                <w:sz w:val="24"/>
              </w:rPr>
            </w:pPr>
          </w:p>
        </w:tc>
      </w:tr>
    </w:tbl>
    <w:p>
      <w:pPr>
        <w:pStyle w:val="39"/>
        <w:rPr>
          <w:rFonts w:hAnsi="宋体"/>
        </w:rPr>
      </w:pPr>
    </w:p>
    <w:p>
      <w:pPr>
        <w:pStyle w:val="39"/>
        <w:rPr>
          <w:rFonts w:hAnsi="宋体"/>
        </w:rPr>
      </w:pPr>
    </w:p>
    <w:p>
      <w:pPr>
        <w:pStyle w:val="39"/>
        <w:rPr>
          <w:rFonts w:hAnsi="宋体"/>
        </w:rPr>
      </w:pPr>
    </w:p>
    <w:p>
      <w:pPr>
        <w:pStyle w:val="39"/>
        <w:rPr>
          <w:rFonts w:hAnsi="宋体" w:cs="Times New Roman"/>
          <w:b/>
          <w:color w:val="auto"/>
        </w:rPr>
      </w:pPr>
    </w:p>
    <w:p>
      <w:pPr>
        <w:spacing w:line="440" w:lineRule="exact"/>
        <w:ind w:firstLine="486" w:firstLineChars="200"/>
        <w:rPr>
          <w:rFonts w:hAnsi="宋体"/>
          <w:b/>
          <w:sz w:val="24"/>
        </w:rPr>
      </w:pPr>
      <w:r>
        <w:rPr>
          <w:rFonts w:hint="eastAsia" w:hAnsi="宋体"/>
          <w:b/>
          <w:sz w:val="24"/>
        </w:rPr>
        <w:t>注：1.按招标人要求提供相关业绩。</w:t>
      </w:r>
    </w:p>
    <w:p>
      <w:pPr>
        <w:spacing w:line="440" w:lineRule="exact"/>
        <w:ind w:firstLine="486" w:firstLineChars="200"/>
        <w:rPr>
          <w:rFonts w:hAnsi="宋体"/>
          <w:b/>
          <w:sz w:val="24"/>
        </w:rPr>
      </w:pPr>
      <w:r>
        <w:rPr>
          <w:rFonts w:hint="eastAsia" w:hAnsi="宋体"/>
          <w:b/>
          <w:color w:val="auto"/>
          <w:sz w:val="24"/>
          <w:highlight w:val="none"/>
        </w:rPr>
        <w:t>2.本表后须附（20</w:t>
      </w:r>
      <w:r>
        <w:rPr>
          <w:rFonts w:hAnsi="宋体"/>
          <w:b/>
          <w:color w:val="auto"/>
          <w:sz w:val="24"/>
          <w:highlight w:val="none"/>
        </w:rPr>
        <w:t>20</w:t>
      </w:r>
      <w:r>
        <w:rPr>
          <w:rFonts w:hint="eastAsia" w:hAnsi="宋体"/>
          <w:b/>
          <w:color w:val="auto"/>
          <w:sz w:val="24"/>
          <w:highlight w:val="none"/>
        </w:rPr>
        <w:t>年1月1日至今，以合同签订时间为准）清</w:t>
      </w:r>
      <w:r>
        <w:rPr>
          <w:rFonts w:hint="eastAsia" w:hAnsi="宋体"/>
          <w:b/>
          <w:color w:val="auto"/>
          <w:sz w:val="24"/>
        </w:rPr>
        <w:t>晰可辨的、真实的合同协议书或中标通知书的相关证明材料的原件扫描件并加盖单位鲜红</w:t>
      </w:r>
      <w:r>
        <w:rPr>
          <w:rFonts w:hint="eastAsia" w:hAnsi="宋体"/>
          <w:b/>
          <w:sz w:val="24"/>
        </w:rPr>
        <w:t>公章。如未附证明材料或工作内容模糊不清的，其业绩将不予认定。</w:t>
      </w:r>
    </w:p>
    <w:p>
      <w:pPr>
        <w:spacing w:line="440" w:lineRule="exact"/>
        <w:ind w:firstLine="486" w:firstLineChars="200"/>
        <w:rPr>
          <w:rFonts w:hAnsi="宋体"/>
          <w:b/>
          <w:sz w:val="24"/>
        </w:rPr>
      </w:pPr>
      <w:r>
        <w:rPr>
          <w:rFonts w:hint="eastAsia" w:hAnsi="宋体"/>
          <w:b/>
          <w:sz w:val="24"/>
        </w:rPr>
        <w:t>3.如近年来，供应商法人机构发生合法变更或重组或法人名称变更时，应提供相关部门的合法批件或其他相关证明材料来证明其所附业绩的继承性。</w:t>
      </w:r>
    </w:p>
    <w:p>
      <w:pPr>
        <w:pStyle w:val="39"/>
        <w:rPr>
          <w:rFonts w:hAnsi="宋体"/>
          <w:b/>
          <w:color w:val="auto"/>
        </w:rPr>
      </w:pPr>
    </w:p>
    <w:p>
      <w:pPr>
        <w:pStyle w:val="39"/>
        <w:rPr>
          <w:rFonts w:hAnsi="宋体"/>
        </w:rPr>
      </w:pPr>
    </w:p>
    <w:p>
      <w:pPr>
        <w:pStyle w:val="39"/>
        <w:rPr>
          <w:rFonts w:hAnsi="宋体"/>
        </w:rPr>
      </w:pPr>
    </w:p>
    <w:p>
      <w:pPr>
        <w:pStyle w:val="39"/>
        <w:rPr>
          <w:rFonts w:hAnsi="宋体"/>
        </w:rPr>
      </w:pPr>
    </w:p>
    <w:p>
      <w:pPr>
        <w:pStyle w:val="39"/>
        <w:jc w:val="right"/>
        <w:rPr>
          <w:rFonts w:hAnsi="宋体"/>
        </w:rPr>
      </w:pPr>
      <w:r>
        <w:rPr>
          <w:rFonts w:hint="eastAsia" w:hAnsi="宋体"/>
        </w:rPr>
        <w:t>供应商：</w:t>
      </w:r>
      <w:r>
        <w:rPr>
          <w:rFonts w:hint="eastAsia" w:hAnsi="宋体"/>
          <w:u w:val="single"/>
        </w:rPr>
        <w:t xml:space="preserve">          </w:t>
      </w:r>
      <w:r>
        <w:rPr>
          <w:rFonts w:hint="eastAsia" w:hAnsi="宋体"/>
        </w:rPr>
        <w:t>（盖章）</w:t>
      </w:r>
    </w:p>
    <w:p>
      <w:pPr>
        <w:pStyle w:val="39"/>
        <w:wordWrap w:val="0"/>
        <w:jc w:val="right"/>
        <w:rPr>
          <w:rFonts w:hAnsi="宋体"/>
          <w:u w:val="single"/>
        </w:rPr>
      </w:pPr>
      <w:r>
        <w:rPr>
          <w:rFonts w:hint="eastAsia" w:hAnsi="宋体"/>
        </w:rPr>
        <w:t>日期：    年    月    日</w:t>
      </w:r>
    </w:p>
    <w:p>
      <w:pPr>
        <w:pStyle w:val="39"/>
        <w:rPr>
          <w:rFonts w:hAnsi="宋体"/>
        </w:rPr>
      </w:pPr>
    </w:p>
    <w:p>
      <w:pPr>
        <w:pStyle w:val="12"/>
        <w:spacing w:line="240" w:lineRule="atLeast"/>
        <w:ind w:left="1087" w:leftChars="257" w:hanging="540"/>
        <w:jc w:val="center"/>
        <w:rPr>
          <w:rFonts w:hAnsi="宋体" w:cs="宋体"/>
          <w:color w:val="auto"/>
          <w:sz w:val="24"/>
        </w:rPr>
        <w:sectPr>
          <w:footerReference r:id="rId7" w:type="default"/>
          <w:pgSz w:w="11905" w:h="16838"/>
          <w:pgMar w:top="1440" w:right="1797" w:bottom="1440" w:left="1797" w:header="850" w:footer="992" w:gutter="0"/>
          <w:cols w:space="720" w:num="1"/>
          <w:docGrid w:type="linesAndChars" w:linePitch="325" w:charSpace="635"/>
        </w:sectPr>
      </w:pPr>
    </w:p>
    <w:p>
      <w:pPr>
        <w:pStyle w:val="4"/>
        <w:spacing w:line="240" w:lineRule="atLeast"/>
        <w:ind w:left="540" w:leftChars="257" w:firstLine="0"/>
        <w:rPr>
          <w:rFonts w:ascii="宋体" w:hAnsi="宋体" w:cs="宋体"/>
        </w:rPr>
      </w:pPr>
      <w:bookmarkStart w:id="277" w:name="_Toc12170"/>
    </w:p>
    <w:p>
      <w:pPr>
        <w:pStyle w:val="4"/>
        <w:spacing w:line="240" w:lineRule="atLeast"/>
        <w:ind w:left="0" w:firstLine="0"/>
        <w:rPr>
          <w:rFonts w:ascii="宋体" w:hAnsi="宋体" w:cs="宋体"/>
          <w:b/>
          <w:bCs/>
        </w:rPr>
      </w:pPr>
      <w:bookmarkStart w:id="278" w:name="_Toc111210788"/>
      <w:bookmarkStart w:id="279" w:name="_Toc111210361"/>
      <w:bookmarkStart w:id="280" w:name="_Toc111210584"/>
      <w:r>
        <w:rPr>
          <w:rFonts w:hint="eastAsia" w:ascii="宋体" w:hAnsi="宋体" w:cs="宋体"/>
          <w:b/>
          <w:bCs/>
        </w:rPr>
        <w:t>8、技术标准偏离表</w:t>
      </w:r>
      <w:bookmarkEnd w:id="251"/>
      <w:r>
        <w:rPr>
          <w:rFonts w:hint="eastAsia" w:ascii="宋体" w:hAnsi="宋体" w:cs="宋体"/>
          <w:b/>
          <w:bCs/>
        </w:rPr>
        <w:t>（投标文件格式八）</w:t>
      </w:r>
      <w:bookmarkEnd w:id="252"/>
      <w:bookmarkEnd w:id="253"/>
      <w:bookmarkEnd w:id="254"/>
      <w:bookmarkEnd w:id="277"/>
      <w:bookmarkEnd w:id="278"/>
      <w:bookmarkEnd w:id="279"/>
      <w:bookmarkEnd w:id="280"/>
    </w:p>
    <w:p>
      <w:pPr>
        <w:pStyle w:val="12"/>
        <w:spacing w:line="240" w:lineRule="atLeast"/>
        <w:ind w:left="1080" w:leftChars="257" w:hanging="540"/>
        <w:rPr>
          <w:rFonts w:hAnsi="宋体" w:cs="宋体"/>
          <w:color w:val="auto"/>
          <w:sz w:val="24"/>
        </w:rPr>
      </w:pPr>
    </w:p>
    <w:p>
      <w:pPr>
        <w:pStyle w:val="12"/>
        <w:spacing w:line="240" w:lineRule="atLeast"/>
        <w:rPr>
          <w:rFonts w:hAnsi="宋体" w:cs="宋体"/>
          <w:color w:val="auto"/>
          <w:sz w:val="24"/>
        </w:rPr>
      </w:pPr>
      <w:r>
        <w:rPr>
          <w:rFonts w:hint="eastAsia" w:hAnsi="宋体" w:cs="宋体"/>
          <w:color w:val="auto"/>
          <w:sz w:val="24"/>
        </w:rPr>
        <w:t xml:space="preserve">项目名称:                       招标编号:                 </w:t>
      </w:r>
    </w:p>
    <w:p>
      <w:pPr>
        <w:pStyle w:val="12"/>
        <w:spacing w:line="240" w:lineRule="atLeast"/>
        <w:ind w:left="1080" w:leftChars="257" w:hanging="540"/>
        <w:rPr>
          <w:rFonts w:hAnsi="宋体" w:cs="宋体"/>
          <w:color w:val="auto"/>
          <w:sz w:val="24"/>
        </w:rPr>
      </w:pPr>
    </w:p>
    <w:tbl>
      <w:tblPr>
        <w:tblStyle w:val="23"/>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22"/>
        <w:gridCol w:w="1339"/>
        <w:gridCol w:w="1447"/>
        <w:gridCol w:w="272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vAlign w:val="center"/>
          </w:tcPr>
          <w:p>
            <w:pPr>
              <w:pStyle w:val="12"/>
              <w:spacing w:line="240" w:lineRule="atLeast"/>
              <w:jc w:val="center"/>
              <w:rPr>
                <w:rFonts w:hAnsi="宋体" w:cs="宋体"/>
                <w:color w:val="auto"/>
                <w:sz w:val="24"/>
              </w:rPr>
            </w:pPr>
            <w:r>
              <w:rPr>
                <w:rFonts w:hint="eastAsia" w:hAnsi="宋体" w:cs="宋体"/>
                <w:color w:val="auto"/>
                <w:sz w:val="24"/>
              </w:rPr>
              <w:t>序号</w:t>
            </w:r>
          </w:p>
        </w:tc>
        <w:tc>
          <w:tcPr>
            <w:tcW w:w="1422" w:type="dxa"/>
            <w:vAlign w:val="center"/>
          </w:tcPr>
          <w:p>
            <w:pPr>
              <w:pStyle w:val="12"/>
              <w:spacing w:line="240" w:lineRule="atLeast"/>
              <w:jc w:val="center"/>
              <w:rPr>
                <w:rFonts w:hAnsi="宋体" w:cs="宋体"/>
                <w:color w:val="auto"/>
                <w:sz w:val="24"/>
              </w:rPr>
            </w:pPr>
            <w:r>
              <w:rPr>
                <w:rFonts w:hint="eastAsia" w:hAnsi="宋体"/>
                <w:color w:val="auto"/>
                <w:sz w:val="22"/>
                <w:lang w:val="zh-CN"/>
              </w:rPr>
              <w:t>内容</w:t>
            </w:r>
          </w:p>
        </w:tc>
        <w:tc>
          <w:tcPr>
            <w:tcW w:w="1339" w:type="dxa"/>
            <w:vAlign w:val="center"/>
          </w:tcPr>
          <w:p>
            <w:pPr>
              <w:pStyle w:val="12"/>
              <w:spacing w:line="240" w:lineRule="atLeast"/>
              <w:jc w:val="center"/>
              <w:rPr>
                <w:rFonts w:hAnsi="宋体" w:cs="宋体"/>
                <w:color w:val="auto"/>
                <w:sz w:val="24"/>
              </w:rPr>
            </w:pPr>
            <w:r>
              <w:rPr>
                <w:rFonts w:hint="eastAsia" w:hAnsi="宋体" w:cs="宋体"/>
                <w:color w:val="auto"/>
                <w:sz w:val="24"/>
              </w:rPr>
              <w:t>招标规格</w:t>
            </w:r>
          </w:p>
        </w:tc>
        <w:tc>
          <w:tcPr>
            <w:tcW w:w="1447" w:type="dxa"/>
            <w:vAlign w:val="center"/>
          </w:tcPr>
          <w:p>
            <w:pPr>
              <w:pStyle w:val="12"/>
              <w:spacing w:line="240" w:lineRule="atLeast"/>
              <w:jc w:val="center"/>
              <w:rPr>
                <w:rFonts w:hAnsi="宋体" w:cs="宋体"/>
                <w:color w:val="auto"/>
                <w:sz w:val="24"/>
              </w:rPr>
            </w:pPr>
            <w:r>
              <w:rPr>
                <w:rFonts w:hint="eastAsia" w:hAnsi="宋体" w:cs="宋体"/>
                <w:color w:val="auto"/>
                <w:sz w:val="24"/>
              </w:rPr>
              <w:t>投标规格</w:t>
            </w:r>
          </w:p>
        </w:tc>
        <w:tc>
          <w:tcPr>
            <w:tcW w:w="2725" w:type="dxa"/>
            <w:vAlign w:val="center"/>
          </w:tcPr>
          <w:p>
            <w:pPr>
              <w:pStyle w:val="12"/>
              <w:spacing w:line="240" w:lineRule="atLeast"/>
              <w:jc w:val="center"/>
              <w:rPr>
                <w:rFonts w:hAnsi="宋体" w:cs="宋体"/>
                <w:color w:val="auto"/>
                <w:sz w:val="24"/>
              </w:rPr>
            </w:pPr>
            <w:r>
              <w:rPr>
                <w:rFonts w:hint="eastAsia" w:hAnsi="宋体" w:cs="宋体"/>
                <w:color w:val="auto"/>
                <w:sz w:val="24"/>
              </w:rPr>
              <w:t>偏离</w:t>
            </w:r>
          </w:p>
        </w:tc>
        <w:tc>
          <w:tcPr>
            <w:tcW w:w="790" w:type="dxa"/>
            <w:vAlign w:val="center"/>
          </w:tcPr>
          <w:p>
            <w:pPr>
              <w:pStyle w:val="12"/>
              <w:spacing w:line="240" w:lineRule="atLeast"/>
              <w:jc w:val="center"/>
              <w:rPr>
                <w:rFonts w:hAnsi="宋体" w:cs="宋体"/>
                <w:color w:val="auto"/>
                <w:sz w:val="24"/>
              </w:rPr>
            </w:pPr>
            <w:r>
              <w:rPr>
                <w:rFonts w:hint="eastAsia" w:hAnsi="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vAlign w:val="center"/>
          </w:tcPr>
          <w:p>
            <w:pPr>
              <w:pStyle w:val="12"/>
              <w:spacing w:line="240" w:lineRule="atLeast"/>
              <w:jc w:val="left"/>
              <w:rPr>
                <w:rFonts w:hAnsi="宋体" w:cs="宋体"/>
                <w:color w:val="auto"/>
                <w:sz w:val="24"/>
              </w:rPr>
            </w:pPr>
            <w:r>
              <w:rPr>
                <w:rFonts w:hint="eastAsia" w:hAnsi="宋体" w:cs="宋体"/>
                <w:b/>
                <w:bCs/>
                <w:color w:val="auto"/>
                <w:sz w:val="24"/>
                <w:u w:val="single"/>
              </w:rPr>
              <w:t>如有正偏离需提供证明材料，证明材料附后(并注明页码)</w:t>
            </w: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34" w:type="dxa"/>
          </w:tcPr>
          <w:p>
            <w:pPr>
              <w:pStyle w:val="12"/>
              <w:spacing w:line="240" w:lineRule="atLeast"/>
              <w:ind w:left="1080" w:leftChars="257" w:hanging="540"/>
              <w:rPr>
                <w:rFonts w:hAnsi="宋体" w:cs="宋体"/>
                <w:color w:val="auto"/>
                <w:sz w:val="24"/>
              </w:rPr>
            </w:pPr>
          </w:p>
        </w:tc>
        <w:tc>
          <w:tcPr>
            <w:tcW w:w="1422" w:type="dxa"/>
          </w:tcPr>
          <w:p>
            <w:pPr>
              <w:pStyle w:val="12"/>
              <w:spacing w:line="240" w:lineRule="atLeast"/>
              <w:ind w:left="1080" w:leftChars="257" w:hanging="540"/>
              <w:rPr>
                <w:rFonts w:hAnsi="宋体" w:cs="宋体"/>
                <w:color w:val="auto"/>
                <w:sz w:val="24"/>
              </w:rPr>
            </w:pPr>
          </w:p>
        </w:tc>
        <w:tc>
          <w:tcPr>
            <w:tcW w:w="1339" w:type="dxa"/>
          </w:tcPr>
          <w:p>
            <w:pPr>
              <w:pStyle w:val="12"/>
              <w:spacing w:line="240" w:lineRule="atLeast"/>
              <w:ind w:left="1080" w:leftChars="257" w:hanging="540"/>
              <w:rPr>
                <w:rFonts w:hAnsi="宋体" w:cs="宋体"/>
                <w:color w:val="auto"/>
                <w:sz w:val="24"/>
              </w:rPr>
            </w:pPr>
          </w:p>
        </w:tc>
        <w:tc>
          <w:tcPr>
            <w:tcW w:w="1447" w:type="dxa"/>
          </w:tcPr>
          <w:p>
            <w:pPr>
              <w:pStyle w:val="12"/>
              <w:spacing w:line="240" w:lineRule="atLeast"/>
              <w:ind w:left="1080" w:leftChars="257" w:hanging="540"/>
              <w:rPr>
                <w:rFonts w:hAnsi="宋体" w:cs="宋体"/>
                <w:color w:val="auto"/>
                <w:sz w:val="24"/>
              </w:rPr>
            </w:pPr>
          </w:p>
        </w:tc>
        <w:tc>
          <w:tcPr>
            <w:tcW w:w="2725" w:type="dxa"/>
          </w:tcPr>
          <w:p>
            <w:pPr>
              <w:pStyle w:val="12"/>
              <w:spacing w:line="240" w:lineRule="atLeast"/>
              <w:ind w:left="1080" w:leftChars="257" w:hanging="540"/>
              <w:rPr>
                <w:rFonts w:hAnsi="宋体" w:cs="宋体"/>
                <w:color w:val="auto"/>
                <w:sz w:val="24"/>
              </w:rPr>
            </w:pPr>
          </w:p>
        </w:tc>
        <w:tc>
          <w:tcPr>
            <w:tcW w:w="790" w:type="dxa"/>
          </w:tcPr>
          <w:p>
            <w:pPr>
              <w:pStyle w:val="12"/>
              <w:spacing w:line="240" w:lineRule="atLeast"/>
              <w:ind w:left="1080" w:leftChars="257" w:hanging="540"/>
              <w:rPr>
                <w:rFonts w:hAnsi="宋体" w:cs="宋体"/>
                <w:color w:val="auto"/>
                <w:sz w:val="24"/>
              </w:rPr>
            </w:pPr>
          </w:p>
        </w:tc>
      </w:tr>
    </w:tbl>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r>
        <w:rPr>
          <w:rFonts w:hint="eastAsia" w:hAnsi="宋体" w:cs="宋体"/>
          <w:color w:val="auto"/>
          <w:sz w:val="24"/>
        </w:rPr>
        <w:t>法定代表人或其委托代理人签字:</w:t>
      </w:r>
      <w:r>
        <w:rPr>
          <w:rFonts w:hint="eastAsia" w:hAnsi="宋体" w:cs="宋体"/>
          <w:color w:val="auto"/>
          <w:sz w:val="24"/>
          <w:u w:val="single"/>
        </w:rPr>
        <w:t xml:space="preserve"> </w:t>
      </w:r>
      <w:r>
        <w:rPr>
          <w:rFonts w:hint="eastAsia" w:hAnsi="宋体" w:cs="宋体"/>
          <w:color w:val="auto"/>
          <w:sz w:val="24"/>
          <w:u w:val="single"/>
        </w:rPr>
        <w:tab/>
      </w:r>
      <w:r>
        <w:rPr>
          <w:rFonts w:hint="eastAsia" w:hAnsi="宋体" w:cs="宋体"/>
          <w:color w:val="auto"/>
          <w:sz w:val="24"/>
          <w:u w:val="single"/>
        </w:rPr>
        <w:t xml:space="preserve">                 </w:t>
      </w:r>
    </w:p>
    <w:p>
      <w:pPr>
        <w:pStyle w:val="12"/>
        <w:tabs>
          <w:tab w:val="left" w:pos="5370"/>
        </w:tabs>
        <w:spacing w:line="240" w:lineRule="atLeast"/>
        <w:ind w:left="1080" w:leftChars="257" w:hanging="540"/>
        <w:rPr>
          <w:rFonts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ab/>
      </w:r>
    </w:p>
    <w:p>
      <w:pPr>
        <w:pStyle w:val="12"/>
        <w:tabs>
          <w:tab w:val="left" w:pos="5580"/>
        </w:tabs>
        <w:spacing w:line="240" w:lineRule="atLeast"/>
        <w:ind w:left="1080" w:leftChars="257" w:hanging="540"/>
        <w:rPr>
          <w:rFonts w:hAnsi="宋体" w:cs="宋体"/>
          <w:color w:val="auto"/>
          <w:sz w:val="24"/>
        </w:rPr>
      </w:pPr>
      <w:r>
        <w:rPr>
          <w:rFonts w:hint="eastAsia" w:hAnsi="宋体" w:cs="宋体"/>
          <w:color w:val="auto"/>
          <w:sz w:val="24"/>
          <w:u w:val="single"/>
        </w:rPr>
        <w:br w:type="page"/>
      </w:r>
    </w:p>
    <w:p>
      <w:pPr>
        <w:pStyle w:val="4"/>
        <w:spacing w:line="240" w:lineRule="atLeast"/>
        <w:ind w:left="0" w:firstLine="0"/>
        <w:rPr>
          <w:rFonts w:ascii="宋体" w:hAnsi="宋体" w:cs="宋体"/>
          <w:b/>
          <w:bCs/>
        </w:rPr>
      </w:pPr>
      <w:bookmarkStart w:id="281" w:name="_Toc216582818"/>
      <w:bookmarkStart w:id="282" w:name="_Toc23"/>
      <w:bookmarkStart w:id="283" w:name="_Toc515647821"/>
      <w:bookmarkStart w:id="284" w:name="_Toc111210585"/>
      <w:bookmarkStart w:id="285" w:name="_Toc111210789"/>
      <w:bookmarkStart w:id="286" w:name="_Toc21391"/>
      <w:bookmarkStart w:id="287" w:name="_Toc111210362"/>
      <w:bookmarkStart w:id="288" w:name="_Toc1980"/>
      <w:r>
        <w:rPr>
          <w:rFonts w:hint="eastAsia" w:ascii="宋体" w:hAnsi="宋体" w:cs="宋体"/>
          <w:b/>
          <w:bCs/>
        </w:rPr>
        <w:t>9、商务条款偏离表</w:t>
      </w:r>
      <w:bookmarkEnd w:id="281"/>
      <w:r>
        <w:rPr>
          <w:rFonts w:hint="eastAsia" w:ascii="宋体" w:hAnsi="宋体" w:cs="宋体"/>
          <w:b/>
          <w:bCs/>
        </w:rPr>
        <w:t>（投标文件格式九）</w:t>
      </w:r>
      <w:bookmarkEnd w:id="282"/>
      <w:bookmarkEnd w:id="283"/>
      <w:bookmarkEnd w:id="284"/>
      <w:bookmarkEnd w:id="285"/>
      <w:bookmarkEnd w:id="286"/>
      <w:bookmarkEnd w:id="287"/>
      <w:bookmarkEnd w:id="288"/>
    </w:p>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r>
        <w:rPr>
          <w:rFonts w:hint="eastAsia" w:hAnsi="宋体" w:cs="宋体"/>
          <w:color w:val="auto"/>
          <w:sz w:val="24"/>
        </w:rPr>
        <w:t xml:space="preserve">项目名称:                      招标编号:                 </w:t>
      </w:r>
    </w:p>
    <w:tbl>
      <w:tblPr>
        <w:tblStyle w:val="2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168"/>
        <w:gridCol w:w="316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jc w:val="center"/>
              <w:rPr>
                <w:rFonts w:hAnsi="宋体" w:cs="宋体"/>
                <w:color w:val="auto"/>
                <w:sz w:val="24"/>
              </w:rPr>
            </w:pPr>
            <w:r>
              <w:rPr>
                <w:rFonts w:hint="eastAsia" w:hAnsi="宋体" w:cs="宋体"/>
                <w:color w:val="auto"/>
                <w:sz w:val="24"/>
              </w:rPr>
              <w:t>序号</w:t>
            </w:r>
          </w:p>
        </w:tc>
        <w:tc>
          <w:tcPr>
            <w:tcW w:w="3168" w:type="dxa"/>
          </w:tcPr>
          <w:p>
            <w:pPr>
              <w:pStyle w:val="12"/>
              <w:spacing w:line="240" w:lineRule="atLeast"/>
              <w:jc w:val="center"/>
              <w:rPr>
                <w:rFonts w:hAnsi="宋体" w:cs="宋体"/>
                <w:color w:val="auto"/>
                <w:sz w:val="24"/>
              </w:rPr>
            </w:pPr>
            <w:r>
              <w:rPr>
                <w:rFonts w:hint="eastAsia" w:hAnsi="宋体" w:cs="宋体"/>
                <w:color w:val="auto"/>
                <w:sz w:val="24"/>
              </w:rPr>
              <w:t>招标文件的商务条款</w:t>
            </w:r>
          </w:p>
        </w:tc>
        <w:tc>
          <w:tcPr>
            <w:tcW w:w="3168" w:type="dxa"/>
          </w:tcPr>
          <w:p>
            <w:pPr>
              <w:pStyle w:val="12"/>
              <w:spacing w:line="240" w:lineRule="atLeast"/>
              <w:jc w:val="center"/>
              <w:rPr>
                <w:rFonts w:hAnsi="宋体" w:cs="宋体"/>
                <w:color w:val="auto"/>
                <w:sz w:val="24"/>
              </w:rPr>
            </w:pPr>
            <w:r>
              <w:rPr>
                <w:rFonts w:hint="eastAsia" w:hAnsi="宋体" w:cs="宋体"/>
                <w:color w:val="auto"/>
                <w:sz w:val="24"/>
              </w:rPr>
              <w:t>投标文件的商务条款</w:t>
            </w:r>
          </w:p>
        </w:tc>
        <w:tc>
          <w:tcPr>
            <w:tcW w:w="1131" w:type="dxa"/>
          </w:tcPr>
          <w:p>
            <w:pPr>
              <w:pStyle w:val="12"/>
              <w:spacing w:line="240" w:lineRule="atLeast"/>
              <w:jc w:val="center"/>
              <w:rPr>
                <w:rFonts w:hAnsi="宋体" w:cs="宋体"/>
                <w:color w:val="auto"/>
                <w:sz w:val="24"/>
              </w:rPr>
            </w:pPr>
            <w:r>
              <w:rPr>
                <w:rFonts w:hint="eastAsia" w:hAnsi="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jc w:val="center"/>
              <w:rPr>
                <w:rFonts w:hAnsi="宋体" w:cs="宋体"/>
                <w:color w:val="auto"/>
                <w:sz w:val="24"/>
              </w:rPr>
            </w:pPr>
          </w:p>
        </w:tc>
        <w:tc>
          <w:tcPr>
            <w:tcW w:w="3168" w:type="dxa"/>
          </w:tcPr>
          <w:p>
            <w:pPr>
              <w:pStyle w:val="12"/>
              <w:spacing w:line="240" w:lineRule="atLeast"/>
              <w:ind w:left="1080" w:leftChars="257" w:hanging="540"/>
              <w:jc w:val="center"/>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91"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3168" w:type="dxa"/>
          </w:tcPr>
          <w:p>
            <w:pPr>
              <w:pStyle w:val="12"/>
              <w:spacing w:line="240" w:lineRule="atLeast"/>
              <w:ind w:left="1080" w:leftChars="257" w:hanging="540"/>
              <w:rPr>
                <w:rFonts w:hAnsi="宋体" w:cs="宋体"/>
                <w:color w:val="auto"/>
                <w:sz w:val="24"/>
              </w:rPr>
            </w:pPr>
          </w:p>
        </w:tc>
        <w:tc>
          <w:tcPr>
            <w:tcW w:w="1131" w:type="dxa"/>
          </w:tcPr>
          <w:p>
            <w:pPr>
              <w:pStyle w:val="12"/>
              <w:spacing w:line="240" w:lineRule="atLeast"/>
              <w:ind w:left="1080" w:leftChars="257" w:hanging="540"/>
              <w:rPr>
                <w:rFonts w:hAnsi="宋体" w:cs="宋体"/>
                <w:color w:val="auto"/>
                <w:sz w:val="24"/>
              </w:rPr>
            </w:pPr>
          </w:p>
        </w:tc>
      </w:tr>
    </w:tbl>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p>
    <w:p>
      <w:pPr>
        <w:pStyle w:val="12"/>
        <w:spacing w:line="240" w:lineRule="atLeast"/>
        <w:ind w:left="1080" w:leftChars="257" w:hanging="540"/>
        <w:rPr>
          <w:rFonts w:hAnsi="宋体" w:cs="宋体"/>
          <w:color w:val="auto"/>
          <w:sz w:val="24"/>
        </w:rPr>
      </w:pPr>
      <w:r>
        <w:rPr>
          <w:rFonts w:hint="eastAsia" w:hAnsi="宋体" w:cs="宋体"/>
          <w:color w:val="auto"/>
          <w:sz w:val="24"/>
        </w:rPr>
        <w:t>法定代表人或其委托代理人签字:</w:t>
      </w:r>
      <w:r>
        <w:rPr>
          <w:rFonts w:hint="eastAsia" w:hAnsi="宋体" w:cs="宋体"/>
          <w:color w:val="auto"/>
          <w:sz w:val="24"/>
          <w:u w:val="single"/>
        </w:rPr>
        <w:t xml:space="preserve"> </w:t>
      </w:r>
      <w:r>
        <w:rPr>
          <w:rFonts w:hint="eastAsia" w:hAnsi="宋体" w:cs="宋体"/>
          <w:color w:val="auto"/>
          <w:sz w:val="24"/>
          <w:u w:val="single"/>
        </w:rPr>
        <w:tab/>
      </w:r>
      <w:r>
        <w:rPr>
          <w:rFonts w:hint="eastAsia" w:hAnsi="宋体" w:cs="宋体"/>
          <w:color w:val="auto"/>
          <w:sz w:val="24"/>
          <w:u w:val="single"/>
        </w:rPr>
        <w:t xml:space="preserve">                 </w:t>
      </w:r>
    </w:p>
    <w:p>
      <w:pPr>
        <w:pStyle w:val="12"/>
        <w:tabs>
          <w:tab w:val="left" w:pos="5370"/>
        </w:tabs>
        <w:spacing w:line="240" w:lineRule="atLeast"/>
        <w:ind w:left="1080" w:leftChars="257" w:hanging="540"/>
        <w:rPr>
          <w:rFonts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ab/>
      </w:r>
    </w:p>
    <w:p>
      <w:pPr>
        <w:pStyle w:val="4"/>
        <w:spacing w:line="240" w:lineRule="atLeast"/>
        <w:ind w:left="0" w:firstLine="0"/>
        <w:rPr>
          <w:rFonts w:ascii="宋体" w:hAnsi="宋体" w:cs="宋体"/>
        </w:rPr>
      </w:pPr>
      <w:r>
        <w:rPr>
          <w:rFonts w:hint="eastAsia" w:ascii="宋体" w:hAnsi="宋体" w:cs="宋体"/>
        </w:rPr>
        <w:br w:type="page"/>
      </w:r>
      <w:bookmarkStart w:id="289" w:name="_Toc515647823"/>
      <w:bookmarkStart w:id="290" w:name="_Toc21312"/>
      <w:bookmarkStart w:id="291" w:name="_Toc10725"/>
      <w:bookmarkStart w:id="292" w:name="_Toc2963"/>
      <w:bookmarkStart w:id="293" w:name="_Toc28099"/>
      <w:bookmarkStart w:id="294" w:name="_Toc30795"/>
      <w:bookmarkStart w:id="295" w:name="_Toc515647827"/>
    </w:p>
    <w:p>
      <w:pPr>
        <w:pStyle w:val="12"/>
        <w:spacing w:line="400" w:lineRule="exact"/>
        <w:rPr>
          <w:rFonts w:hAnsi="宋体" w:cs="宋体"/>
          <w:color w:val="auto"/>
          <w:sz w:val="24"/>
        </w:rPr>
      </w:pPr>
      <w:r>
        <w:rPr>
          <w:rFonts w:hint="eastAsia" w:hAnsi="宋体" w:cs="宋体"/>
          <w:b/>
          <w:bCs/>
          <w:color w:val="auto"/>
          <w:sz w:val="24"/>
        </w:rPr>
        <w:t>10、</w:t>
      </w:r>
    </w:p>
    <w:bookmarkEnd w:id="289"/>
    <w:bookmarkEnd w:id="290"/>
    <w:bookmarkEnd w:id="291"/>
    <w:bookmarkEnd w:id="292"/>
    <w:p>
      <w:pPr>
        <w:pStyle w:val="4"/>
        <w:spacing w:line="240" w:lineRule="atLeast"/>
        <w:ind w:left="0" w:firstLine="0"/>
        <w:jc w:val="left"/>
        <w:rPr>
          <w:rFonts w:ascii="宋体" w:hAnsi="宋体" w:cs="宋体"/>
          <w:b/>
          <w:bCs/>
        </w:rPr>
      </w:pPr>
      <w:bookmarkStart w:id="296" w:name="_Toc23068"/>
      <w:bookmarkStart w:id="297" w:name="_Toc515647825"/>
      <w:bookmarkStart w:id="298" w:name="_Toc19284"/>
      <w:bookmarkStart w:id="299" w:name="_Toc111210792"/>
      <w:bookmarkStart w:id="300" w:name="_Toc8010"/>
      <w:bookmarkStart w:id="301" w:name="_Toc111210588"/>
      <w:bookmarkStart w:id="302" w:name="_Toc111210365"/>
      <w:bookmarkStart w:id="303" w:name="OLE_LINK13"/>
      <w:bookmarkStart w:id="304" w:name="OLE_LINK14"/>
    </w:p>
    <w:p>
      <w:pPr>
        <w:spacing w:before="192" w:line="223" w:lineRule="auto"/>
        <w:ind w:left="2229"/>
        <w:rPr>
          <w:rFonts w:ascii="宋体" w:hAnsi="宋体" w:cs="宋体"/>
          <w:sz w:val="35"/>
          <w:szCs w:val="35"/>
        </w:rPr>
      </w:pPr>
      <w:r>
        <w:rPr>
          <w:rFonts w:ascii="宋体" w:hAnsi="宋体" w:cs="宋体"/>
          <w:spacing w:val="9"/>
          <w:sz w:val="35"/>
          <w:szCs w:val="35"/>
          <w14:textOutline w14:w="6540" w14:cap="sq" w14:cmpd="sng" w14:algn="ctr">
            <w14:solidFill>
              <w14:srgbClr w14:val="000000"/>
            </w14:solidFill>
            <w14:prstDash w14:val="solid"/>
            <w14:bevel/>
          </w14:textOutline>
        </w:rPr>
        <w:t>中</w:t>
      </w:r>
      <w:r>
        <w:rPr>
          <w:rFonts w:ascii="宋体" w:hAnsi="宋体" w:cs="宋体"/>
          <w:spacing w:val="5"/>
          <w:sz w:val="35"/>
          <w:szCs w:val="35"/>
          <w14:textOutline w14:w="6540" w14:cap="sq" w14:cmpd="sng" w14:algn="ctr">
            <w14:solidFill>
              <w14:srgbClr w14:val="000000"/>
            </w14:solidFill>
            <w14:prstDash w14:val="solid"/>
            <w14:bevel/>
          </w14:textOutline>
        </w:rPr>
        <w:t>小企业声明函</w:t>
      </w:r>
      <w:r>
        <w:rPr>
          <w:rFonts w:ascii="宋体" w:hAnsi="宋体" w:cs="宋体"/>
          <w:spacing w:val="5"/>
          <w:sz w:val="35"/>
          <w:szCs w:val="35"/>
        </w:rPr>
        <w:t xml:space="preserve"> </w:t>
      </w:r>
      <w:r>
        <w:rPr>
          <w:rFonts w:ascii="宋体" w:hAnsi="宋体" w:cs="宋体"/>
          <w:spacing w:val="5"/>
          <w:sz w:val="35"/>
          <w:szCs w:val="35"/>
          <w14:textOutline w14:w="6540" w14:cap="sq" w14:cmpd="sng" w14:algn="ctr">
            <w14:solidFill>
              <w14:srgbClr w14:val="000000"/>
            </w14:solidFill>
            <w14:prstDash w14:val="solid"/>
            <w14:bevel/>
          </w14:textOutline>
        </w:rPr>
        <w:t>(货物)</w:t>
      </w:r>
    </w:p>
    <w:p>
      <w:pPr>
        <w:spacing w:line="276" w:lineRule="auto"/>
        <w:rPr>
          <w:rFonts w:ascii="Arial"/>
        </w:rPr>
      </w:pPr>
    </w:p>
    <w:p>
      <w:pPr>
        <w:spacing w:line="277" w:lineRule="auto"/>
        <w:rPr>
          <w:rFonts w:ascii="Arial"/>
        </w:rPr>
      </w:pPr>
    </w:p>
    <w:p>
      <w:pPr>
        <w:tabs>
          <w:tab w:val="left" w:pos="193"/>
        </w:tabs>
        <w:spacing w:before="101" w:line="306" w:lineRule="auto"/>
        <w:ind w:left="36" w:right="230" w:firstLine="640"/>
        <w:rPr>
          <w:rFonts w:ascii="宋体" w:hAnsi="宋体" w:cs="宋体"/>
          <w:sz w:val="24"/>
        </w:rPr>
      </w:pPr>
      <w:r>
        <w:rPr>
          <w:rFonts w:hint="eastAsia" w:ascii="宋体" w:hAnsi="宋体" w:cs="宋体"/>
          <w:spacing w:val="8"/>
          <w:sz w:val="24"/>
        </w:rPr>
        <w:t>本公司 (联合体) 郑重声明，根据《政府采购促进中</w:t>
      </w:r>
      <w:r>
        <w:rPr>
          <w:rFonts w:hint="eastAsia" w:ascii="宋体" w:hAnsi="宋体" w:cs="宋体"/>
          <w:spacing w:val="5"/>
          <w:sz w:val="24"/>
        </w:rPr>
        <w:t>小</w:t>
      </w:r>
      <w:r>
        <w:rPr>
          <w:rFonts w:hint="eastAsia" w:ascii="宋体" w:hAnsi="宋体" w:cs="宋体"/>
          <w:sz w:val="24"/>
        </w:rPr>
        <w:t xml:space="preserve"> </w:t>
      </w:r>
      <w:r>
        <w:rPr>
          <w:rFonts w:hint="eastAsia" w:ascii="宋体" w:hAnsi="宋体" w:cs="宋体"/>
          <w:spacing w:val="-22"/>
          <w:sz w:val="24"/>
        </w:rPr>
        <w:t>企</w:t>
      </w:r>
      <w:r>
        <w:rPr>
          <w:rFonts w:hint="eastAsia" w:ascii="宋体" w:hAnsi="宋体" w:cs="宋体"/>
          <w:spacing w:val="-12"/>
          <w:sz w:val="24"/>
        </w:rPr>
        <w:t>业</w:t>
      </w:r>
      <w:r>
        <w:rPr>
          <w:rFonts w:hint="eastAsia" w:ascii="宋体" w:hAnsi="宋体" w:cs="宋体"/>
          <w:spacing w:val="-11"/>
          <w:sz w:val="24"/>
        </w:rPr>
        <w:t>发展管理办法》(财库 ﹝ 2020 ﹞ 46 号) 的规定，本公司</w:t>
      </w:r>
      <w:r>
        <w:rPr>
          <w:rFonts w:hint="eastAsia" w:ascii="宋体" w:hAnsi="宋体" w:cs="宋体"/>
          <w:sz w:val="24"/>
        </w:rPr>
        <w:t xml:space="preserve"> </w:t>
      </w:r>
      <w:r>
        <w:rPr>
          <w:rFonts w:hint="eastAsia" w:ascii="宋体" w:hAnsi="宋体" w:cs="宋体"/>
          <w:sz w:val="24"/>
        </w:rPr>
        <w:tab/>
      </w:r>
      <w:r>
        <w:rPr>
          <w:rFonts w:hint="eastAsia" w:ascii="宋体" w:hAnsi="宋体" w:cs="宋体"/>
          <w:spacing w:val="-10"/>
          <w:sz w:val="24"/>
        </w:rPr>
        <w:t>(联合体</w:t>
      </w:r>
      <w:r>
        <w:rPr>
          <w:rFonts w:hint="eastAsia" w:ascii="宋体" w:hAnsi="宋体" w:cs="宋体"/>
          <w:spacing w:val="-7"/>
          <w:sz w:val="24"/>
        </w:rPr>
        <w:t>)</w:t>
      </w:r>
      <w:r>
        <w:rPr>
          <w:rFonts w:hint="eastAsia" w:ascii="宋体" w:hAnsi="宋体" w:cs="宋体"/>
          <w:spacing w:val="-5"/>
          <w:sz w:val="24"/>
        </w:rPr>
        <w:t xml:space="preserve"> 参加</w:t>
      </w:r>
      <w:r>
        <w:rPr>
          <w:rFonts w:hint="eastAsia" w:ascii="宋体" w:hAnsi="宋体" w:cs="宋体"/>
          <w:spacing w:val="-5"/>
          <w:sz w:val="24"/>
          <w:u w:val="single"/>
        </w:rPr>
        <w:t xml:space="preserve"> </w:t>
      </w:r>
      <w:r>
        <w:rPr>
          <w:rFonts w:hint="eastAsia" w:ascii="宋体" w:hAnsi="宋体" w:cs="宋体"/>
          <w:i/>
          <w:iCs/>
          <w:spacing w:val="-5"/>
          <w:sz w:val="24"/>
          <w:u w:val="single"/>
        </w:rPr>
        <w:t>(单位名称)</w:t>
      </w:r>
      <w:r>
        <w:rPr>
          <w:rFonts w:hint="eastAsia" w:ascii="宋体" w:hAnsi="宋体" w:cs="宋体"/>
          <w:spacing w:val="-5"/>
          <w:sz w:val="24"/>
          <w:u w:val="single"/>
        </w:rPr>
        <w:t xml:space="preserve"> </w:t>
      </w:r>
      <w:r>
        <w:rPr>
          <w:rFonts w:hint="eastAsia" w:ascii="宋体" w:hAnsi="宋体" w:cs="宋体"/>
          <w:spacing w:val="-5"/>
          <w:sz w:val="24"/>
        </w:rPr>
        <w:t xml:space="preserve"> 的</w:t>
      </w:r>
      <w:r>
        <w:rPr>
          <w:rFonts w:hint="eastAsia" w:ascii="宋体" w:hAnsi="宋体" w:cs="宋体"/>
          <w:spacing w:val="-5"/>
          <w:sz w:val="24"/>
          <w:u w:val="single"/>
        </w:rPr>
        <w:t xml:space="preserve"> </w:t>
      </w:r>
      <w:r>
        <w:rPr>
          <w:rFonts w:hint="eastAsia" w:ascii="宋体" w:hAnsi="宋体" w:cs="宋体"/>
          <w:i/>
          <w:iCs/>
          <w:spacing w:val="-5"/>
          <w:sz w:val="24"/>
          <w:u w:val="single"/>
        </w:rPr>
        <w:t>(项目名称)</w:t>
      </w:r>
      <w:r>
        <w:rPr>
          <w:rFonts w:hint="eastAsia" w:ascii="宋体" w:hAnsi="宋体" w:cs="宋体"/>
          <w:spacing w:val="-5"/>
          <w:sz w:val="24"/>
          <w:u w:val="single"/>
        </w:rPr>
        <w:t xml:space="preserve"> </w:t>
      </w:r>
      <w:r>
        <w:rPr>
          <w:rFonts w:hint="eastAsia" w:ascii="宋体" w:hAnsi="宋体" w:cs="宋体"/>
          <w:spacing w:val="-5"/>
          <w:sz w:val="24"/>
        </w:rPr>
        <w:t>采购活动，提</w:t>
      </w:r>
      <w:r>
        <w:rPr>
          <w:rFonts w:hint="eastAsia" w:ascii="宋体" w:hAnsi="宋体" w:cs="宋体"/>
          <w:sz w:val="24"/>
        </w:rPr>
        <w:t xml:space="preserve"> </w:t>
      </w:r>
      <w:r>
        <w:rPr>
          <w:rFonts w:hint="eastAsia" w:ascii="宋体" w:hAnsi="宋体" w:cs="宋体"/>
          <w:spacing w:val="27"/>
          <w:sz w:val="24"/>
        </w:rPr>
        <w:t>供</w:t>
      </w:r>
      <w:r>
        <w:rPr>
          <w:rFonts w:hint="eastAsia" w:ascii="宋体" w:hAnsi="宋体" w:cs="宋体"/>
          <w:spacing w:val="21"/>
          <w:sz w:val="24"/>
        </w:rPr>
        <w:t>的货物全部由符合政策要求的中小企业制造。相关企业</w:t>
      </w:r>
      <w:r>
        <w:rPr>
          <w:rFonts w:hint="eastAsia" w:ascii="宋体" w:hAnsi="宋体" w:cs="宋体"/>
          <w:sz w:val="24"/>
        </w:rPr>
        <w:t xml:space="preserve"> </w:t>
      </w:r>
      <w:r>
        <w:rPr>
          <w:rFonts w:hint="eastAsia" w:ascii="宋体" w:hAnsi="宋体" w:cs="宋体"/>
          <w:sz w:val="24"/>
        </w:rPr>
        <w:tab/>
      </w:r>
      <w:r>
        <w:rPr>
          <w:rFonts w:hint="eastAsia" w:ascii="宋体" w:hAnsi="宋体" w:cs="宋体"/>
          <w:spacing w:val="8"/>
          <w:sz w:val="24"/>
        </w:rPr>
        <w:t>(含联合体中的中小企业、签订分包意向协议的中小企业</w:t>
      </w:r>
      <w:r>
        <w:rPr>
          <w:rFonts w:hint="eastAsia" w:ascii="宋体" w:hAnsi="宋体" w:cs="宋体"/>
          <w:spacing w:val="7"/>
          <w:sz w:val="24"/>
        </w:rPr>
        <w:t>)</w:t>
      </w:r>
      <w:r>
        <w:rPr>
          <w:rFonts w:hint="eastAsia" w:ascii="宋体" w:hAnsi="宋体" w:cs="宋体"/>
          <w:sz w:val="24"/>
        </w:rPr>
        <w:t xml:space="preserve"> </w:t>
      </w:r>
      <w:r>
        <w:rPr>
          <w:rFonts w:hint="eastAsia" w:ascii="宋体" w:hAnsi="宋体" w:cs="宋体"/>
          <w:spacing w:val="6"/>
          <w:sz w:val="24"/>
        </w:rPr>
        <w:t>的具体情况如下</w:t>
      </w:r>
      <w:r>
        <w:rPr>
          <w:rFonts w:hint="eastAsia" w:ascii="宋体" w:hAnsi="宋体" w:cs="宋体"/>
          <w:spacing w:val="4"/>
          <w:sz w:val="24"/>
        </w:rPr>
        <w:t>：</w:t>
      </w:r>
    </w:p>
    <w:p>
      <w:pPr>
        <w:spacing w:before="1" w:line="214" w:lineRule="auto"/>
        <w:ind w:left="689"/>
        <w:rPr>
          <w:rFonts w:ascii="宋体" w:hAnsi="宋体" w:cs="宋体"/>
          <w:sz w:val="24"/>
        </w:rPr>
      </w:pPr>
      <w:r>
        <w:rPr>
          <w:rFonts w:hint="eastAsia" w:ascii="宋体" w:hAnsi="宋体" w:cs="宋体"/>
          <w:spacing w:val="1"/>
          <w:sz w:val="24"/>
        </w:rPr>
        <w:t>1.</w:t>
      </w:r>
      <w:r>
        <w:rPr>
          <w:rFonts w:hint="eastAsia" w:ascii="宋体" w:hAnsi="宋体" w:cs="宋体"/>
          <w:spacing w:val="1"/>
          <w:sz w:val="24"/>
          <w:u w:val="single"/>
        </w:rPr>
        <w:t xml:space="preserve"> </w:t>
      </w:r>
      <w:r>
        <w:rPr>
          <w:rFonts w:hint="eastAsia" w:ascii="宋体" w:hAnsi="宋体" w:cs="宋体"/>
          <w:i/>
          <w:iCs/>
          <w:spacing w:val="1"/>
          <w:sz w:val="24"/>
          <w:u w:val="single"/>
        </w:rPr>
        <w:t>(标的名称)</w:t>
      </w:r>
      <w:r>
        <w:rPr>
          <w:rFonts w:hint="eastAsia" w:ascii="宋体" w:hAnsi="宋体" w:cs="宋体"/>
          <w:spacing w:val="1"/>
          <w:sz w:val="24"/>
          <w:u w:val="single"/>
        </w:rPr>
        <w:t xml:space="preserve"> </w:t>
      </w:r>
      <w:r>
        <w:rPr>
          <w:rFonts w:hint="eastAsia" w:ascii="宋体" w:hAnsi="宋体" w:cs="宋体"/>
          <w:spacing w:val="1"/>
          <w:sz w:val="24"/>
        </w:rPr>
        <w:t>，属于</w:t>
      </w:r>
      <w:r>
        <w:rPr>
          <w:rFonts w:hint="eastAsia" w:ascii="宋体" w:hAnsi="宋体" w:cs="宋体"/>
          <w:spacing w:val="1"/>
          <w:sz w:val="24"/>
          <w:u w:val="single"/>
        </w:rPr>
        <w:t xml:space="preserve"> </w:t>
      </w:r>
      <w:r>
        <w:rPr>
          <w:rFonts w:hint="eastAsia" w:ascii="宋体" w:hAnsi="宋体" w:cs="宋体"/>
          <w:i/>
          <w:iCs/>
          <w:spacing w:val="1"/>
          <w:sz w:val="24"/>
          <w:u w:val="single"/>
        </w:rPr>
        <w:t>(采购文件中明确的</w:t>
      </w:r>
      <w:r>
        <w:rPr>
          <w:rFonts w:hint="eastAsia" w:ascii="宋体" w:hAnsi="宋体" w:cs="宋体"/>
          <w:i/>
          <w:iCs/>
          <w:sz w:val="24"/>
          <w:u w:val="single"/>
        </w:rPr>
        <w:t>所属行业</w:t>
      </w:r>
      <w:r>
        <w:rPr>
          <w:rFonts w:hint="eastAsia" w:ascii="宋体" w:hAnsi="宋体" w:cs="宋体"/>
          <w:i/>
          <w:iCs/>
          <w:sz w:val="24"/>
        </w:rPr>
        <w:t>)</w:t>
      </w:r>
    </w:p>
    <w:p>
      <w:pPr>
        <w:spacing w:before="135" w:line="211" w:lineRule="auto"/>
        <w:ind w:left="20"/>
        <w:rPr>
          <w:rFonts w:ascii="宋体" w:hAnsi="宋体" w:cs="宋体"/>
          <w:sz w:val="24"/>
        </w:rPr>
      </w:pPr>
      <w:r>
        <w:rPr>
          <w:rFonts w:hint="eastAsia" w:ascii="宋体" w:hAnsi="宋体" w:cs="宋体"/>
          <w:i/>
          <w:iCs/>
          <w:spacing w:val="9"/>
          <w:sz w:val="24"/>
          <w:u w:val="single"/>
        </w:rPr>
        <w:t>行</w:t>
      </w:r>
      <w:r>
        <w:rPr>
          <w:rFonts w:hint="eastAsia" w:ascii="宋体" w:hAnsi="宋体" w:cs="宋体"/>
          <w:i/>
          <w:iCs/>
          <w:spacing w:val="8"/>
          <w:sz w:val="24"/>
          <w:u w:val="single"/>
        </w:rPr>
        <w:t>业</w:t>
      </w:r>
      <w:r>
        <w:rPr>
          <w:rFonts w:hint="eastAsia" w:ascii="宋体" w:hAnsi="宋体" w:cs="宋体"/>
          <w:spacing w:val="8"/>
          <w:sz w:val="24"/>
        </w:rPr>
        <w:t>；制造商为</w:t>
      </w:r>
      <w:r>
        <w:rPr>
          <w:rFonts w:hint="eastAsia" w:ascii="宋体" w:hAnsi="宋体" w:cs="宋体"/>
          <w:spacing w:val="8"/>
          <w:sz w:val="24"/>
          <w:u w:val="single"/>
        </w:rPr>
        <w:t xml:space="preserve"> </w:t>
      </w:r>
      <w:r>
        <w:rPr>
          <w:rFonts w:hint="eastAsia" w:ascii="宋体" w:hAnsi="宋体" w:cs="宋体"/>
          <w:i/>
          <w:iCs/>
          <w:spacing w:val="8"/>
          <w:sz w:val="24"/>
          <w:u w:val="single"/>
        </w:rPr>
        <w:t>(企业名称</w:t>
      </w:r>
      <w:r>
        <w:rPr>
          <w:rFonts w:hint="eastAsia" w:ascii="宋体" w:hAnsi="宋体" w:cs="宋体"/>
          <w:i/>
          <w:iCs/>
          <w:spacing w:val="8"/>
          <w:sz w:val="24"/>
        </w:rPr>
        <w:t>)</w:t>
      </w:r>
      <w:r>
        <w:rPr>
          <w:rFonts w:hint="eastAsia" w:ascii="宋体" w:hAnsi="宋体" w:cs="宋体"/>
          <w:spacing w:val="8"/>
          <w:sz w:val="24"/>
        </w:rPr>
        <w:t>，从业人员</w:t>
      </w:r>
      <w:r>
        <w:rPr>
          <w:rFonts w:hint="eastAsia" w:ascii="宋体" w:hAnsi="宋体" w:cs="宋体"/>
          <w:spacing w:val="8"/>
          <w:sz w:val="24"/>
          <w:u w:val="single"/>
        </w:rPr>
        <w:t xml:space="preserve">      </w:t>
      </w:r>
      <w:r>
        <w:rPr>
          <w:rFonts w:hint="eastAsia" w:ascii="宋体" w:hAnsi="宋体" w:cs="宋体"/>
          <w:spacing w:val="8"/>
          <w:sz w:val="24"/>
        </w:rPr>
        <w:t>人，营业收</w:t>
      </w:r>
      <w:r>
        <w:rPr>
          <w:rFonts w:hint="eastAsia" w:ascii="宋体" w:hAnsi="宋体" w:cs="宋体"/>
          <w:spacing w:val="1"/>
          <w:sz w:val="24"/>
        </w:rPr>
        <w:t>入为</w:t>
      </w:r>
      <w:r>
        <w:rPr>
          <w:rFonts w:hint="eastAsia" w:ascii="宋体" w:hAnsi="宋体" w:cs="宋体"/>
          <w:spacing w:val="1"/>
          <w:sz w:val="24"/>
          <w:u w:val="single"/>
        </w:rPr>
        <w:t xml:space="preserve">    </w:t>
      </w:r>
      <w:r>
        <w:rPr>
          <w:rFonts w:hint="eastAsia" w:ascii="宋体" w:hAnsi="宋体" w:cs="宋体"/>
          <w:spacing w:val="1"/>
          <w:sz w:val="24"/>
        </w:rPr>
        <w:t>万元，资产总</w:t>
      </w:r>
      <w:r>
        <w:rPr>
          <w:rFonts w:hint="eastAsia" w:ascii="宋体" w:hAnsi="宋体" w:cs="宋体"/>
          <w:sz w:val="24"/>
        </w:rPr>
        <w:t>额为</w:t>
      </w:r>
      <w:r>
        <w:rPr>
          <w:rFonts w:hint="eastAsia" w:ascii="宋体" w:hAnsi="宋体" w:cs="宋体"/>
          <w:sz w:val="24"/>
          <w:u w:val="single"/>
        </w:rPr>
        <w:t xml:space="preserve">    </w:t>
      </w:r>
      <w:r>
        <w:rPr>
          <w:rFonts w:hint="eastAsia" w:ascii="宋体" w:hAnsi="宋体" w:cs="宋体"/>
          <w:sz w:val="24"/>
        </w:rPr>
        <w:t>万元</w:t>
      </w:r>
      <w:r>
        <w:fldChar w:fldCharType="begin"/>
      </w:r>
      <w:r>
        <w:instrText xml:space="preserve"> HYPERLINK \l "_bookmark1" </w:instrText>
      </w:r>
      <w:r>
        <w:fldChar w:fldCharType="separate"/>
      </w:r>
      <w:r>
        <w:rPr>
          <w:rFonts w:hint="eastAsia" w:ascii="宋体" w:hAnsi="宋体" w:cs="宋体"/>
          <w:position w:val="16"/>
          <w:sz w:val="24"/>
        </w:rPr>
        <w:t>1</w:t>
      </w:r>
      <w:r>
        <w:rPr>
          <w:rFonts w:hint="eastAsia" w:ascii="宋体" w:hAnsi="宋体" w:cs="宋体"/>
          <w:position w:val="16"/>
          <w:sz w:val="24"/>
        </w:rPr>
        <w:fldChar w:fldCharType="end"/>
      </w:r>
      <w:r>
        <w:rPr>
          <w:rFonts w:hint="eastAsia" w:ascii="宋体" w:hAnsi="宋体" w:cs="宋体"/>
          <w:position w:val="16"/>
          <w:sz w:val="24"/>
        </w:rPr>
        <w:t xml:space="preserve"> </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i/>
          <w:iCs/>
          <w:sz w:val="24"/>
          <w:u w:val="single"/>
        </w:rPr>
        <w:t>(中型企业、小</w:t>
      </w:r>
      <w:r>
        <w:rPr>
          <w:rFonts w:hint="eastAsia" w:ascii="宋体" w:hAnsi="宋体" w:cs="宋体"/>
          <w:i/>
          <w:iCs/>
          <w:spacing w:val="-6"/>
          <w:sz w:val="24"/>
          <w:u w:val="single"/>
        </w:rPr>
        <w:t>型企</w:t>
      </w:r>
      <w:r>
        <w:rPr>
          <w:rFonts w:hint="eastAsia" w:ascii="宋体" w:hAnsi="宋体" w:cs="宋体"/>
          <w:i/>
          <w:iCs/>
          <w:spacing w:val="-5"/>
          <w:sz w:val="24"/>
          <w:u w:val="single"/>
        </w:rPr>
        <w:t>业</w:t>
      </w:r>
      <w:r>
        <w:rPr>
          <w:rFonts w:hint="eastAsia" w:ascii="宋体" w:hAnsi="宋体" w:cs="宋体"/>
          <w:i/>
          <w:iCs/>
          <w:spacing w:val="-3"/>
          <w:sz w:val="24"/>
          <w:u w:val="single"/>
        </w:rPr>
        <w:t>、微型企业</w:t>
      </w:r>
      <w:r>
        <w:rPr>
          <w:rFonts w:hint="eastAsia" w:ascii="宋体" w:hAnsi="宋体" w:cs="宋体"/>
          <w:i/>
          <w:iCs/>
          <w:spacing w:val="-3"/>
          <w:sz w:val="24"/>
        </w:rPr>
        <w:t>)</w:t>
      </w:r>
      <w:r>
        <w:rPr>
          <w:rFonts w:hint="eastAsia" w:ascii="宋体" w:hAnsi="宋体" w:cs="宋体"/>
          <w:spacing w:val="-3"/>
          <w:sz w:val="24"/>
        </w:rPr>
        <w:t>；</w:t>
      </w:r>
    </w:p>
    <w:p>
      <w:pPr>
        <w:spacing w:before="130" w:line="291" w:lineRule="auto"/>
        <w:ind w:left="19" w:firstLine="650"/>
        <w:rPr>
          <w:rFonts w:ascii="宋体" w:hAnsi="宋体" w:cs="宋体"/>
          <w:sz w:val="24"/>
        </w:rPr>
      </w:pPr>
      <w:r>
        <w:rPr>
          <w:rFonts w:hint="eastAsia" w:ascii="宋体" w:hAnsi="宋体" w:cs="宋体"/>
          <w:spacing w:val="2"/>
          <w:sz w:val="24"/>
        </w:rPr>
        <w:t>2.</w:t>
      </w:r>
      <w:r>
        <w:rPr>
          <w:rFonts w:hint="eastAsia" w:ascii="宋体" w:hAnsi="宋体" w:cs="宋体"/>
          <w:spacing w:val="2"/>
          <w:sz w:val="24"/>
          <w:u w:val="single"/>
        </w:rPr>
        <w:t xml:space="preserve"> </w:t>
      </w:r>
      <w:r>
        <w:rPr>
          <w:rFonts w:hint="eastAsia" w:ascii="宋体" w:hAnsi="宋体" w:cs="宋体"/>
          <w:i/>
          <w:iCs/>
          <w:spacing w:val="2"/>
          <w:sz w:val="24"/>
          <w:u w:val="single"/>
        </w:rPr>
        <w:t>(标的名称)</w:t>
      </w:r>
      <w:r>
        <w:rPr>
          <w:rFonts w:hint="eastAsia" w:ascii="宋体" w:hAnsi="宋体" w:cs="宋体"/>
          <w:spacing w:val="2"/>
          <w:sz w:val="24"/>
          <w:u w:val="single"/>
        </w:rPr>
        <w:t xml:space="preserve"> </w:t>
      </w:r>
      <w:r>
        <w:rPr>
          <w:rFonts w:hint="eastAsia" w:ascii="宋体" w:hAnsi="宋体" w:cs="宋体"/>
          <w:spacing w:val="2"/>
          <w:sz w:val="24"/>
        </w:rPr>
        <w:t>，属于</w:t>
      </w:r>
      <w:r>
        <w:rPr>
          <w:rFonts w:hint="eastAsia" w:ascii="宋体" w:hAnsi="宋体" w:cs="宋体"/>
          <w:spacing w:val="2"/>
          <w:sz w:val="24"/>
          <w:u w:val="single"/>
        </w:rPr>
        <w:t xml:space="preserve"> </w:t>
      </w:r>
      <w:r>
        <w:rPr>
          <w:rFonts w:hint="eastAsia" w:ascii="宋体" w:hAnsi="宋体" w:cs="宋体"/>
          <w:i/>
          <w:iCs/>
          <w:spacing w:val="2"/>
          <w:sz w:val="24"/>
          <w:u w:val="single"/>
        </w:rPr>
        <w:t>(</w:t>
      </w:r>
      <w:r>
        <w:rPr>
          <w:rFonts w:hint="eastAsia" w:ascii="宋体" w:hAnsi="宋体" w:cs="宋体"/>
          <w:i/>
          <w:iCs/>
          <w:spacing w:val="1"/>
          <w:sz w:val="24"/>
          <w:u w:val="single"/>
        </w:rPr>
        <w:t>采购文件中明确的所属行业</w:t>
      </w:r>
      <w:r>
        <w:rPr>
          <w:rFonts w:hint="eastAsia" w:ascii="宋体" w:hAnsi="宋体" w:cs="宋体"/>
          <w:i/>
          <w:iCs/>
          <w:spacing w:val="1"/>
          <w:sz w:val="24"/>
        </w:rPr>
        <w:t>)</w:t>
      </w:r>
      <w:r>
        <w:rPr>
          <w:rFonts w:hint="eastAsia" w:ascii="宋体" w:hAnsi="宋体" w:cs="宋体"/>
          <w:sz w:val="24"/>
        </w:rPr>
        <w:t xml:space="preserve"> </w:t>
      </w:r>
      <w:r>
        <w:rPr>
          <w:rFonts w:hint="eastAsia" w:ascii="宋体" w:hAnsi="宋体" w:cs="宋体"/>
          <w:i/>
          <w:iCs/>
          <w:spacing w:val="16"/>
          <w:sz w:val="24"/>
          <w:u w:val="single"/>
        </w:rPr>
        <w:t>行</w:t>
      </w:r>
      <w:r>
        <w:rPr>
          <w:rFonts w:hint="eastAsia" w:ascii="宋体" w:hAnsi="宋体" w:cs="宋体"/>
          <w:i/>
          <w:iCs/>
          <w:spacing w:val="11"/>
          <w:sz w:val="24"/>
          <w:u w:val="single"/>
        </w:rPr>
        <w:t>业</w:t>
      </w:r>
      <w:r>
        <w:rPr>
          <w:rFonts w:hint="eastAsia" w:ascii="宋体" w:hAnsi="宋体" w:cs="宋体"/>
          <w:spacing w:val="8"/>
          <w:sz w:val="24"/>
        </w:rPr>
        <w:t>；制造商为</w:t>
      </w:r>
      <w:r>
        <w:rPr>
          <w:rFonts w:hint="eastAsia" w:ascii="宋体" w:hAnsi="宋体" w:cs="宋体"/>
          <w:spacing w:val="8"/>
          <w:sz w:val="24"/>
          <w:u w:val="single"/>
        </w:rPr>
        <w:t xml:space="preserve"> </w:t>
      </w:r>
      <w:r>
        <w:rPr>
          <w:rFonts w:hint="eastAsia" w:ascii="宋体" w:hAnsi="宋体" w:cs="宋体"/>
          <w:i/>
          <w:iCs/>
          <w:spacing w:val="8"/>
          <w:sz w:val="24"/>
          <w:u w:val="single"/>
        </w:rPr>
        <w:t>(企业名称</w:t>
      </w:r>
      <w:r>
        <w:rPr>
          <w:rFonts w:hint="eastAsia" w:ascii="宋体" w:hAnsi="宋体" w:cs="宋体"/>
          <w:i/>
          <w:iCs/>
          <w:spacing w:val="8"/>
          <w:sz w:val="24"/>
        </w:rPr>
        <w:t>)</w:t>
      </w:r>
      <w:r>
        <w:rPr>
          <w:rFonts w:hint="eastAsia" w:ascii="宋体" w:hAnsi="宋体" w:cs="宋体"/>
          <w:spacing w:val="8"/>
          <w:sz w:val="24"/>
        </w:rPr>
        <w:t>，从业人员</w:t>
      </w:r>
      <w:r>
        <w:rPr>
          <w:rFonts w:hint="eastAsia" w:ascii="宋体" w:hAnsi="宋体" w:cs="宋体"/>
          <w:spacing w:val="8"/>
          <w:sz w:val="24"/>
          <w:u w:val="single"/>
        </w:rPr>
        <w:t xml:space="preserve">    </w:t>
      </w:r>
      <w:r>
        <w:rPr>
          <w:rFonts w:hint="eastAsia" w:ascii="宋体" w:hAnsi="宋体" w:cs="宋体"/>
          <w:spacing w:val="8"/>
          <w:sz w:val="24"/>
        </w:rPr>
        <w:t>人，营业收入</w:t>
      </w:r>
      <w:r>
        <w:rPr>
          <w:rFonts w:hint="eastAsia" w:ascii="宋体" w:hAnsi="宋体" w:cs="宋体"/>
          <w:sz w:val="24"/>
        </w:rPr>
        <w:t xml:space="preserve"> </w:t>
      </w:r>
      <w:r>
        <w:rPr>
          <w:rFonts w:hint="eastAsia" w:ascii="宋体" w:hAnsi="宋体" w:cs="宋体"/>
          <w:spacing w:val="10"/>
          <w:sz w:val="24"/>
        </w:rPr>
        <w:t>为</w:t>
      </w:r>
      <w:r>
        <w:rPr>
          <w:rFonts w:hint="eastAsia" w:ascii="宋体" w:hAnsi="宋体" w:cs="宋体"/>
          <w:spacing w:val="10"/>
          <w:sz w:val="24"/>
          <w:u w:val="single"/>
        </w:rPr>
        <w:t xml:space="preserve"> </w:t>
      </w:r>
      <w:r>
        <w:rPr>
          <w:rFonts w:hint="eastAsia" w:ascii="宋体" w:hAnsi="宋体" w:cs="宋体"/>
          <w:spacing w:val="8"/>
          <w:sz w:val="24"/>
          <w:u w:val="single"/>
        </w:rPr>
        <w:t xml:space="preserve"> </w:t>
      </w:r>
      <w:r>
        <w:rPr>
          <w:rFonts w:hint="eastAsia" w:ascii="宋体" w:hAnsi="宋体" w:cs="宋体"/>
          <w:spacing w:val="5"/>
          <w:sz w:val="24"/>
          <w:u w:val="single"/>
        </w:rPr>
        <w:t xml:space="preserve">  </w:t>
      </w:r>
      <w:r>
        <w:rPr>
          <w:rFonts w:hint="eastAsia" w:ascii="宋体" w:hAnsi="宋体" w:cs="宋体"/>
          <w:spacing w:val="5"/>
          <w:sz w:val="24"/>
        </w:rPr>
        <w:t>万元，资产总额为</w:t>
      </w:r>
      <w:r>
        <w:rPr>
          <w:rFonts w:hint="eastAsia" w:ascii="宋体" w:hAnsi="宋体" w:cs="宋体"/>
          <w:spacing w:val="5"/>
          <w:sz w:val="24"/>
          <w:u w:val="single"/>
        </w:rPr>
        <w:t xml:space="preserve">    </w:t>
      </w:r>
      <w:r>
        <w:rPr>
          <w:rFonts w:hint="eastAsia" w:ascii="宋体" w:hAnsi="宋体" w:cs="宋体"/>
          <w:spacing w:val="5"/>
          <w:sz w:val="24"/>
        </w:rPr>
        <w:t>万元，属于</w:t>
      </w:r>
      <w:r>
        <w:rPr>
          <w:rFonts w:hint="eastAsia" w:ascii="宋体" w:hAnsi="宋体" w:cs="宋体"/>
          <w:spacing w:val="5"/>
          <w:sz w:val="24"/>
          <w:u w:val="single"/>
        </w:rPr>
        <w:t xml:space="preserve"> </w:t>
      </w:r>
      <w:r>
        <w:rPr>
          <w:rFonts w:hint="eastAsia" w:ascii="宋体" w:hAnsi="宋体" w:cs="宋体"/>
          <w:i/>
          <w:iCs/>
          <w:spacing w:val="5"/>
          <w:sz w:val="24"/>
          <w:u w:val="single"/>
        </w:rPr>
        <w:t>(中型企业、小型</w:t>
      </w:r>
      <w:r>
        <w:rPr>
          <w:rFonts w:hint="eastAsia" w:ascii="宋体" w:hAnsi="宋体" w:cs="宋体"/>
          <w:sz w:val="24"/>
        </w:rPr>
        <w:t xml:space="preserve"> </w:t>
      </w:r>
      <w:r>
        <w:rPr>
          <w:rFonts w:hint="eastAsia" w:ascii="宋体" w:hAnsi="宋体" w:cs="宋体"/>
          <w:i/>
          <w:iCs/>
          <w:spacing w:val="-2"/>
          <w:sz w:val="24"/>
          <w:u w:val="single"/>
        </w:rPr>
        <w:t>企业、微型企业</w:t>
      </w:r>
      <w:r>
        <w:rPr>
          <w:rFonts w:hint="eastAsia" w:ascii="宋体" w:hAnsi="宋体" w:cs="宋体"/>
          <w:i/>
          <w:iCs/>
          <w:spacing w:val="-1"/>
          <w:sz w:val="24"/>
        </w:rPr>
        <w:t>)</w:t>
      </w:r>
      <w:r>
        <w:rPr>
          <w:rFonts w:hint="eastAsia" w:ascii="宋体" w:hAnsi="宋体" w:cs="宋体"/>
          <w:spacing w:val="-1"/>
          <w:sz w:val="24"/>
        </w:rPr>
        <w:t>；</w:t>
      </w:r>
    </w:p>
    <w:p>
      <w:pPr>
        <w:spacing w:line="504" w:lineRule="exact"/>
        <w:ind w:left="688"/>
        <w:rPr>
          <w:rFonts w:ascii="宋体" w:hAnsi="宋体" w:cs="宋体"/>
          <w:sz w:val="24"/>
        </w:rPr>
      </w:pPr>
      <w:r>
        <w:rPr>
          <w:rFonts w:hint="eastAsia" w:ascii="宋体" w:hAnsi="宋体" w:cs="宋体"/>
          <w:spacing w:val="5"/>
          <w:position w:val="4"/>
          <w:sz w:val="24"/>
        </w:rPr>
        <w:t>…</w:t>
      </w:r>
      <w:r>
        <w:rPr>
          <w:rFonts w:hint="eastAsia" w:ascii="宋体" w:hAnsi="宋体" w:cs="宋体"/>
          <w:spacing w:val="4"/>
          <w:position w:val="4"/>
          <w:sz w:val="24"/>
        </w:rPr>
        <w:t>…</w:t>
      </w:r>
    </w:p>
    <w:p>
      <w:pPr>
        <w:spacing w:before="15" w:line="310" w:lineRule="auto"/>
        <w:ind w:left="35" w:right="233" w:firstLine="678"/>
        <w:rPr>
          <w:rFonts w:ascii="宋体" w:hAnsi="宋体" w:cs="宋体"/>
          <w:sz w:val="24"/>
        </w:rPr>
      </w:pPr>
      <w:r>
        <w:rPr>
          <w:rFonts w:hint="eastAsia" w:ascii="宋体" w:hAnsi="宋体" w:cs="宋体"/>
          <w:spacing w:val="7"/>
          <w:sz w:val="24"/>
        </w:rPr>
        <w:t>以上企业，不属于大企业的分支机构，不存在控股股</w:t>
      </w:r>
      <w:r>
        <w:rPr>
          <w:rFonts w:hint="eastAsia" w:ascii="宋体" w:hAnsi="宋体" w:cs="宋体"/>
          <w:spacing w:val="3"/>
          <w:sz w:val="24"/>
        </w:rPr>
        <w:t>东</w:t>
      </w:r>
      <w:r>
        <w:rPr>
          <w:rFonts w:hint="eastAsia" w:ascii="宋体" w:hAnsi="宋体" w:cs="宋体"/>
          <w:sz w:val="24"/>
        </w:rPr>
        <w:t xml:space="preserve"> </w:t>
      </w:r>
      <w:r>
        <w:rPr>
          <w:rFonts w:hint="eastAsia" w:ascii="宋体" w:hAnsi="宋体" w:cs="宋体"/>
          <w:spacing w:val="16"/>
          <w:sz w:val="24"/>
        </w:rPr>
        <w:t>为大</w:t>
      </w:r>
      <w:r>
        <w:rPr>
          <w:rFonts w:hint="eastAsia" w:ascii="宋体" w:hAnsi="宋体" w:cs="宋体"/>
          <w:spacing w:val="8"/>
          <w:sz w:val="24"/>
        </w:rPr>
        <w:t>企业的情形，也不存在与大企业的负责人为同一人的情</w:t>
      </w:r>
      <w:r>
        <w:rPr>
          <w:rFonts w:hint="eastAsia" w:ascii="宋体" w:hAnsi="宋体" w:cs="宋体"/>
          <w:sz w:val="24"/>
        </w:rPr>
        <w:t xml:space="preserve"> </w:t>
      </w:r>
      <w:r>
        <w:rPr>
          <w:rFonts w:hint="eastAsia" w:ascii="宋体" w:hAnsi="宋体" w:cs="宋体"/>
          <w:spacing w:val="-7"/>
          <w:sz w:val="24"/>
        </w:rPr>
        <w:t>形</w:t>
      </w:r>
      <w:r>
        <w:rPr>
          <w:rFonts w:hint="eastAsia" w:ascii="宋体" w:hAnsi="宋体" w:cs="宋体"/>
          <w:spacing w:val="-6"/>
          <w:sz w:val="24"/>
        </w:rPr>
        <w:t>。</w:t>
      </w:r>
    </w:p>
    <w:p>
      <w:pPr>
        <w:spacing w:before="3" w:line="318" w:lineRule="auto"/>
        <w:ind w:left="45" w:right="235" w:firstLine="636"/>
        <w:rPr>
          <w:rFonts w:ascii="宋体" w:hAnsi="宋体" w:cs="宋体"/>
          <w:sz w:val="24"/>
        </w:rPr>
      </w:pPr>
      <w:r>
        <w:rPr>
          <w:rFonts w:hint="eastAsia" w:ascii="宋体" w:hAnsi="宋体" w:cs="宋体"/>
          <w:spacing w:val="11"/>
          <w:sz w:val="24"/>
        </w:rPr>
        <w:t>本</w:t>
      </w:r>
      <w:r>
        <w:rPr>
          <w:rFonts w:hint="eastAsia" w:ascii="宋体" w:hAnsi="宋体" w:cs="宋体"/>
          <w:spacing w:val="8"/>
          <w:sz w:val="24"/>
        </w:rPr>
        <w:t>企业对上述声明内容的真实性负责。如有虚假，将依</w:t>
      </w:r>
      <w:r>
        <w:rPr>
          <w:rFonts w:hint="eastAsia" w:ascii="宋体" w:hAnsi="宋体" w:cs="宋体"/>
          <w:sz w:val="24"/>
        </w:rPr>
        <w:t xml:space="preserve"> </w:t>
      </w:r>
      <w:r>
        <w:rPr>
          <w:rFonts w:hint="eastAsia" w:ascii="宋体" w:hAnsi="宋体" w:cs="宋体"/>
          <w:spacing w:val="8"/>
          <w:sz w:val="24"/>
        </w:rPr>
        <w:t>法</w:t>
      </w:r>
      <w:r>
        <w:rPr>
          <w:rFonts w:hint="eastAsia" w:ascii="宋体" w:hAnsi="宋体" w:cs="宋体"/>
          <w:spacing w:val="5"/>
          <w:sz w:val="24"/>
        </w:rPr>
        <w:t>承</w:t>
      </w:r>
      <w:r>
        <w:rPr>
          <w:rFonts w:hint="eastAsia" w:ascii="宋体" w:hAnsi="宋体" w:cs="宋体"/>
          <w:spacing w:val="4"/>
          <w:sz w:val="24"/>
        </w:rPr>
        <w:t>担相应责任。</w:t>
      </w:r>
    </w:p>
    <w:p>
      <w:pPr>
        <w:spacing w:line="226" w:lineRule="auto"/>
        <w:ind w:left="3876"/>
        <w:rPr>
          <w:rFonts w:ascii="宋体" w:hAnsi="宋体" w:cs="宋体"/>
          <w:sz w:val="24"/>
        </w:rPr>
      </w:pPr>
      <w:r>
        <w:rPr>
          <w:rFonts w:hint="eastAsia" w:ascii="宋体" w:hAnsi="宋体" w:cs="宋体"/>
          <w:spacing w:val="3"/>
          <w:sz w:val="24"/>
        </w:rPr>
        <w:t>企业名称 (盖章)：</w:t>
      </w:r>
    </w:p>
    <w:p>
      <w:pPr>
        <w:spacing w:before="159" w:line="229" w:lineRule="auto"/>
        <w:ind w:left="3942"/>
        <w:rPr>
          <w:rFonts w:ascii="宋体" w:hAnsi="宋体" w:cs="宋体"/>
          <w:sz w:val="24"/>
        </w:rPr>
      </w:pPr>
      <w:r>
        <w:rPr>
          <w:rFonts w:hint="eastAsia" w:ascii="宋体" w:hAnsi="宋体" w:cs="宋体"/>
          <w:spacing w:val="-40"/>
          <w:sz w:val="24"/>
        </w:rPr>
        <w:t>日</w:t>
      </w:r>
      <w:r>
        <w:rPr>
          <w:rFonts w:hint="eastAsia" w:ascii="宋体" w:hAnsi="宋体" w:cs="宋体"/>
          <w:spacing w:val="-38"/>
          <w:sz w:val="24"/>
        </w:rPr>
        <w:t xml:space="preserve"> 期：</w:t>
      </w:r>
    </w:p>
    <w:p>
      <w:pPr>
        <w:tabs>
          <w:tab w:val="left" w:pos="2893"/>
        </w:tabs>
        <w:spacing w:before="245" w:line="241" w:lineRule="exact"/>
        <w:ind w:left="14"/>
        <w:rPr>
          <w:rFonts w:ascii="宋体" w:hAnsi="宋体" w:cs="宋体"/>
          <w:sz w:val="24"/>
        </w:rPr>
      </w:pPr>
      <w:bookmarkStart w:id="305" w:name="_bookmark1"/>
      <w:bookmarkEnd w:id="305"/>
      <w:r>
        <w:rPr>
          <w:rFonts w:hint="eastAsia" w:ascii="宋体" w:hAnsi="宋体" w:cs="宋体"/>
          <w:sz w:val="24"/>
          <w:u w:val="single"/>
        </w:rPr>
        <w:tab/>
      </w:r>
    </w:p>
    <w:p>
      <w:pPr>
        <w:spacing w:before="104" w:line="232" w:lineRule="auto"/>
        <w:ind w:left="27"/>
        <w:rPr>
          <w:rFonts w:ascii="宋体" w:hAnsi="宋体" w:cs="宋体"/>
          <w:sz w:val="24"/>
        </w:rPr>
      </w:pPr>
      <w:r>
        <w:rPr>
          <w:rFonts w:hint="eastAsia" w:ascii="宋体" w:hAnsi="宋体" w:cs="宋体"/>
          <w:spacing w:val="18"/>
          <w:position w:val="6"/>
          <w:sz w:val="24"/>
        </w:rPr>
        <w:t>1</w:t>
      </w:r>
      <w:r>
        <w:rPr>
          <w:rFonts w:hint="eastAsia" w:ascii="宋体" w:hAnsi="宋体" w:cs="宋体"/>
          <w:spacing w:val="11"/>
          <w:sz w:val="24"/>
        </w:rPr>
        <w:t>从</w:t>
      </w:r>
      <w:r>
        <w:rPr>
          <w:rFonts w:hint="eastAsia" w:ascii="宋体" w:hAnsi="宋体" w:cs="宋体"/>
          <w:spacing w:val="9"/>
          <w:sz w:val="24"/>
        </w:rPr>
        <w:t>业人员、营业收入、资产总额填报上一年度数据，无上一年度数据的新成立企业可不填报。</w:t>
      </w:r>
    </w:p>
    <w:p>
      <w:pPr>
        <w:rPr>
          <w:rFonts w:ascii="宋体" w:hAnsi="宋体" w:cs="宋体"/>
          <w:sz w:val="24"/>
        </w:rPr>
        <w:sectPr>
          <w:footerReference r:id="rId8" w:type="default"/>
          <w:pgSz w:w="11906" w:h="16839"/>
          <w:pgMar w:top="1431" w:right="1566" w:bottom="1378" w:left="1785" w:header="850" w:footer="992" w:gutter="0"/>
          <w:cols w:space="720" w:num="1"/>
        </w:sectPr>
      </w:pPr>
    </w:p>
    <w:p>
      <w:pPr>
        <w:spacing w:before="192" w:line="223" w:lineRule="auto"/>
        <w:ind w:left="2229"/>
        <w:rPr>
          <w:rFonts w:ascii="宋体" w:hAnsi="宋体" w:cs="宋体"/>
          <w:spacing w:val="5"/>
          <w:sz w:val="35"/>
          <w:szCs w:val="35"/>
          <w14:textOutline w14:w="6540" w14:cap="sq" w14:cmpd="sng" w14:algn="ctr">
            <w14:solidFill>
              <w14:srgbClr w14:val="000000"/>
            </w14:solidFill>
            <w14:prstDash w14:val="solid"/>
            <w14:bevel/>
          </w14:textOutline>
        </w:rPr>
      </w:pPr>
      <w:r>
        <w:rPr>
          <w:rFonts w:hint="eastAsia" w:ascii="宋体" w:hAnsi="宋体" w:cs="宋体"/>
          <w:spacing w:val="5"/>
          <w:sz w:val="35"/>
          <w:szCs w:val="35"/>
          <w14:textOutline w14:w="6540" w14:cap="sq" w14:cmpd="sng" w14:algn="ctr">
            <w14:solidFill>
              <w14:srgbClr w14:val="000000"/>
            </w14:solidFill>
            <w14:prstDash w14:val="solid"/>
            <w14:bevel/>
          </w14:textOutline>
        </w:rPr>
        <w:t>中小企业声明函 (工程、服务)</w:t>
      </w:r>
    </w:p>
    <w:p>
      <w:pPr>
        <w:spacing w:line="271" w:lineRule="auto"/>
        <w:rPr>
          <w:rFonts w:ascii="宋体" w:hAnsi="宋体" w:cs="宋体"/>
          <w:sz w:val="24"/>
        </w:rPr>
      </w:pPr>
    </w:p>
    <w:p>
      <w:pPr>
        <w:spacing w:line="271" w:lineRule="auto"/>
        <w:rPr>
          <w:rFonts w:ascii="宋体" w:hAnsi="宋体" w:cs="宋体"/>
          <w:sz w:val="24"/>
        </w:rPr>
      </w:pPr>
    </w:p>
    <w:p>
      <w:pPr>
        <w:tabs>
          <w:tab w:val="left" w:pos="193"/>
        </w:tabs>
        <w:spacing w:before="100" w:line="307" w:lineRule="auto"/>
        <w:ind w:left="36" w:right="84" w:firstLine="640"/>
        <w:rPr>
          <w:rFonts w:ascii="宋体" w:hAnsi="宋体" w:cs="宋体"/>
          <w:sz w:val="24"/>
        </w:rPr>
      </w:pPr>
      <w:r>
        <w:rPr>
          <w:rFonts w:hint="eastAsia" w:ascii="宋体" w:hAnsi="宋体" w:cs="宋体"/>
          <w:spacing w:val="8"/>
          <w:sz w:val="24"/>
        </w:rPr>
        <w:t>本公司 (联合体) 郑重声明，根据《政府采购促进中</w:t>
      </w:r>
      <w:r>
        <w:rPr>
          <w:rFonts w:hint="eastAsia" w:ascii="宋体" w:hAnsi="宋体" w:cs="宋体"/>
          <w:spacing w:val="5"/>
          <w:sz w:val="24"/>
        </w:rPr>
        <w:t>小</w:t>
      </w:r>
      <w:r>
        <w:rPr>
          <w:rFonts w:hint="eastAsia" w:ascii="宋体" w:hAnsi="宋体" w:cs="宋体"/>
          <w:sz w:val="24"/>
        </w:rPr>
        <w:t xml:space="preserve"> </w:t>
      </w:r>
      <w:r>
        <w:rPr>
          <w:rFonts w:hint="eastAsia" w:ascii="宋体" w:hAnsi="宋体" w:cs="宋体"/>
          <w:spacing w:val="-22"/>
          <w:sz w:val="24"/>
        </w:rPr>
        <w:t>企</w:t>
      </w:r>
      <w:r>
        <w:rPr>
          <w:rFonts w:hint="eastAsia" w:ascii="宋体" w:hAnsi="宋体" w:cs="宋体"/>
          <w:spacing w:val="-12"/>
          <w:sz w:val="24"/>
        </w:rPr>
        <w:t>业</w:t>
      </w:r>
      <w:r>
        <w:rPr>
          <w:rFonts w:hint="eastAsia" w:ascii="宋体" w:hAnsi="宋体" w:cs="宋体"/>
          <w:spacing w:val="-11"/>
          <w:sz w:val="24"/>
        </w:rPr>
        <w:t>发展管理办法》(财库 ﹝ 2020 ﹞ 46 号) 的规定，本公司</w:t>
      </w:r>
      <w:r>
        <w:rPr>
          <w:rFonts w:hint="eastAsia" w:ascii="宋体" w:hAnsi="宋体" w:cs="宋体"/>
          <w:sz w:val="24"/>
        </w:rPr>
        <w:t xml:space="preserve"> </w:t>
      </w:r>
      <w:r>
        <w:rPr>
          <w:rFonts w:hint="eastAsia" w:ascii="宋体" w:hAnsi="宋体" w:cs="宋体"/>
          <w:sz w:val="24"/>
        </w:rPr>
        <w:tab/>
      </w:r>
      <w:r>
        <w:rPr>
          <w:rFonts w:hint="eastAsia" w:ascii="宋体" w:hAnsi="宋体" w:cs="宋体"/>
          <w:spacing w:val="-10"/>
          <w:sz w:val="24"/>
        </w:rPr>
        <w:t>(联合体</w:t>
      </w:r>
      <w:r>
        <w:rPr>
          <w:rFonts w:hint="eastAsia" w:ascii="宋体" w:hAnsi="宋体" w:cs="宋体"/>
          <w:spacing w:val="-7"/>
          <w:sz w:val="24"/>
        </w:rPr>
        <w:t>)</w:t>
      </w:r>
      <w:r>
        <w:rPr>
          <w:rFonts w:hint="eastAsia" w:ascii="宋体" w:hAnsi="宋体" w:cs="宋体"/>
          <w:spacing w:val="-5"/>
          <w:sz w:val="24"/>
        </w:rPr>
        <w:t xml:space="preserve"> 参加</w:t>
      </w:r>
      <w:r>
        <w:rPr>
          <w:rFonts w:hint="eastAsia" w:ascii="宋体" w:hAnsi="宋体" w:cs="宋体"/>
          <w:spacing w:val="-5"/>
          <w:sz w:val="24"/>
          <w:u w:val="single"/>
        </w:rPr>
        <w:t xml:space="preserve"> </w:t>
      </w:r>
      <w:r>
        <w:rPr>
          <w:rFonts w:hint="eastAsia" w:ascii="宋体" w:hAnsi="宋体" w:cs="宋体"/>
          <w:i/>
          <w:iCs/>
          <w:spacing w:val="-5"/>
          <w:sz w:val="24"/>
          <w:u w:val="single"/>
        </w:rPr>
        <w:t>(单位名称)</w:t>
      </w:r>
      <w:r>
        <w:rPr>
          <w:rFonts w:hint="eastAsia" w:ascii="宋体" w:hAnsi="宋体" w:cs="宋体"/>
          <w:spacing w:val="-5"/>
          <w:sz w:val="24"/>
          <w:u w:val="single"/>
        </w:rPr>
        <w:t xml:space="preserve"> </w:t>
      </w:r>
      <w:r>
        <w:rPr>
          <w:rFonts w:hint="eastAsia" w:ascii="宋体" w:hAnsi="宋体" w:cs="宋体"/>
          <w:spacing w:val="-5"/>
          <w:sz w:val="24"/>
        </w:rPr>
        <w:t xml:space="preserve"> 的</w:t>
      </w:r>
      <w:r>
        <w:rPr>
          <w:rFonts w:hint="eastAsia" w:ascii="宋体" w:hAnsi="宋体" w:cs="宋体"/>
          <w:spacing w:val="-5"/>
          <w:sz w:val="24"/>
          <w:u w:val="single"/>
        </w:rPr>
        <w:t xml:space="preserve"> </w:t>
      </w:r>
      <w:r>
        <w:rPr>
          <w:rFonts w:hint="eastAsia" w:ascii="宋体" w:hAnsi="宋体" w:cs="宋体"/>
          <w:i/>
          <w:iCs/>
          <w:spacing w:val="-5"/>
          <w:sz w:val="24"/>
          <w:u w:val="single"/>
        </w:rPr>
        <w:t>(项目名称)</w:t>
      </w:r>
      <w:r>
        <w:rPr>
          <w:rFonts w:hint="eastAsia" w:ascii="宋体" w:hAnsi="宋体" w:cs="宋体"/>
          <w:spacing w:val="-5"/>
          <w:sz w:val="24"/>
          <w:u w:val="single"/>
        </w:rPr>
        <w:t xml:space="preserve"> </w:t>
      </w:r>
      <w:r>
        <w:rPr>
          <w:rFonts w:hint="eastAsia" w:ascii="宋体" w:hAnsi="宋体" w:cs="宋体"/>
          <w:spacing w:val="-5"/>
          <w:sz w:val="24"/>
        </w:rPr>
        <w:t>采购活动，工</w:t>
      </w:r>
      <w:r>
        <w:rPr>
          <w:rFonts w:hint="eastAsia" w:ascii="宋体" w:hAnsi="宋体" w:cs="宋体"/>
          <w:sz w:val="24"/>
        </w:rPr>
        <w:t xml:space="preserve"> </w:t>
      </w:r>
      <w:r>
        <w:rPr>
          <w:rFonts w:hint="eastAsia" w:ascii="宋体" w:hAnsi="宋体" w:cs="宋体"/>
          <w:spacing w:val="13"/>
          <w:sz w:val="24"/>
        </w:rPr>
        <w:t>程</w:t>
      </w:r>
      <w:r>
        <w:rPr>
          <w:rFonts w:hint="eastAsia" w:ascii="宋体" w:hAnsi="宋体" w:cs="宋体"/>
          <w:spacing w:val="8"/>
          <w:sz w:val="24"/>
        </w:rPr>
        <w:t>的施工单位全部为符合政策要求的中小企业 (或者：服务</w:t>
      </w:r>
      <w:r>
        <w:rPr>
          <w:rFonts w:hint="eastAsia" w:ascii="宋体" w:hAnsi="宋体" w:cs="宋体"/>
          <w:sz w:val="24"/>
        </w:rPr>
        <w:t xml:space="preserve"> </w:t>
      </w:r>
      <w:r>
        <w:rPr>
          <w:rFonts w:hint="eastAsia" w:ascii="宋体" w:hAnsi="宋体" w:cs="宋体"/>
          <w:spacing w:val="8"/>
          <w:sz w:val="24"/>
        </w:rPr>
        <w:t>全部由符合政策要求的中小企业承接) 。相关企业 (含联</w:t>
      </w:r>
      <w:r>
        <w:rPr>
          <w:rFonts w:hint="eastAsia" w:ascii="宋体" w:hAnsi="宋体" w:cs="宋体"/>
          <w:spacing w:val="5"/>
          <w:sz w:val="24"/>
        </w:rPr>
        <w:t>合</w:t>
      </w:r>
      <w:r>
        <w:rPr>
          <w:rFonts w:hint="eastAsia" w:ascii="宋体" w:hAnsi="宋体" w:cs="宋体"/>
          <w:sz w:val="24"/>
        </w:rPr>
        <w:t xml:space="preserve"> </w:t>
      </w:r>
      <w:r>
        <w:rPr>
          <w:rFonts w:hint="eastAsia" w:ascii="宋体" w:hAnsi="宋体" w:cs="宋体"/>
          <w:spacing w:val="15"/>
          <w:sz w:val="24"/>
        </w:rPr>
        <w:t>体</w:t>
      </w:r>
      <w:r>
        <w:rPr>
          <w:rFonts w:hint="eastAsia" w:ascii="宋体" w:hAnsi="宋体" w:cs="宋体"/>
          <w:spacing w:val="8"/>
          <w:sz w:val="24"/>
        </w:rPr>
        <w:t>中的中小企业、签订分包意向协议的中小企业) 的具体情</w:t>
      </w:r>
      <w:r>
        <w:rPr>
          <w:rFonts w:hint="eastAsia" w:ascii="宋体" w:hAnsi="宋体" w:cs="宋体"/>
          <w:sz w:val="24"/>
        </w:rPr>
        <w:t xml:space="preserve"> </w:t>
      </w:r>
      <w:r>
        <w:rPr>
          <w:rFonts w:hint="eastAsia" w:ascii="宋体" w:hAnsi="宋体" w:cs="宋体"/>
          <w:spacing w:val="2"/>
          <w:sz w:val="24"/>
        </w:rPr>
        <w:t>况如下</w:t>
      </w:r>
      <w:r>
        <w:rPr>
          <w:rFonts w:hint="eastAsia" w:ascii="宋体" w:hAnsi="宋体" w:cs="宋体"/>
          <w:spacing w:val="1"/>
          <w:sz w:val="24"/>
        </w:rPr>
        <w:t>：</w:t>
      </w:r>
    </w:p>
    <w:p>
      <w:pPr>
        <w:spacing w:before="1" w:line="214" w:lineRule="auto"/>
        <w:ind w:left="689"/>
        <w:rPr>
          <w:rFonts w:ascii="宋体" w:hAnsi="宋体" w:cs="宋体"/>
          <w:sz w:val="24"/>
        </w:rPr>
      </w:pPr>
      <w:r>
        <w:rPr>
          <w:rFonts w:hint="eastAsia" w:ascii="宋体" w:hAnsi="宋体" w:cs="宋体"/>
          <w:spacing w:val="-6"/>
          <w:sz w:val="24"/>
        </w:rPr>
        <w:t>1.</w:t>
      </w:r>
      <w:r>
        <w:rPr>
          <w:rFonts w:hint="eastAsia" w:ascii="宋体" w:hAnsi="宋体" w:cs="宋体"/>
          <w:spacing w:val="-6"/>
          <w:sz w:val="24"/>
          <w:u w:val="single"/>
        </w:rPr>
        <w:t xml:space="preserve"> </w:t>
      </w:r>
      <w:r>
        <w:rPr>
          <w:rFonts w:hint="eastAsia" w:ascii="宋体" w:hAnsi="宋体" w:cs="宋体"/>
          <w:i/>
          <w:iCs/>
          <w:spacing w:val="-6"/>
          <w:sz w:val="24"/>
          <w:u w:val="single"/>
        </w:rPr>
        <w:t>(标的</w:t>
      </w:r>
      <w:r>
        <w:rPr>
          <w:rFonts w:hint="eastAsia" w:ascii="宋体" w:hAnsi="宋体" w:cs="宋体"/>
          <w:i/>
          <w:iCs/>
          <w:spacing w:val="-4"/>
          <w:sz w:val="24"/>
          <w:u w:val="single"/>
        </w:rPr>
        <w:t>名</w:t>
      </w:r>
      <w:r>
        <w:rPr>
          <w:rFonts w:hint="eastAsia" w:ascii="宋体" w:hAnsi="宋体" w:cs="宋体"/>
          <w:i/>
          <w:iCs/>
          <w:spacing w:val="-3"/>
          <w:sz w:val="24"/>
          <w:u w:val="single"/>
        </w:rPr>
        <w:t>称)</w:t>
      </w:r>
      <w:r>
        <w:rPr>
          <w:rFonts w:hint="eastAsia" w:ascii="宋体" w:hAnsi="宋体" w:cs="宋体"/>
          <w:spacing w:val="-3"/>
          <w:sz w:val="24"/>
          <w:u w:val="single"/>
        </w:rPr>
        <w:t xml:space="preserve"> </w:t>
      </w:r>
      <w:r>
        <w:rPr>
          <w:rFonts w:hint="eastAsia" w:ascii="宋体" w:hAnsi="宋体" w:cs="宋体"/>
          <w:spacing w:val="-3"/>
          <w:sz w:val="24"/>
        </w:rPr>
        <w:t>，属于</w:t>
      </w:r>
      <w:r>
        <w:rPr>
          <w:rFonts w:hint="eastAsia" w:ascii="宋体" w:hAnsi="宋体" w:cs="宋体"/>
          <w:i/>
          <w:iCs/>
          <w:spacing w:val="-3"/>
          <w:sz w:val="24"/>
          <w:u w:val="single"/>
        </w:rPr>
        <w:t>(采购文件中明确的所属行业</w:t>
      </w:r>
      <w:r>
        <w:rPr>
          <w:rFonts w:hint="eastAsia" w:ascii="宋体" w:hAnsi="宋体" w:cs="宋体"/>
          <w:i/>
          <w:iCs/>
          <w:spacing w:val="-3"/>
          <w:sz w:val="24"/>
        </w:rPr>
        <w:t>)</w:t>
      </w:r>
      <w:r>
        <w:rPr>
          <w:rFonts w:hint="eastAsia" w:ascii="宋体" w:hAnsi="宋体" w:cs="宋体"/>
          <w:spacing w:val="-3"/>
          <w:sz w:val="24"/>
        </w:rPr>
        <w:t>；</w:t>
      </w:r>
    </w:p>
    <w:p>
      <w:pPr>
        <w:spacing w:before="137" w:line="211" w:lineRule="auto"/>
        <w:ind w:left="35"/>
        <w:rPr>
          <w:rFonts w:ascii="宋体" w:hAnsi="宋体" w:cs="宋体"/>
          <w:sz w:val="24"/>
        </w:rPr>
      </w:pPr>
      <w:r>
        <w:rPr>
          <w:rFonts w:hint="eastAsia" w:ascii="宋体" w:hAnsi="宋体" w:cs="宋体"/>
          <w:spacing w:val="16"/>
          <w:sz w:val="24"/>
        </w:rPr>
        <w:t>承建</w:t>
      </w:r>
      <w:r>
        <w:rPr>
          <w:rFonts w:hint="eastAsia" w:ascii="宋体" w:hAnsi="宋体" w:cs="宋体"/>
          <w:spacing w:val="11"/>
          <w:sz w:val="24"/>
        </w:rPr>
        <w:t xml:space="preserve"> </w:t>
      </w:r>
      <w:r>
        <w:rPr>
          <w:rFonts w:hint="eastAsia" w:ascii="宋体" w:hAnsi="宋体" w:cs="宋体"/>
          <w:spacing w:val="8"/>
          <w:sz w:val="24"/>
        </w:rPr>
        <w:t>(承接) 企业为</w:t>
      </w:r>
      <w:r>
        <w:rPr>
          <w:rFonts w:hint="eastAsia" w:ascii="宋体" w:hAnsi="宋体" w:cs="宋体"/>
          <w:spacing w:val="8"/>
          <w:sz w:val="24"/>
          <w:u w:val="single"/>
        </w:rPr>
        <w:t xml:space="preserve"> </w:t>
      </w:r>
      <w:r>
        <w:rPr>
          <w:rFonts w:hint="eastAsia" w:ascii="宋体" w:hAnsi="宋体" w:cs="宋体"/>
          <w:i/>
          <w:iCs/>
          <w:spacing w:val="8"/>
          <w:sz w:val="24"/>
          <w:u w:val="single"/>
        </w:rPr>
        <w:t>(企业名称</w:t>
      </w:r>
      <w:r>
        <w:rPr>
          <w:rFonts w:hint="eastAsia" w:ascii="宋体" w:hAnsi="宋体" w:cs="宋体"/>
          <w:i/>
          <w:iCs/>
          <w:spacing w:val="8"/>
          <w:sz w:val="24"/>
        </w:rPr>
        <w:t>)</w:t>
      </w:r>
      <w:r>
        <w:rPr>
          <w:rFonts w:hint="eastAsia" w:ascii="宋体" w:hAnsi="宋体" w:cs="宋体"/>
          <w:spacing w:val="8"/>
          <w:sz w:val="24"/>
        </w:rPr>
        <w:t>，从业人员</w:t>
      </w:r>
      <w:r>
        <w:rPr>
          <w:rFonts w:hint="eastAsia" w:ascii="宋体" w:hAnsi="宋体" w:cs="宋体"/>
          <w:spacing w:val="8"/>
          <w:sz w:val="24"/>
          <w:u w:val="single"/>
        </w:rPr>
        <w:t xml:space="preserve">    </w:t>
      </w:r>
      <w:r>
        <w:rPr>
          <w:rFonts w:hint="eastAsia" w:ascii="宋体" w:hAnsi="宋体" w:cs="宋体"/>
          <w:spacing w:val="8"/>
          <w:sz w:val="24"/>
        </w:rPr>
        <w:t>人，营业</w:t>
      </w:r>
      <w:r>
        <w:rPr>
          <w:rFonts w:hint="eastAsia" w:ascii="宋体" w:hAnsi="宋体" w:cs="宋体"/>
          <w:spacing w:val="-1"/>
          <w:sz w:val="24"/>
        </w:rPr>
        <w:t>收入为</w:t>
      </w:r>
      <w:r>
        <w:rPr>
          <w:rFonts w:hint="eastAsia" w:ascii="宋体" w:hAnsi="宋体" w:cs="宋体"/>
          <w:spacing w:val="-1"/>
          <w:sz w:val="24"/>
          <w:u w:val="single"/>
        </w:rPr>
        <w:t xml:space="preserve">    </w:t>
      </w:r>
      <w:r>
        <w:rPr>
          <w:rFonts w:hint="eastAsia" w:ascii="宋体" w:hAnsi="宋体" w:cs="宋体"/>
          <w:spacing w:val="-1"/>
          <w:sz w:val="24"/>
        </w:rPr>
        <w:t>万元，资</w:t>
      </w:r>
      <w:r>
        <w:rPr>
          <w:rFonts w:hint="eastAsia" w:ascii="宋体" w:hAnsi="宋体" w:cs="宋体"/>
          <w:sz w:val="24"/>
        </w:rPr>
        <w:t>产总额为</w:t>
      </w:r>
      <w:r>
        <w:rPr>
          <w:rFonts w:hint="eastAsia" w:ascii="宋体" w:hAnsi="宋体" w:cs="宋体"/>
          <w:sz w:val="24"/>
          <w:u w:val="single"/>
        </w:rPr>
        <w:t xml:space="preserve">    </w:t>
      </w:r>
      <w:r>
        <w:rPr>
          <w:rFonts w:hint="eastAsia" w:ascii="宋体" w:hAnsi="宋体" w:cs="宋体"/>
          <w:sz w:val="24"/>
        </w:rPr>
        <w:t>万元</w:t>
      </w:r>
      <w:r>
        <w:fldChar w:fldCharType="begin"/>
      </w:r>
      <w:r>
        <w:instrText xml:space="preserve"> HYPERLINK \l "_bookmark2" </w:instrText>
      </w:r>
      <w:r>
        <w:fldChar w:fldCharType="separate"/>
      </w:r>
      <w:r>
        <w:rPr>
          <w:rFonts w:hint="eastAsia" w:ascii="宋体" w:hAnsi="宋体" w:cs="宋体"/>
          <w:position w:val="16"/>
          <w:sz w:val="24"/>
        </w:rPr>
        <w:t>1</w:t>
      </w:r>
      <w:r>
        <w:rPr>
          <w:rFonts w:hint="eastAsia" w:ascii="宋体" w:hAnsi="宋体" w:cs="宋体"/>
          <w:position w:val="16"/>
          <w:sz w:val="24"/>
        </w:rPr>
        <w:fldChar w:fldCharType="end"/>
      </w:r>
      <w:r>
        <w:rPr>
          <w:rFonts w:hint="eastAsia" w:ascii="宋体" w:hAnsi="宋体" w:cs="宋体"/>
          <w:position w:val="16"/>
          <w:sz w:val="24"/>
        </w:rPr>
        <w:t xml:space="preserve"> </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i/>
          <w:iCs/>
          <w:sz w:val="24"/>
          <w:u w:val="single"/>
        </w:rPr>
        <w:t>(中型企业、</w:t>
      </w:r>
      <w:r>
        <w:rPr>
          <w:rFonts w:hint="eastAsia" w:ascii="宋体" w:hAnsi="宋体" w:cs="宋体"/>
          <w:i/>
          <w:iCs/>
          <w:spacing w:val="-4"/>
          <w:sz w:val="24"/>
          <w:u w:val="single"/>
        </w:rPr>
        <w:t>小</w:t>
      </w:r>
      <w:r>
        <w:rPr>
          <w:rFonts w:hint="eastAsia" w:ascii="宋体" w:hAnsi="宋体" w:cs="宋体"/>
          <w:i/>
          <w:iCs/>
          <w:spacing w:val="-3"/>
          <w:sz w:val="24"/>
          <w:u w:val="single"/>
        </w:rPr>
        <w:t>型企业、微型企业</w:t>
      </w:r>
      <w:r>
        <w:rPr>
          <w:rFonts w:hint="eastAsia" w:ascii="宋体" w:hAnsi="宋体" w:cs="宋体"/>
          <w:i/>
          <w:iCs/>
          <w:spacing w:val="-3"/>
          <w:sz w:val="24"/>
        </w:rPr>
        <w:t>)</w:t>
      </w:r>
      <w:r>
        <w:rPr>
          <w:rFonts w:hint="eastAsia" w:ascii="宋体" w:hAnsi="宋体" w:cs="宋体"/>
          <w:spacing w:val="-3"/>
          <w:sz w:val="24"/>
        </w:rPr>
        <w:t>；</w:t>
      </w:r>
    </w:p>
    <w:p>
      <w:pPr>
        <w:spacing w:before="133" w:line="291" w:lineRule="auto"/>
        <w:ind w:left="18" w:firstLine="651"/>
        <w:rPr>
          <w:rFonts w:ascii="宋体" w:hAnsi="宋体" w:cs="宋体"/>
          <w:sz w:val="24"/>
        </w:rPr>
      </w:pPr>
      <w:r>
        <w:rPr>
          <w:rFonts w:hint="eastAsia" w:ascii="宋体" w:hAnsi="宋体" w:cs="宋体"/>
          <w:spacing w:val="-3"/>
          <w:sz w:val="24"/>
        </w:rPr>
        <w:t>2.</w:t>
      </w:r>
      <w:r>
        <w:rPr>
          <w:rFonts w:hint="eastAsia" w:ascii="宋体" w:hAnsi="宋体" w:cs="宋体"/>
          <w:spacing w:val="-3"/>
          <w:sz w:val="24"/>
          <w:u w:val="single"/>
        </w:rPr>
        <w:t xml:space="preserve"> </w:t>
      </w:r>
      <w:r>
        <w:rPr>
          <w:rFonts w:hint="eastAsia" w:ascii="宋体" w:hAnsi="宋体" w:cs="宋体"/>
          <w:i/>
          <w:iCs/>
          <w:spacing w:val="-3"/>
          <w:sz w:val="24"/>
          <w:u w:val="single"/>
        </w:rPr>
        <w:t>(标的名称)</w:t>
      </w:r>
      <w:r>
        <w:rPr>
          <w:rFonts w:hint="eastAsia" w:ascii="宋体" w:hAnsi="宋体" w:cs="宋体"/>
          <w:spacing w:val="-3"/>
          <w:sz w:val="24"/>
          <w:u w:val="single"/>
        </w:rPr>
        <w:t xml:space="preserve"> </w:t>
      </w:r>
      <w:r>
        <w:rPr>
          <w:rFonts w:hint="eastAsia" w:ascii="宋体" w:hAnsi="宋体" w:cs="宋体"/>
          <w:spacing w:val="-3"/>
          <w:sz w:val="24"/>
        </w:rPr>
        <w:t>，属于</w:t>
      </w:r>
      <w:r>
        <w:rPr>
          <w:rFonts w:hint="eastAsia" w:ascii="宋体" w:hAnsi="宋体" w:cs="宋体"/>
          <w:i/>
          <w:iCs/>
          <w:spacing w:val="-3"/>
          <w:sz w:val="24"/>
          <w:u w:val="single"/>
        </w:rPr>
        <w:t>(采购文件中明确的所属行业</w:t>
      </w:r>
      <w:r>
        <w:rPr>
          <w:rFonts w:hint="eastAsia" w:ascii="宋体" w:hAnsi="宋体" w:cs="宋体"/>
          <w:i/>
          <w:iCs/>
          <w:spacing w:val="-3"/>
          <w:sz w:val="24"/>
        </w:rPr>
        <w:t>)</w:t>
      </w:r>
      <w:r>
        <w:rPr>
          <w:rFonts w:hint="eastAsia" w:ascii="宋体" w:hAnsi="宋体" w:cs="宋体"/>
          <w:spacing w:val="-3"/>
          <w:sz w:val="24"/>
        </w:rPr>
        <w:t>；</w:t>
      </w:r>
      <w:r>
        <w:rPr>
          <w:rFonts w:hint="eastAsia" w:ascii="宋体" w:hAnsi="宋体" w:cs="宋体"/>
          <w:sz w:val="24"/>
        </w:rPr>
        <w:t xml:space="preserve"> </w:t>
      </w:r>
      <w:r>
        <w:rPr>
          <w:rFonts w:hint="eastAsia" w:ascii="宋体" w:hAnsi="宋体" w:cs="宋体"/>
          <w:spacing w:val="14"/>
          <w:sz w:val="24"/>
        </w:rPr>
        <w:t>承</w:t>
      </w:r>
      <w:r>
        <w:rPr>
          <w:rFonts w:hint="eastAsia" w:ascii="宋体" w:hAnsi="宋体" w:cs="宋体"/>
          <w:spacing w:val="9"/>
          <w:sz w:val="24"/>
        </w:rPr>
        <w:t>建 (承接) 企业为</w:t>
      </w:r>
      <w:r>
        <w:rPr>
          <w:rFonts w:hint="eastAsia" w:ascii="宋体" w:hAnsi="宋体" w:cs="宋体"/>
          <w:spacing w:val="9"/>
          <w:sz w:val="24"/>
          <w:u w:val="single"/>
        </w:rPr>
        <w:t xml:space="preserve"> </w:t>
      </w:r>
      <w:r>
        <w:rPr>
          <w:rFonts w:hint="eastAsia" w:ascii="宋体" w:hAnsi="宋体" w:cs="宋体"/>
          <w:i/>
          <w:iCs/>
          <w:spacing w:val="9"/>
          <w:sz w:val="24"/>
          <w:u w:val="single"/>
        </w:rPr>
        <w:t>(企业名称</w:t>
      </w:r>
      <w:r>
        <w:rPr>
          <w:rFonts w:hint="eastAsia" w:ascii="宋体" w:hAnsi="宋体" w:cs="宋体"/>
          <w:i/>
          <w:iCs/>
          <w:spacing w:val="9"/>
          <w:sz w:val="24"/>
        </w:rPr>
        <w:t>)</w:t>
      </w:r>
      <w:r>
        <w:rPr>
          <w:rFonts w:hint="eastAsia" w:ascii="宋体" w:hAnsi="宋体" w:cs="宋体"/>
          <w:spacing w:val="9"/>
          <w:sz w:val="24"/>
        </w:rPr>
        <w:t>，从业人员</w:t>
      </w:r>
      <w:r>
        <w:rPr>
          <w:rFonts w:hint="eastAsia" w:ascii="宋体" w:hAnsi="宋体" w:cs="宋体"/>
          <w:spacing w:val="9"/>
          <w:sz w:val="24"/>
          <w:u w:val="single"/>
        </w:rPr>
        <w:t xml:space="preserve">    </w:t>
      </w:r>
      <w:r>
        <w:rPr>
          <w:rFonts w:hint="eastAsia" w:ascii="宋体" w:hAnsi="宋体" w:cs="宋体"/>
          <w:spacing w:val="9"/>
          <w:sz w:val="24"/>
        </w:rPr>
        <w:t>人，营业</w:t>
      </w:r>
      <w:r>
        <w:rPr>
          <w:rFonts w:hint="eastAsia" w:ascii="宋体" w:hAnsi="宋体" w:cs="宋体"/>
          <w:sz w:val="24"/>
        </w:rPr>
        <w:t xml:space="preserve"> </w:t>
      </w:r>
      <w:r>
        <w:rPr>
          <w:rFonts w:hint="eastAsia" w:ascii="宋体" w:hAnsi="宋体" w:cs="宋体"/>
          <w:spacing w:val="4"/>
          <w:sz w:val="24"/>
        </w:rPr>
        <w:t>收入为</w:t>
      </w:r>
      <w:r>
        <w:rPr>
          <w:rFonts w:hint="eastAsia" w:ascii="宋体" w:hAnsi="宋体" w:cs="宋体"/>
          <w:spacing w:val="4"/>
          <w:sz w:val="24"/>
          <w:u w:val="single"/>
        </w:rPr>
        <w:t xml:space="preserve">    </w:t>
      </w:r>
      <w:r>
        <w:rPr>
          <w:rFonts w:hint="eastAsia" w:ascii="宋体" w:hAnsi="宋体" w:cs="宋体"/>
          <w:spacing w:val="4"/>
          <w:sz w:val="24"/>
        </w:rPr>
        <w:t>万元，资产总额为</w:t>
      </w:r>
      <w:r>
        <w:rPr>
          <w:rFonts w:hint="eastAsia" w:ascii="宋体" w:hAnsi="宋体" w:cs="宋体"/>
          <w:spacing w:val="4"/>
          <w:sz w:val="24"/>
          <w:u w:val="single"/>
        </w:rPr>
        <w:t xml:space="preserve">    </w:t>
      </w:r>
      <w:r>
        <w:rPr>
          <w:rFonts w:hint="eastAsia" w:ascii="宋体" w:hAnsi="宋体" w:cs="宋体"/>
          <w:spacing w:val="4"/>
          <w:sz w:val="24"/>
        </w:rPr>
        <w:t>万元，属于</w:t>
      </w:r>
      <w:r>
        <w:rPr>
          <w:rFonts w:hint="eastAsia" w:ascii="宋体" w:hAnsi="宋体" w:cs="宋体"/>
          <w:spacing w:val="4"/>
          <w:sz w:val="24"/>
          <w:u w:val="single"/>
        </w:rPr>
        <w:t xml:space="preserve"> </w:t>
      </w:r>
      <w:r>
        <w:rPr>
          <w:rFonts w:hint="eastAsia" w:ascii="宋体" w:hAnsi="宋体" w:cs="宋体"/>
          <w:i/>
          <w:iCs/>
          <w:spacing w:val="4"/>
          <w:sz w:val="24"/>
          <w:u w:val="single"/>
        </w:rPr>
        <w:t>(中型企业</w:t>
      </w:r>
      <w:r>
        <w:rPr>
          <w:rFonts w:hint="eastAsia" w:ascii="宋体" w:hAnsi="宋体" w:cs="宋体"/>
          <w:i/>
          <w:iCs/>
          <w:spacing w:val="1"/>
          <w:sz w:val="24"/>
          <w:u w:val="single"/>
        </w:rPr>
        <w:t>、</w:t>
      </w:r>
      <w:r>
        <w:rPr>
          <w:rFonts w:hint="eastAsia" w:ascii="宋体" w:hAnsi="宋体" w:cs="宋体"/>
          <w:sz w:val="24"/>
        </w:rPr>
        <w:t xml:space="preserve"> </w:t>
      </w:r>
      <w:r>
        <w:rPr>
          <w:rFonts w:hint="eastAsia" w:ascii="宋体" w:hAnsi="宋体" w:cs="宋体"/>
          <w:i/>
          <w:iCs/>
          <w:spacing w:val="-4"/>
          <w:sz w:val="24"/>
          <w:u w:val="single"/>
        </w:rPr>
        <w:t>小</w:t>
      </w:r>
      <w:r>
        <w:rPr>
          <w:rFonts w:hint="eastAsia" w:ascii="宋体" w:hAnsi="宋体" w:cs="宋体"/>
          <w:i/>
          <w:iCs/>
          <w:spacing w:val="-3"/>
          <w:sz w:val="24"/>
          <w:u w:val="single"/>
        </w:rPr>
        <w:t>型企业、微型企业</w:t>
      </w:r>
      <w:r>
        <w:rPr>
          <w:rFonts w:hint="eastAsia" w:ascii="宋体" w:hAnsi="宋体" w:cs="宋体"/>
          <w:i/>
          <w:iCs/>
          <w:spacing w:val="-3"/>
          <w:sz w:val="24"/>
        </w:rPr>
        <w:t>)</w:t>
      </w:r>
      <w:r>
        <w:rPr>
          <w:rFonts w:hint="eastAsia" w:ascii="宋体" w:hAnsi="宋体" w:cs="宋体"/>
          <w:spacing w:val="-3"/>
          <w:sz w:val="24"/>
        </w:rPr>
        <w:t>；</w:t>
      </w:r>
    </w:p>
    <w:p>
      <w:pPr>
        <w:spacing w:line="504" w:lineRule="exact"/>
        <w:ind w:left="688"/>
        <w:rPr>
          <w:rFonts w:ascii="宋体" w:hAnsi="宋体" w:cs="宋体"/>
          <w:sz w:val="24"/>
        </w:rPr>
      </w:pPr>
      <w:r>
        <w:rPr>
          <w:rFonts w:hint="eastAsia" w:ascii="宋体" w:hAnsi="宋体" w:cs="宋体"/>
          <w:spacing w:val="5"/>
          <w:position w:val="4"/>
          <w:sz w:val="24"/>
        </w:rPr>
        <w:t>…</w:t>
      </w:r>
      <w:r>
        <w:rPr>
          <w:rFonts w:hint="eastAsia" w:ascii="宋体" w:hAnsi="宋体" w:cs="宋体"/>
          <w:spacing w:val="4"/>
          <w:position w:val="4"/>
          <w:sz w:val="24"/>
        </w:rPr>
        <w:t>…</w:t>
      </w:r>
    </w:p>
    <w:p>
      <w:pPr>
        <w:spacing w:before="13" w:line="310" w:lineRule="auto"/>
        <w:ind w:left="35" w:right="86" w:firstLine="678"/>
        <w:rPr>
          <w:rFonts w:ascii="宋体" w:hAnsi="宋体" w:cs="宋体"/>
          <w:sz w:val="24"/>
        </w:rPr>
      </w:pPr>
      <w:r>
        <w:rPr>
          <w:rFonts w:hint="eastAsia" w:ascii="宋体" w:hAnsi="宋体" w:cs="宋体"/>
          <w:spacing w:val="7"/>
          <w:sz w:val="24"/>
        </w:rPr>
        <w:t>以上企业，不属于大企业的分支机构，不存在控股股</w:t>
      </w:r>
      <w:r>
        <w:rPr>
          <w:rFonts w:hint="eastAsia" w:ascii="宋体" w:hAnsi="宋体" w:cs="宋体"/>
          <w:spacing w:val="3"/>
          <w:sz w:val="24"/>
        </w:rPr>
        <w:t>东</w:t>
      </w:r>
      <w:r>
        <w:rPr>
          <w:rFonts w:hint="eastAsia" w:ascii="宋体" w:hAnsi="宋体" w:cs="宋体"/>
          <w:sz w:val="24"/>
        </w:rPr>
        <w:t xml:space="preserve"> </w:t>
      </w:r>
      <w:r>
        <w:rPr>
          <w:rFonts w:hint="eastAsia" w:ascii="宋体" w:hAnsi="宋体" w:cs="宋体"/>
          <w:spacing w:val="16"/>
          <w:sz w:val="24"/>
        </w:rPr>
        <w:t>为大</w:t>
      </w:r>
      <w:r>
        <w:rPr>
          <w:rFonts w:hint="eastAsia" w:ascii="宋体" w:hAnsi="宋体" w:cs="宋体"/>
          <w:spacing w:val="8"/>
          <w:sz w:val="24"/>
        </w:rPr>
        <w:t>企业的情形，也不存在与大企业的负责人为同一人的情</w:t>
      </w:r>
      <w:r>
        <w:rPr>
          <w:rFonts w:hint="eastAsia" w:ascii="宋体" w:hAnsi="宋体" w:cs="宋体"/>
          <w:sz w:val="24"/>
        </w:rPr>
        <w:t xml:space="preserve"> </w:t>
      </w:r>
      <w:r>
        <w:rPr>
          <w:rFonts w:hint="eastAsia" w:ascii="宋体" w:hAnsi="宋体" w:cs="宋体"/>
          <w:spacing w:val="-7"/>
          <w:sz w:val="24"/>
        </w:rPr>
        <w:t>形</w:t>
      </w:r>
      <w:r>
        <w:rPr>
          <w:rFonts w:hint="eastAsia" w:ascii="宋体" w:hAnsi="宋体" w:cs="宋体"/>
          <w:spacing w:val="-6"/>
          <w:sz w:val="24"/>
        </w:rPr>
        <w:t>。</w:t>
      </w:r>
    </w:p>
    <w:p>
      <w:pPr>
        <w:spacing w:before="1" w:line="319" w:lineRule="auto"/>
        <w:ind w:left="45" w:right="88" w:firstLine="631"/>
        <w:rPr>
          <w:rFonts w:ascii="宋体" w:hAnsi="宋体" w:cs="宋体"/>
          <w:sz w:val="24"/>
        </w:rPr>
      </w:pPr>
      <w:r>
        <w:rPr>
          <w:rFonts w:hint="eastAsia" w:ascii="宋体" w:hAnsi="宋体" w:cs="宋体"/>
          <w:spacing w:val="16"/>
          <w:sz w:val="24"/>
        </w:rPr>
        <w:t>本</w:t>
      </w:r>
      <w:r>
        <w:rPr>
          <w:rFonts w:hint="eastAsia" w:ascii="宋体" w:hAnsi="宋体" w:cs="宋体"/>
          <w:spacing w:val="8"/>
          <w:sz w:val="24"/>
        </w:rPr>
        <w:t>企业对上述声明内容的真实性负责。如有虚假，将依</w:t>
      </w:r>
      <w:r>
        <w:rPr>
          <w:rFonts w:hint="eastAsia" w:ascii="宋体" w:hAnsi="宋体" w:cs="宋体"/>
          <w:sz w:val="24"/>
        </w:rPr>
        <w:t xml:space="preserve"> </w:t>
      </w:r>
      <w:r>
        <w:rPr>
          <w:rFonts w:hint="eastAsia" w:ascii="宋体" w:hAnsi="宋体" w:cs="宋体"/>
          <w:spacing w:val="8"/>
          <w:sz w:val="24"/>
        </w:rPr>
        <w:t>法</w:t>
      </w:r>
      <w:r>
        <w:rPr>
          <w:rFonts w:hint="eastAsia" w:ascii="宋体" w:hAnsi="宋体" w:cs="宋体"/>
          <w:spacing w:val="5"/>
          <w:sz w:val="24"/>
        </w:rPr>
        <w:t>承</w:t>
      </w:r>
      <w:r>
        <w:rPr>
          <w:rFonts w:hint="eastAsia" w:ascii="宋体" w:hAnsi="宋体" w:cs="宋体"/>
          <w:spacing w:val="4"/>
          <w:sz w:val="24"/>
        </w:rPr>
        <w:t>担相应责任。</w:t>
      </w:r>
    </w:p>
    <w:p>
      <w:pPr>
        <w:spacing w:before="1" w:line="226" w:lineRule="auto"/>
        <w:ind w:left="3876"/>
        <w:rPr>
          <w:rFonts w:ascii="宋体" w:hAnsi="宋体" w:cs="宋体"/>
          <w:sz w:val="24"/>
        </w:rPr>
      </w:pPr>
      <w:r>
        <w:rPr>
          <w:rFonts w:hint="eastAsia" w:ascii="宋体" w:hAnsi="宋体" w:cs="宋体"/>
          <w:spacing w:val="3"/>
          <w:sz w:val="24"/>
        </w:rPr>
        <w:t>企业名称 (盖章)：</w:t>
      </w:r>
    </w:p>
    <w:p>
      <w:pPr>
        <w:spacing w:before="159" w:line="229" w:lineRule="auto"/>
        <w:ind w:left="3942"/>
        <w:rPr>
          <w:rFonts w:ascii="宋体" w:hAnsi="宋体" w:cs="宋体"/>
          <w:sz w:val="24"/>
        </w:rPr>
        <w:sectPr>
          <w:pgSz w:w="11906" w:h="16839"/>
          <w:pgMar w:top="1431" w:right="1713" w:bottom="1795" w:left="1785" w:header="850" w:footer="992" w:gutter="0"/>
          <w:cols w:space="720" w:num="1"/>
        </w:sectPr>
      </w:pPr>
      <w:bookmarkStart w:id="306" w:name="_bookmark2"/>
      <w:bookmarkEnd w:id="306"/>
      <w:r>
        <w:rPr>
          <w:rFonts w:hint="eastAsia" w:ascii="宋体" w:hAnsi="宋体" w:cs="宋体"/>
          <w:spacing w:val="-40"/>
          <w:sz w:val="24"/>
        </w:rPr>
        <w:t>日</w:t>
      </w:r>
      <w:r>
        <w:rPr>
          <w:rFonts w:hint="eastAsia" w:ascii="宋体" w:hAnsi="宋体" w:cs="宋体"/>
          <w:spacing w:val="-38"/>
          <w:sz w:val="24"/>
        </w:rPr>
        <w:t xml:space="preserve"> 期：</w:t>
      </w:r>
    </w:p>
    <w:p>
      <w:pPr>
        <w:pStyle w:val="4"/>
        <w:spacing w:line="240" w:lineRule="atLeast"/>
        <w:ind w:left="0" w:firstLine="0"/>
        <w:jc w:val="left"/>
        <w:rPr>
          <w:rFonts w:ascii="宋体" w:hAnsi="宋体" w:cs="宋体"/>
          <w:b/>
          <w:bCs/>
        </w:rPr>
      </w:pPr>
    </w:p>
    <w:p>
      <w:pPr>
        <w:pStyle w:val="4"/>
        <w:spacing w:line="240" w:lineRule="atLeast"/>
        <w:ind w:left="0" w:firstLine="0"/>
        <w:jc w:val="left"/>
        <w:rPr>
          <w:rFonts w:ascii="宋体" w:hAnsi="宋体" w:cs="宋体"/>
          <w:b/>
          <w:bCs/>
        </w:rPr>
      </w:pPr>
    </w:p>
    <w:p>
      <w:pPr>
        <w:pStyle w:val="4"/>
        <w:spacing w:line="240" w:lineRule="atLeast"/>
        <w:ind w:left="0" w:firstLine="0"/>
        <w:jc w:val="left"/>
        <w:rPr>
          <w:rFonts w:ascii="宋体" w:hAnsi="宋体" w:cs="宋体"/>
          <w:b/>
          <w:bCs/>
        </w:rPr>
      </w:pPr>
      <w:r>
        <w:rPr>
          <w:rFonts w:hint="eastAsia" w:ascii="宋体" w:hAnsi="宋体" w:cs="宋体"/>
          <w:b/>
          <w:bCs/>
        </w:rPr>
        <w:t>11、 残疾人福利性单位声明函</w:t>
      </w:r>
      <w:bookmarkEnd w:id="296"/>
      <w:bookmarkEnd w:id="297"/>
      <w:bookmarkEnd w:id="298"/>
      <w:bookmarkEnd w:id="299"/>
      <w:bookmarkEnd w:id="300"/>
      <w:bookmarkEnd w:id="301"/>
      <w:bookmarkEnd w:id="302"/>
    </w:p>
    <w:bookmarkEnd w:id="303"/>
    <w:bookmarkEnd w:id="304"/>
    <w:p>
      <w:pPr>
        <w:spacing w:line="240" w:lineRule="atLeast"/>
        <w:ind w:left="1087" w:leftChars="257" w:hanging="540"/>
        <w:jc w:val="center"/>
        <w:rPr>
          <w:rFonts w:ascii="宋体" w:hAnsi="宋体" w:cs="宋体"/>
          <w:kern w:val="0"/>
          <w:sz w:val="24"/>
          <w:szCs w:val="20"/>
        </w:rPr>
      </w:pPr>
    </w:p>
    <w:p>
      <w:pPr>
        <w:spacing w:line="240" w:lineRule="atLeas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7"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240" w:lineRule="atLeast"/>
        <w:ind w:left="1087" w:leftChars="257" w:hanging="540"/>
        <w:jc w:val="center"/>
        <w:rPr>
          <w:rFonts w:ascii="宋体" w:hAnsi="宋体" w:cs="宋体"/>
          <w:kern w:val="0"/>
          <w:sz w:val="24"/>
          <w:szCs w:val="20"/>
        </w:rPr>
      </w:pPr>
    </w:p>
    <w:p>
      <w:pPr>
        <w:spacing w:line="240" w:lineRule="atLeast"/>
        <w:ind w:left="1087" w:leftChars="257" w:hanging="540"/>
        <w:jc w:val="center"/>
        <w:rPr>
          <w:rFonts w:ascii="宋体" w:hAnsi="宋体" w:cs="宋体"/>
          <w:kern w:val="0"/>
          <w:sz w:val="24"/>
          <w:szCs w:val="20"/>
        </w:rPr>
      </w:pPr>
    </w:p>
    <w:p>
      <w:pPr>
        <w:spacing w:line="240" w:lineRule="atLeas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240" w:lineRule="atLeast"/>
        <w:ind w:left="1087" w:leftChars="257" w:hanging="540"/>
        <w:jc w:val="center"/>
        <w:rPr>
          <w:rFonts w:ascii="宋体" w:hAnsi="宋体" w:cs="宋体"/>
          <w:kern w:val="0"/>
          <w:sz w:val="24"/>
          <w:szCs w:val="20"/>
        </w:rPr>
      </w:pPr>
      <w:r>
        <w:rPr>
          <w:rFonts w:hint="eastAsia" w:ascii="宋体" w:hAnsi="宋体" w:cs="宋体"/>
          <w:kern w:val="0"/>
          <w:sz w:val="24"/>
          <w:szCs w:val="20"/>
        </w:rPr>
        <w:t xml:space="preserve">  </w:t>
      </w:r>
      <w:r>
        <w:rPr>
          <w:rFonts w:hint="eastAsia" w:ascii="宋体" w:hAnsi="宋体" w:cs="宋体"/>
          <w:kern w:val="0"/>
          <w:sz w:val="24"/>
          <w:szCs w:val="20"/>
          <w:u w:val="single" w:color="FFFFFF"/>
        </w:rPr>
        <w:t xml:space="preserve">       </w:t>
      </w:r>
      <w:r>
        <w:rPr>
          <w:rFonts w:hint="eastAsia" w:ascii="宋体" w:hAnsi="宋体" w:cs="宋体"/>
          <w:kern w:val="0"/>
          <w:sz w:val="24"/>
          <w:szCs w:val="20"/>
        </w:rPr>
        <w:t>日  期：_____________________________________________</w:t>
      </w:r>
    </w:p>
    <w:p>
      <w:pPr>
        <w:spacing w:line="240" w:lineRule="atLeast"/>
        <w:ind w:left="1087" w:leftChars="257" w:hanging="540"/>
        <w:jc w:val="center"/>
        <w:rPr>
          <w:rFonts w:ascii="宋体" w:hAnsi="宋体" w:cs="宋体"/>
          <w:b/>
          <w:kern w:val="0"/>
          <w:sz w:val="24"/>
          <w:szCs w:val="20"/>
        </w:rPr>
      </w:pPr>
    </w:p>
    <w:p>
      <w:pPr>
        <w:spacing w:line="240" w:lineRule="atLeast"/>
        <w:ind w:left="1087" w:leftChars="257" w:hanging="540"/>
        <w:jc w:val="center"/>
        <w:rPr>
          <w:rFonts w:ascii="宋体" w:hAnsi="宋体" w:cs="宋体"/>
          <w:b/>
          <w:kern w:val="0"/>
          <w:sz w:val="24"/>
          <w:szCs w:val="20"/>
        </w:rPr>
      </w:pPr>
    </w:p>
    <w:p>
      <w:pPr>
        <w:pStyle w:val="42"/>
        <w:rPr>
          <w:rFonts w:ascii="宋体" w:hAnsi="宋体" w:cs="宋体"/>
        </w:rPr>
      </w:pPr>
      <w:bookmarkStart w:id="307" w:name="_Toc6386"/>
      <w:r>
        <w:rPr>
          <w:rFonts w:ascii="宋体" w:hAnsi="宋体" w:cs="宋体"/>
        </w:rPr>
        <w:br w:type="page"/>
      </w:r>
    </w:p>
    <w:p>
      <w:pPr>
        <w:pStyle w:val="4"/>
        <w:spacing w:line="240" w:lineRule="atLeast"/>
        <w:ind w:left="0" w:firstLine="0"/>
        <w:jc w:val="left"/>
        <w:rPr>
          <w:rFonts w:ascii="宋体" w:hAnsi="宋体" w:cs="宋体"/>
          <w:b/>
          <w:bCs/>
        </w:rPr>
      </w:pPr>
      <w:bookmarkStart w:id="308" w:name="_Toc111210366"/>
      <w:bookmarkStart w:id="309" w:name="_Toc111210589"/>
      <w:bookmarkStart w:id="310" w:name="_Toc111210793"/>
      <w:r>
        <w:rPr>
          <w:rFonts w:hint="eastAsia" w:ascii="宋体" w:hAnsi="宋体" w:cs="宋体"/>
          <w:b/>
          <w:bCs/>
        </w:rPr>
        <w:t>12、投标人关联单位的说明</w:t>
      </w:r>
      <w:bookmarkEnd w:id="293"/>
      <w:bookmarkEnd w:id="294"/>
      <w:bookmarkEnd w:id="295"/>
      <w:bookmarkEnd w:id="307"/>
      <w:bookmarkEnd w:id="308"/>
      <w:bookmarkEnd w:id="309"/>
      <w:bookmarkEnd w:id="310"/>
    </w:p>
    <w:p>
      <w:pPr>
        <w:pStyle w:val="6"/>
        <w:jc w:val="center"/>
        <w:rPr>
          <w:rFonts w:ascii="宋体" w:hAnsi="宋体" w:cs="宋体"/>
        </w:rPr>
      </w:pPr>
    </w:p>
    <w:p>
      <w:pPr>
        <w:pStyle w:val="6"/>
        <w:ind w:firstLine="486" w:firstLineChars="200"/>
        <w:rPr>
          <w:rFonts w:ascii="宋体" w:hAnsi="宋体" w:cs="宋体"/>
        </w:rPr>
      </w:pPr>
      <w:r>
        <w:rPr>
          <w:rFonts w:hint="eastAsia" w:ascii="宋体" w:hAnsi="宋体" w:cs="宋体"/>
        </w:rPr>
        <w:t>说明：投标人应当如实披露与本单位存在下列关联关系的单位名称：</w:t>
      </w:r>
    </w:p>
    <w:p>
      <w:pPr>
        <w:pStyle w:val="6"/>
        <w:ind w:firstLine="486" w:firstLineChars="200"/>
        <w:rPr>
          <w:rFonts w:ascii="宋体" w:hAnsi="宋体" w:cs="宋体"/>
        </w:rPr>
      </w:pPr>
      <w:r>
        <w:rPr>
          <w:rFonts w:hint="eastAsia" w:ascii="宋体" w:hAnsi="宋体" w:cs="宋体"/>
        </w:rPr>
        <w:t>（1）与投标人单位负责人为同一人的其他单位；</w:t>
      </w:r>
    </w:p>
    <w:p>
      <w:pPr>
        <w:pStyle w:val="6"/>
        <w:ind w:firstLine="486" w:firstLineChars="200"/>
        <w:rPr>
          <w:rFonts w:ascii="宋体" w:hAnsi="宋体" w:cs="宋体"/>
        </w:rPr>
      </w:pPr>
      <w:r>
        <w:rPr>
          <w:rFonts w:hint="eastAsia" w:ascii="宋体" w:hAnsi="宋体" w:cs="宋体"/>
        </w:rPr>
        <w:t>（2）与投标人存在直接控股、管理关系的其他单位。</w:t>
      </w:r>
    </w:p>
    <w:p>
      <w:pPr>
        <w:pStyle w:val="42"/>
        <w:rPr>
          <w:rFonts w:ascii="宋体" w:hAnsi="宋体" w:cs="宋体"/>
        </w:rPr>
      </w:pPr>
      <w:bookmarkStart w:id="311" w:name="_Toc17333"/>
      <w:bookmarkStart w:id="312" w:name="_Toc515647828"/>
      <w:bookmarkStart w:id="313" w:name="_Toc7414"/>
      <w:r>
        <w:rPr>
          <w:rFonts w:ascii="宋体" w:hAnsi="宋体" w:cs="宋体"/>
        </w:rPr>
        <w:br w:type="page"/>
      </w:r>
    </w:p>
    <w:bookmarkEnd w:id="311"/>
    <w:bookmarkEnd w:id="312"/>
    <w:bookmarkEnd w:id="313"/>
    <w:p>
      <w:pPr>
        <w:pStyle w:val="4"/>
        <w:numPr>
          <w:ilvl w:val="1"/>
          <w:numId w:val="0"/>
        </w:numPr>
        <w:spacing w:line="240" w:lineRule="atLeast"/>
        <w:jc w:val="left"/>
        <w:rPr>
          <w:rFonts w:ascii="宋体" w:hAnsi="宋体" w:cs="宋体"/>
          <w:b/>
          <w:bCs/>
        </w:rPr>
      </w:pPr>
      <w:bookmarkStart w:id="314" w:name="_Toc111210590"/>
      <w:bookmarkStart w:id="315" w:name="_Toc111210367"/>
      <w:bookmarkStart w:id="316" w:name="_Toc111210794"/>
      <w:r>
        <w:rPr>
          <w:rFonts w:hint="eastAsia" w:ascii="宋体" w:hAnsi="宋体" w:cs="宋体"/>
          <w:b/>
          <w:bCs/>
        </w:rPr>
        <w:t>13、评分标准和细则中技术部分证明材料（格式自拟）</w:t>
      </w:r>
      <w:bookmarkEnd w:id="314"/>
      <w:bookmarkEnd w:id="315"/>
      <w:bookmarkEnd w:id="316"/>
    </w:p>
    <w:p>
      <w:pPr>
        <w:pStyle w:val="4"/>
        <w:numPr>
          <w:ilvl w:val="1"/>
          <w:numId w:val="0"/>
        </w:numPr>
        <w:spacing w:line="240" w:lineRule="atLeast"/>
        <w:ind w:left="967" w:leftChars="257"/>
        <w:jc w:val="center"/>
        <w:rPr>
          <w:rFonts w:ascii="宋体" w:hAnsi="宋体" w:cs="宋体"/>
        </w:rPr>
      </w:pPr>
    </w:p>
    <w:p>
      <w:pPr>
        <w:rPr>
          <w:rFonts w:hAnsi="宋体" w:cs="宋体"/>
          <w:sz w:val="24"/>
          <w:highlight w:val="none"/>
        </w:rPr>
      </w:pPr>
      <w:r>
        <w:rPr>
          <w:rFonts w:hint="eastAsia" w:hAnsi="宋体" w:cs="宋体"/>
          <w:sz w:val="24"/>
        </w:rPr>
        <w:t>说明：1.应提供评分标准和细则中技术部分要求的其他资格证明文件（主要包括（但</w:t>
      </w:r>
      <w:r>
        <w:rPr>
          <w:rFonts w:hint="eastAsia" w:hAnsi="宋体" w:cs="宋体"/>
          <w:color w:val="auto"/>
          <w:sz w:val="24"/>
        </w:rPr>
        <w:t>不限于）：</w:t>
      </w:r>
      <w:r>
        <w:rPr>
          <w:rFonts w:hint="eastAsia" w:hAnsi="宋体" w:cs="宋体"/>
          <w:b/>
          <w:bCs/>
          <w:color w:val="auto"/>
          <w:sz w:val="24"/>
          <w:highlight w:val="none"/>
        </w:rPr>
        <w:t>项目需求分析，形成项目内容及重点的基本判断；工作内容、框架、技术路线的科学性、合理性；对项目重点、难点、关键技术问题进行分析，提出针对性解决方案；项目质量保证措施的全面性和合理性；项目进度保障；对本项目设计合理化建议；技术可行性和合理性</w:t>
      </w:r>
      <w:r>
        <w:rPr>
          <w:rFonts w:hint="eastAsia" w:hAnsi="宋体" w:cs="宋体"/>
          <w:color w:val="auto"/>
          <w:sz w:val="24"/>
          <w:highlight w:val="none"/>
        </w:rPr>
        <w:t>等）</w:t>
      </w:r>
    </w:p>
    <w:p>
      <w:pPr>
        <w:pStyle w:val="12"/>
        <w:tabs>
          <w:tab w:val="left" w:pos="5580"/>
        </w:tabs>
        <w:spacing w:line="240" w:lineRule="atLeast"/>
        <w:ind w:left="1270" w:leftChars="344" w:hanging="538"/>
        <w:rPr>
          <w:rFonts w:hAnsi="宋体" w:cs="宋体"/>
          <w:sz w:val="24"/>
        </w:rPr>
      </w:pPr>
      <w:r>
        <w:rPr>
          <w:rFonts w:hint="eastAsia" w:hAnsi="宋体" w:cs="宋体"/>
          <w:sz w:val="24"/>
        </w:rPr>
        <w:t>2、投标人认为需要提交的其他资料。</w:t>
      </w:r>
    </w:p>
    <w:p>
      <w:pPr>
        <w:pStyle w:val="42"/>
      </w:pPr>
      <w:r>
        <w:br w:type="page"/>
      </w:r>
    </w:p>
    <w:p>
      <w:pPr>
        <w:pStyle w:val="4"/>
        <w:numPr>
          <w:ilvl w:val="1"/>
          <w:numId w:val="0"/>
        </w:numPr>
        <w:spacing w:line="240" w:lineRule="atLeast"/>
        <w:jc w:val="left"/>
        <w:rPr>
          <w:rFonts w:ascii="宋体" w:hAnsi="宋体" w:cs="宋体"/>
          <w:b/>
        </w:rPr>
      </w:pPr>
      <w:bookmarkStart w:id="317" w:name="_Toc111210368"/>
      <w:bookmarkStart w:id="318" w:name="_Toc111210591"/>
      <w:bookmarkStart w:id="319" w:name="_Toc111210795"/>
      <w:r>
        <w:rPr>
          <w:rFonts w:hint="eastAsia" w:ascii="宋体" w:hAnsi="宋体" w:cs="宋体"/>
          <w:b/>
        </w:rPr>
        <w:t>14、评分标准和细则中商务部分证明材料（格式自拟）</w:t>
      </w:r>
      <w:bookmarkEnd w:id="317"/>
      <w:bookmarkEnd w:id="318"/>
      <w:bookmarkEnd w:id="319"/>
    </w:p>
    <w:p>
      <w:pPr>
        <w:pStyle w:val="12"/>
        <w:tabs>
          <w:tab w:val="left" w:pos="5580"/>
        </w:tabs>
        <w:spacing w:line="240" w:lineRule="atLeast"/>
        <w:ind w:left="1087" w:leftChars="257" w:hanging="540"/>
        <w:rPr>
          <w:rFonts w:hAnsi="宋体" w:cs="宋体"/>
          <w:color w:val="auto"/>
          <w:sz w:val="24"/>
        </w:rPr>
      </w:pPr>
    </w:p>
    <w:p>
      <w:pPr>
        <w:pStyle w:val="12"/>
        <w:tabs>
          <w:tab w:val="left" w:pos="5580"/>
        </w:tabs>
        <w:spacing w:line="240" w:lineRule="atLeast"/>
        <w:ind w:left="1087" w:leftChars="257" w:hanging="540"/>
        <w:rPr>
          <w:rFonts w:hAnsi="宋体" w:cs="宋体"/>
          <w:color w:val="auto"/>
          <w:sz w:val="24"/>
        </w:rPr>
      </w:pPr>
    </w:p>
    <w:p>
      <w:pPr>
        <w:rPr>
          <w:rFonts w:hAnsi="宋体" w:cs="宋体"/>
          <w:color w:val="auto"/>
          <w:sz w:val="24"/>
        </w:rPr>
      </w:pPr>
      <w:r>
        <w:rPr>
          <w:rFonts w:hint="eastAsia" w:hAnsi="宋体" w:cs="宋体"/>
          <w:color w:val="auto"/>
          <w:sz w:val="24"/>
        </w:rPr>
        <w:t>说明：1.应提供评分标准和细则中商务部分要求的其他资格证明文件（主要包括（但不限于）：</w:t>
      </w:r>
      <w:r>
        <w:rPr>
          <w:rFonts w:hint="eastAsia"/>
          <w:b/>
          <w:color w:val="auto"/>
          <w:szCs w:val="21"/>
          <w:highlight w:val="none"/>
        </w:rPr>
        <w:t>项目组人员</w:t>
      </w:r>
      <w:r>
        <w:rPr>
          <w:rFonts w:hint="eastAsia"/>
          <w:b/>
          <w:color w:val="auto"/>
          <w:szCs w:val="21"/>
        </w:rPr>
        <w:t>配备；企业资质；</w:t>
      </w:r>
      <w:r>
        <w:rPr>
          <w:rFonts w:hint="eastAsia"/>
          <w:b/>
          <w:bCs/>
          <w:color w:val="auto"/>
        </w:rPr>
        <w:t>企业业绩；</w:t>
      </w:r>
      <w:r>
        <w:rPr>
          <w:rFonts w:hint="eastAsia" w:ascii="Calibri" w:hAnsi="Calibri"/>
          <w:b/>
          <w:bCs/>
          <w:color w:val="auto"/>
          <w:szCs w:val="22"/>
        </w:rPr>
        <w:t>荣誉</w:t>
      </w:r>
      <w:r>
        <w:rPr>
          <w:rFonts w:hint="eastAsia" w:hAnsi="宋体" w:cs="宋体"/>
          <w:color w:val="auto"/>
          <w:sz w:val="24"/>
        </w:rPr>
        <w:t>等。</w:t>
      </w:r>
    </w:p>
    <w:p>
      <w:pPr>
        <w:pStyle w:val="12"/>
        <w:tabs>
          <w:tab w:val="left" w:pos="5580"/>
        </w:tabs>
        <w:spacing w:line="240" w:lineRule="atLeast"/>
        <w:ind w:firstLine="1215" w:firstLineChars="500"/>
        <w:rPr>
          <w:rFonts w:hAnsi="宋体" w:cs="宋体"/>
          <w:color w:val="auto"/>
          <w:sz w:val="24"/>
        </w:rPr>
      </w:pPr>
      <w:r>
        <w:rPr>
          <w:rFonts w:hAnsi="宋体" w:cs="宋体"/>
          <w:color w:val="auto"/>
          <w:sz w:val="24"/>
        </w:rPr>
        <w:t>2</w:t>
      </w:r>
      <w:r>
        <w:rPr>
          <w:rFonts w:hint="eastAsia" w:hAnsi="宋体" w:cs="宋体"/>
          <w:color w:val="auto"/>
          <w:sz w:val="24"/>
        </w:rPr>
        <w:t>.复印件上应加盖本单位章（自然人投标的无需盖章，需要签字）。</w:t>
      </w:r>
    </w:p>
    <w:p>
      <w:pPr>
        <w:pStyle w:val="12"/>
        <w:tabs>
          <w:tab w:val="left" w:pos="5580"/>
        </w:tabs>
        <w:spacing w:line="240" w:lineRule="atLeast"/>
        <w:ind w:left="1270" w:leftChars="344" w:hanging="538"/>
        <w:rPr>
          <w:rFonts w:hAnsi="宋体" w:cs="宋体"/>
          <w:color w:val="auto"/>
          <w:sz w:val="24"/>
        </w:rPr>
      </w:pPr>
      <w:r>
        <w:rPr>
          <w:rFonts w:hint="eastAsia" w:hAnsi="宋体" w:cs="宋体"/>
          <w:color w:val="auto"/>
          <w:sz w:val="24"/>
        </w:rPr>
        <w:t xml:space="preserve">    </w:t>
      </w:r>
      <w:r>
        <w:rPr>
          <w:rFonts w:hAnsi="宋体" w:cs="宋体"/>
          <w:color w:val="auto"/>
          <w:sz w:val="24"/>
        </w:rPr>
        <w:t>3</w:t>
      </w:r>
      <w:r>
        <w:rPr>
          <w:rFonts w:hint="eastAsia" w:hAnsi="宋体" w:cs="宋体"/>
          <w:color w:val="auto"/>
          <w:sz w:val="24"/>
        </w:rPr>
        <w:t>. （本项目接受联合体）如果是联合体投标，联合体各方需提供的满足招标文件要求的其他资格证明文件。</w:t>
      </w:r>
    </w:p>
    <w:p>
      <w:pPr>
        <w:pStyle w:val="13"/>
        <w:ind w:left="2557"/>
        <w:rPr>
          <w:color w:val="auto"/>
        </w:rPr>
      </w:pPr>
      <w:r>
        <w:rPr>
          <w:color w:val="auto"/>
        </w:rPr>
        <w:br w:type="page"/>
      </w:r>
    </w:p>
    <w:p>
      <w:pPr>
        <w:pStyle w:val="4"/>
        <w:numPr>
          <w:ilvl w:val="1"/>
          <w:numId w:val="0"/>
        </w:numPr>
        <w:spacing w:line="240" w:lineRule="atLeast"/>
        <w:jc w:val="left"/>
        <w:rPr>
          <w:rFonts w:ascii="宋体" w:hAnsi="宋体" w:cs="宋体"/>
          <w:b/>
          <w:bCs/>
        </w:rPr>
      </w:pPr>
      <w:bookmarkStart w:id="320" w:name="_Toc111210369"/>
      <w:bookmarkStart w:id="321" w:name="_Toc111210592"/>
      <w:bookmarkStart w:id="322" w:name="_Toc111210796"/>
      <w:r>
        <w:rPr>
          <w:rFonts w:hint="eastAsia" w:ascii="宋体" w:hAnsi="宋体" w:cs="宋体"/>
          <w:b/>
          <w:bCs/>
        </w:rPr>
        <w:t>15、投标人认为有必要提供的其他证明材料（格式自拟）</w:t>
      </w:r>
      <w:bookmarkEnd w:id="320"/>
      <w:bookmarkEnd w:id="321"/>
      <w:bookmarkEnd w:id="322"/>
    </w:p>
    <w:p>
      <w:pPr>
        <w:rPr>
          <w:rFonts w:ascii="宋体" w:hAnsi="宋体" w:cs="宋体"/>
        </w:rPr>
      </w:pPr>
    </w:p>
    <w:p>
      <w:pPr>
        <w:pStyle w:val="12"/>
        <w:tabs>
          <w:tab w:val="left" w:pos="5580"/>
        </w:tabs>
        <w:spacing w:line="240" w:lineRule="atLeast"/>
        <w:ind w:firstLine="1215" w:firstLineChars="500"/>
        <w:rPr>
          <w:rFonts w:hAnsi="宋体" w:cs="宋体"/>
          <w:color w:val="auto"/>
          <w:sz w:val="24"/>
        </w:rPr>
      </w:pPr>
    </w:p>
    <w:p>
      <w:pPr>
        <w:pStyle w:val="12"/>
        <w:tabs>
          <w:tab w:val="left" w:pos="5580"/>
        </w:tabs>
        <w:spacing w:line="240" w:lineRule="atLeast"/>
        <w:ind w:firstLine="1215" w:firstLineChars="500"/>
        <w:rPr>
          <w:rFonts w:hAnsi="宋体" w:cs="宋体"/>
          <w:color w:val="auto"/>
          <w:sz w:val="24"/>
        </w:rPr>
      </w:pPr>
    </w:p>
    <w:p>
      <w:pPr>
        <w:pStyle w:val="12"/>
        <w:tabs>
          <w:tab w:val="left" w:pos="5580"/>
        </w:tabs>
        <w:spacing w:line="240" w:lineRule="atLeast"/>
        <w:ind w:firstLine="1215" w:firstLineChars="500"/>
        <w:rPr>
          <w:rFonts w:hAnsi="宋体" w:cs="宋体"/>
          <w:color w:val="auto"/>
          <w:sz w:val="24"/>
        </w:rPr>
      </w:pPr>
      <w:r>
        <w:rPr>
          <w:rFonts w:hint="eastAsia" w:hAnsi="宋体" w:cs="宋体"/>
          <w:color w:val="auto"/>
          <w:sz w:val="24"/>
        </w:rPr>
        <w:t>说明：1.复印件上应加盖本单位章（自然人投标的无需盖章，需要签字）。</w:t>
      </w:r>
    </w:p>
    <w:p>
      <w:pPr>
        <w:pStyle w:val="12"/>
        <w:tabs>
          <w:tab w:val="left" w:pos="5580"/>
        </w:tabs>
        <w:spacing w:line="240" w:lineRule="atLeast"/>
        <w:ind w:left="1942" w:leftChars="912"/>
        <w:rPr>
          <w:color w:val="auto"/>
        </w:rPr>
      </w:pPr>
      <w:r>
        <w:rPr>
          <w:rFonts w:hint="eastAsia" w:hAnsi="宋体" w:cs="宋体"/>
          <w:color w:val="auto"/>
          <w:sz w:val="24"/>
        </w:rPr>
        <w:t>2.如果是联合体投标，联合体各方需提供的满足招标文件要求的其他资格证明文件。</w:t>
      </w:r>
    </w:p>
    <w:sectPr>
      <w:footerReference r:id="rId9" w:type="default"/>
      <w:pgSz w:w="11905" w:h="16838"/>
      <w:pgMar w:top="1440" w:right="1797" w:bottom="1440" w:left="1797" w:header="850" w:footer="992" w:gutter="0"/>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2" w:usb3="00000000" w:csb0="0002000D"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57795"/>
      <w:docPartObj>
        <w:docPartGallery w:val="autotext"/>
      </w:docPartObj>
    </w:sdtPr>
    <w:sdtContent>
      <w:p>
        <w:pPr>
          <w:pStyle w:val="15"/>
          <w:jc w:val="right"/>
        </w:pPr>
        <w:r>
          <w:fldChar w:fldCharType="begin"/>
        </w:r>
        <w:r>
          <w:instrText xml:space="preserve">PAGE   \* MERGEFORMAT</w:instrText>
        </w:r>
        <w:r>
          <w:fldChar w:fldCharType="separate"/>
        </w:r>
        <w:r>
          <w:rPr>
            <w:lang w:val="zh-CN"/>
          </w:rPr>
          <w:t>2</w:t>
        </w:r>
        <w:r>
          <w:fldChar w:fldCharType="end"/>
        </w:r>
      </w:p>
    </w:sdtContent>
  </w:sdt>
  <w:p>
    <w:pPr>
      <w:pStyle w:val="15"/>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320"/>
        <w:tab w:val="right" w:pos="8640"/>
        <w:tab w:val="clear" w:pos="4153"/>
        <w:tab w:val="clear" w:pos="8306"/>
      </w:tabs>
      <w:ind w:right="360"/>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7"/>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3A1FF"/>
    <w:multiLevelType w:val="singleLevel"/>
    <w:tmpl w:val="B7C3A1FF"/>
    <w:lvl w:ilvl="0" w:tentative="0">
      <w:start w:val="1"/>
      <w:numFmt w:val="decimal"/>
      <w:suff w:val="nothing"/>
      <w:lvlText w:val="%1、"/>
      <w:lvlJc w:val="left"/>
    </w:lvl>
  </w:abstractNum>
  <w:abstractNum w:abstractNumId="1">
    <w:nsid w:val="E6FD18F9"/>
    <w:multiLevelType w:val="singleLevel"/>
    <w:tmpl w:val="E6FD18F9"/>
    <w:lvl w:ilvl="0" w:tentative="0">
      <w:start w:val="1"/>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BF229DF"/>
    <w:multiLevelType w:val="multilevel"/>
    <w:tmpl w:val="2BF229D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9AE5B13"/>
    <w:multiLevelType w:val="multilevel"/>
    <w:tmpl w:val="49AE5B1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611535E1"/>
    <w:multiLevelType w:val="multilevel"/>
    <w:tmpl w:val="611535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28D000E"/>
    <w:multiLevelType w:val="multilevel"/>
    <w:tmpl w:val="628D000E"/>
    <w:lvl w:ilvl="0" w:tentative="0">
      <w:start w:val="1"/>
      <w:numFmt w:val="chineseCountingThousand"/>
      <w:lvlText w:val="%1、"/>
      <w:lvlJc w:val="left"/>
      <w:pPr>
        <w:ind w:left="425" w:hanging="425"/>
      </w:pPr>
      <w:rPr>
        <w:rFonts w:hint="eastAsia"/>
        <w:lang w:val="en-US"/>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9AF289B"/>
    <w:multiLevelType w:val="multilevel"/>
    <w:tmpl w:val="69AF28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63DDAA"/>
    <w:multiLevelType w:val="singleLevel"/>
    <w:tmpl w:val="7263DDAA"/>
    <w:lvl w:ilvl="0" w:tentative="0">
      <w:start w:val="1"/>
      <w:numFmt w:val="decimal"/>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2"/>
  </w:num>
  <w:num w:numId="3">
    <w:abstractNumId w:val="10"/>
  </w:num>
  <w:num w:numId="4">
    <w:abstractNumId w:val="0"/>
  </w:num>
  <w:num w:numId="5">
    <w:abstractNumId w:val="1"/>
  </w:num>
  <w:num w:numId="6">
    <w:abstractNumId w:val="7"/>
  </w:num>
  <w:num w:numId="7">
    <w:abstractNumId w:val="8"/>
  </w:num>
  <w:num w:numId="8">
    <w:abstractNumId w:val="6"/>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6"/>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MjZhNzBmMzRjNjJjZmYyNzljZDEwMzI3NzZmNjUifQ=="/>
  </w:docVars>
  <w:rsids>
    <w:rsidRoot w:val="00AE79E0"/>
    <w:rsid w:val="000008FD"/>
    <w:rsid w:val="00003231"/>
    <w:rsid w:val="00003B78"/>
    <w:rsid w:val="00003F23"/>
    <w:rsid w:val="00005025"/>
    <w:rsid w:val="0000620B"/>
    <w:rsid w:val="0000681E"/>
    <w:rsid w:val="0000682D"/>
    <w:rsid w:val="000070D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4CF8"/>
    <w:rsid w:val="00026A08"/>
    <w:rsid w:val="000279EA"/>
    <w:rsid w:val="000305D5"/>
    <w:rsid w:val="000319B0"/>
    <w:rsid w:val="00032F82"/>
    <w:rsid w:val="00034387"/>
    <w:rsid w:val="00034B72"/>
    <w:rsid w:val="00034BA3"/>
    <w:rsid w:val="00034BBE"/>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2355"/>
    <w:rsid w:val="00053450"/>
    <w:rsid w:val="000538D1"/>
    <w:rsid w:val="0005480C"/>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031"/>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7D1"/>
    <w:rsid w:val="000A3813"/>
    <w:rsid w:val="000A4619"/>
    <w:rsid w:val="000A48D7"/>
    <w:rsid w:val="000A5705"/>
    <w:rsid w:val="000A6219"/>
    <w:rsid w:val="000A6DD1"/>
    <w:rsid w:val="000A7BFA"/>
    <w:rsid w:val="000A7E34"/>
    <w:rsid w:val="000B0CDF"/>
    <w:rsid w:val="000B0CFD"/>
    <w:rsid w:val="000B1363"/>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DF"/>
    <w:rsid w:val="000D2BE7"/>
    <w:rsid w:val="000D3BE4"/>
    <w:rsid w:val="000D3FDF"/>
    <w:rsid w:val="000D3FE5"/>
    <w:rsid w:val="000D5408"/>
    <w:rsid w:val="000D5BFA"/>
    <w:rsid w:val="000D77C3"/>
    <w:rsid w:val="000E0018"/>
    <w:rsid w:val="000E116E"/>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3175"/>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74D"/>
    <w:rsid w:val="00141941"/>
    <w:rsid w:val="00142184"/>
    <w:rsid w:val="0014311D"/>
    <w:rsid w:val="00144467"/>
    <w:rsid w:val="001449E6"/>
    <w:rsid w:val="00144CDC"/>
    <w:rsid w:val="00145793"/>
    <w:rsid w:val="0014579A"/>
    <w:rsid w:val="00145A0C"/>
    <w:rsid w:val="00145E17"/>
    <w:rsid w:val="00147477"/>
    <w:rsid w:val="0015038C"/>
    <w:rsid w:val="001508B1"/>
    <w:rsid w:val="00152331"/>
    <w:rsid w:val="00152403"/>
    <w:rsid w:val="00152CE0"/>
    <w:rsid w:val="00153A78"/>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876D9"/>
    <w:rsid w:val="0019046D"/>
    <w:rsid w:val="00190E61"/>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1800"/>
    <w:rsid w:val="001A406A"/>
    <w:rsid w:val="001A62A1"/>
    <w:rsid w:val="001A73A4"/>
    <w:rsid w:val="001A74C3"/>
    <w:rsid w:val="001B0B9D"/>
    <w:rsid w:val="001B1C75"/>
    <w:rsid w:val="001B24FD"/>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7B7"/>
    <w:rsid w:val="001D0A93"/>
    <w:rsid w:val="001D0DCA"/>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1AC"/>
    <w:rsid w:val="002036F3"/>
    <w:rsid w:val="00203F5C"/>
    <w:rsid w:val="00204191"/>
    <w:rsid w:val="0020421A"/>
    <w:rsid w:val="002047D3"/>
    <w:rsid w:val="0020497C"/>
    <w:rsid w:val="00205798"/>
    <w:rsid w:val="00205A83"/>
    <w:rsid w:val="00205DEE"/>
    <w:rsid w:val="00207016"/>
    <w:rsid w:val="00207267"/>
    <w:rsid w:val="0021092F"/>
    <w:rsid w:val="00210BCE"/>
    <w:rsid w:val="00210FF1"/>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1A11"/>
    <w:rsid w:val="00242667"/>
    <w:rsid w:val="00243A1C"/>
    <w:rsid w:val="00243B5E"/>
    <w:rsid w:val="00243C20"/>
    <w:rsid w:val="00243D7D"/>
    <w:rsid w:val="00243ECE"/>
    <w:rsid w:val="00245ACA"/>
    <w:rsid w:val="00246F54"/>
    <w:rsid w:val="00251749"/>
    <w:rsid w:val="0025249A"/>
    <w:rsid w:val="0025326E"/>
    <w:rsid w:val="002541D3"/>
    <w:rsid w:val="00254D18"/>
    <w:rsid w:val="00255705"/>
    <w:rsid w:val="00255C2F"/>
    <w:rsid w:val="00255D4D"/>
    <w:rsid w:val="00257088"/>
    <w:rsid w:val="002574B1"/>
    <w:rsid w:val="0025775C"/>
    <w:rsid w:val="0025785F"/>
    <w:rsid w:val="0026096A"/>
    <w:rsid w:val="00260AF6"/>
    <w:rsid w:val="00260B60"/>
    <w:rsid w:val="0026120E"/>
    <w:rsid w:val="00261315"/>
    <w:rsid w:val="0026223A"/>
    <w:rsid w:val="002632DC"/>
    <w:rsid w:val="00263538"/>
    <w:rsid w:val="00263F02"/>
    <w:rsid w:val="002648FB"/>
    <w:rsid w:val="00266892"/>
    <w:rsid w:val="00266CC0"/>
    <w:rsid w:val="002672ED"/>
    <w:rsid w:val="0027024E"/>
    <w:rsid w:val="002707A6"/>
    <w:rsid w:val="00272390"/>
    <w:rsid w:val="0027543F"/>
    <w:rsid w:val="00275F7E"/>
    <w:rsid w:val="002760E4"/>
    <w:rsid w:val="002768B5"/>
    <w:rsid w:val="00276A39"/>
    <w:rsid w:val="00277378"/>
    <w:rsid w:val="0028110D"/>
    <w:rsid w:val="00281371"/>
    <w:rsid w:val="002813D2"/>
    <w:rsid w:val="002819B4"/>
    <w:rsid w:val="0028291E"/>
    <w:rsid w:val="00282A1D"/>
    <w:rsid w:val="00282FBB"/>
    <w:rsid w:val="00283B88"/>
    <w:rsid w:val="00285CC4"/>
    <w:rsid w:val="00286851"/>
    <w:rsid w:val="00290235"/>
    <w:rsid w:val="00290EB7"/>
    <w:rsid w:val="00291B90"/>
    <w:rsid w:val="00291EBD"/>
    <w:rsid w:val="00291F7A"/>
    <w:rsid w:val="00293933"/>
    <w:rsid w:val="00295F38"/>
    <w:rsid w:val="00296FAA"/>
    <w:rsid w:val="002970FB"/>
    <w:rsid w:val="00297E16"/>
    <w:rsid w:val="002A07DB"/>
    <w:rsid w:val="002A1959"/>
    <w:rsid w:val="002A3638"/>
    <w:rsid w:val="002A4180"/>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259D"/>
    <w:rsid w:val="002C316D"/>
    <w:rsid w:val="002C324F"/>
    <w:rsid w:val="002C32A4"/>
    <w:rsid w:val="002C34A7"/>
    <w:rsid w:val="002C404C"/>
    <w:rsid w:val="002C44F8"/>
    <w:rsid w:val="002C48D8"/>
    <w:rsid w:val="002C50D1"/>
    <w:rsid w:val="002C53E5"/>
    <w:rsid w:val="002C5959"/>
    <w:rsid w:val="002C66EA"/>
    <w:rsid w:val="002C6EE6"/>
    <w:rsid w:val="002C7398"/>
    <w:rsid w:val="002C76A3"/>
    <w:rsid w:val="002C7E0B"/>
    <w:rsid w:val="002D16A5"/>
    <w:rsid w:val="002D1856"/>
    <w:rsid w:val="002D2339"/>
    <w:rsid w:val="002D4063"/>
    <w:rsid w:val="002D6C02"/>
    <w:rsid w:val="002D6F6A"/>
    <w:rsid w:val="002D702A"/>
    <w:rsid w:val="002D73D4"/>
    <w:rsid w:val="002D73FE"/>
    <w:rsid w:val="002E0022"/>
    <w:rsid w:val="002E00B8"/>
    <w:rsid w:val="002E023A"/>
    <w:rsid w:val="002E05E3"/>
    <w:rsid w:val="002E0CF1"/>
    <w:rsid w:val="002E0E19"/>
    <w:rsid w:val="002E131F"/>
    <w:rsid w:val="002E3A5F"/>
    <w:rsid w:val="002E3A69"/>
    <w:rsid w:val="002E3A88"/>
    <w:rsid w:val="002E3B8A"/>
    <w:rsid w:val="002E5DDC"/>
    <w:rsid w:val="002E6CBA"/>
    <w:rsid w:val="002E70C0"/>
    <w:rsid w:val="002E779E"/>
    <w:rsid w:val="002F0126"/>
    <w:rsid w:val="002F1C05"/>
    <w:rsid w:val="002F2A7C"/>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05EA"/>
    <w:rsid w:val="00311D1C"/>
    <w:rsid w:val="00311D2C"/>
    <w:rsid w:val="00311FE2"/>
    <w:rsid w:val="00312912"/>
    <w:rsid w:val="00312B46"/>
    <w:rsid w:val="003135CA"/>
    <w:rsid w:val="0031473B"/>
    <w:rsid w:val="00314C22"/>
    <w:rsid w:val="00314E48"/>
    <w:rsid w:val="00315218"/>
    <w:rsid w:val="003169FF"/>
    <w:rsid w:val="0031704D"/>
    <w:rsid w:val="00317374"/>
    <w:rsid w:val="0031782B"/>
    <w:rsid w:val="00317903"/>
    <w:rsid w:val="00317929"/>
    <w:rsid w:val="00320797"/>
    <w:rsid w:val="00321351"/>
    <w:rsid w:val="003214DD"/>
    <w:rsid w:val="003215D0"/>
    <w:rsid w:val="003219FF"/>
    <w:rsid w:val="00321B0F"/>
    <w:rsid w:val="00323327"/>
    <w:rsid w:val="003233D3"/>
    <w:rsid w:val="0032368B"/>
    <w:rsid w:val="00323B3C"/>
    <w:rsid w:val="00323B9B"/>
    <w:rsid w:val="00323EE0"/>
    <w:rsid w:val="003250B5"/>
    <w:rsid w:val="00325C3D"/>
    <w:rsid w:val="003279DC"/>
    <w:rsid w:val="00327B00"/>
    <w:rsid w:val="00330EEC"/>
    <w:rsid w:val="00331614"/>
    <w:rsid w:val="003316A2"/>
    <w:rsid w:val="003316AA"/>
    <w:rsid w:val="00331951"/>
    <w:rsid w:val="00333612"/>
    <w:rsid w:val="00333F5A"/>
    <w:rsid w:val="003343CA"/>
    <w:rsid w:val="00334464"/>
    <w:rsid w:val="00335143"/>
    <w:rsid w:val="0033520E"/>
    <w:rsid w:val="003355DB"/>
    <w:rsid w:val="003360C0"/>
    <w:rsid w:val="003366BF"/>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5F3C"/>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67A"/>
    <w:rsid w:val="0036779C"/>
    <w:rsid w:val="00370079"/>
    <w:rsid w:val="00370746"/>
    <w:rsid w:val="003714B5"/>
    <w:rsid w:val="003727AA"/>
    <w:rsid w:val="003730CA"/>
    <w:rsid w:val="003733A8"/>
    <w:rsid w:val="00373482"/>
    <w:rsid w:val="00373B52"/>
    <w:rsid w:val="00373C3E"/>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6F"/>
    <w:rsid w:val="003827D4"/>
    <w:rsid w:val="00382C45"/>
    <w:rsid w:val="00383BED"/>
    <w:rsid w:val="00385827"/>
    <w:rsid w:val="00385E4B"/>
    <w:rsid w:val="0038654B"/>
    <w:rsid w:val="00386A77"/>
    <w:rsid w:val="00386B6F"/>
    <w:rsid w:val="00387676"/>
    <w:rsid w:val="00387770"/>
    <w:rsid w:val="00387F4D"/>
    <w:rsid w:val="00390418"/>
    <w:rsid w:val="003906A3"/>
    <w:rsid w:val="00390901"/>
    <w:rsid w:val="00390A55"/>
    <w:rsid w:val="00390D6E"/>
    <w:rsid w:val="00391153"/>
    <w:rsid w:val="0039119C"/>
    <w:rsid w:val="00392149"/>
    <w:rsid w:val="00392690"/>
    <w:rsid w:val="00392DE4"/>
    <w:rsid w:val="0039363C"/>
    <w:rsid w:val="0039379C"/>
    <w:rsid w:val="00393D4C"/>
    <w:rsid w:val="00394FFF"/>
    <w:rsid w:val="00396C19"/>
    <w:rsid w:val="003A1A8E"/>
    <w:rsid w:val="003A1C83"/>
    <w:rsid w:val="003A1CE5"/>
    <w:rsid w:val="003A1FAF"/>
    <w:rsid w:val="003A24EE"/>
    <w:rsid w:val="003A4F37"/>
    <w:rsid w:val="003A5B71"/>
    <w:rsid w:val="003A6060"/>
    <w:rsid w:val="003A797D"/>
    <w:rsid w:val="003A7E53"/>
    <w:rsid w:val="003B03F9"/>
    <w:rsid w:val="003B0499"/>
    <w:rsid w:val="003B14CC"/>
    <w:rsid w:val="003B16BA"/>
    <w:rsid w:val="003B25CE"/>
    <w:rsid w:val="003B2EC7"/>
    <w:rsid w:val="003B3793"/>
    <w:rsid w:val="003B436D"/>
    <w:rsid w:val="003B4CAB"/>
    <w:rsid w:val="003B6267"/>
    <w:rsid w:val="003B76FC"/>
    <w:rsid w:val="003C01E5"/>
    <w:rsid w:val="003C1D2A"/>
    <w:rsid w:val="003C1E0B"/>
    <w:rsid w:val="003C2AF5"/>
    <w:rsid w:val="003C36AD"/>
    <w:rsid w:val="003C4FF3"/>
    <w:rsid w:val="003C50FF"/>
    <w:rsid w:val="003C5BF9"/>
    <w:rsid w:val="003C6429"/>
    <w:rsid w:val="003C6DB2"/>
    <w:rsid w:val="003C7068"/>
    <w:rsid w:val="003C7240"/>
    <w:rsid w:val="003C7A1D"/>
    <w:rsid w:val="003D09AF"/>
    <w:rsid w:val="003D1587"/>
    <w:rsid w:val="003D1C4D"/>
    <w:rsid w:val="003D302B"/>
    <w:rsid w:val="003D32A3"/>
    <w:rsid w:val="003D38BA"/>
    <w:rsid w:val="003D44D8"/>
    <w:rsid w:val="003D4675"/>
    <w:rsid w:val="003D6965"/>
    <w:rsid w:val="003E04A9"/>
    <w:rsid w:val="003E0849"/>
    <w:rsid w:val="003E1E30"/>
    <w:rsid w:val="003E2182"/>
    <w:rsid w:val="003E2ACF"/>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646"/>
    <w:rsid w:val="0041072B"/>
    <w:rsid w:val="00411E24"/>
    <w:rsid w:val="00411E67"/>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55B8A"/>
    <w:rsid w:val="00460038"/>
    <w:rsid w:val="0046010D"/>
    <w:rsid w:val="004602BF"/>
    <w:rsid w:val="0046069B"/>
    <w:rsid w:val="004607F9"/>
    <w:rsid w:val="00460B47"/>
    <w:rsid w:val="00460F46"/>
    <w:rsid w:val="00461338"/>
    <w:rsid w:val="00461382"/>
    <w:rsid w:val="00462552"/>
    <w:rsid w:val="004630FD"/>
    <w:rsid w:val="00463D0F"/>
    <w:rsid w:val="0046401C"/>
    <w:rsid w:val="00464999"/>
    <w:rsid w:val="004658CB"/>
    <w:rsid w:val="00465A0C"/>
    <w:rsid w:val="004667AD"/>
    <w:rsid w:val="004668B1"/>
    <w:rsid w:val="004670CE"/>
    <w:rsid w:val="00471C43"/>
    <w:rsid w:val="00471CEF"/>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86569"/>
    <w:rsid w:val="0049006E"/>
    <w:rsid w:val="0049015B"/>
    <w:rsid w:val="004918CC"/>
    <w:rsid w:val="00492569"/>
    <w:rsid w:val="00492EA5"/>
    <w:rsid w:val="004946A1"/>
    <w:rsid w:val="00494B71"/>
    <w:rsid w:val="004962AD"/>
    <w:rsid w:val="004974CC"/>
    <w:rsid w:val="004A1110"/>
    <w:rsid w:val="004A381A"/>
    <w:rsid w:val="004A44AE"/>
    <w:rsid w:val="004A4C5E"/>
    <w:rsid w:val="004A5D0F"/>
    <w:rsid w:val="004A6E1F"/>
    <w:rsid w:val="004A7AB9"/>
    <w:rsid w:val="004A7B48"/>
    <w:rsid w:val="004B1083"/>
    <w:rsid w:val="004B2FCE"/>
    <w:rsid w:val="004B3258"/>
    <w:rsid w:val="004B32DB"/>
    <w:rsid w:val="004B339D"/>
    <w:rsid w:val="004B411D"/>
    <w:rsid w:val="004B4880"/>
    <w:rsid w:val="004B522D"/>
    <w:rsid w:val="004B580C"/>
    <w:rsid w:val="004B6147"/>
    <w:rsid w:val="004B6214"/>
    <w:rsid w:val="004B6278"/>
    <w:rsid w:val="004B7182"/>
    <w:rsid w:val="004B74DD"/>
    <w:rsid w:val="004B7850"/>
    <w:rsid w:val="004C01A9"/>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C731B"/>
    <w:rsid w:val="004D067C"/>
    <w:rsid w:val="004D072B"/>
    <w:rsid w:val="004D0C9D"/>
    <w:rsid w:val="004D1634"/>
    <w:rsid w:val="004D1A3A"/>
    <w:rsid w:val="004D265E"/>
    <w:rsid w:val="004D3FCF"/>
    <w:rsid w:val="004D5837"/>
    <w:rsid w:val="004D5C9E"/>
    <w:rsid w:val="004D7796"/>
    <w:rsid w:val="004E02B0"/>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3116"/>
    <w:rsid w:val="004F3142"/>
    <w:rsid w:val="004F4107"/>
    <w:rsid w:val="004F4817"/>
    <w:rsid w:val="004F4CE8"/>
    <w:rsid w:val="004F5CFF"/>
    <w:rsid w:val="004F5E5D"/>
    <w:rsid w:val="005005CA"/>
    <w:rsid w:val="00503F0C"/>
    <w:rsid w:val="005049C2"/>
    <w:rsid w:val="00505000"/>
    <w:rsid w:val="00505A5F"/>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92D"/>
    <w:rsid w:val="00567C7B"/>
    <w:rsid w:val="00570A77"/>
    <w:rsid w:val="005713D9"/>
    <w:rsid w:val="00573793"/>
    <w:rsid w:val="00573BFA"/>
    <w:rsid w:val="0057417D"/>
    <w:rsid w:val="00576042"/>
    <w:rsid w:val="00576110"/>
    <w:rsid w:val="00576136"/>
    <w:rsid w:val="00577870"/>
    <w:rsid w:val="0058030A"/>
    <w:rsid w:val="00580D3A"/>
    <w:rsid w:val="0058170B"/>
    <w:rsid w:val="00581D96"/>
    <w:rsid w:val="00584303"/>
    <w:rsid w:val="00584D60"/>
    <w:rsid w:val="0058516E"/>
    <w:rsid w:val="005851F3"/>
    <w:rsid w:val="00586659"/>
    <w:rsid w:val="00586CFF"/>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04D"/>
    <w:rsid w:val="005B4E15"/>
    <w:rsid w:val="005B5A7C"/>
    <w:rsid w:val="005B7348"/>
    <w:rsid w:val="005B79A8"/>
    <w:rsid w:val="005B7D6F"/>
    <w:rsid w:val="005C0C02"/>
    <w:rsid w:val="005C0E14"/>
    <w:rsid w:val="005C14DC"/>
    <w:rsid w:val="005C21FF"/>
    <w:rsid w:val="005C3BA3"/>
    <w:rsid w:val="005C4719"/>
    <w:rsid w:val="005C486A"/>
    <w:rsid w:val="005C528A"/>
    <w:rsid w:val="005C53AD"/>
    <w:rsid w:val="005C5B8B"/>
    <w:rsid w:val="005C5C66"/>
    <w:rsid w:val="005C62AB"/>
    <w:rsid w:val="005C709B"/>
    <w:rsid w:val="005C7C3E"/>
    <w:rsid w:val="005C7C54"/>
    <w:rsid w:val="005D0271"/>
    <w:rsid w:val="005D03FC"/>
    <w:rsid w:val="005D1EE1"/>
    <w:rsid w:val="005D2E94"/>
    <w:rsid w:val="005D32B9"/>
    <w:rsid w:val="005D3FF4"/>
    <w:rsid w:val="005D4094"/>
    <w:rsid w:val="005D4866"/>
    <w:rsid w:val="005D50B8"/>
    <w:rsid w:val="005D5F29"/>
    <w:rsid w:val="005E0B12"/>
    <w:rsid w:val="005E2723"/>
    <w:rsid w:val="005E2911"/>
    <w:rsid w:val="005E3224"/>
    <w:rsid w:val="005E3267"/>
    <w:rsid w:val="005E37AB"/>
    <w:rsid w:val="005E3CB5"/>
    <w:rsid w:val="005E645C"/>
    <w:rsid w:val="005E7A4E"/>
    <w:rsid w:val="005F0D9A"/>
    <w:rsid w:val="005F1EFE"/>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B76"/>
    <w:rsid w:val="00615D13"/>
    <w:rsid w:val="00615F86"/>
    <w:rsid w:val="00616603"/>
    <w:rsid w:val="00620A41"/>
    <w:rsid w:val="00620B18"/>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37A5E"/>
    <w:rsid w:val="00641F14"/>
    <w:rsid w:val="00642501"/>
    <w:rsid w:val="0064308A"/>
    <w:rsid w:val="00643FD1"/>
    <w:rsid w:val="00644099"/>
    <w:rsid w:val="00644E89"/>
    <w:rsid w:val="00645F55"/>
    <w:rsid w:val="00646A25"/>
    <w:rsid w:val="006476B7"/>
    <w:rsid w:val="006510E8"/>
    <w:rsid w:val="006516DC"/>
    <w:rsid w:val="00651C53"/>
    <w:rsid w:val="0065308D"/>
    <w:rsid w:val="006531EA"/>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4C2B"/>
    <w:rsid w:val="006756EF"/>
    <w:rsid w:val="00675B4E"/>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3B4"/>
    <w:rsid w:val="00690638"/>
    <w:rsid w:val="00691076"/>
    <w:rsid w:val="00691098"/>
    <w:rsid w:val="00691980"/>
    <w:rsid w:val="00693E86"/>
    <w:rsid w:val="00694648"/>
    <w:rsid w:val="00694808"/>
    <w:rsid w:val="0069481D"/>
    <w:rsid w:val="00694B5F"/>
    <w:rsid w:val="00694C91"/>
    <w:rsid w:val="00695104"/>
    <w:rsid w:val="00695489"/>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37D"/>
    <w:rsid w:val="006A753C"/>
    <w:rsid w:val="006B0351"/>
    <w:rsid w:val="006B0578"/>
    <w:rsid w:val="006B174A"/>
    <w:rsid w:val="006B2A74"/>
    <w:rsid w:val="006B2C55"/>
    <w:rsid w:val="006B32A5"/>
    <w:rsid w:val="006B463A"/>
    <w:rsid w:val="006B5339"/>
    <w:rsid w:val="006B5367"/>
    <w:rsid w:val="006B54DA"/>
    <w:rsid w:val="006B5D9B"/>
    <w:rsid w:val="006B5EF9"/>
    <w:rsid w:val="006B66C8"/>
    <w:rsid w:val="006B705F"/>
    <w:rsid w:val="006B7579"/>
    <w:rsid w:val="006B7FDD"/>
    <w:rsid w:val="006C012F"/>
    <w:rsid w:val="006C05A8"/>
    <w:rsid w:val="006C0731"/>
    <w:rsid w:val="006C1DF0"/>
    <w:rsid w:val="006C2830"/>
    <w:rsid w:val="006C490B"/>
    <w:rsid w:val="006C5277"/>
    <w:rsid w:val="006C61AA"/>
    <w:rsid w:val="006C6996"/>
    <w:rsid w:val="006D1EB4"/>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61DF"/>
    <w:rsid w:val="007272AF"/>
    <w:rsid w:val="007272F7"/>
    <w:rsid w:val="00730B1B"/>
    <w:rsid w:val="007312DA"/>
    <w:rsid w:val="0073162E"/>
    <w:rsid w:val="00731D13"/>
    <w:rsid w:val="00732771"/>
    <w:rsid w:val="00733DE6"/>
    <w:rsid w:val="00733FE4"/>
    <w:rsid w:val="007349FD"/>
    <w:rsid w:val="00734A42"/>
    <w:rsid w:val="00737C5E"/>
    <w:rsid w:val="00737D64"/>
    <w:rsid w:val="00740DCB"/>
    <w:rsid w:val="007424E4"/>
    <w:rsid w:val="00742777"/>
    <w:rsid w:val="00742D47"/>
    <w:rsid w:val="007432E5"/>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43D"/>
    <w:rsid w:val="007618D8"/>
    <w:rsid w:val="0076208F"/>
    <w:rsid w:val="007625DB"/>
    <w:rsid w:val="00762A69"/>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A8C"/>
    <w:rsid w:val="00773B01"/>
    <w:rsid w:val="00774875"/>
    <w:rsid w:val="00774E2D"/>
    <w:rsid w:val="00774F6E"/>
    <w:rsid w:val="007802A7"/>
    <w:rsid w:val="00780A01"/>
    <w:rsid w:val="00780F12"/>
    <w:rsid w:val="007813CF"/>
    <w:rsid w:val="0078213C"/>
    <w:rsid w:val="0078237E"/>
    <w:rsid w:val="00782773"/>
    <w:rsid w:val="00782936"/>
    <w:rsid w:val="0078381E"/>
    <w:rsid w:val="007844C8"/>
    <w:rsid w:val="0078470F"/>
    <w:rsid w:val="007855F1"/>
    <w:rsid w:val="00785690"/>
    <w:rsid w:val="00790178"/>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1504"/>
    <w:rsid w:val="007D20D1"/>
    <w:rsid w:val="007D2649"/>
    <w:rsid w:val="007D269D"/>
    <w:rsid w:val="007D3189"/>
    <w:rsid w:val="007D4838"/>
    <w:rsid w:val="007D51D1"/>
    <w:rsid w:val="007D548E"/>
    <w:rsid w:val="007D6896"/>
    <w:rsid w:val="007D7D0D"/>
    <w:rsid w:val="007D7E77"/>
    <w:rsid w:val="007E022F"/>
    <w:rsid w:val="007E0419"/>
    <w:rsid w:val="007E0A1D"/>
    <w:rsid w:val="007E19D9"/>
    <w:rsid w:val="007E22AA"/>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36C7"/>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72E"/>
    <w:rsid w:val="00843E13"/>
    <w:rsid w:val="00844277"/>
    <w:rsid w:val="00844DE2"/>
    <w:rsid w:val="00844E9F"/>
    <w:rsid w:val="008477BC"/>
    <w:rsid w:val="008477D1"/>
    <w:rsid w:val="008500B8"/>
    <w:rsid w:val="00853B3C"/>
    <w:rsid w:val="00853BF2"/>
    <w:rsid w:val="00854307"/>
    <w:rsid w:val="008571D8"/>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6421"/>
    <w:rsid w:val="00877D18"/>
    <w:rsid w:val="0088034E"/>
    <w:rsid w:val="0088059E"/>
    <w:rsid w:val="00880A20"/>
    <w:rsid w:val="00881014"/>
    <w:rsid w:val="00881613"/>
    <w:rsid w:val="008819D7"/>
    <w:rsid w:val="00882328"/>
    <w:rsid w:val="00882CE4"/>
    <w:rsid w:val="00883B90"/>
    <w:rsid w:val="008842B3"/>
    <w:rsid w:val="00884581"/>
    <w:rsid w:val="008848A4"/>
    <w:rsid w:val="00885487"/>
    <w:rsid w:val="0088623C"/>
    <w:rsid w:val="00887001"/>
    <w:rsid w:val="008875EC"/>
    <w:rsid w:val="008876A1"/>
    <w:rsid w:val="00887A30"/>
    <w:rsid w:val="00890833"/>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217"/>
    <w:rsid w:val="008A084B"/>
    <w:rsid w:val="008A0BEC"/>
    <w:rsid w:val="008A1976"/>
    <w:rsid w:val="008A290A"/>
    <w:rsid w:val="008A3A8C"/>
    <w:rsid w:val="008A44AB"/>
    <w:rsid w:val="008A5646"/>
    <w:rsid w:val="008A5E75"/>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24F1"/>
    <w:rsid w:val="008D3303"/>
    <w:rsid w:val="008D33DB"/>
    <w:rsid w:val="008D3CBB"/>
    <w:rsid w:val="008D489B"/>
    <w:rsid w:val="008D5020"/>
    <w:rsid w:val="008D6086"/>
    <w:rsid w:val="008D6221"/>
    <w:rsid w:val="008D6FA8"/>
    <w:rsid w:val="008E0008"/>
    <w:rsid w:val="008E0F4C"/>
    <w:rsid w:val="008E111A"/>
    <w:rsid w:val="008E1189"/>
    <w:rsid w:val="008E1259"/>
    <w:rsid w:val="008E265B"/>
    <w:rsid w:val="008E31C0"/>
    <w:rsid w:val="008E3C48"/>
    <w:rsid w:val="008E3C68"/>
    <w:rsid w:val="008E4E76"/>
    <w:rsid w:val="008E5C69"/>
    <w:rsid w:val="008E65EC"/>
    <w:rsid w:val="008E6792"/>
    <w:rsid w:val="008E7021"/>
    <w:rsid w:val="008E7ED9"/>
    <w:rsid w:val="008F0545"/>
    <w:rsid w:val="008F0C15"/>
    <w:rsid w:val="008F1365"/>
    <w:rsid w:val="008F1512"/>
    <w:rsid w:val="008F1903"/>
    <w:rsid w:val="008F1D6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6E1F"/>
    <w:rsid w:val="00917B17"/>
    <w:rsid w:val="00920CBB"/>
    <w:rsid w:val="009215B3"/>
    <w:rsid w:val="009216C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D58"/>
    <w:rsid w:val="00960E15"/>
    <w:rsid w:val="009615D9"/>
    <w:rsid w:val="00961831"/>
    <w:rsid w:val="0096221C"/>
    <w:rsid w:val="00962495"/>
    <w:rsid w:val="009624B9"/>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0CCD"/>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1B21"/>
    <w:rsid w:val="009A28C4"/>
    <w:rsid w:val="009A36FE"/>
    <w:rsid w:val="009A4126"/>
    <w:rsid w:val="009A48AF"/>
    <w:rsid w:val="009A6664"/>
    <w:rsid w:val="009A6AA6"/>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534F"/>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2DB5"/>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78"/>
    <w:rsid w:val="00A444D0"/>
    <w:rsid w:val="00A44AC4"/>
    <w:rsid w:val="00A450FD"/>
    <w:rsid w:val="00A45114"/>
    <w:rsid w:val="00A4524F"/>
    <w:rsid w:val="00A45AC9"/>
    <w:rsid w:val="00A4620E"/>
    <w:rsid w:val="00A467FD"/>
    <w:rsid w:val="00A46894"/>
    <w:rsid w:val="00A501B7"/>
    <w:rsid w:val="00A50BD4"/>
    <w:rsid w:val="00A516DD"/>
    <w:rsid w:val="00A51E34"/>
    <w:rsid w:val="00A52588"/>
    <w:rsid w:val="00A567D2"/>
    <w:rsid w:val="00A5688F"/>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3087"/>
    <w:rsid w:val="00A738A9"/>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66"/>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3A4"/>
    <w:rsid w:val="00AB1E5B"/>
    <w:rsid w:val="00AB227C"/>
    <w:rsid w:val="00AB2B6F"/>
    <w:rsid w:val="00AB3477"/>
    <w:rsid w:val="00AB357C"/>
    <w:rsid w:val="00AB44E6"/>
    <w:rsid w:val="00AB4A2B"/>
    <w:rsid w:val="00AB572F"/>
    <w:rsid w:val="00AB60CD"/>
    <w:rsid w:val="00AB6F2C"/>
    <w:rsid w:val="00AB7B80"/>
    <w:rsid w:val="00AC048B"/>
    <w:rsid w:val="00AC0D25"/>
    <w:rsid w:val="00AC1C9C"/>
    <w:rsid w:val="00AC267E"/>
    <w:rsid w:val="00AC2712"/>
    <w:rsid w:val="00AC3246"/>
    <w:rsid w:val="00AC3398"/>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2C2"/>
    <w:rsid w:val="00AD2377"/>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4E43"/>
    <w:rsid w:val="00AE5C9B"/>
    <w:rsid w:val="00AE6772"/>
    <w:rsid w:val="00AE737F"/>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3D13"/>
    <w:rsid w:val="00B04C8D"/>
    <w:rsid w:val="00B04D5F"/>
    <w:rsid w:val="00B05154"/>
    <w:rsid w:val="00B0534F"/>
    <w:rsid w:val="00B05DCC"/>
    <w:rsid w:val="00B12215"/>
    <w:rsid w:val="00B12BE1"/>
    <w:rsid w:val="00B13674"/>
    <w:rsid w:val="00B13953"/>
    <w:rsid w:val="00B15378"/>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1C5"/>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29E"/>
    <w:rsid w:val="00B857BB"/>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3E3C"/>
    <w:rsid w:val="00BA440E"/>
    <w:rsid w:val="00BA46D5"/>
    <w:rsid w:val="00BA4761"/>
    <w:rsid w:val="00BA5988"/>
    <w:rsid w:val="00BA59D9"/>
    <w:rsid w:val="00BA5EA9"/>
    <w:rsid w:val="00BA6677"/>
    <w:rsid w:val="00BA6CF0"/>
    <w:rsid w:val="00BA7B5F"/>
    <w:rsid w:val="00BA7D53"/>
    <w:rsid w:val="00BB07CA"/>
    <w:rsid w:val="00BB13B0"/>
    <w:rsid w:val="00BB2243"/>
    <w:rsid w:val="00BB2472"/>
    <w:rsid w:val="00BB26BD"/>
    <w:rsid w:val="00BB3071"/>
    <w:rsid w:val="00BB4DA8"/>
    <w:rsid w:val="00BB594D"/>
    <w:rsid w:val="00BB5C9B"/>
    <w:rsid w:val="00BB654C"/>
    <w:rsid w:val="00BB7259"/>
    <w:rsid w:val="00BB78E4"/>
    <w:rsid w:val="00BB7D10"/>
    <w:rsid w:val="00BC08F9"/>
    <w:rsid w:val="00BC2FB5"/>
    <w:rsid w:val="00BC3323"/>
    <w:rsid w:val="00BC5E4C"/>
    <w:rsid w:val="00BC7E1A"/>
    <w:rsid w:val="00BD0CCA"/>
    <w:rsid w:val="00BD0E1B"/>
    <w:rsid w:val="00BD14DA"/>
    <w:rsid w:val="00BD1520"/>
    <w:rsid w:val="00BD16A2"/>
    <w:rsid w:val="00BD17B8"/>
    <w:rsid w:val="00BD4A82"/>
    <w:rsid w:val="00BD4AF5"/>
    <w:rsid w:val="00BD581A"/>
    <w:rsid w:val="00BD6B29"/>
    <w:rsid w:val="00BD7E61"/>
    <w:rsid w:val="00BE002D"/>
    <w:rsid w:val="00BE021F"/>
    <w:rsid w:val="00BE0B77"/>
    <w:rsid w:val="00BE1113"/>
    <w:rsid w:val="00BE2894"/>
    <w:rsid w:val="00BE28BA"/>
    <w:rsid w:val="00BE418D"/>
    <w:rsid w:val="00BE43EF"/>
    <w:rsid w:val="00BE4D39"/>
    <w:rsid w:val="00BE6C75"/>
    <w:rsid w:val="00BE6CE2"/>
    <w:rsid w:val="00BE6E37"/>
    <w:rsid w:val="00BE6F01"/>
    <w:rsid w:val="00BF024E"/>
    <w:rsid w:val="00BF0CD5"/>
    <w:rsid w:val="00BF2BAC"/>
    <w:rsid w:val="00BF35F2"/>
    <w:rsid w:val="00BF3885"/>
    <w:rsid w:val="00BF4700"/>
    <w:rsid w:val="00BF5832"/>
    <w:rsid w:val="00BF60FB"/>
    <w:rsid w:val="00BF61DA"/>
    <w:rsid w:val="00BF7616"/>
    <w:rsid w:val="00C012D5"/>
    <w:rsid w:val="00C03ECB"/>
    <w:rsid w:val="00C0410F"/>
    <w:rsid w:val="00C04D71"/>
    <w:rsid w:val="00C04FAE"/>
    <w:rsid w:val="00C055D0"/>
    <w:rsid w:val="00C05A43"/>
    <w:rsid w:val="00C05BD9"/>
    <w:rsid w:val="00C06C13"/>
    <w:rsid w:val="00C074CA"/>
    <w:rsid w:val="00C11480"/>
    <w:rsid w:val="00C1189D"/>
    <w:rsid w:val="00C120BB"/>
    <w:rsid w:val="00C12496"/>
    <w:rsid w:val="00C124FE"/>
    <w:rsid w:val="00C12A5C"/>
    <w:rsid w:val="00C1366B"/>
    <w:rsid w:val="00C136D9"/>
    <w:rsid w:val="00C14522"/>
    <w:rsid w:val="00C149D9"/>
    <w:rsid w:val="00C164E0"/>
    <w:rsid w:val="00C16774"/>
    <w:rsid w:val="00C16FDB"/>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47D48"/>
    <w:rsid w:val="00C5028A"/>
    <w:rsid w:val="00C504A0"/>
    <w:rsid w:val="00C50777"/>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76EE1"/>
    <w:rsid w:val="00C770C8"/>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402"/>
    <w:rsid w:val="00CA1540"/>
    <w:rsid w:val="00CA1659"/>
    <w:rsid w:val="00CA2763"/>
    <w:rsid w:val="00CA3355"/>
    <w:rsid w:val="00CA3699"/>
    <w:rsid w:val="00CA3BB0"/>
    <w:rsid w:val="00CA3D6A"/>
    <w:rsid w:val="00CA4DA6"/>
    <w:rsid w:val="00CA51A1"/>
    <w:rsid w:val="00CA6301"/>
    <w:rsid w:val="00CA6755"/>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0AE"/>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17B"/>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2FB"/>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3DF9"/>
    <w:rsid w:val="00D74EA2"/>
    <w:rsid w:val="00D75089"/>
    <w:rsid w:val="00D75A42"/>
    <w:rsid w:val="00D77FA4"/>
    <w:rsid w:val="00D81951"/>
    <w:rsid w:val="00D819E4"/>
    <w:rsid w:val="00D829CD"/>
    <w:rsid w:val="00D8305D"/>
    <w:rsid w:val="00D83759"/>
    <w:rsid w:val="00D84259"/>
    <w:rsid w:val="00D842AF"/>
    <w:rsid w:val="00D844AF"/>
    <w:rsid w:val="00D849CC"/>
    <w:rsid w:val="00D85D34"/>
    <w:rsid w:val="00D86AB3"/>
    <w:rsid w:val="00D86C25"/>
    <w:rsid w:val="00D86D1E"/>
    <w:rsid w:val="00D87115"/>
    <w:rsid w:val="00D87B1F"/>
    <w:rsid w:val="00D9013D"/>
    <w:rsid w:val="00D90539"/>
    <w:rsid w:val="00D9069E"/>
    <w:rsid w:val="00D90B62"/>
    <w:rsid w:val="00D912FA"/>
    <w:rsid w:val="00D91A28"/>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0A8"/>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4EB3"/>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962"/>
    <w:rsid w:val="00DD5F88"/>
    <w:rsid w:val="00DD6AF7"/>
    <w:rsid w:val="00DD7F04"/>
    <w:rsid w:val="00DE03AC"/>
    <w:rsid w:val="00DE0744"/>
    <w:rsid w:val="00DE0912"/>
    <w:rsid w:val="00DE0CE7"/>
    <w:rsid w:val="00DE0CED"/>
    <w:rsid w:val="00DE11AA"/>
    <w:rsid w:val="00DE250C"/>
    <w:rsid w:val="00DE2D9B"/>
    <w:rsid w:val="00DE328C"/>
    <w:rsid w:val="00DE35DC"/>
    <w:rsid w:val="00DE3B77"/>
    <w:rsid w:val="00DE4C68"/>
    <w:rsid w:val="00DE5439"/>
    <w:rsid w:val="00DE547D"/>
    <w:rsid w:val="00DE69D6"/>
    <w:rsid w:val="00DE6D58"/>
    <w:rsid w:val="00DE7091"/>
    <w:rsid w:val="00DE747A"/>
    <w:rsid w:val="00DE7C48"/>
    <w:rsid w:val="00DE7F94"/>
    <w:rsid w:val="00DF05BF"/>
    <w:rsid w:val="00DF0BFC"/>
    <w:rsid w:val="00DF1933"/>
    <w:rsid w:val="00DF2054"/>
    <w:rsid w:val="00DF2B2F"/>
    <w:rsid w:val="00DF383A"/>
    <w:rsid w:val="00DF3C46"/>
    <w:rsid w:val="00DF40D5"/>
    <w:rsid w:val="00DF58A6"/>
    <w:rsid w:val="00DF7B68"/>
    <w:rsid w:val="00E006FE"/>
    <w:rsid w:val="00E00923"/>
    <w:rsid w:val="00E00A9F"/>
    <w:rsid w:val="00E02DFF"/>
    <w:rsid w:val="00E03F70"/>
    <w:rsid w:val="00E042CE"/>
    <w:rsid w:val="00E0556F"/>
    <w:rsid w:val="00E055A6"/>
    <w:rsid w:val="00E10940"/>
    <w:rsid w:val="00E112B0"/>
    <w:rsid w:val="00E11603"/>
    <w:rsid w:val="00E12696"/>
    <w:rsid w:val="00E12FC8"/>
    <w:rsid w:val="00E130DF"/>
    <w:rsid w:val="00E13276"/>
    <w:rsid w:val="00E133DB"/>
    <w:rsid w:val="00E140D6"/>
    <w:rsid w:val="00E14B8C"/>
    <w:rsid w:val="00E163FB"/>
    <w:rsid w:val="00E1664D"/>
    <w:rsid w:val="00E16941"/>
    <w:rsid w:val="00E16BC3"/>
    <w:rsid w:val="00E20B42"/>
    <w:rsid w:val="00E22006"/>
    <w:rsid w:val="00E2221B"/>
    <w:rsid w:val="00E22A59"/>
    <w:rsid w:val="00E232C4"/>
    <w:rsid w:val="00E236A0"/>
    <w:rsid w:val="00E26279"/>
    <w:rsid w:val="00E27B8C"/>
    <w:rsid w:val="00E3247D"/>
    <w:rsid w:val="00E329E8"/>
    <w:rsid w:val="00E32C2F"/>
    <w:rsid w:val="00E32E78"/>
    <w:rsid w:val="00E33305"/>
    <w:rsid w:val="00E3376D"/>
    <w:rsid w:val="00E33A5A"/>
    <w:rsid w:val="00E342A5"/>
    <w:rsid w:val="00E346CB"/>
    <w:rsid w:val="00E35217"/>
    <w:rsid w:val="00E35B6F"/>
    <w:rsid w:val="00E373F6"/>
    <w:rsid w:val="00E37DFC"/>
    <w:rsid w:val="00E37E76"/>
    <w:rsid w:val="00E400E0"/>
    <w:rsid w:val="00E410E7"/>
    <w:rsid w:val="00E417AC"/>
    <w:rsid w:val="00E41B52"/>
    <w:rsid w:val="00E433B4"/>
    <w:rsid w:val="00E43BE7"/>
    <w:rsid w:val="00E44618"/>
    <w:rsid w:val="00E4489E"/>
    <w:rsid w:val="00E453E2"/>
    <w:rsid w:val="00E46769"/>
    <w:rsid w:val="00E4694A"/>
    <w:rsid w:val="00E4701A"/>
    <w:rsid w:val="00E5115E"/>
    <w:rsid w:val="00E512E4"/>
    <w:rsid w:val="00E51AA6"/>
    <w:rsid w:val="00E523AB"/>
    <w:rsid w:val="00E53016"/>
    <w:rsid w:val="00E530BF"/>
    <w:rsid w:val="00E53911"/>
    <w:rsid w:val="00E53AD9"/>
    <w:rsid w:val="00E53EDA"/>
    <w:rsid w:val="00E546B0"/>
    <w:rsid w:val="00E54C1A"/>
    <w:rsid w:val="00E54E1B"/>
    <w:rsid w:val="00E56538"/>
    <w:rsid w:val="00E56A0C"/>
    <w:rsid w:val="00E57FD7"/>
    <w:rsid w:val="00E605CA"/>
    <w:rsid w:val="00E60D97"/>
    <w:rsid w:val="00E62D0A"/>
    <w:rsid w:val="00E63ADC"/>
    <w:rsid w:val="00E63E8F"/>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1A0A"/>
    <w:rsid w:val="00E82BAE"/>
    <w:rsid w:val="00E84074"/>
    <w:rsid w:val="00E84877"/>
    <w:rsid w:val="00E84A88"/>
    <w:rsid w:val="00E84B10"/>
    <w:rsid w:val="00E85453"/>
    <w:rsid w:val="00E863F8"/>
    <w:rsid w:val="00E86CC2"/>
    <w:rsid w:val="00E86D7E"/>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2740"/>
    <w:rsid w:val="00EA42C7"/>
    <w:rsid w:val="00EA4449"/>
    <w:rsid w:val="00EA4579"/>
    <w:rsid w:val="00EA5675"/>
    <w:rsid w:val="00EA582D"/>
    <w:rsid w:val="00EA66D1"/>
    <w:rsid w:val="00EA7677"/>
    <w:rsid w:val="00EB0F98"/>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5B8B"/>
    <w:rsid w:val="00EC6E5C"/>
    <w:rsid w:val="00EC6F9C"/>
    <w:rsid w:val="00EC7131"/>
    <w:rsid w:val="00EC720E"/>
    <w:rsid w:val="00EC7C65"/>
    <w:rsid w:val="00EC7F98"/>
    <w:rsid w:val="00ED2248"/>
    <w:rsid w:val="00ED2483"/>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3AF"/>
    <w:rsid w:val="00EF0BB8"/>
    <w:rsid w:val="00EF0E62"/>
    <w:rsid w:val="00EF0EBF"/>
    <w:rsid w:val="00EF1922"/>
    <w:rsid w:val="00EF1FC9"/>
    <w:rsid w:val="00EF262F"/>
    <w:rsid w:val="00EF2817"/>
    <w:rsid w:val="00EF29B5"/>
    <w:rsid w:val="00EF2A7B"/>
    <w:rsid w:val="00EF3BA9"/>
    <w:rsid w:val="00EF4457"/>
    <w:rsid w:val="00EF479A"/>
    <w:rsid w:val="00EF4D8E"/>
    <w:rsid w:val="00EF52FD"/>
    <w:rsid w:val="00EF5B50"/>
    <w:rsid w:val="00EF63E9"/>
    <w:rsid w:val="00EF6CBB"/>
    <w:rsid w:val="00EF7015"/>
    <w:rsid w:val="00EF7271"/>
    <w:rsid w:val="00EF7A2C"/>
    <w:rsid w:val="00F001FE"/>
    <w:rsid w:val="00F00500"/>
    <w:rsid w:val="00F0063B"/>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62D"/>
    <w:rsid w:val="00F11B1D"/>
    <w:rsid w:val="00F1226A"/>
    <w:rsid w:val="00F1258C"/>
    <w:rsid w:val="00F131AB"/>
    <w:rsid w:val="00F151AC"/>
    <w:rsid w:val="00F15514"/>
    <w:rsid w:val="00F1568B"/>
    <w:rsid w:val="00F16B36"/>
    <w:rsid w:val="00F17B6E"/>
    <w:rsid w:val="00F2036F"/>
    <w:rsid w:val="00F21178"/>
    <w:rsid w:val="00F216E3"/>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4E5"/>
    <w:rsid w:val="00F508E4"/>
    <w:rsid w:val="00F51128"/>
    <w:rsid w:val="00F5277E"/>
    <w:rsid w:val="00F55257"/>
    <w:rsid w:val="00F553A9"/>
    <w:rsid w:val="00F5566B"/>
    <w:rsid w:val="00F558A7"/>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4E32"/>
    <w:rsid w:val="00F75724"/>
    <w:rsid w:val="00F75DAA"/>
    <w:rsid w:val="00F75EFE"/>
    <w:rsid w:val="00F76380"/>
    <w:rsid w:val="00F76509"/>
    <w:rsid w:val="00F7659A"/>
    <w:rsid w:val="00F7681B"/>
    <w:rsid w:val="00F76EDB"/>
    <w:rsid w:val="00F7717A"/>
    <w:rsid w:val="00F77419"/>
    <w:rsid w:val="00F80AB8"/>
    <w:rsid w:val="00F812D5"/>
    <w:rsid w:val="00F836BB"/>
    <w:rsid w:val="00F839E4"/>
    <w:rsid w:val="00F851C1"/>
    <w:rsid w:val="00F85C26"/>
    <w:rsid w:val="00F86142"/>
    <w:rsid w:val="00F8653B"/>
    <w:rsid w:val="00F8753B"/>
    <w:rsid w:val="00F878E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0678"/>
    <w:rsid w:val="00FB1492"/>
    <w:rsid w:val="00FB1BF3"/>
    <w:rsid w:val="00FB1C90"/>
    <w:rsid w:val="00FB1EA1"/>
    <w:rsid w:val="00FB2E6A"/>
    <w:rsid w:val="00FB30ED"/>
    <w:rsid w:val="00FB3ADF"/>
    <w:rsid w:val="00FB4720"/>
    <w:rsid w:val="00FB4753"/>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5A32"/>
    <w:rsid w:val="00FC5E97"/>
    <w:rsid w:val="00FC6FC5"/>
    <w:rsid w:val="00FC747E"/>
    <w:rsid w:val="00FC74B8"/>
    <w:rsid w:val="00FC7793"/>
    <w:rsid w:val="00FD134E"/>
    <w:rsid w:val="00FD173C"/>
    <w:rsid w:val="00FD1750"/>
    <w:rsid w:val="00FD1DD8"/>
    <w:rsid w:val="00FD34D9"/>
    <w:rsid w:val="00FD3553"/>
    <w:rsid w:val="00FD3564"/>
    <w:rsid w:val="00FD480F"/>
    <w:rsid w:val="00FD487A"/>
    <w:rsid w:val="00FD589D"/>
    <w:rsid w:val="00FD751A"/>
    <w:rsid w:val="00FD7828"/>
    <w:rsid w:val="00FE0B38"/>
    <w:rsid w:val="00FE1206"/>
    <w:rsid w:val="00FE1634"/>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F04E5"/>
    <w:rsid w:val="0195644C"/>
    <w:rsid w:val="019E4202"/>
    <w:rsid w:val="01B6351C"/>
    <w:rsid w:val="01B87B26"/>
    <w:rsid w:val="0255198A"/>
    <w:rsid w:val="026A3CE8"/>
    <w:rsid w:val="027423B3"/>
    <w:rsid w:val="02775E4F"/>
    <w:rsid w:val="028E7BDF"/>
    <w:rsid w:val="02D34744"/>
    <w:rsid w:val="040B72C3"/>
    <w:rsid w:val="045D436B"/>
    <w:rsid w:val="04B05277"/>
    <w:rsid w:val="050D4295"/>
    <w:rsid w:val="051A712F"/>
    <w:rsid w:val="05371AF0"/>
    <w:rsid w:val="0548574A"/>
    <w:rsid w:val="05544350"/>
    <w:rsid w:val="063F6ACE"/>
    <w:rsid w:val="074E6108"/>
    <w:rsid w:val="07EF451C"/>
    <w:rsid w:val="08055CAB"/>
    <w:rsid w:val="08305869"/>
    <w:rsid w:val="08E421C5"/>
    <w:rsid w:val="08EA0881"/>
    <w:rsid w:val="08F06F60"/>
    <w:rsid w:val="0A425D09"/>
    <w:rsid w:val="0A615213"/>
    <w:rsid w:val="0AD361DF"/>
    <w:rsid w:val="0AFD2C6A"/>
    <w:rsid w:val="0BCE4606"/>
    <w:rsid w:val="0CCE5B94"/>
    <w:rsid w:val="0D3F1B32"/>
    <w:rsid w:val="0D4D7D18"/>
    <w:rsid w:val="0E80417D"/>
    <w:rsid w:val="0EF56D77"/>
    <w:rsid w:val="0F2C78B5"/>
    <w:rsid w:val="0F5372FC"/>
    <w:rsid w:val="0FB2671F"/>
    <w:rsid w:val="0FBF4B97"/>
    <w:rsid w:val="0FFA00C0"/>
    <w:rsid w:val="10130368"/>
    <w:rsid w:val="105A290D"/>
    <w:rsid w:val="1061783B"/>
    <w:rsid w:val="10BF71E9"/>
    <w:rsid w:val="10EA3F9B"/>
    <w:rsid w:val="11105DEF"/>
    <w:rsid w:val="1132247A"/>
    <w:rsid w:val="1204469C"/>
    <w:rsid w:val="121E04E8"/>
    <w:rsid w:val="12200177"/>
    <w:rsid w:val="12614426"/>
    <w:rsid w:val="126D2DCB"/>
    <w:rsid w:val="126E04C4"/>
    <w:rsid w:val="130D010A"/>
    <w:rsid w:val="1405689D"/>
    <w:rsid w:val="148A3994"/>
    <w:rsid w:val="14AD4DB8"/>
    <w:rsid w:val="1575329A"/>
    <w:rsid w:val="15EC220C"/>
    <w:rsid w:val="162D4D4B"/>
    <w:rsid w:val="163559AE"/>
    <w:rsid w:val="1675178C"/>
    <w:rsid w:val="169D0609"/>
    <w:rsid w:val="169D2929"/>
    <w:rsid w:val="176210B1"/>
    <w:rsid w:val="17DE75B6"/>
    <w:rsid w:val="17DF1F62"/>
    <w:rsid w:val="180D5792"/>
    <w:rsid w:val="186576DB"/>
    <w:rsid w:val="1870581D"/>
    <w:rsid w:val="18F819F5"/>
    <w:rsid w:val="19940024"/>
    <w:rsid w:val="1A0261F3"/>
    <w:rsid w:val="1ADC3C25"/>
    <w:rsid w:val="1B522B5E"/>
    <w:rsid w:val="1C8C41A9"/>
    <w:rsid w:val="1C982E58"/>
    <w:rsid w:val="1CA173F9"/>
    <w:rsid w:val="1CB338B2"/>
    <w:rsid w:val="1D2A5E93"/>
    <w:rsid w:val="1D512F10"/>
    <w:rsid w:val="1D644556"/>
    <w:rsid w:val="1D940A91"/>
    <w:rsid w:val="1DC645B1"/>
    <w:rsid w:val="1DC96A0D"/>
    <w:rsid w:val="1DDF0CC3"/>
    <w:rsid w:val="1DED13A1"/>
    <w:rsid w:val="1DFE291F"/>
    <w:rsid w:val="1E385966"/>
    <w:rsid w:val="1FA73631"/>
    <w:rsid w:val="1FFE4F05"/>
    <w:rsid w:val="201448F3"/>
    <w:rsid w:val="203F49D3"/>
    <w:rsid w:val="205F5715"/>
    <w:rsid w:val="206B2007"/>
    <w:rsid w:val="207C4233"/>
    <w:rsid w:val="20C20C31"/>
    <w:rsid w:val="20C84D12"/>
    <w:rsid w:val="20D81C41"/>
    <w:rsid w:val="21156B08"/>
    <w:rsid w:val="21543824"/>
    <w:rsid w:val="219238CC"/>
    <w:rsid w:val="227F3C44"/>
    <w:rsid w:val="22D14F53"/>
    <w:rsid w:val="232E07E1"/>
    <w:rsid w:val="23CD2672"/>
    <w:rsid w:val="24091A90"/>
    <w:rsid w:val="240E27FB"/>
    <w:rsid w:val="24743B45"/>
    <w:rsid w:val="25011339"/>
    <w:rsid w:val="252B661C"/>
    <w:rsid w:val="25934F58"/>
    <w:rsid w:val="25F413E1"/>
    <w:rsid w:val="26031625"/>
    <w:rsid w:val="26163EB5"/>
    <w:rsid w:val="26700288"/>
    <w:rsid w:val="27544444"/>
    <w:rsid w:val="276B6060"/>
    <w:rsid w:val="27B2145C"/>
    <w:rsid w:val="27FA7131"/>
    <w:rsid w:val="282020B2"/>
    <w:rsid w:val="28962D82"/>
    <w:rsid w:val="28A62150"/>
    <w:rsid w:val="28C22024"/>
    <w:rsid w:val="290129D3"/>
    <w:rsid w:val="29486F56"/>
    <w:rsid w:val="29712D49"/>
    <w:rsid w:val="29A64C12"/>
    <w:rsid w:val="29C3781A"/>
    <w:rsid w:val="2A1B2201"/>
    <w:rsid w:val="2AC8240E"/>
    <w:rsid w:val="2AE91610"/>
    <w:rsid w:val="2B28200D"/>
    <w:rsid w:val="2BAE7D76"/>
    <w:rsid w:val="2BCD7395"/>
    <w:rsid w:val="2BFC063C"/>
    <w:rsid w:val="2CDF7FCA"/>
    <w:rsid w:val="2CFE750E"/>
    <w:rsid w:val="2D05394C"/>
    <w:rsid w:val="2D0F7889"/>
    <w:rsid w:val="2E560BBA"/>
    <w:rsid w:val="2E6824A9"/>
    <w:rsid w:val="2ECD0CEC"/>
    <w:rsid w:val="2EE46E89"/>
    <w:rsid w:val="2F4B1946"/>
    <w:rsid w:val="307325D9"/>
    <w:rsid w:val="307F4383"/>
    <w:rsid w:val="309537C1"/>
    <w:rsid w:val="30C51EF2"/>
    <w:rsid w:val="30C533E0"/>
    <w:rsid w:val="30F73B34"/>
    <w:rsid w:val="31995617"/>
    <w:rsid w:val="31DE2F46"/>
    <w:rsid w:val="31F2015C"/>
    <w:rsid w:val="32144BB9"/>
    <w:rsid w:val="32542B96"/>
    <w:rsid w:val="32631FFF"/>
    <w:rsid w:val="32772E7F"/>
    <w:rsid w:val="3341209D"/>
    <w:rsid w:val="336151A2"/>
    <w:rsid w:val="34034EE6"/>
    <w:rsid w:val="34693E92"/>
    <w:rsid w:val="34DB703E"/>
    <w:rsid w:val="352A4B73"/>
    <w:rsid w:val="355D1BDD"/>
    <w:rsid w:val="35894ABA"/>
    <w:rsid w:val="35FF1075"/>
    <w:rsid w:val="362B4280"/>
    <w:rsid w:val="36312BA6"/>
    <w:rsid w:val="36541A28"/>
    <w:rsid w:val="36AB0D07"/>
    <w:rsid w:val="36DB5CA6"/>
    <w:rsid w:val="371562DB"/>
    <w:rsid w:val="37B26BC7"/>
    <w:rsid w:val="37DF7667"/>
    <w:rsid w:val="38C033A5"/>
    <w:rsid w:val="38D26C34"/>
    <w:rsid w:val="39076A69"/>
    <w:rsid w:val="39C0030D"/>
    <w:rsid w:val="3B4E1274"/>
    <w:rsid w:val="3BA20BFD"/>
    <w:rsid w:val="3CB5559F"/>
    <w:rsid w:val="3D613C3A"/>
    <w:rsid w:val="3D6A7724"/>
    <w:rsid w:val="3E421533"/>
    <w:rsid w:val="3E4E44C1"/>
    <w:rsid w:val="3E8D5E6B"/>
    <w:rsid w:val="3EA006FD"/>
    <w:rsid w:val="3F154BC0"/>
    <w:rsid w:val="3F796D91"/>
    <w:rsid w:val="3F89057F"/>
    <w:rsid w:val="3F9B2476"/>
    <w:rsid w:val="3FA30497"/>
    <w:rsid w:val="3FD247CD"/>
    <w:rsid w:val="401F6C03"/>
    <w:rsid w:val="40612A20"/>
    <w:rsid w:val="407E705F"/>
    <w:rsid w:val="40E81C84"/>
    <w:rsid w:val="40F94293"/>
    <w:rsid w:val="414734E2"/>
    <w:rsid w:val="421F34AA"/>
    <w:rsid w:val="42C47AC0"/>
    <w:rsid w:val="43346E69"/>
    <w:rsid w:val="43CB2F74"/>
    <w:rsid w:val="43F81171"/>
    <w:rsid w:val="440D4406"/>
    <w:rsid w:val="445235C9"/>
    <w:rsid w:val="44A65B45"/>
    <w:rsid w:val="450F3328"/>
    <w:rsid w:val="453252CE"/>
    <w:rsid w:val="453A4CCF"/>
    <w:rsid w:val="45763405"/>
    <w:rsid w:val="45812715"/>
    <w:rsid w:val="45961D61"/>
    <w:rsid w:val="46293689"/>
    <w:rsid w:val="465A35BD"/>
    <w:rsid w:val="465F0134"/>
    <w:rsid w:val="47113641"/>
    <w:rsid w:val="47842674"/>
    <w:rsid w:val="4795427E"/>
    <w:rsid w:val="47B24801"/>
    <w:rsid w:val="47B9126E"/>
    <w:rsid w:val="4866371A"/>
    <w:rsid w:val="48CE652C"/>
    <w:rsid w:val="49C9699B"/>
    <w:rsid w:val="49CF6636"/>
    <w:rsid w:val="4B036369"/>
    <w:rsid w:val="4B4D6D1A"/>
    <w:rsid w:val="4B7A0F54"/>
    <w:rsid w:val="4C994D97"/>
    <w:rsid w:val="4D141FE0"/>
    <w:rsid w:val="4DAC05E6"/>
    <w:rsid w:val="4E0524B6"/>
    <w:rsid w:val="4E5F5F0E"/>
    <w:rsid w:val="4E677615"/>
    <w:rsid w:val="4ED96A7E"/>
    <w:rsid w:val="4F3F4BCC"/>
    <w:rsid w:val="4FB22195"/>
    <w:rsid w:val="4FEA5D08"/>
    <w:rsid w:val="500372D1"/>
    <w:rsid w:val="50E028B4"/>
    <w:rsid w:val="51B11960"/>
    <w:rsid w:val="520B596A"/>
    <w:rsid w:val="52A90634"/>
    <w:rsid w:val="533F574E"/>
    <w:rsid w:val="535B37A2"/>
    <w:rsid w:val="53DE35D5"/>
    <w:rsid w:val="53F54917"/>
    <w:rsid w:val="540706C6"/>
    <w:rsid w:val="543E122D"/>
    <w:rsid w:val="546E6143"/>
    <w:rsid w:val="54C44B46"/>
    <w:rsid w:val="54ED35AA"/>
    <w:rsid w:val="551D40DC"/>
    <w:rsid w:val="55C217A6"/>
    <w:rsid w:val="55EF09CE"/>
    <w:rsid w:val="565A665B"/>
    <w:rsid w:val="577B3D89"/>
    <w:rsid w:val="57D27E9C"/>
    <w:rsid w:val="584E6149"/>
    <w:rsid w:val="587D598D"/>
    <w:rsid w:val="59154646"/>
    <w:rsid w:val="5952374E"/>
    <w:rsid w:val="59D06384"/>
    <w:rsid w:val="59DF76D7"/>
    <w:rsid w:val="5B314FB8"/>
    <w:rsid w:val="5B5136E8"/>
    <w:rsid w:val="5BAD7361"/>
    <w:rsid w:val="5BBD352E"/>
    <w:rsid w:val="5C146E44"/>
    <w:rsid w:val="5C36729C"/>
    <w:rsid w:val="5C520E7C"/>
    <w:rsid w:val="5C5611D3"/>
    <w:rsid w:val="5CC055C4"/>
    <w:rsid w:val="5CC07DD9"/>
    <w:rsid w:val="5CD728E8"/>
    <w:rsid w:val="5CDC1CAC"/>
    <w:rsid w:val="5CDF7280"/>
    <w:rsid w:val="5D2017FC"/>
    <w:rsid w:val="5D3454F8"/>
    <w:rsid w:val="5DC23869"/>
    <w:rsid w:val="5E0968EF"/>
    <w:rsid w:val="5E6D4E5F"/>
    <w:rsid w:val="5EAC56AE"/>
    <w:rsid w:val="5EFA2F5D"/>
    <w:rsid w:val="5F1405A9"/>
    <w:rsid w:val="5FFB26DE"/>
    <w:rsid w:val="60F11A9E"/>
    <w:rsid w:val="61152866"/>
    <w:rsid w:val="613126C2"/>
    <w:rsid w:val="63154001"/>
    <w:rsid w:val="63E8434C"/>
    <w:rsid w:val="63F218A4"/>
    <w:rsid w:val="64EC3D37"/>
    <w:rsid w:val="652266CA"/>
    <w:rsid w:val="65EE6778"/>
    <w:rsid w:val="6612135A"/>
    <w:rsid w:val="66B60A66"/>
    <w:rsid w:val="670C4B50"/>
    <w:rsid w:val="674D4335"/>
    <w:rsid w:val="675039C2"/>
    <w:rsid w:val="68120612"/>
    <w:rsid w:val="688A35DC"/>
    <w:rsid w:val="68983B76"/>
    <w:rsid w:val="68F41093"/>
    <w:rsid w:val="690A194F"/>
    <w:rsid w:val="695E2B47"/>
    <w:rsid w:val="69721525"/>
    <w:rsid w:val="699E6EDB"/>
    <w:rsid w:val="6A0C5CC5"/>
    <w:rsid w:val="6A9C5931"/>
    <w:rsid w:val="6AB73D58"/>
    <w:rsid w:val="6B3703AF"/>
    <w:rsid w:val="6B4556A8"/>
    <w:rsid w:val="6BAB11CB"/>
    <w:rsid w:val="6BD20370"/>
    <w:rsid w:val="6BDC2A11"/>
    <w:rsid w:val="6C4179F9"/>
    <w:rsid w:val="6CB44840"/>
    <w:rsid w:val="6D924ED4"/>
    <w:rsid w:val="6DFE57FA"/>
    <w:rsid w:val="6E3A103C"/>
    <w:rsid w:val="6E794E1C"/>
    <w:rsid w:val="6EC425A0"/>
    <w:rsid w:val="6F0B2143"/>
    <w:rsid w:val="6F8A5598"/>
    <w:rsid w:val="6F944336"/>
    <w:rsid w:val="6FAD4F96"/>
    <w:rsid w:val="707F2C23"/>
    <w:rsid w:val="71B92164"/>
    <w:rsid w:val="71EB38A7"/>
    <w:rsid w:val="72827D73"/>
    <w:rsid w:val="72BB5F8B"/>
    <w:rsid w:val="72BB6655"/>
    <w:rsid w:val="72D65738"/>
    <w:rsid w:val="72FA1A10"/>
    <w:rsid w:val="73662167"/>
    <w:rsid w:val="73952CB3"/>
    <w:rsid w:val="73C73D28"/>
    <w:rsid w:val="75785F83"/>
    <w:rsid w:val="761A4816"/>
    <w:rsid w:val="763B3A90"/>
    <w:rsid w:val="769D3F76"/>
    <w:rsid w:val="76A41635"/>
    <w:rsid w:val="778A11A5"/>
    <w:rsid w:val="78D26A7E"/>
    <w:rsid w:val="78EE2028"/>
    <w:rsid w:val="79940026"/>
    <w:rsid w:val="79AD6A52"/>
    <w:rsid w:val="79F93A46"/>
    <w:rsid w:val="7A162C99"/>
    <w:rsid w:val="7A910122"/>
    <w:rsid w:val="7AE8068D"/>
    <w:rsid w:val="7B406A51"/>
    <w:rsid w:val="7B52480F"/>
    <w:rsid w:val="7C675C0A"/>
    <w:rsid w:val="7C792C1C"/>
    <w:rsid w:val="7C862377"/>
    <w:rsid w:val="7CF02627"/>
    <w:rsid w:val="7D0F0E31"/>
    <w:rsid w:val="7D1E312B"/>
    <w:rsid w:val="7DCB394B"/>
    <w:rsid w:val="7E0C611D"/>
    <w:rsid w:val="7E23216E"/>
    <w:rsid w:val="7E8E57B1"/>
    <w:rsid w:val="7EA1719F"/>
    <w:rsid w:val="7EAC1347"/>
    <w:rsid w:val="7EE50A3C"/>
    <w:rsid w:val="7F32062C"/>
    <w:rsid w:val="7FA22F78"/>
    <w:rsid w:val="7FA27CF2"/>
    <w:rsid w:val="7FB201B2"/>
    <w:rsid w:val="7FB3011B"/>
    <w:rsid w:val="7FBA3291"/>
    <w:rsid w:val="7FC07E3F"/>
    <w:rsid w:val="7FCC750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pacing w:line="360" w:lineRule="atLeast"/>
      <w:ind w:left="851" w:hanging="420"/>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annotation text"/>
    <w:basedOn w:val="1"/>
    <w:qFormat/>
    <w:uiPriority w:val="0"/>
    <w:pPr>
      <w:jc w:val="left"/>
    </w:pPr>
  </w:style>
  <w:style w:type="paragraph" w:styleId="8">
    <w:name w:val="Salutation"/>
    <w:basedOn w:val="1"/>
    <w:next w:val="1"/>
    <w:link w:val="62"/>
    <w:qFormat/>
    <w:uiPriority w:val="0"/>
    <w:rPr>
      <w:rFonts w:ascii="宋体" w:eastAsia="仿宋_GB2312"/>
      <w:szCs w:val="20"/>
    </w:rPr>
  </w:style>
  <w:style w:type="paragraph" w:styleId="9">
    <w:name w:val="Body Text"/>
    <w:basedOn w:val="1"/>
    <w:next w:val="1"/>
    <w:link w:val="43"/>
    <w:qFormat/>
    <w:uiPriority w:val="0"/>
    <w:pPr>
      <w:spacing w:after="120"/>
    </w:pPr>
  </w:style>
  <w:style w:type="paragraph" w:styleId="10">
    <w:name w:val="Body Text Indent"/>
    <w:basedOn w:val="1"/>
    <w:next w:val="1"/>
    <w:qFormat/>
    <w:uiPriority w:val="0"/>
    <w:pPr>
      <w:spacing w:after="120"/>
      <w:ind w:left="200" w:leftChars="200"/>
    </w:pPr>
  </w:style>
  <w:style w:type="paragraph" w:styleId="11">
    <w:name w:val="toc 3"/>
    <w:basedOn w:val="1"/>
    <w:next w:val="1"/>
    <w:qFormat/>
    <w:uiPriority w:val="39"/>
    <w:pPr>
      <w:tabs>
        <w:tab w:val="right" w:leader="dot" w:pos="9288"/>
      </w:tabs>
      <w:ind w:left="400" w:leftChars="400"/>
    </w:pPr>
    <w:rPr>
      <w:rFonts w:ascii="宋体"/>
    </w:rPr>
  </w:style>
  <w:style w:type="paragraph" w:styleId="12">
    <w:name w:val="Plain Text"/>
    <w:basedOn w:val="1"/>
    <w:next w:val="13"/>
    <w:link w:val="44"/>
    <w:qFormat/>
    <w:uiPriority w:val="0"/>
    <w:rPr>
      <w:rFonts w:ascii="宋体"/>
      <w:color w:val="000000"/>
      <w:szCs w:val="20"/>
      <w:u w:color="000000"/>
    </w:rPr>
  </w:style>
  <w:style w:type="paragraph" w:styleId="13">
    <w:name w:val="index 7"/>
    <w:basedOn w:val="1"/>
    <w:next w:val="1"/>
    <w:qFormat/>
    <w:uiPriority w:val="0"/>
    <w:pPr>
      <w:ind w:left="1200" w:leftChars="1200"/>
    </w:pPr>
  </w:style>
  <w:style w:type="paragraph" w:styleId="14">
    <w:name w:val="Date"/>
    <w:basedOn w:val="1"/>
    <w:next w:val="1"/>
    <w:link w:val="45"/>
    <w:qFormat/>
    <w:uiPriority w:val="0"/>
    <w:rPr>
      <w:rFonts w:ascii="Arial" w:hAnsi="Arial" w:eastAsia="仿宋_GB2312"/>
      <w:color w:val="000000"/>
      <w:sz w:val="32"/>
      <w:szCs w:val="20"/>
      <w:u w:color="000000"/>
    </w:rPr>
  </w:style>
  <w:style w:type="paragraph" w:styleId="15">
    <w:name w:val="footer"/>
    <w:basedOn w:val="1"/>
    <w:link w:val="46"/>
    <w:qFormat/>
    <w:uiPriority w:val="99"/>
    <w:pPr>
      <w:tabs>
        <w:tab w:val="center" w:pos="4153"/>
        <w:tab w:val="right" w:pos="8306"/>
      </w:tabs>
      <w:snapToGrid w:val="0"/>
      <w:jc w:val="left"/>
    </w:pPr>
    <w:rPr>
      <w:sz w:val="18"/>
      <w:szCs w:val="18"/>
    </w:rPr>
  </w:style>
  <w:style w:type="paragraph" w:styleId="16">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200" w:leftChars="200"/>
    </w:pPr>
  </w:style>
  <w:style w:type="paragraph" w:styleId="19">
    <w:name w:val="Body Text 2"/>
    <w:basedOn w:val="1"/>
    <w:qFormat/>
    <w:uiPriority w:val="0"/>
    <w:pPr>
      <w:tabs>
        <w:tab w:val="left" w:pos="0"/>
      </w:tabs>
      <w:spacing w:line="400" w:lineRule="atLeast"/>
    </w:pPr>
    <w:rPr>
      <w:rFonts w:ascii="Arial" w:hAnsi="Arial"/>
      <w:color w:val="00000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9"/>
    <w:unhideWhenUsed/>
    <w:qFormat/>
    <w:uiPriority w:val="0"/>
    <w:pPr>
      <w:ind w:firstLine="420" w:firstLineChars="100"/>
    </w:pPr>
  </w:style>
  <w:style w:type="paragraph" w:styleId="22">
    <w:name w:val="Body Text First Indent 2"/>
    <w:basedOn w:val="10"/>
    <w:next w:val="6"/>
    <w:unhideWhenUsed/>
    <w:qFormat/>
    <w:uiPriority w:val="99"/>
    <w:pPr>
      <w:ind w:left="420" w:firstLine="420"/>
    </w:pPr>
    <w:rPr>
      <w:rFonts w:cs="宋体"/>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qFormat/>
    <w:uiPriority w:val="0"/>
    <w:rPr>
      <w:color w:val="333333"/>
      <w:u w:val="none"/>
    </w:rPr>
  </w:style>
  <w:style w:type="character" w:styleId="29">
    <w:name w:val="HTML Definition"/>
    <w:basedOn w:val="25"/>
    <w:qFormat/>
    <w:uiPriority w:val="0"/>
  </w:style>
  <w:style w:type="character" w:styleId="30">
    <w:name w:val="HTML Typewriter"/>
    <w:basedOn w:val="25"/>
    <w:qFormat/>
    <w:uiPriority w:val="0"/>
    <w:rPr>
      <w:rFonts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qFormat/>
    <w:uiPriority w:val="99"/>
    <w:rPr>
      <w:color w:val="0000FF"/>
      <w:u w:val="singl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qFormat/>
    <w:uiPriority w:val="0"/>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_Style 2"/>
    <w:basedOn w:val="1"/>
    <w:qFormat/>
    <w:uiPriority w:val="0"/>
    <w:pPr>
      <w:ind w:firstLine="200" w:firstLineChars="200"/>
    </w:pPr>
    <w:rPr>
      <w:rFonts w:ascii="Calibri" w:hAnsi="Calibri"/>
      <w:sz w:val="28"/>
      <w:szCs w:val="22"/>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格式"/>
    <w:basedOn w:val="1"/>
    <w:qFormat/>
    <w:uiPriority w:val="99"/>
    <w:pPr>
      <w:widowControl/>
      <w:adjustRightInd w:val="0"/>
      <w:snapToGrid w:val="0"/>
      <w:spacing w:line="400" w:lineRule="atLeast"/>
      <w:ind w:firstLine="482"/>
      <w:textAlignment w:val="baseline"/>
    </w:pPr>
    <w:rPr>
      <w:kern w:val="0"/>
      <w:sz w:val="24"/>
    </w:rPr>
  </w:style>
  <w:style w:type="character" w:customStyle="1" w:styleId="43">
    <w:name w:val="正文文本 字符"/>
    <w:link w:val="9"/>
    <w:semiHidden/>
    <w:qFormat/>
    <w:locked/>
    <w:uiPriority w:val="0"/>
    <w:rPr>
      <w:rFonts w:eastAsia="宋体"/>
      <w:kern w:val="2"/>
      <w:sz w:val="21"/>
      <w:szCs w:val="24"/>
      <w:lang w:val="en-US" w:eastAsia="zh-CN" w:bidi="ar-SA"/>
    </w:rPr>
  </w:style>
  <w:style w:type="character" w:customStyle="1" w:styleId="44">
    <w:name w:val="纯文本 字符"/>
    <w:link w:val="12"/>
    <w:qFormat/>
    <w:uiPriority w:val="0"/>
    <w:rPr>
      <w:rFonts w:ascii="宋体"/>
      <w:color w:val="000000"/>
      <w:kern w:val="2"/>
      <w:sz w:val="21"/>
      <w:u w:color="000000"/>
    </w:rPr>
  </w:style>
  <w:style w:type="character" w:customStyle="1" w:styleId="45">
    <w:name w:val="日期 字符"/>
    <w:link w:val="14"/>
    <w:qFormat/>
    <w:uiPriority w:val="0"/>
    <w:rPr>
      <w:rFonts w:ascii="Arial" w:hAnsi="Arial" w:eastAsia="仿宋_GB2312"/>
      <w:color w:val="000000"/>
      <w:kern w:val="2"/>
      <w:sz w:val="32"/>
      <w:u w:color="000000"/>
      <w:lang w:val="en-US" w:eastAsia="zh-CN" w:bidi="ar-SA"/>
    </w:rPr>
  </w:style>
  <w:style w:type="character" w:customStyle="1" w:styleId="46">
    <w:name w:val="页脚 字符"/>
    <w:link w:val="15"/>
    <w:qFormat/>
    <w:locked/>
    <w:uiPriority w:val="99"/>
    <w:rPr>
      <w:rFonts w:eastAsia="宋体"/>
      <w:kern w:val="2"/>
      <w:sz w:val="18"/>
      <w:szCs w:val="18"/>
      <w:lang w:val="en-US" w:eastAsia="zh-CN" w:bidi="ar-SA"/>
    </w:rPr>
  </w:style>
  <w:style w:type="character" w:customStyle="1" w:styleId="47">
    <w:name w:val="页眉 字符"/>
    <w:link w:val="16"/>
    <w:qFormat/>
    <w:locked/>
    <w:uiPriority w:val="0"/>
    <w:rPr>
      <w:rFonts w:eastAsia="宋体"/>
      <w:kern w:val="2"/>
      <w:sz w:val="18"/>
      <w:szCs w:val="18"/>
      <w:lang w:val="en-US" w:eastAsia="zh-CN" w:bidi="ar-SA"/>
    </w:rPr>
  </w:style>
  <w:style w:type="character" w:customStyle="1" w:styleId="48">
    <w:name w:val="Body Text Char"/>
    <w:qFormat/>
    <w:locked/>
    <w:uiPriority w:val="0"/>
    <w:rPr>
      <w:rFonts w:ascii="宋体" w:hAnsi="Arial"/>
      <w:sz w:val="28"/>
    </w:rPr>
  </w:style>
  <w:style w:type="paragraph" w:customStyle="1" w:styleId="49">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50">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样式 左侧:  0 厘米 悬挂缩进: 2.5 字符"/>
    <w:basedOn w:val="1"/>
    <w:qFormat/>
    <w:uiPriority w:val="0"/>
    <w:pPr>
      <w:ind w:left="525" w:hanging="525" w:hangingChars="250"/>
    </w:pPr>
    <w:rPr>
      <w:szCs w:val="20"/>
    </w:rPr>
  </w:style>
  <w:style w:type="paragraph" w:customStyle="1" w:styleId="53">
    <w:name w:val="Char"/>
    <w:basedOn w:val="1"/>
    <w:next w:val="1"/>
    <w:qFormat/>
    <w:uiPriority w:val="0"/>
    <w:pPr>
      <w:widowControl/>
      <w:spacing w:line="360" w:lineRule="auto"/>
      <w:jc w:val="left"/>
    </w:pPr>
    <w:rPr>
      <w:kern w:val="0"/>
      <w:szCs w:val="20"/>
      <w:lang w:eastAsia="en-US"/>
    </w:rPr>
  </w:style>
  <w:style w:type="paragraph" w:customStyle="1" w:styleId="54">
    <w:name w:val="p0"/>
    <w:basedOn w:val="1"/>
    <w:qFormat/>
    <w:uiPriority w:val="0"/>
    <w:pPr>
      <w:widowControl/>
      <w:jc w:val="left"/>
    </w:pPr>
    <w:rPr>
      <w:rFonts w:ascii="宋体" w:hAnsi="宋体" w:cs="宋体"/>
      <w:kern w:val="0"/>
      <w:sz w:val="18"/>
      <w:szCs w:val="18"/>
    </w:rPr>
  </w:style>
  <w:style w:type="paragraph" w:styleId="55">
    <w:name w:val="List Paragraph"/>
    <w:basedOn w:val="1"/>
    <w:qFormat/>
    <w:uiPriority w:val="0"/>
    <w:pPr>
      <w:spacing w:line="360" w:lineRule="auto"/>
      <w:ind w:firstLine="420" w:firstLineChars="200"/>
    </w:pPr>
    <w:rPr>
      <w:rFonts w:ascii="宋体" w:hAnsi="宋体" w:cs="宋体"/>
      <w:sz w:val="24"/>
    </w:rPr>
  </w:style>
  <w:style w:type="paragraph" w:customStyle="1" w:styleId="56">
    <w:name w:val="Table Paragraph"/>
    <w:basedOn w:val="1"/>
    <w:qFormat/>
    <w:uiPriority w:val="1"/>
  </w:style>
  <w:style w:type="paragraph" w:customStyle="1" w:styleId="57">
    <w:name w:val="WPS Plain"/>
    <w:qFormat/>
    <w:uiPriority w:val="0"/>
    <w:rPr>
      <w:rFonts w:ascii="Times New Roman" w:hAnsi="Times New Roman" w:eastAsia="宋体" w:cs="Times New Roman"/>
      <w:lang w:val="en-US" w:eastAsia="zh-CN" w:bidi="ar-SA"/>
    </w:rPr>
  </w:style>
  <w:style w:type="paragraph" w:customStyle="1" w:styleId="58">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9">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character" w:customStyle="1" w:styleId="60">
    <w:name w:val="标题 2 Char"/>
    <w:unhideWhenUsed/>
    <w:qFormat/>
    <w:uiPriority w:val="0"/>
    <w:rPr>
      <w:rFonts w:hint="default" w:ascii="Arial" w:hAnsi="Arial" w:eastAsia="宋体"/>
      <w:b/>
      <w:sz w:val="32"/>
      <w:szCs w:val="24"/>
    </w:rPr>
  </w:style>
  <w:style w:type="paragraph" w:customStyle="1" w:styleId="6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62">
    <w:name w:val="称呼 字符"/>
    <w:basedOn w:val="25"/>
    <w:link w:val="8"/>
    <w:qFormat/>
    <w:uiPriority w:val="0"/>
    <w:rPr>
      <w:rFonts w:ascii="宋体" w:eastAsia="仿宋_GB2312"/>
      <w:kern w:val="2"/>
      <w:sz w:val="21"/>
    </w:rPr>
  </w:style>
  <w:style w:type="character" w:customStyle="1" w:styleId="63">
    <w:name w:val="小四 段落 宋体 Char1"/>
    <w:qFormat/>
    <w:uiPriority w:val="99"/>
    <w:rPr>
      <w:rFonts w:eastAsia="宋体"/>
      <w:kern w:val="2"/>
      <w:sz w:val="24"/>
      <w:lang w:val="en-US" w:eastAsia="zh-CN"/>
    </w:rPr>
  </w:style>
  <w:style w:type="paragraph" w:customStyle="1" w:styleId="64">
    <w:name w:val="[Normal]"/>
    <w:qFormat/>
    <w:uiPriority w:val="0"/>
    <w:rPr>
      <w:rFonts w:ascii="宋体" w:hAnsi="宋体" w:eastAsia="宋体" w:cs="Times New Roman"/>
      <w:sz w:val="24"/>
      <w:szCs w:val="22"/>
      <w:lang w:val="zh-CN" w:eastAsia="zh-CN" w:bidi="ar-SA"/>
    </w:rPr>
  </w:style>
  <w:style w:type="character" w:customStyle="1" w:styleId="65">
    <w:name w:val="first-child"/>
    <w:basedOn w:val="25"/>
    <w:qFormat/>
    <w:uiPriority w:val="0"/>
  </w:style>
  <w:style w:type="character" w:customStyle="1" w:styleId="66">
    <w:name w:val="layui-layer-tabnow"/>
    <w:basedOn w:val="25"/>
    <w:qFormat/>
    <w:uiPriority w:val="0"/>
    <w:rPr>
      <w:bdr w:val="single" w:color="CCCCCC" w:sz="6" w:space="0"/>
      <w:shd w:val="clear" w:color="auto" w:fill="FFFFFF"/>
    </w:rPr>
  </w:style>
  <w:style w:type="character" w:customStyle="1" w:styleId="67">
    <w:name w:val="sub"/>
    <w:qFormat/>
    <w:uiPriority w:val="0"/>
    <w:rPr>
      <w:rFonts w:cs="Times New Roman"/>
    </w:rPr>
  </w:style>
  <w:style w:type="paragraph" w:customStyle="1" w:styleId="6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AE4BE-FC0C-4F40-916F-6AF8620D856D}">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86</Pages>
  <Words>51017</Words>
  <Characters>53376</Characters>
  <Lines>437</Lines>
  <Paragraphs>123</Paragraphs>
  <TotalTime>359</TotalTime>
  <ScaleCrop>false</ScaleCrop>
  <LinksUpToDate>false</LinksUpToDate>
  <CharactersWithSpaces>56093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2022-08-15T05:31:00Z</dcterms:created>
  <dc:creator>陈倩倩</dc:creator>
  <cp:lastModifiedBy>画个姑娘陪着我</cp:lastModifiedBy>
  <cp:lastPrinted>2023-04-14T10:21:00Z</cp:lastPrinted>
  <dcterms:modified xsi:type="dcterms:W3CDTF">2023-06-05T04:16:35Z</dcterms:modified>
  <dc:title>克州国土空间规划信息化建设项目（克州国土基础信息平台和国土空间规划“一张图”实施监督信息系统、国土空间数据整理、测试运行、运维）</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E62CDF499DD44BC6AFCF1069A0CE6119_13</vt:lpwstr>
  </property>
</Properties>
</file>