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adjustRightInd w:val="0"/>
        <w:snapToGrid w:val="0"/>
        <w:spacing w:line="360" w:lineRule="auto"/>
        <w:rPr>
          <w:rFonts w:hAnsi="宋体"/>
          <w:b/>
          <w:color w:val="000000" w:themeColor="text1"/>
          <w:sz w:val="44"/>
          <w:szCs w:val="44"/>
          <w14:textFill>
            <w14:solidFill>
              <w14:schemeClr w14:val="tx1"/>
            </w14:solidFill>
          </w14:textFill>
        </w:rPr>
      </w:pPr>
      <w:bookmarkStart w:id="0" w:name="第二部分第六章"/>
    </w:p>
    <w:p>
      <w:pPr>
        <w:pStyle w:val="26"/>
        <w:adjustRightInd w:val="0"/>
        <w:snapToGrid w:val="0"/>
        <w:spacing w:line="360" w:lineRule="auto"/>
        <w:jc w:val="center"/>
        <w:rPr>
          <w:rFonts w:hAnsi="宋体"/>
          <w:b/>
          <w:color w:val="000000" w:themeColor="text1"/>
          <w:sz w:val="44"/>
          <w:szCs w:val="44"/>
          <w14:textFill>
            <w14:solidFill>
              <w14:schemeClr w14:val="tx1"/>
            </w14:solidFill>
          </w14:textFill>
        </w:rPr>
      </w:pPr>
      <w:r>
        <w:rPr>
          <w:rFonts w:hint="eastAsia" w:ascii="微软雅黑" w:hAnsi="微软雅黑" w:eastAsia="微软雅黑" w:cs="微软雅黑"/>
          <w:color w:val="000000"/>
          <w:kern w:val="0"/>
          <w:sz w:val="32"/>
          <w:szCs w:val="32"/>
        </w:rPr>
        <w:t>霍尔果斯国家物流枢纽综合信息服务平台建设项目      （霍尔果斯跨境电商综试区平台）</w:t>
      </w:r>
    </w:p>
    <w:p>
      <w:pPr>
        <w:pStyle w:val="26"/>
        <w:adjustRightInd w:val="0"/>
        <w:snapToGrid w:val="0"/>
        <w:spacing w:line="360" w:lineRule="auto"/>
        <w:jc w:val="center"/>
        <w:rPr>
          <w:rFonts w:hAnsi="宋体"/>
          <w:b/>
          <w:color w:val="000000" w:themeColor="text1"/>
          <w:sz w:val="62"/>
          <w:szCs w:val="84"/>
          <w14:textFill>
            <w14:solidFill>
              <w14:schemeClr w14:val="tx1"/>
            </w14:solidFill>
          </w14:textFill>
        </w:rPr>
      </w:pPr>
      <w:r>
        <w:rPr>
          <w:rFonts w:hint="eastAsia" w:hAnsi="宋体"/>
          <w:b/>
          <w:color w:val="000000" w:themeColor="text1"/>
          <w:sz w:val="62"/>
          <w:szCs w:val="84"/>
          <w14:textFill>
            <w14:solidFill>
              <w14:schemeClr w14:val="tx1"/>
            </w14:solidFill>
          </w14:textFill>
        </w:rPr>
        <w:t>招 标 文 件</w:t>
      </w:r>
    </w:p>
    <w:p>
      <w:pPr>
        <w:pStyle w:val="26"/>
        <w:adjustRightInd w:val="0"/>
        <w:snapToGrid w:val="0"/>
        <w:spacing w:before="156" w:beforeLines="50" w:line="360" w:lineRule="auto"/>
        <w:ind w:left="846" w:leftChars="403" w:firstLine="157" w:firstLineChars="49"/>
        <w:rPr>
          <w:rFonts w:hAnsi="宋体"/>
          <w:b/>
          <w:color w:val="000000" w:themeColor="text1"/>
          <w:sz w:val="32"/>
          <w:szCs w:val="32"/>
          <w14:textFill>
            <w14:solidFill>
              <w14:schemeClr w14:val="tx1"/>
            </w14:solidFill>
          </w14:textFill>
        </w:rPr>
      </w:pPr>
    </w:p>
    <w:p>
      <w:pPr>
        <w:pStyle w:val="26"/>
        <w:adjustRightInd w:val="0"/>
        <w:snapToGrid w:val="0"/>
        <w:spacing w:before="156" w:beforeLines="50" w:line="360" w:lineRule="auto"/>
        <w:ind w:left="846" w:leftChars="403" w:firstLine="157" w:firstLineChars="49"/>
        <w:rPr>
          <w:rFonts w:hAnsi="宋体"/>
          <w:b/>
          <w:color w:val="000000" w:themeColor="text1"/>
          <w:sz w:val="32"/>
          <w:szCs w:val="32"/>
          <w14:textFill>
            <w14:solidFill>
              <w14:schemeClr w14:val="tx1"/>
            </w14:solidFill>
          </w14:textFill>
        </w:rPr>
      </w:pPr>
    </w:p>
    <w:p>
      <w:pPr>
        <w:pStyle w:val="26"/>
        <w:adjustRightInd w:val="0"/>
        <w:snapToGrid w:val="0"/>
        <w:spacing w:before="156" w:beforeLines="50" w:line="360" w:lineRule="auto"/>
        <w:ind w:left="846" w:leftChars="403" w:firstLine="157" w:firstLineChars="49"/>
        <w:rPr>
          <w:rFonts w:hAnsi="宋体"/>
          <w:b/>
          <w:color w:val="000000" w:themeColor="text1"/>
          <w:sz w:val="32"/>
          <w:szCs w:val="32"/>
          <w14:textFill>
            <w14:solidFill>
              <w14:schemeClr w14:val="tx1"/>
            </w14:solidFill>
          </w14:textFill>
        </w:rPr>
      </w:pPr>
    </w:p>
    <w:p>
      <w:pPr>
        <w:pStyle w:val="26"/>
        <w:adjustRightInd w:val="0"/>
        <w:snapToGrid w:val="0"/>
        <w:spacing w:line="360" w:lineRule="auto"/>
        <w:rPr>
          <w:rFonts w:hAnsi="宋体"/>
          <w:b/>
          <w:color w:val="000000" w:themeColor="text1"/>
          <w:sz w:val="32"/>
          <w:szCs w:val="32"/>
          <w14:textFill>
            <w14:solidFill>
              <w14:schemeClr w14:val="tx1"/>
            </w14:solidFill>
          </w14:textFill>
        </w:rPr>
      </w:pPr>
    </w:p>
    <w:p>
      <w:pPr>
        <w:pStyle w:val="26"/>
        <w:adjustRightInd w:val="0"/>
        <w:snapToGrid w:val="0"/>
        <w:spacing w:line="360" w:lineRule="auto"/>
        <w:rPr>
          <w:rFonts w:hAnsi="宋体"/>
          <w:b/>
          <w:color w:val="000000" w:themeColor="text1"/>
          <w:sz w:val="32"/>
          <w:szCs w:val="32"/>
          <w14:textFill>
            <w14:solidFill>
              <w14:schemeClr w14:val="tx1"/>
            </w14:solidFill>
          </w14:textFill>
        </w:rPr>
      </w:pPr>
    </w:p>
    <w:p>
      <w:pPr>
        <w:pStyle w:val="26"/>
        <w:adjustRightInd w:val="0"/>
        <w:snapToGrid w:val="0"/>
        <w:spacing w:line="360" w:lineRule="auto"/>
        <w:rPr>
          <w:rFonts w:hAnsi="宋体"/>
          <w:b/>
          <w:color w:val="000000" w:themeColor="text1"/>
          <w:sz w:val="32"/>
          <w:szCs w:val="32"/>
          <w14:textFill>
            <w14:solidFill>
              <w14:schemeClr w14:val="tx1"/>
            </w14:solidFill>
          </w14:textFill>
        </w:rPr>
      </w:pPr>
    </w:p>
    <w:p>
      <w:pPr>
        <w:pStyle w:val="26"/>
        <w:adjustRightInd w:val="0"/>
        <w:snapToGrid w:val="0"/>
        <w:spacing w:line="360" w:lineRule="auto"/>
        <w:rPr>
          <w:rFonts w:hAnsi="宋体"/>
          <w:b/>
          <w:color w:val="000000" w:themeColor="text1"/>
          <w:sz w:val="32"/>
          <w:szCs w:val="32"/>
          <w14:textFill>
            <w14:solidFill>
              <w14:schemeClr w14:val="tx1"/>
            </w14:solidFill>
          </w14:textFill>
        </w:rPr>
      </w:pPr>
    </w:p>
    <w:p>
      <w:pPr>
        <w:pStyle w:val="26"/>
        <w:adjustRightInd w:val="0"/>
        <w:snapToGrid w:val="0"/>
        <w:spacing w:line="360" w:lineRule="auto"/>
        <w:ind w:firstLine="948" w:firstLineChars="295"/>
        <w:rPr>
          <w:rFonts w:hAnsi="宋体"/>
          <w:b/>
          <w:color w:val="000000" w:themeColor="text1"/>
          <w:sz w:val="32"/>
          <w:szCs w:val="32"/>
          <w14:textFill>
            <w14:solidFill>
              <w14:schemeClr w14:val="tx1"/>
            </w14:solidFill>
          </w14:textFill>
        </w:rPr>
      </w:pPr>
    </w:p>
    <w:p>
      <w:pPr>
        <w:pStyle w:val="26"/>
        <w:adjustRightInd w:val="0"/>
        <w:snapToGrid w:val="0"/>
        <w:spacing w:line="360" w:lineRule="auto"/>
        <w:ind w:left="1801" w:leftChars="284" w:hanging="1205" w:hangingChars="400"/>
        <w:rPr>
          <w:rFonts w:hAnsi="宋体"/>
          <w:b/>
          <w:color w:val="000000" w:themeColor="text1"/>
          <w:spacing w:val="-16"/>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招标人：霍尔果斯市经济开发区管理委员会招商局（商务经信局）</w:t>
      </w:r>
    </w:p>
    <w:p>
      <w:pPr>
        <w:pStyle w:val="26"/>
        <w:adjustRightInd w:val="0"/>
        <w:snapToGrid w:val="0"/>
        <w:spacing w:line="360" w:lineRule="auto"/>
        <w:ind w:firstLine="596" w:firstLineChars="198"/>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采购代理机构: 霍尔果斯经济开发区政府采购中心</w:t>
      </w:r>
    </w:p>
    <w:p>
      <w:pPr>
        <w:pStyle w:val="26"/>
        <w:adjustRightInd w:val="0"/>
        <w:snapToGrid w:val="0"/>
        <w:spacing w:line="360" w:lineRule="auto"/>
        <w:ind w:left="592" w:leftChars="282"/>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项目编号：HEGSCG-2023GK-14号</w:t>
      </w:r>
    </w:p>
    <w:p>
      <w:pPr>
        <w:pStyle w:val="26"/>
        <w:adjustRightInd w:val="0"/>
        <w:snapToGrid w:val="0"/>
        <w:spacing w:line="360" w:lineRule="auto"/>
        <w:jc w:val="center"/>
        <w:rPr>
          <w:rFonts w:hAnsi="宋体"/>
          <w:b/>
          <w:color w:val="000000" w:themeColor="text1"/>
          <w:spacing w:val="160"/>
          <w:sz w:val="36"/>
          <w:szCs w:val="36"/>
          <w14:textFill>
            <w14:solidFill>
              <w14:schemeClr w14:val="tx1"/>
            </w14:solidFill>
          </w14:textFill>
        </w:rPr>
      </w:pPr>
    </w:p>
    <w:p>
      <w:pPr>
        <w:pStyle w:val="26"/>
        <w:spacing w:before="120" w:after="120" w:line="360" w:lineRule="auto"/>
        <w:jc w:val="center"/>
        <w:rPr>
          <w:rFonts w:hAnsi="宋体"/>
          <w:b/>
          <w:color w:val="000000" w:themeColor="text1"/>
          <w:spacing w:val="160"/>
          <w:sz w:val="36"/>
          <w:szCs w:val="36"/>
          <w14:textFill>
            <w14:solidFill>
              <w14:schemeClr w14:val="tx1"/>
            </w14:solidFill>
          </w14:textFill>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26"/>
        <w:spacing w:before="120" w:after="120" w:line="360" w:lineRule="auto"/>
        <w:jc w:val="center"/>
        <w:rPr>
          <w:rFonts w:hAnsi="宋体"/>
          <w:b/>
          <w:color w:val="000000" w:themeColor="text1"/>
          <w:spacing w:val="160"/>
          <w:sz w:val="36"/>
          <w:szCs w:val="36"/>
          <w14:textFill>
            <w14:solidFill>
              <w14:schemeClr w14:val="tx1"/>
            </w14:solidFill>
          </w14:textFill>
        </w:rPr>
      </w:pPr>
      <w:r>
        <w:rPr>
          <w:rFonts w:hint="eastAsia" w:hAnsi="宋体"/>
          <w:b/>
          <w:color w:val="000000" w:themeColor="text1"/>
          <w:spacing w:val="160"/>
          <w:sz w:val="36"/>
          <w:szCs w:val="36"/>
          <w14:textFill>
            <w14:solidFill>
              <w14:schemeClr w14:val="tx1"/>
            </w14:solidFill>
          </w14:textFill>
        </w:rPr>
        <w:t>目录</w:t>
      </w:r>
    </w:p>
    <w:p>
      <w:pPr>
        <w:pStyle w:val="26"/>
        <w:adjustRightInd w:val="0"/>
        <w:snapToGrid w:val="0"/>
        <w:spacing w:line="360" w:lineRule="auto"/>
        <w:rPr>
          <w:rFonts w:hAnsi="宋体"/>
          <w:b/>
          <w:color w:val="000000" w:themeColor="text1"/>
          <w:szCs w:val="24"/>
          <w14:textFill>
            <w14:solidFill>
              <w14:schemeClr w14:val="tx1"/>
            </w14:solidFill>
          </w14:textFill>
        </w:rPr>
      </w:pPr>
    </w:p>
    <w:tbl>
      <w:tblPr>
        <w:tblStyle w:val="47"/>
        <w:tblW w:w="7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3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1" w:type="dxa"/>
          </w:tcPr>
          <w:p>
            <w:pPr>
              <w:ind w:firstLine="3360" w:firstLineChars="1600"/>
              <w:rPr>
                <w:b/>
                <w:bCs/>
              </w:rPr>
            </w:pPr>
            <w:r>
              <w:fldChar w:fldCharType="begin"/>
            </w:r>
            <w:r>
              <w:instrText xml:space="preserve"> HYPERLINK \l "_Toc474235940" </w:instrText>
            </w:r>
            <w:r>
              <w:fldChar w:fldCharType="separate"/>
            </w:r>
            <w:r>
              <w:rPr>
                <w:rFonts w:hint="eastAsia"/>
                <w:b/>
                <w:bCs/>
              </w:rPr>
              <w:t>第一章</w:t>
            </w:r>
            <w:r>
              <w:rPr>
                <w:rFonts w:hint="eastAsia"/>
                <w:b/>
                <w:bCs/>
              </w:rPr>
              <w:fldChar w:fldCharType="end"/>
            </w:r>
            <w:r>
              <w:rPr>
                <w:rFonts w:hint="eastAsia"/>
                <w:b/>
                <w:bCs/>
              </w:rPr>
              <w:t xml:space="preserve">   </w:t>
            </w:r>
          </w:p>
        </w:tc>
        <w:tc>
          <w:tcPr>
            <w:tcW w:w="3256" w:type="dxa"/>
          </w:tcPr>
          <w:p>
            <w:pPr>
              <w:rPr>
                <w:b/>
                <w:bCs/>
              </w:rPr>
            </w:pPr>
            <w:r>
              <w:rPr>
                <w:rFonts w:hint="eastAsia"/>
                <w:b/>
                <w:bCs/>
              </w:rPr>
              <w:t>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"_Toc474235941" </w:instrText>
            </w:r>
            <w:r>
              <w:fldChar w:fldCharType="separate"/>
            </w:r>
            <w:r>
              <w:rPr>
                <w:rFonts w:hint="eastAsia"/>
                <w:b/>
                <w:bCs/>
              </w:rPr>
              <w:t>第二章</w:t>
            </w:r>
            <w:r>
              <w:rPr>
                <w:rFonts w:hint="eastAsia"/>
                <w:b/>
                <w:bCs/>
              </w:rPr>
              <w:fldChar w:fldCharType="end"/>
            </w:r>
          </w:p>
        </w:tc>
        <w:tc>
          <w:tcPr>
            <w:tcW w:w="3256" w:type="dxa"/>
          </w:tcPr>
          <w:p>
            <w:pPr>
              <w:rPr>
                <w:b/>
                <w:bCs/>
              </w:rPr>
            </w:pPr>
            <w:r>
              <w:rPr>
                <w:rFonts w:hint="eastAsia"/>
                <w:b/>
                <w:bCs/>
              </w:rPr>
              <w:t>投标须知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rPr>
                <w:b/>
                <w:bCs/>
              </w:rPr>
            </w:pPr>
          </w:p>
        </w:tc>
        <w:tc>
          <w:tcPr>
            <w:tcW w:w="3256" w:type="dxa"/>
          </w:tcPr>
          <w:p>
            <w:pPr>
              <w:rPr>
                <w:b/>
                <w:bCs/>
              </w:rPr>
            </w:pPr>
            <w:r>
              <w:fldChar w:fldCharType="begin"/>
            </w:r>
            <w:r>
              <w:instrText xml:space="preserve"> HYPERLINK \l "_Toc474235942" </w:instrText>
            </w:r>
            <w:r>
              <w:fldChar w:fldCharType="separate"/>
            </w:r>
            <w:r>
              <w:rPr>
                <w:rFonts w:hint="eastAsia"/>
                <w:b/>
                <w:bCs/>
              </w:rPr>
              <w:t>投标须知前附表</w:t>
            </w:r>
            <w:r>
              <w:rPr>
                <w:rFonts w:hint="eastAsia"/>
                <w:b/>
                <w:bC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rPr>
                <w:b/>
                <w:bCs/>
              </w:rPr>
            </w:pPr>
          </w:p>
        </w:tc>
        <w:tc>
          <w:tcPr>
            <w:tcW w:w="3256" w:type="dxa"/>
          </w:tcPr>
          <w:p>
            <w:pPr>
              <w:rPr>
                <w:b/>
                <w:bCs/>
              </w:rPr>
            </w:pPr>
            <w:r>
              <w:fldChar w:fldCharType="begin"/>
            </w:r>
            <w:r>
              <w:instrText xml:space="preserve"> HYPERLINK \l "_Toc474235943" </w:instrText>
            </w:r>
            <w:r>
              <w:fldChar w:fldCharType="separate"/>
            </w:r>
            <w:r>
              <w:rPr>
                <w:rFonts w:hint="eastAsia"/>
                <w:b/>
                <w:bCs/>
              </w:rPr>
              <w:t>投标须知正文</w:t>
            </w:r>
            <w:r>
              <w:rPr>
                <w:rFonts w:hint="eastAsia"/>
                <w:b/>
                <w:bC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"_Toc474235944" </w:instrText>
            </w:r>
            <w:r>
              <w:fldChar w:fldCharType="separate"/>
            </w:r>
            <w:r>
              <w:rPr>
                <w:rFonts w:hint="eastAsia"/>
                <w:b/>
                <w:bCs/>
              </w:rPr>
              <w:t>一</w:t>
            </w:r>
            <w:r>
              <w:rPr>
                <w:rFonts w:hint="eastAsia"/>
                <w:b/>
                <w:bCs/>
              </w:rPr>
              <w:fldChar w:fldCharType="end"/>
            </w:r>
          </w:p>
        </w:tc>
        <w:tc>
          <w:tcPr>
            <w:tcW w:w="3256" w:type="dxa"/>
          </w:tcPr>
          <w:p>
            <w:pPr>
              <w:rPr>
                <w:b/>
                <w:bCs/>
              </w:rPr>
            </w:pPr>
            <w:r>
              <w:rPr>
                <w:rFonts w:hint="eastAsia"/>
                <w:b/>
                <w:bCs/>
              </w:rPr>
              <w:t>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"_Toc474235945" </w:instrText>
            </w:r>
            <w:r>
              <w:fldChar w:fldCharType="separate"/>
            </w:r>
            <w:r>
              <w:rPr>
                <w:rFonts w:hint="eastAsia"/>
                <w:b/>
                <w:bCs/>
              </w:rPr>
              <w:t>二</w:t>
            </w:r>
            <w:r>
              <w:rPr>
                <w:rFonts w:hint="eastAsia"/>
                <w:b/>
                <w:bCs/>
              </w:rPr>
              <w:fldChar w:fldCharType="end"/>
            </w:r>
          </w:p>
        </w:tc>
        <w:tc>
          <w:tcPr>
            <w:tcW w:w="3256" w:type="dxa"/>
          </w:tcPr>
          <w:p>
            <w:pPr>
              <w:rPr>
                <w:b/>
                <w:bCs/>
              </w:rPr>
            </w:pPr>
            <w:r>
              <w:rPr>
                <w:rFonts w:hint="eastAsia"/>
                <w:b/>
                <w:bCs/>
              </w:rPr>
              <w:t>招标文件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"_Toc474235946" </w:instrText>
            </w:r>
            <w:r>
              <w:fldChar w:fldCharType="separate"/>
            </w:r>
            <w:r>
              <w:rPr>
                <w:rFonts w:hint="eastAsia"/>
                <w:b/>
                <w:bCs/>
              </w:rPr>
              <w:t xml:space="preserve">三 </w:t>
            </w:r>
            <w:r>
              <w:rPr>
                <w:rFonts w:hint="eastAsia"/>
                <w:b/>
                <w:bCs/>
              </w:rPr>
              <w:fldChar w:fldCharType="end"/>
            </w:r>
          </w:p>
        </w:tc>
        <w:tc>
          <w:tcPr>
            <w:tcW w:w="3256" w:type="dxa"/>
          </w:tcPr>
          <w:p>
            <w:pPr>
              <w:rPr>
                <w:b/>
                <w:bCs/>
              </w:rPr>
            </w:pPr>
            <w:r>
              <w:rPr>
                <w:rFonts w:hint="eastAsia"/>
                <w:b/>
                <w:bCs/>
              </w:rPr>
              <w:t>投标文件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"_Toc474235947" </w:instrText>
            </w:r>
            <w:r>
              <w:fldChar w:fldCharType="separate"/>
            </w:r>
            <w:r>
              <w:rPr>
                <w:rFonts w:hint="eastAsia"/>
                <w:b/>
                <w:bCs/>
              </w:rPr>
              <w:t xml:space="preserve">四 </w:t>
            </w:r>
            <w:r>
              <w:rPr>
                <w:rFonts w:hint="eastAsia"/>
                <w:b/>
                <w:bCs/>
              </w:rPr>
              <w:fldChar w:fldCharType="end"/>
            </w:r>
          </w:p>
        </w:tc>
        <w:tc>
          <w:tcPr>
            <w:tcW w:w="3256" w:type="dxa"/>
          </w:tcPr>
          <w:p>
            <w:pPr>
              <w:rPr>
                <w:b/>
                <w:bCs/>
              </w:rPr>
            </w:pPr>
            <w:r>
              <w:rPr>
                <w:rFonts w:hint="eastAsia"/>
                <w:b/>
                <w:bCs/>
              </w:rPr>
              <w:t>投标文件的递交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"_Toc474235948" </w:instrText>
            </w:r>
            <w:r>
              <w:fldChar w:fldCharType="separate"/>
            </w:r>
            <w:r>
              <w:rPr>
                <w:rFonts w:hint="eastAsia"/>
                <w:b/>
                <w:bCs/>
              </w:rPr>
              <w:t xml:space="preserve">五 </w:t>
            </w:r>
            <w:r>
              <w:rPr>
                <w:rFonts w:hint="eastAsia"/>
                <w:b/>
                <w:bCs/>
              </w:rPr>
              <w:fldChar w:fldCharType="end"/>
            </w:r>
          </w:p>
        </w:tc>
        <w:tc>
          <w:tcPr>
            <w:tcW w:w="3256" w:type="dxa"/>
          </w:tcPr>
          <w:p>
            <w:pPr>
              <w:rPr>
                <w:b/>
                <w:bCs/>
              </w:rPr>
            </w:pPr>
            <w:r>
              <w:rPr>
                <w:rFonts w:hint="eastAsia"/>
                <w:b/>
                <w:bCs/>
              </w:rPr>
              <w:t>开标和评标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"_Toc474235949" </w:instrText>
            </w:r>
            <w:r>
              <w:fldChar w:fldCharType="separate"/>
            </w:r>
            <w:r>
              <w:rPr>
                <w:rFonts w:hint="eastAsia"/>
                <w:b/>
                <w:bCs/>
              </w:rPr>
              <w:t>第三章</w:t>
            </w:r>
            <w:r>
              <w:rPr>
                <w:rFonts w:hint="eastAsia"/>
                <w:b/>
                <w:bCs/>
              </w:rPr>
              <w:fldChar w:fldCharType="end"/>
            </w:r>
          </w:p>
        </w:tc>
        <w:tc>
          <w:tcPr>
            <w:tcW w:w="3256" w:type="dxa"/>
          </w:tcPr>
          <w:p>
            <w:pPr>
              <w:rPr>
                <w:b/>
                <w:bCs/>
              </w:rPr>
            </w:pPr>
            <w:r>
              <w:rPr>
                <w:rFonts w:hint="eastAsia"/>
                <w:b/>
                <w:bCs/>
              </w:rPr>
              <w:t>评标方法及标准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"_Toc474235950" </w:instrText>
            </w:r>
            <w:r>
              <w:fldChar w:fldCharType="separate"/>
            </w:r>
            <w:r>
              <w:rPr>
                <w:rFonts w:hint="eastAsia"/>
                <w:b/>
                <w:bCs/>
              </w:rPr>
              <w:t>第四章</w:t>
            </w:r>
            <w:r>
              <w:rPr>
                <w:rFonts w:hint="eastAsia"/>
                <w:b/>
                <w:bCs/>
              </w:rPr>
              <w:fldChar w:fldCharType="end"/>
            </w:r>
          </w:p>
        </w:tc>
        <w:tc>
          <w:tcPr>
            <w:tcW w:w="3256" w:type="dxa"/>
          </w:tcPr>
          <w:p>
            <w:pPr>
              <w:rPr>
                <w:b/>
                <w:bCs/>
              </w:rPr>
            </w:pPr>
            <w:r>
              <w:rPr>
                <w:rFonts w:hint="eastAsia"/>
                <w:b/>
                <w:bCs/>
              </w:rPr>
              <w:t>政府采购合同格式、验收书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"_Toc474235951" </w:instrText>
            </w:r>
            <w:r>
              <w:fldChar w:fldCharType="separate"/>
            </w:r>
            <w:r>
              <w:rPr>
                <w:rFonts w:hint="eastAsia"/>
                <w:b/>
                <w:bCs/>
              </w:rPr>
              <w:t xml:space="preserve">一 </w:t>
            </w:r>
            <w:r>
              <w:rPr>
                <w:rFonts w:hint="eastAsia"/>
                <w:b/>
                <w:bCs/>
              </w:rPr>
              <w:fldChar w:fldCharType="end"/>
            </w:r>
          </w:p>
        </w:tc>
        <w:tc>
          <w:tcPr>
            <w:tcW w:w="3256" w:type="dxa"/>
          </w:tcPr>
          <w:p>
            <w:pPr>
              <w:rPr>
                <w:b/>
                <w:bCs/>
              </w:rPr>
            </w:pPr>
            <w:r>
              <w:rPr>
                <w:rFonts w:hint="eastAsia"/>
                <w:b/>
                <w:bCs/>
              </w:rPr>
              <w:t>政府采购合同协议书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"_Toc474235952" </w:instrText>
            </w:r>
            <w:r>
              <w:fldChar w:fldCharType="separate"/>
            </w:r>
            <w:r>
              <w:rPr>
                <w:rFonts w:hint="eastAsia"/>
                <w:b/>
                <w:bCs/>
              </w:rPr>
              <w:t xml:space="preserve">二 </w:t>
            </w:r>
            <w:r>
              <w:rPr>
                <w:rFonts w:hint="eastAsia"/>
                <w:b/>
                <w:bCs/>
              </w:rPr>
              <w:fldChar w:fldCharType="end"/>
            </w:r>
          </w:p>
        </w:tc>
        <w:tc>
          <w:tcPr>
            <w:tcW w:w="3256" w:type="dxa"/>
          </w:tcPr>
          <w:p>
            <w:pPr>
              <w:rPr>
                <w:b/>
                <w:bCs/>
              </w:rPr>
            </w:pPr>
            <w:r>
              <w:rPr>
                <w:rFonts w:hint="eastAsia"/>
                <w:b/>
                <w:bCs/>
              </w:rPr>
              <w:t>政府采购合同通用条款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"_Toc474235953" </w:instrText>
            </w:r>
            <w:r>
              <w:fldChar w:fldCharType="separate"/>
            </w:r>
            <w:r>
              <w:rPr>
                <w:rFonts w:hint="eastAsia"/>
                <w:b/>
                <w:bCs/>
              </w:rPr>
              <w:t xml:space="preserve">三 </w:t>
            </w:r>
            <w:r>
              <w:rPr>
                <w:rFonts w:hint="eastAsia"/>
                <w:b/>
                <w:bCs/>
              </w:rPr>
              <w:fldChar w:fldCharType="end"/>
            </w:r>
          </w:p>
        </w:tc>
        <w:tc>
          <w:tcPr>
            <w:tcW w:w="3256" w:type="dxa"/>
          </w:tcPr>
          <w:p>
            <w:pPr>
              <w:rPr>
                <w:b/>
                <w:bCs/>
              </w:rPr>
            </w:pPr>
            <w:r>
              <w:rPr>
                <w:rFonts w:hint="eastAsia"/>
                <w:b/>
                <w:bCs/>
              </w:rPr>
              <w:t>政府采购合同专用条款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95" w:firstLineChars="1800"/>
              <w:rPr>
                <w:b/>
                <w:bCs/>
              </w:rPr>
            </w:pPr>
            <w:r>
              <w:rPr>
                <w:rFonts w:hint="eastAsia"/>
                <w:b/>
                <w:bCs/>
              </w:rPr>
              <w:t xml:space="preserve">四 </w:t>
            </w:r>
          </w:p>
        </w:tc>
        <w:tc>
          <w:tcPr>
            <w:tcW w:w="3256" w:type="dxa"/>
          </w:tcPr>
          <w:p>
            <w:pPr>
              <w:rPr>
                <w:b/>
                <w:bCs/>
              </w:rPr>
            </w:pPr>
            <w:r>
              <w:rPr>
                <w:rFonts w:hint="eastAsia"/>
                <w:b/>
                <w:bCs/>
              </w:rPr>
              <w:t>验收书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"_Toc474235954" </w:instrText>
            </w:r>
            <w:r>
              <w:fldChar w:fldCharType="separate"/>
            </w:r>
            <w:r>
              <w:rPr>
                <w:rFonts w:hint="eastAsia"/>
                <w:b/>
                <w:bCs/>
              </w:rPr>
              <w:t>第五章</w:t>
            </w:r>
            <w:r>
              <w:rPr>
                <w:rFonts w:hint="eastAsia"/>
                <w:b/>
                <w:bCs/>
              </w:rPr>
              <w:fldChar w:fldCharType="end"/>
            </w:r>
          </w:p>
        </w:tc>
        <w:tc>
          <w:tcPr>
            <w:tcW w:w="3256" w:type="dxa"/>
          </w:tcPr>
          <w:p>
            <w:pPr>
              <w:rPr>
                <w:b/>
                <w:bCs/>
              </w:rPr>
            </w:pPr>
            <w:r>
              <w:rPr>
                <w:rFonts w:hint="eastAsia"/>
                <w:b/>
                <w:bCs/>
              </w:rPr>
              <w:t>采购需求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"_Toc474235955" </w:instrText>
            </w:r>
            <w:r>
              <w:fldChar w:fldCharType="separate"/>
            </w:r>
            <w:r>
              <w:rPr>
                <w:rFonts w:hint="eastAsia"/>
                <w:b/>
                <w:bCs/>
              </w:rPr>
              <w:t>第六章</w:t>
            </w:r>
            <w:r>
              <w:rPr>
                <w:rFonts w:hint="eastAsia"/>
                <w:b/>
                <w:bCs/>
              </w:rPr>
              <w:fldChar w:fldCharType="end"/>
            </w:r>
          </w:p>
        </w:tc>
        <w:tc>
          <w:tcPr>
            <w:tcW w:w="3256" w:type="dxa"/>
          </w:tcPr>
          <w:p>
            <w:pPr>
              <w:rPr>
                <w:b/>
                <w:bCs/>
              </w:rPr>
            </w:pPr>
            <w:r>
              <w:rPr>
                <w:rFonts w:hint="eastAsia"/>
                <w:b/>
                <w:bCs/>
              </w:rPr>
              <w:t>投标文件格式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"_Toc474235956" </w:instrText>
            </w:r>
            <w:r>
              <w:fldChar w:fldCharType="separate"/>
            </w:r>
            <w:r>
              <w:rPr>
                <w:rFonts w:hint="eastAsia"/>
                <w:b/>
                <w:bCs/>
              </w:rPr>
              <w:t xml:space="preserve">一 </w:t>
            </w:r>
            <w:r>
              <w:rPr>
                <w:rFonts w:hint="eastAsia"/>
                <w:b/>
                <w:bCs/>
              </w:rPr>
              <w:fldChar w:fldCharType="end"/>
            </w:r>
          </w:p>
        </w:tc>
        <w:tc>
          <w:tcPr>
            <w:tcW w:w="3256" w:type="dxa"/>
          </w:tcPr>
          <w:p>
            <w:pPr>
              <w:rPr>
                <w:b/>
                <w:bCs/>
              </w:rPr>
            </w:pPr>
            <w:r>
              <w:rPr>
                <w:rFonts w:hint="eastAsia"/>
                <w:b/>
                <w:bCs/>
              </w:rPr>
              <w:t>投标函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"_Toc474235957" </w:instrText>
            </w:r>
            <w:r>
              <w:fldChar w:fldCharType="separate"/>
            </w:r>
            <w:r>
              <w:rPr>
                <w:rFonts w:hint="eastAsia"/>
                <w:b/>
                <w:bCs/>
              </w:rPr>
              <w:t xml:space="preserve">二 </w:t>
            </w:r>
            <w:r>
              <w:rPr>
                <w:rFonts w:hint="eastAsia"/>
                <w:b/>
                <w:bCs/>
              </w:rPr>
              <w:fldChar w:fldCharType="end"/>
            </w:r>
          </w:p>
        </w:tc>
        <w:tc>
          <w:tcPr>
            <w:tcW w:w="3256" w:type="dxa"/>
          </w:tcPr>
          <w:p>
            <w:pPr>
              <w:rPr>
                <w:b/>
                <w:bCs/>
              </w:rPr>
            </w:pPr>
            <w:r>
              <w:rPr>
                <w:rFonts w:hint="eastAsia"/>
                <w:b/>
                <w:bCs/>
              </w:rPr>
              <w:t>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"_Toc474235958" </w:instrText>
            </w:r>
            <w:r>
              <w:fldChar w:fldCharType="separate"/>
            </w:r>
            <w:r>
              <w:rPr>
                <w:rFonts w:hint="eastAsia"/>
                <w:b/>
                <w:bCs/>
              </w:rPr>
              <w:t xml:space="preserve">三 </w:t>
            </w:r>
            <w:r>
              <w:rPr>
                <w:rFonts w:hint="eastAsia"/>
                <w:b/>
                <w:bCs/>
              </w:rPr>
              <w:fldChar w:fldCharType="end"/>
            </w:r>
          </w:p>
        </w:tc>
        <w:tc>
          <w:tcPr>
            <w:tcW w:w="3256" w:type="dxa"/>
          </w:tcPr>
          <w:p>
            <w:pPr>
              <w:rPr>
                <w:b/>
                <w:bCs/>
              </w:rPr>
            </w:pPr>
            <w:r>
              <w:rPr>
                <w:rFonts w:hint="eastAsia"/>
                <w:b/>
                <w:bCs/>
              </w:rPr>
              <w:t>开标一览表及投标报价明细表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"_Toc474235959" </w:instrText>
            </w:r>
            <w:r>
              <w:fldChar w:fldCharType="separate"/>
            </w:r>
            <w:r>
              <w:rPr>
                <w:rFonts w:hint="eastAsia"/>
                <w:b/>
                <w:bCs/>
              </w:rPr>
              <w:t xml:space="preserve">四 </w:t>
            </w:r>
            <w:r>
              <w:rPr>
                <w:rFonts w:hint="eastAsia"/>
                <w:b/>
                <w:bCs/>
              </w:rPr>
              <w:fldChar w:fldCharType="end"/>
            </w:r>
          </w:p>
        </w:tc>
        <w:tc>
          <w:tcPr>
            <w:tcW w:w="3256" w:type="dxa"/>
          </w:tcPr>
          <w:p>
            <w:pPr>
              <w:rPr>
                <w:b/>
                <w:bCs/>
              </w:rPr>
            </w:pPr>
            <w:r>
              <w:rPr>
                <w:rFonts w:hint="eastAsia"/>
                <w:b/>
                <w:bCs/>
              </w:rPr>
              <w:t>投标人的资格证明材料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"_Toc474235960" </w:instrText>
            </w:r>
            <w:r>
              <w:fldChar w:fldCharType="separate"/>
            </w:r>
            <w:r>
              <w:rPr>
                <w:rFonts w:hint="eastAsia"/>
                <w:b/>
                <w:bCs/>
              </w:rPr>
              <w:t xml:space="preserve">五 </w:t>
            </w:r>
            <w:r>
              <w:rPr>
                <w:rFonts w:hint="eastAsia"/>
                <w:b/>
                <w:bCs/>
              </w:rPr>
              <w:fldChar w:fldCharType="end"/>
            </w:r>
          </w:p>
        </w:tc>
        <w:tc>
          <w:tcPr>
            <w:tcW w:w="3256" w:type="dxa"/>
          </w:tcPr>
          <w:p>
            <w:pPr>
              <w:rPr>
                <w:b/>
                <w:bCs/>
              </w:rPr>
            </w:pPr>
            <w:r>
              <w:rPr>
                <w:rFonts w:hint="eastAsia"/>
                <w:b/>
                <w:bCs/>
              </w:rPr>
              <w:t>货物说明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"_Toc474235961" </w:instrText>
            </w:r>
            <w:r>
              <w:fldChar w:fldCharType="separate"/>
            </w:r>
            <w:r>
              <w:rPr>
                <w:rFonts w:hint="eastAsia"/>
                <w:b/>
                <w:bCs/>
              </w:rPr>
              <w:t xml:space="preserve">六 </w:t>
            </w:r>
            <w:r>
              <w:rPr>
                <w:rFonts w:hint="eastAsia"/>
                <w:b/>
                <w:bCs/>
              </w:rPr>
              <w:fldChar w:fldCharType="end"/>
            </w:r>
          </w:p>
        </w:tc>
        <w:tc>
          <w:tcPr>
            <w:tcW w:w="3256" w:type="dxa"/>
          </w:tcPr>
          <w:p>
            <w:pPr>
              <w:rPr>
                <w:b/>
                <w:bCs/>
              </w:rPr>
            </w:pPr>
            <w:r>
              <w:rPr>
                <w:rFonts w:hint="eastAsia"/>
                <w:b/>
                <w:bCs/>
              </w:rPr>
              <w:t>实施方案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"_Toc474235962" </w:instrText>
            </w:r>
            <w:r>
              <w:fldChar w:fldCharType="separate"/>
            </w:r>
            <w:r>
              <w:rPr>
                <w:rFonts w:hint="eastAsia"/>
                <w:b/>
                <w:bCs/>
              </w:rPr>
              <w:t xml:space="preserve">七 </w:t>
            </w:r>
            <w:r>
              <w:rPr>
                <w:rFonts w:hint="eastAsia"/>
                <w:b/>
                <w:bCs/>
              </w:rPr>
              <w:fldChar w:fldCharType="end"/>
            </w:r>
          </w:p>
        </w:tc>
        <w:tc>
          <w:tcPr>
            <w:tcW w:w="3256" w:type="dxa"/>
          </w:tcPr>
          <w:p>
            <w:pPr>
              <w:rPr>
                <w:b/>
                <w:bCs/>
              </w:rPr>
            </w:pPr>
            <w:r>
              <w:rPr>
                <w:rFonts w:hint="eastAsia"/>
                <w:b/>
                <w:bCs/>
              </w:rPr>
              <w:t>商务响应与偏离表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584" w:firstLineChars="1700"/>
              <w:jc w:val="center"/>
              <w:rPr>
                <w:b/>
                <w:bCs/>
              </w:rPr>
            </w:pPr>
            <w:r>
              <w:rPr>
                <w:rFonts w:hint="eastAsia"/>
                <w:b/>
                <w:bCs/>
              </w:rPr>
              <w:t xml:space="preserve"> </w:t>
            </w:r>
            <w:r>
              <w:fldChar w:fldCharType="begin"/>
            </w:r>
            <w:r>
              <w:instrText xml:space="preserve"> HYPERLINK \l "_Toc474235963" </w:instrText>
            </w:r>
            <w:r>
              <w:fldChar w:fldCharType="separate"/>
            </w:r>
            <w:r>
              <w:rPr>
                <w:rFonts w:hint="eastAsia"/>
                <w:b/>
                <w:bCs/>
              </w:rPr>
              <w:t xml:space="preserve">八 </w:t>
            </w:r>
            <w:r>
              <w:rPr>
                <w:rFonts w:hint="eastAsia"/>
                <w:b/>
                <w:bCs/>
              </w:rPr>
              <w:fldChar w:fldCharType="end"/>
            </w:r>
          </w:p>
        </w:tc>
        <w:tc>
          <w:tcPr>
            <w:tcW w:w="3256" w:type="dxa"/>
          </w:tcPr>
          <w:p>
            <w:pPr>
              <w:rPr>
                <w:b/>
                <w:bCs/>
              </w:rPr>
            </w:pPr>
            <w:r>
              <w:rPr>
                <w:rFonts w:hint="eastAsia"/>
                <w:b/>
                <w:bCs/>
              </w:rPr>
              <w:t>投标人认为需要提供的其它资料</w:t>
            </w:r>
          </w:p>
        </w:tc>
      </w:tr>
    </w:tbl>
    <w:p>
      <w:pPr>
        <w:pStyle w:val="33"/>
        <w:tabs>
          <w:tab w:val="right" w:leader="hyphen" w:pos="8834"/>
        </w:tabs>
        <w:rPr>
          <w:b w:val="0"/>
          <w:bCs w:val="0"/>
          <w:caps w:val="0"/>
          <w:color w:val="000000" w:themeColor="text1"/>
          <w:sz w:val="21"/>
          <w:szCs w:val="24"/>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TOC \o "1-3" \h \z \u </w:instrText>
      </w:r>
      <w:r>
        <w:rPr>
          <w:rFonts w:ascii="宋体" w:hAnsi="宋体"/>
          <w:color w:val="000000" w:themeColor="text1"/>
          <w:szCs w:val="21"/>
          <w14:textFill>
            <w14:solidFill>
              <w14:schemeClr w14:val="tx1"/>
            </w14:solidFill>
          </w14:textFill>
        </w:rPr>
        <w:fldChar w:fldCharType="separate"/>
      </w:r>
    </w:p>
    <w:p>
      <w:pPr>
        <w:pStyle w:val="33"/>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Cs w:val="21"/>
          <w14:textFill>
            <w14:solidFill>
              <w14:schemeClr w14:val="tx1"/>
            </w14:solidFill>
          </w14:textFill>
        </w:rPr>
        <w:fldChar w:fldCharType="end"/>
      </w:r>
    </w:p>
    <w:p>
      <w:pPr>
        <w:spacing w:line="360" w:lineRule="exact"/>
        <w:jc w:val="center"/>
        <w:outlineLvl w:val="0"/>
        <w:rPr>
          <w:rFonts w:ascii="宋体" w:hAnsi="宋体"/>
          <w:b/>
          <w:color w:val="000000" w:themeColor="text1"/>
          <w:sz w:val="32"/>
          <w:szCs w:val="32"/>
          <w14:textFill>
            <w14:solidFill>
              <w14:schemeClr w14:val="tx1"/>
            </w14:solidFill>
          </w14:textFill>
        </w:rPr>
      </w:pPr>
      <w:bookmarkStart w:id="1" w:name="_Toc419219491"/>
      <w:bookmarkStart w:id="2" w:name="_Toc420948005"/>
      <w:bookmarkStart w:id="3" w:name="_Toc419219645"/>
      <w:bookmarkStart w:id="4" w:name="_Toc419219410"/>
    </w:p>
    <w:p>
      <w:pPr>
        <w:spacing w:line="360" w:lineRule="exact"/>
        <w:jc w:val="center"/>
        <w:outlineLvl w:val="0"/>
        <w:rPr>
          <w:rFonts w:ascii="宋体" w:hAnsi="宋体"/>
          <w:b/>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spacing w:line="360" w:lineRule="exact"/>
        <w:jc w:val="center"/>
        <w:outlineLvl w:val="0"/>
        <w:rPr>
          <w:rFonts w:ascii="宋体" w:hAnsi="宋体"/>
          <w:b/>
          <w:color w:val="000000" w:themeColor="text1"/>
          <w:sz w:val="32"/>
          <w:szCs w:val="32"/>
          <w14:textFill>
            <w14:solidFill>
              <w14:schemeClr w14:val="tx1"/>
            </w14:solidFill>
          </w14:textFill>
        </w:rPr>
      </w:pPr>
      <w:bookmarkStart w:id="5" w:name="_Toc474235940"/>
      <w:r>
        <w:rPr>
          <w:rFonts w:hint="eastAsia" w:ascii="宋体" w:hAnsi="宋体"/>
          <w:b/>
          <w:color w:val="000000" w:themeColor="text1"/>
          <w:sz w:val="32"/>
          <w:szCs w:val="32"/>
          <w14:textFill>
            <w14:solidFill>
              <w14:schemeClr w14:val="tx1"/>
            </w14:solidFill>
          </w14:textFill>
        </w:rPr>
        <w:t>第一</w:t>
      </w:r>
      <w:r>
        <w:rPr>
          <w:rFonts w:ascii="宋体" w:hAnsi="宋体"/>
          <w:b/>
          <w:color w:val="000000" w:themeColor="text1"/>
          <w:sz w:val="32"/>
          <w:szCs w:val="32"/>
          <w14:textFill>
            <w14:solidFill>
              <w14:schemeClr w14:val="tx1"/>
            </w14:solidFill>
          </w14:textFill>
        </w:rPr>
        <w:t xml:space="preserve">章  </w:t>
      </w:r>
      <w:r>
        <w:rPr>
          <w:rFonts w:hint="eastAsia" w:ascii="宋体" w:hAnsi="宋体"/>
          <w:b/>
          <w:color w:val="000000" w:themeColor="text1"/>
          <w:sz w:val="32"/>
          <w:szCs w:val="32"/>
          <w14:textFill>
            <w14:solidFill>
              <w14:schemeClr w14:val="tx1"/>
            </w14:solidFill>
          </w14:textFill>
        </w:rPr>
        <w:t>招标公告</w:t>
      </w:r>
      <w:bookmarkEnd w:id="1"/>
      <w:bookmarkEnd w:id="2"/>
      <w:bookmarkEnd w:id="3"/>
      <w:bookmarkEnd w:id="4"/>
      <w:bookmarkEnd w:id="5"/>
      <w:bookmarkStart w:id="6" w:name="OLE_LINK3"/>
      <w:bookmarkStart w:id="7" w:name="OLE_LINK1"/>
      <w:bookmarkStart w:id="8" w:name="OLE_LINK4"/>
      <w:bookmarkStart w:id="9" w:name="OLE_LINK2"/>
    </w:p>
    <w:bookmarkEnd w:id="6"/>
    <w:bookmarkEnd w:id="7"/>
    <w:bookmarkEnd w:id="8"/>
    <w:bookmarkEnd w:id="9"/>
    <w:p>
      <w:pPr>
        <w:widowControl/>
        <w:spacing w:line="380" w:lineRule="exact"/>
        <w:ind w:firstLine="420" w:firstLineChars="200"/>
        <w:jc w:val="left"/>
        <w:rPr>
          <w:rFonts w:ascii="宋体" w:cs="Arial"/>
          <w:color w:val="000000" w:themeColor="text1"/>
          <w:kern w:val="0"/>
          <w:szCs w:val="21"/>
          <w14:textFill>
            <w14:solidFill>
              <w14:schemeClr w14:val="tx1"/>
            </w14:solidFill>
          </w14:textFill>
        </w:rPr>
      </w:pPr>
      <w:bookmarkStart w:id="10" w:name="_Toc474235941"/>
      <w:bookmarkStart w:id="11" w:name="_Toc420948006"/>
      <w:r>
        <w:rPr>
          <w:rFonts w:hint="eastAsia" w:ascii="宋体" w:hAnsi="宋体" w:cs="Arial"/>
          <w:color w:val="000000" w:themeColor="text1"/>
          <w:kern w:val="0"/>
          <w:szCs w:val="21"/>
          <w14:textFill>
            <w14:solidFill>
              <w14:schemeClr w14:val="tx1"/>
            </w14:solidFill>
          </w14:textFill>
        </w:rPr>
        <w:t>受</w:t>
      </w:r>
      <w:r>
        <w:rPr>
          <w:rFonts w:hint="eastAsia" w:ascii="宋体" w:hAnsi="宋体" w:cs="Arial"/>
          <w:color w:val="000000" w:themeColor="text1"/>
          <w:kern w:val="0"/>
          <w:szCs w:val="21"/>
          <w:highlight w:val="yellow"/>
          <w14:textFill>
            <w14:solidFill>
              <w14:schemeClr w14:val="tx1"/>
            </w14:solidFill>
          </w14:textFill>
        </w:rPr>
        <w:t>霍尔果斯市经济开发区管理委员会招商局（商务经信局）</w:t>
      </w:r>
      <w:r>
        <w:rPr>
          <w:rFonts w:hint="eastAsia" w:ascii="宋体" w:hAnsi="宋体" w:cs="Arial"/>
          <w:color w:val="000000" w:themeColor="text1"/>
          <w:kern w:val="0"/>
          <w:szCs w:val="21"/>
          <w14:textFill>
            <w14:solidFill>
              <w14:schemeClr w14:val="tx1"/>
            </w14:solidFill>
          </w14:textFill>
        </w:rPr>
        <w:t>的委托，霍尔果斯经济开发区政府采购中心对</w:t>
      </w:r>
      <w:r>
        <w:rPr>
          <w:rFonts w:hint="eastAsia" w:ascii="宋体" w:hAnsi="宋体" w:cs="Arial"/>
          <w:color w:val="000000" w:themeColor="text1"/>
          <w:kern w:val="0"/>
          <w:szCs w:val="21"/>
          <w:highlight w:val="yellow"/>
          <w14:textFill>
            <w14:solidFill>
              <w14:schemeClr w14:val="tx1"/>
            </w14:solidFill>
          </w14:textFill>
        </w:rPr>
        <w:t>霍尔果斯国家物流枢纽综合信息服务平台建设项目（霍尔果斯跨境电商综试区平台）</w:t>
      </w:r>
      <w:r>
        <w:rPr>
          <w:rFonts w:hint="eastAsia" w:ascii="宋体" w:hAnsi="宋体" w:cs="Arial"/>
          <w:color w:val="000000" w:themeColor="text1"/>
          <w:kern w:val="0"/>
          <w:szCs w:val="21"/>
          <w14:textFill>
            <w14:solidFill>
              <w14:schemeClr w14:val="tx1"/>
            </w14:solidFill>
          </w14:textFill>
        </w:rPr>
        <w:t>进行公开招标采购，欢迎符合资格条件的投标人参加投标。</w:t>
      </w:r>
    </w:p>
    <w:p>
      <w:pPr>
        <w:widowControl/>
        <w:numPr>
          <w:ilvl w:val="0"/>
          <w:numId w:val="4"/>
        </w:numPr>
        <w:spacing w:line="380" w:lineRule="exact"/>
        <w:ind w:firstLine="420" w:firstLineChars="200"/>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招标编号：HEGSCG-2023GK-14号</w:t>
      </w:r>
    </w:p>
    <w:p>
      <w:pPr>
        <w:widowControl/>
        <w:spacing w:line="380" w:lineRule="exact"/>
        <w:ind w:firstLine="420" w:firstLineChars="200"/>
        <w:jc w:val="left"/>
        <w:rPr>
          <w:rFonts w:ascii="宋体" w:hAnsi="宋体" w:cs="Arial"/>
          <w:color w:val="000000" w:themeColor="text1"/>
          <w:kern w:val="0"/>
          <w:szCs w:val="21"/>
          <w:highlight w:val="darkMagenta"/>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2、项目名称：霍尔果斯国家物流枢纽综合信息服务平台建设项目（霍尔果斯跨境电商综试区平台）</w:t>
      </w:r>
    </w:p>
    <w:p>
      <w:pPr>
        <w:widowControl/>
        <w:spacing w:line="380" w:lineRule="exact"/>
        <w:ind w:left="420" w:leftChars="200"/>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3、招标内容及要求</w:t>
      </w:r>
    </w:p>
    <w:p>
      <w:pPr>
        <w:widowControl/>
        <w:spacing w:line="380" w:lineRule="exact"/>
        <w:ind w:firstLine="422" w:firstLineChars="200"/>
        <w:jc w:val="left"/>
        <w:rPr>
          <w:color w:val="000000" w:themeColor="text1"/>
          <w14:textFill>
            <w14:solidFill>
              <w14:schemeClr w14:val="tx1"/>
            </w14:solidFill>
          </w14:textFill>
        </w:rPr>
      </w:pPr>
      <w:r>
        <w:rPr>
          <w:rFonts w:hint="eastAsia" w:ascii="宋体" w:hAnsi="宋体" w:cs="Arial"/>
          <w:b/>
          <w:bCs/>
          <w:color w:val="000000" w:themeColor="text1"/>
          <w:kern w:val="0"/>
          <w:szCs w:val="21"/>
          <w14:textFill>
            <w14:solidFill>
              <w14:schemeClr w14:val="tx1"/>
            </w14:solidFill>
          </w14:textFill>
        </w:rPr>
        <w:t>3.1 标项：</w:t>
      </w:r>
    </w:p>
    <w:tbl>
      <w:tblPr>
        <w:tblStyle w:val="46"/>
        <w:tblW w:w="8843" w:type="dxa"/>
        <w:tblInd w:w="11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65"/>
        <w:gridCol w:w="4704"/>
        <w:gridCol w:w="650"/>
        <w:gridCol w:w="212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3" w:hRule="atLeast"/>
        </w:trPr>
        <w:tc>
          <w:tcPr>
            <w:tcW w:w="8843" w:type="dxa"/>
            <w:gridSpan w:val="4"/>
            <w:tcBorders>
              <w:tl2br w:val="nil"/>
              <w:tr2bl w:val="nil"/>
            </w:tcBorders>
            <w:shd w:val="clear" w:color="auto" w:fill="auto"/>
            <w:noWrap/>
            <w:vAlign w:val="center"/>
          </w:tcPr>
          <w:p>
            <w:pPr>
              <w:widowControl/>
              <w:jc w:val="left"/>
              <w:textAlignment w:val="center"/>
              <w:rPr>
                <w:rFonts w:ascii="黑体" w:hAnsi="黑体" w:eastAsia="黑体" w:cs="黑体"/>
                <w:color w:val="000000"/>
                <w:kern w:val="0"/>
                <w:sz w:val="20"/>
                <w:szCs w:val="20"/>
                <w:lang w:bidi="ar"/>
              </w:rPr>
            </w:pPr>
            <w:r>
              <w:rPr>
                <w:rFonts w:hint="eastAsia" w:ascii="黑体" w:hAnsi="黑体" w:eastAsia="黑体" w:cs="黑体"/>
                <w:color w:val="000000" w:themeColor="text1"/>
                <w:kern w:val="0"/>
                <w:sz w:val="20"/>
                <w:szCs w:val="20"/>
                <w14:textFill>
                  <w14:solidFill>
                    <w14:schemeClr w14:val="tx1"/>
                  </w14:solidFill>
                </w14:textFill>
              </w:rPr>
              <w:t>标项：</w:t>
            </w:r>
            <w:r>
              <w:rPr>
                <w:rFonts w:hint="eastAsia" w:eastAsia="黑体"/>
                <w:color w:val="000000"/>
                <w:kern w:val="0"/>
                <w:sz w:val="20"/>
                <w:szCs w:val="20"/>
                <w:lang w:bidi="ar"/>
              </w:rPr>
              <w:t>霍尔果斯国家物流枢纽综合信息服务平台建设项目（霍尔果斯跨境电商综试区平台）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365"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kern w:val="0"/>
                <w:sz w:val="20"/>
                <w:szCs w:val="20"/>
              </w:rPr>
              <w:t>名称</w:t>
            </w:r>
          </w:p>
        </w:tc>
        <w:tc>
          <w:tcPr>
            <w:tcW w:w="4704" w:type="dxa"/>
            <w:tcBorders>
              <w:tl2br w:val="nil"/>
              <w:tr2bl w:val="nil"/>
            </w:tcBorders>
            <w:shd w:val="clear" w:color="auto" w:fill="auto"/>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kern w:val="0"/>
                <w:sz w:val="20"/>
                <w:szCs w:val="20"/>
              </w:rPr>
              <w:t>简要规格描述或项目基本概况</w:t>
            </w:r>
          </w:p>
        </w:tc>
        <w:tc>
          <w:tcPr>
            <w:tcW w:w="650"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单位</w:t>
            </w:r>
          </w:p>
        </w:tc>
        <w:tc>
          <w:tcPr>
            <w:tcW w:w="2124" w:type="dxa"/>
            <w:tcBorders>
              <w:tl2br w:val="nil"/>
              <w:tr2bl w:val="nil"/>
            </w:tcBorders>
            <w:shd w:val="clear" w:color="auto" w:fill="auto"/>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365"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0"/>
                <w:szCs w:val="20"/>
              </w:rPr>
            </w:pPr>
            <w:r>
              <w:rPr>
                <w:rFonts w:hint="eastAsia" w:eastAsia="黑体"/>
                <w:color w:val="000000"/>
                <w:kern w:val="0"/>
                <w:sz w:val="20"/>
                <w:szCs w:val="20"/>
                <w:lang w:bidi="ar"/>
              </w:rPr>
              <w:t>霍尔果斯跨境电商综试区平台</w:t>
            </w:r>
          </w:p>
        </w:tc>
        <w:tc>
          <w:tcPr>
            <w:tcW w:w="4704" w:type="dxa"/>
            <w:tcBorders>
              <w:tl2br w:val="nil"/>
              <w:tr2bl w:val="nil"/>
            </w:tcBorders>
            <w:shd w:val="clear" w:color="auto" w:fill="auto"/>
            <w:vAlign w:val="center"/>
          </w:tcPr>
          <w:p>
            <w:pPr>
              <w:widowControl/>
              <w:jc w:val="center"/>
              <w:textAlignment w:val="center"/>
              <w:rPr>
                <w:rFonts w:ascii="黑体" w:hAnsi="黑体" w:eastAsia="黑体" w:cs="黑体"/>
                <w:color w:val="000000"/>
                <w:sz w:val="20"/>
                <w:szCs w:val="20"/>
              </w:rPr>
            </w:pPr>
            <w:r>
              <w:rPr>
                <w:rFonts w:hint="eastAsia" w:eastAsia="黑体"/>
                <w:color w:val="000000"/>
                <w:kern w:val="0"/>
                <w:sz w:val="20"/>
                <w:szCs w:val="20"/>
                <w:lang w:bidi="ar"/>
              </w:rPr>
              <w:t>无线网络、视频监控、x光机、1210分拣线、业务用房综合布线、网络安全、1210软件系统及服务、9610分拣线、9610网络改造、云加签服务等，具体明细详见采购文件</w:t>
            </w:r>
            <w:r>
              <w:rPr>
                <w:rFonts w:hint="eastAsia" w:eastAsia="黑体"/>
                <w:sz w:val="20"/>
                <w:szCs w:val="20"/>
              </w:rPr>
              <w:t>“第五章 采购需求”。</w:t>
            </w:r>
          </w:p>
        </w:tc>
        <w:tc>
          <w:tcPr>
            <w:tcW w:w="650"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批</w:t>
            </w:r>
          </w:p>
        </w:tc>
        <w:tc>
          <w:tcPr>
            <w:tcW w:w="2124" w:type="dxa"/>
            <w:tcBorders>
              <w:tl2br w:val="nil"/>
              <w:tr2bl w:val="nil"/>
            </w:tcBorders>
            <w:shd w:val="clear" w:color="auto" w:fill="auto"/>
            <w:vAlign w:val="center"/>
          </w:tcPr>
          <w:p>
            <w:pPr>
              <w:jc w:val="center"/>
              <w:rPr>
                <w:rFonts w:ascii="黑体" w:hAnsi="黑体" w:eastAsia="黑体" w:cs="黑体"/>
                <w:color w:val="000000"/>
                <w:sz w:val="20"/>
                <w:szCs w:val="20"/>
              </w:rPr>
            </w:pPr>
            <w:r>
              <w:rPr>
                <w:rFonts w:hint="eastAsia" w:ascii="黑体" w:hAnsi="黑体" w:eastAsia="黑体" w:cs="黑体"/>
                <w:kern w:val="0"/>
                <w:sz w:val="20"/>
                <w:szCs w:val="20"/>
              </w:rPr>
              <w:t>具体技术参数要求，详见采购文件“第五章 采购需求”</w:t>
            </w:r>
          </w:p>
        </w:tc>
      </w:tr>
    </w:tbl>
    <w:p>
      <w:pPr>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、采购项目需要落实的政府采购政策：</w:t>
      </w:r>
      <w:r>
        <w:rPr>
          <w:color w:val="000000" w:themeColor="text1"/>
          <w14:textFill>
            <w14:solidFill>
              <w14:schemeClr w14:val="tx1"/>
            </w14:solidFill>
          </w14:textFill>
        </w:rPr>
        <w:t xml:space="preserve"> </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（1）财政部、国家发展改革委、生态环境部、市场监管总局《关于调整优化节能产品、环境标志产品政府采购执行机制的通知》（财库[2019]9号文）；</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（2）财政部、生态环境部《关于印发环境标志产品政府采购品目清单的通知》（财库[2019]18号文）；</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（3）财政部、发展改革委《关于印发节能产品政府采购品目清单的通知》（财库[2019]19号文）；</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（4）市场监管总局《市场监管总局关于发布参与实施政府采购节能产品、环境标志产品认证机构名录的公告》（2019年第16号）</w:t>
      </w:r>
      <w:r>
        <w:rPr>
          <w:rFonts w:ascii="宋体" w:hAnsi="宋体" w:cs="Arial"/>
          <w:kern w:val="0"/>
          <w:szCs w:val="21"/>
        </w:rPr>
        <w:t>；</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（5）财政部、工业和信息化部</w:t>
      </w:r>
      <w:r>
        <w:rPr>
          <w:rFonts w:hint="eastAsia" w:ascii="宋体" w:hAnsi="宋体"/>
          <w:color w:val="000000" w:themeColor="text1"/>
          <w:szCs w:val="21"/>
          <w14:textFill>
            <w14:solidFill>
              <w14:schemeClr w14:val="tx1"/>
            </w14:solidFill>
          </w14:textFill>
        </w:rPr>
        <w:t>《政府采购促进中小企业发展管理办法》（财库[2020]46号）</w:t>
      </w:r>
      <w:r>
        <w:rPr>
          <w:rFonts w:hint="eastAsia" w:ascii="宋体" w:hAnsi="宋体" w:cs="Arial"/>
          <w:kern w:val="0"/>
          <w:szCs w:val="21"/>
        </w:rPr>
        <w:t>；财政部《关于进一步加大政府采购支持中小企业力度的通知》（财库[2022]19号）</w:t>
      </w:r>
      <w:r>
        <w:rPr>
          <w:rFonts w:ascii="宋体" w:hAnsi="宋体" w:cs="Arial"/>
          <w:kern w:val="0"/>
          <w:szCs w:val="21"/>
        </w:rPr>
        <w:t>；</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（6）财政部、民政部、中国残疾人联合会《关于促进残疾人就业政府采购政策的通知》（财库[2017]141号）；</w:t>
      </w:r>
    </w:p>
    <w:p>
      <w:pPr>
        <w:ind w:firstLine="420" w:firstLineChars="200"/>
        <w:rPr>
          <w:rFonts w:ascii="宋体" w:hAnsi="宋体" w:cs="Arial"/>
          <w:kern w:val="0"/>
          <w:szCs w:val="21"/>
        </w:rPr>
      </w:pPr>
      <w:r>
        <w:rPr>
          <w:rFonts w:hint="eastAsia" w:ascii="宋体" w:hAnsi="宋体" w:cs="Arial"/>
          <w:kern w:val="0"/>
          <w:szCs w:val="21"/>
        </w:rPr>
        <w:t>（7）财政部、司法部《关于政府采购支持监狱企业发展有关问题的通知》（财库[2014]68号文）；</w:t>
      </w:r>
    </w:p>
    <w:p>
      <w:pPr>
        <w:widowControl/>
        <w:spacing w:line="380" w:lineRule="exact"/>
        <w:ind w:left="420" w:leftChars="200"/>
        <w:jc w:val="left"/>
        <w:rPr>
          <w:rFonts w:ascii="宋体" w:hAnsi="宋体" w:cs="Arial"/>
          <w:kern w:val="0"/>
          <w:szCs w:val="21"/>
        </w:rPr>
      </w:pPr>
      <w:r>
        <w:rPr>
          <w:rFonts w:hint="eastAsia" w:ascii="宋体" w:hAnsi="宋体" w:cs="Arial"/>
          <w:kern w:val="0"/>
          <w:szCs w:val="21"/>
        </w:rPr>
        <w:t>（8）根据工业和信息化部、国家统计局、国家发展改革委、财政部《关于印发中小企业划型标准规定的通知》(工信部联企业〔2011〕300号)。</w:t>
      </w:r>
    </w:p>
    <w:p>
      <w:pPr>
        <w:widowControl/>
        <w:spacing w:line="380" w:lineRule="exact"/>
        <w:ind w:left="420" w:hanging="420" w:hangingChars="200"/>
        <w:jc w:val="left"/>
        <w:rPr>
          <w:rFonts w:ascii="宋体" w:hAnsi="宋体" w:cs="Arial"/>
          <w:kern w:val="0"/>
          <w:szCs w:val="21"/>
        </w:rPr>
      </w:pPr>
      <w:r>
        <w:rPr>
          <w:rFonts w:hint="eastAsia" w:ascii="宋体" w:hAnsi="宋体" w:cs="Arial"/>
          <w:kern w:val="0"/>
          <w:szCs w:val="21"/>
        </w:rPr>
        <w:t>5、投标人的资格要求：</w:t>
      </w:r>
      <w:r>
        <w:rPr>
          <w:rFonts w:hint="eastAsia" w:ascii="宋体" w:hAnsi="宋体" w:cs="Arial"/>
          <w:kern w:val="0"/>
          <w:szCs w:val="21"/>
        </w:rPr>
        <w:br w:type="textWrapping"/>
      </w:r>
      <w:r>
        <w:rPr>
          <w:rFonts w:hint="eastAsia" w:ascii="宋体" w:hAnsi="宋体" w:cs="Arial"/>
          <w:kern w:val="0"/>
          <w:szCs w:val="21"/>
        </w:rPr>
        <w:t>（1）符合《中华人民共和国政府采购法》第二十二条规定条件；</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2）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（3）本项目不接受联合体，分公司参与投标需提供总公司营业执照及授权。</w:t>
      </w:r>
    </w:p>
    <w:p>
      <w:pPr>
        <w:widowControl/>
        <w:spacing w:line="380" w:lineRule="exact"/>
        <w:jc w:val="left"/>
        <w:rPr>
          <w:rFonts w:ascii="宋体" w:hAnsi="宋体" w:cs="Arial"/>
          <w:kern w:val="0"/>
          <w:szCs w:val="21"/>
        </w:rPr>
      </w:pPr>
      <w:r>
        <w:rPr>
          <w:rFonts w:hint="eastAsia" w:ascii="宋体" w:hAnsi="宋体" w:cs="Arial"/>
          <w:kern w:val="0"/>
          <w:szCs w:val="21"/>
        </w:rPr>
        <w:t>6、获取招标文件时间、地点、方式或事项：</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（1）供应商登陆政采云平台http://www.zcygov.cn/，在线申请获取采购文件（登录政府采购云平台 → 项目采购 → 获取采购文件 → 申请，审核通过后可下载招标文件，如有操作性问题，可与政采云在线客服进行咨询，咨询电话：95763）。</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（2）获取文件时间：</w:t>
      </w:r>
      <w:r>
        <w:rPr>
          <w:rFonts w:hint="eastAsia"/>
          <w:b/>
          <w:bCs/>
          <w:color w:val="000000" w:themeColor="text1"/>
          <w14:textFill>
            <w14:solidFill>
              <w14:schemeClr w14:val="tx1"/>
            </w14:solidFill>
          </w14:textFill>
        </w:rPr>
        <w:t>2023年</w:t>
      </w:r>
      <w:r>
        <w:rPr>
          <w:rFonts w:hint="eastAsia"/>
          <w:b/>
          <w:bCs/>
          <w:color w:val="000000" w:themeColor="text1"/>
          <w:lang w:val="en-US" w:eastAsia="zh-CN"/>
          <w14:textFill>
            <w14:solidFill>
              <w14:schemeClr w14:val="tx1"/>
            </w14:solidFill>
          </w14:textFill>
        </w:rPr>
        <w:t>7</w:t>
      </w:r>
      <w:r>
        <w:rPr>
          <w:rFonts w:hint="eastAsia"/>
          <w:b/>
          <w:bCs/>
          <w:color w:val="000000" w:themeColor="text1"/>
          <w14:textFill>
            <w14:solidFill>
              <w14:schemeClr w14:val="tx1"/>
            </w14:solidFill>
          </w14:textFill>
        </w:rPr>
        <w:t>月</w:t>
      </w:r>
      <w:r>
        <w:rPr>
          <w:rFonts w:hint="eastAsia"/>
          <w:b/>
          <w:bCs/>
          <w:color w:val="000000" w:themeColor="text1"/>
          <w:lang w:val="en-US" w:eastAsia="zh-CN"/>
          <w14:textFill>
            <w14:solidFill>
              <w14:schemeClr w14:val="tx1"/>
            </w14:solidFill>
          </w14:textFill>
        </w:rPr>
        <w:t>5</w:t>
      </w:r>
      <w:r>
        <w:rPr>
          <w:rFonts w:hint="eastAsia"/>
          <w:b/>
          <w:bCs/>
          <w:color w:val="000000" w:themeColor="text1"/>
          <w14:textFill>
            <w14:solidFill>
              <w14:schemeClr w14:val="tx1"/>
            </w14:solidFill>
          </w14:textFill>
        </w:rPr>
        <w:t>日至2023年7月</w:t>
      </w:r>
      <w:r>
        <w:rPr>
          <w:rFonts w:hint="eastAsia"/>
          <w:b/>
          <w:bCs/>
          <w:color w:val="000000" w:themeColor="text1"/>
          <w:lang w:val="en-US" w:eastAsia="zh-CN"/>
          <w14:textFill>
            <w14:solidFill>
              <w14:schemeClr w14:val="tx1"/>
            </w14:solidFill>
          </w14:textFill>
        </w:rPr>
        <w:t>12</w:t>
      </w:r>
      <w:r>
        <w:rPr>
          <w:rFonts w:hint="eastAsia"/>
          <w:b/>
          <w:bCs/>
          <w:color w:val="000000" w:themeColor="text1"/>
          <w14:textFill>
            <w14:solidFill>
              <w14:schemeClr w14:val="tx1"/>
            </w14:solidFill>
          </w14:textFill>
        </w:rPr>
        <w:t>日</w:t>
      </w:r>
    </w:p>
    <w:p>
      <w:pPr>
        <w:widowControl/>
        <w:spacing w:line="380" w:lineRule="exact"/>
        <w:jc w:val="left"/>
        <w:rPr>
          <w:rFonts w:ascii="宋体" w:hAnsi="宋体" w:cs="Arial"/>
          <w:kern w:val="0"/>
          <w:szCs w:val="21"/>
        </w:rPr>
      </w:pPr>
      <w:r>
        <w:rPr>
          <w:rFonts w:hint="eastAsia" w:ascii="宋体" w:hAnsi="宋体" w:cs="Arial"/>
          <w:kern w:val="0"/>
          <w:szCs w:val="21"/>
        </w:rPr>
        <w:t>7、招标文件售价：免费</w:t>
      </w:r>
      <w:r>
        <w:rPr>
          <w:rFonts w:hint="eastAsia" w:ascii="宋体" w:hAnsi="宋体" w:cs="Arial"/>
          <w:kern w:val="0"/>
          <w:szCs w:val="21"/>
        </w:rPr>
        <w:br w:type="textWrapping"/>
      </w:r>
      <w:r>
        <w:rPr>
          <w:rFonts w:hint="eastAsia" w:ascii="宋体" w:hAnsi="宋体" w:cs="Arial"/>
          <w:kern w:val="0"/>
          <w:szCs w:val="21"/>
        </w:rPr>
        <w:t>8、报名开始时间：</w:t>
      </w:r>
      <w:r>
        <w:rPr>
          <w:rFonts w:hint="eastAsia"/>
          <w:b/>
          <w:bCs/>
          <w:color w:val="000000" w:themeColor="text1"/>
          <w14:textFill>
            <w14:solidFill>
              <w14:schemeClr w14:val="tx1"/>
            </w14:solidFill>
          </w14:textFill>
        </w:rPr>
        <w:t>2023年</w:t>
      </w:r>
      <w:r>
        <w:rPr>
          <w:rFonts w:hint="eastAsia"/>
          <w:b/>
          <w:bCs/>
          <w:color w:val="000000" w:themeColor="text1"/>
          <w:lang w:val="en-US" w:eastAsia="zh-CN"/>
          <w14:textFill>
            <w14:solidFill>
              <w14:schemeClr w14:val="tx1"/>
            </w14:solidFill>
          </w14:textFill>
        </w:rPr>
        <w:t>7</w:t>
      </w:r>
      <w:r>
        <w:rPr>
          <w:rFonts w:hint="eastAsia"/>
          <w:b/>
          <w:bCs/>
          <w:color w:val="000000" w:themeColor="text1"/>
          <w14:textFill>
            <w14:solidFill>
              <w14:schemeClr w14:val="tx1"/>
            </w14:solidFill>
          </w14:textFill>
        </w:rPr>
        <w:t>月</w:t>
      </w:r>
      <w:r>
        <w:rPr>
          <w:rFonts w:hint="eastAsia"/>
          <w:b/>
          <w:bCs/>
          <w:color w:val="000000" w:themeColor="text1"/>
          <w:lang w:val="en-US" w:eastAsia="zh-CN"/>
          <w14:textFill>
            <w14:solidFill>
              <w14:schemeClr w14:val="tx1"/>
            </w14:solidFill>
          </w14:textFill>
        </w:rPr>
        <w:t>5</w:t>
      </w:r>
      <w:r>
        <w:rPr>
          <w:rFonts w:hint="eastAsia"/>
          <w:b/>
          <w:bCs/>
          <w:color w:val="000000" w:themeColor="text1"/>
          <w14:textFill>
            <w14:solidFill>
              <w14:schemeClr w14:val="tx1"/>
            </w14:solidFill>
          </w14:textFill>
        </w:rPr>
        <w:t>日</w:t>
      </w:r>
      <w:r>
        <w:rPr>
          <w:rFonts w:hint="eastAsia" w:ascii="宋体" w:hAnsi="宋体" w:cs="Arial"/>
          <w:b/>
          <w:bCs/>
          <w:kern w:val="0"/>
          <w:szCs w:val="21"/>
        </w:rPr>
        <w:t>10点00分</w:t>
      </w:r>
    </w:p>
    <w:p>
      <w:pPr>
        <w:widowControl/>
        <w:spacing w:line="380" w:lineRule="exact"/>
        <w:ind w:firstLine="218" w:firstLineChars="104"/>
        <w:jc w:val="left"/>
        <w:rPr>
          <w:rFonts w:ascii="宋体" w:hAnsi="宋体" w:cs="Arial"/>
          <w:kern w:val="0"/>
          <w:szCs w:val="21"/>
        </w:rPr>
      </w:pPr>
      <w:r>
        <w:rPr>
          <w:rFonts w:hint="eastAsia" w:ascii="宋体" w:hAnsi="宋体" w:cs="Arial"/>
          <w:kern w:val="0"/>
          <w:szCs w:val="21"/>
        </w:rPr>
        <w:t>报名截止时间：</w:t>
      </w:r>
      <w:r>
        <w:rPr>
          <w:rFonts w:hint="eastAsia"/>
          <w:b/>
          <w:bCs/>
          <w:color w:val="000000" w:themeColor="text1"/>
          <w14:textFill>
            <w14:solidFill>
              <w14:schemeClr w14:val="tx1"/>
            </w14:solidFill>
          </w14:textFill>
        </w:rPr>
        <w:t>2023年7月</w:t>
      </w:r>
      <w:r>
        <w:rPr>
          <w:rFonts w:hint="eastAsia"/>
          <w:b/>
          <w:bCs/>
          <w:color w:val="000000" w:themeColor="text1"/>
          <w:lang w:val="en-US" w:eastAsia="zh-CN"/>
          <w14:textFill>
            <w14:solidFill>
              <w14:schemeClr w14:val="tx1"/>
            </w14:solidFill>
          </w14:textFill>
        </w:rPr>
        <w:t>12</w:t>
      </w:r>
      <w:r>
        <w:rPr>
          <w:rFonts w:hint="eastAsia"/>
          <w:b/>
          <w:bCs/>
          <w:color w:val="000000" w:themeColor="text1"/>
          <w14:textFill>
            <w14:solidFill>
              <w14:schemeClr w14:val="tx1"/>
            </w14:solidFill>
          </w14:textFill>
        </w:rPr>
        <w:t>日</w:t>
      </w:r>
      <w:r>
        <w:rPr>
          <w:rFonts w:hint="eastAsia" w:ascii="宋体" w:hAnsi="宋体" w:cs="Arial"/>
          <w:b/>
          <w:bCs/>
          <w:kern w:val="0"/>
          <w:szCs w:val="21"/>
        </w:rPr>
        <w:t>20点00分</w:t>
      </w:r>
    </w:p>
    <w:p>
      <w:pPr>
        <w:widowControl/>
        <w:spacing w:line="380" w:lineRule="exact"/>
        <w:jc w:val="left"/>
        <w:rPr>
          <w:rFonts w:ascii="宋体" w:hAnsi="宋体" w:cs="Arial"/>
          <w:kern w:val="0"/>
          <w:szCs w:val="21"/>
        </w:rPr>
      </w:pPr>
      <w:r>
        <w:rPr>
          <w:rFonts w:hint="eastAsia" w:ascii="宋体" w:hAnsi="宋体" w:cs="Arial"/>
          <w:kern w:val="0"/>
          <w:szCs w:val="21"/>
        </w:rPr>
        <w:t>9、投标截止时间：投标人应于</w:t>
      </w:r>
      <w:r>
        <w:rPr>
          <w:rFonts w:hint="eastAsia"/>
          <w:b/>
          <w:bCs/>
          <w:color w:val="000000" w:themeColor="text1"/>
          <w14:textFill>
            <w14:solidFill>
              <w14:schemeClr w14:val="tx1"/>
            </w14:solidFill>
          </w14:textFill>
        </w:rPr>
        <w:t>2023年7月</w:t>
      </w:r>
      <w:r>
        <w:rPr>
          <w:rFonts w:hint="eastAsia"/>
          <w:b/>
          <w:bCs/>
          <w:color w:val="000000" w:themeColor="text1"/>
          <w:lang w:val="en-US" w:eastAsia="zh-CN"/>
          <w14:textFill>
            <w14:solidFill>
              <w14:schemeClr w14:val="tx1"/>
            </w14:solidFill>
          </w14:textFill>
        </w:rPr>
        <w:t>25</w:t>
      </w:r>
      <w:r>
        <w:rPr>
          <w:rFonts w:hint="eastAsia"/>
          <w:b/>
          <w:bCs/>
          <w:color w:val="000000" w:themeColor="text1"/>
          <w14:textFill>
            <w14:solidFill>
              <w14:schemeClr w14:val="tx1"/>
            </w14:solidFill>
          </w14:textFill>
        </w:rPr>
        <w:t>日10：30</w:t>
      </w:r>
      <w:r>
        <w:rPr>
          <w:rFonts w:hint="eastAsia" w:ascii="宋体" w:hAnsi="宋体" w:cs="Arial"/>
          <w:kern w:val="0"/>
          <w:szCs w:val="21"/>
        </w:rPr>
        <w:t>之前将电子投标文件上传到“政采云”平台。应按照本项目招标文件和政采云平台的要求编制、加密传输投标文件。供应商在使用系统进行投标的过程中遇到涉及平台使用的任何问题，</w:t>
      </w:r>
      <w:r>
        <w:rPr>
          <w:rFonts w:ascii="宋体" w:hAnsi="宋体" w:cs="Arial"/>
          <w:kern w:val="0"/>
          <w:szCs w:val="21"/>
        </w:rPr>
        <w:t>可通过</w:t>
      </w:r>
      <w:r>
        <w:rPr>
          <w:rFonts w:hint="eastAsia" w:ascii="宋体" w:hAnsi="宋体" w:cs="Arial"/>
          <w:kern w:val="0"/>
          <w:szCs w:val="21"/>
        </w:rPr>
        <w:t>政采云平台自助查询、</w:t>
      </w:r>
      <w:r>
        <w:rPr>
          <w:rFonts w:ascii="宋体" w:hAnsi="宋体" w:cs="Arial"/>
          <w:kern w:val="0"/>
          <w:szCs w:val="21"/>
        </w:rPr>
        <w:t>钉钉群及政采云在线客服</w:t>
      </w:r>
      <w:r>
        <w:rPr>
          <w:rFonts w:hint="eastAsia" w:ascii="宋体" w:hAnsi="宋体" w:cs="Arial"/>
          <w:kern w:val="0"/>
          <w:szCs w:val="21"/>
        </w:rPr>
        <w:t>、或致电政采云平台技术支持热线咨询，联系方式：95763。</w:t>
      </w:r>
    </w:p>
    <w:p>
      <w:pPr>
        <w:widowControl/>
        <w:spacing w:line="380" w:lineRule="exact"/>
        <w:jc w:val="left"/>
        <w:rPr>
          <w:rFonts w:ascii="宋体" w:hAnsi="宋体" w:cs="Arial"/>
          <w:kern w:val="0"/>
          <w:szCs w:val="21"/>
        </w:rPr>
      </w:pPr>
      <w:r>
        <w:rPr>
          <w:rFonts w:hint="eastAsia" w:ascii="宋体" w:hAnsi="宋体" w:cs="Arial"/>
          <w:kern w:val="0"/>
          <w:szCs w:val="21"/>
        </w:rPr>
        <w:t>10、开标、评标时间及地点（网址）：</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（1）开标时间：</w:t>
      </w:r>
      <w:r>
        <w:rPr>
          <w:rFonts w:hint="eastAsia"/>
          <w:b/>
          <w:bCs/>
          <w:color w:val="000000" w:themeColor="text1"/>
          <w14:textFill>
            <w14:solidFill>
              <w14:schemeClr w14:val="tx1"/>
            </w14:solidFill>
          </w14:textFill>
        </w:rPr>
        <w:t>2023年7月</w:t>
      </w:r>
      <w:r>
        <w:rPr>
          <w:rFonts w:hint="eastAsia"/>
          <w:b/>
          <w:bCs/>
          <w:color w:val="000000" w:themeColor="text1"/>
          <w:lang w:val="en-US" w:eastAsia="zh-CN"/>
          <w14:textFill>
            <w14:solidFill>
              <w14:schemeClr w14:val="tx1"/>
            </w14:solidFill>
          </w14:textFill>
        </w:rPr>
        <w:t>25</w:t>
      </w:r>
      <w:r>
        <w:rPr>
          <w:rFonts w:hint="eastAsia"/>
          <w:b/>
          <w:bCs/>
          <w:color w:val="000000" w:themeColor="text1"/>
          <w14:textFill>
            <w14:solidFill>
              <w14:schemeClr w14:val="tx1"/>
            </w14:solidFill>
          </w14:textFill>
        </w:rPr>
        <w:t>日10：30</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（2）开标地点（网址）：</w:t>
      </w:r>
      <w:r>
        <w:fldChar w:fldCharType="begin"/>
      </w:r>
      <w:r>
        <w:instrText xml:space="preserve"> HYPERLINK "https://www.zcygov.cn，投标供应商无需到达评标现场。" </w:instrText>
      </w:r>
      <w:r>
        <w:fldChar w:fldCharType="separate"/>
      </w:r>
      <w:r>
        <w:rPr>
          <w:rFonts w:hint="eastAsia" w:ascii="宋体" w:hAnsi="宋体" w:cs="Arial"/>
          <w:kern w:val="0"/>
          <w:szCs w:val="21"/>
        </w:rPr>
        <w:t>https://www.zcygov.cn</w:t>
      </w:r>
      <w:r>
        <w:rPr>
          <w:rFonts w:hint="eastAsia" w:ascii="宋体" w:hAnsi="宋体" w:cs="Arial"/>
          <w:kern w:val="0"/>
          <w:szCs w:val="21"/>
        </w:rPr>
        <w:fldChar w:fldCharType="end"/>
      </w:r>
      <w:r>
        <w:rPr>
          <w:rFonts w:hint="eastAsia" w:ascii="宋体" w:hAnsi="宋体" w:cs="Arial"/>
          <w:kern w:val="0"/>
          <w:szCs w:val="21"/>
        </w:rPr>
        <w:t>政采云电子开标大厅</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（3）评标时间：电子投标文件解密后</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（4）评标地点：霍尔果斯市政务服务中心三楼公共资源交易中心电子评标室，投标人无需到达评标地点。</w:t>
      </w:r>
    </w:p>
    <w:p>
      <w:pPr>
        <w:widowControl/>
        <w:spacing w:line="380" w:lineRule="exact"/>
        <w:jc w:val="left"/>
        <w:rPr>
          <w:rFonts w:ascii="宋体" w:hAnsi="宋体" w:cs="Arial"/>
          <w:kern w:val="0"/>
          <w:szCs w:val="21"/>
        </w:rPr>
      </w:pPr>
      <w:r>
        <w:rPr>
          <w:rFonts w:hint="eastAsia" w:ascii="宋体" w:hAnsi="宋体" w:cs="Arial"/>
          <w:kern w:val="0"/>
          <w:szCs w:val="21"/>
        </w:rPr>
        <w:t>11、本项目采购人：霍尔果斯市经济开发区管理委员会招商局（商务经信局）</w:t>
      </w:r>
    </w:p>
    <w:p>
      <w:pPr>
        <w:pStyle w:val="16"/>
        <w:ind w:firstLine="420" w:firstLineChars="200"/>
      </w:pPr>
      <w:r>
        <w:rPr>
          <w:rFonts w:hint="eastAsia" w:ascii="宋体" w:hAnsi="宋体" w:cs="Arial"/>
          <w:kern w:val="0"/>
          <w:szCs w:val="21"/>
        </w:rPr>
        <w:t>地  址：</w:t>
      </w:r>
      <w:r>
        <w:rPr>
          <w:rFonts w:hint="eastAsia"/>
        </w:rPr>
        <w:t>霍尔果斯市联检大楼4楼</w:t>
      </w:r>
      <w:r>
        <w:rPr>
          <w:rFonts w:hint="eastAsia"/>
          <w:lang w:val="en-US" w:eastAsia="zh-CN"/>
        </w:rPr>
        <w:t>413</w:t>
      </w:r>
      <w:r>
        <w:rPr>
          <w:rFonts w:hint="eastAsia"/>
        </w:rPr>
        <w:t>办公室</w:t>
      </w:r>
    </w:p>
    <w:p>
      <w:pPr>
        <w:pStyle w:val="16"/>
        <w:ind w:firstLine="420" w:firstLineChars="200"/>
        <w:rPr>
          <w:rFonts w:hint="eastAsia" w:eastAsia="宋体"/>
          <w:lang w:val="en-US" w:eastAsia="zh-CN"/>
        </w:rPr>
      </w:pPr>
      <w:r>
        <w:rPr>
          <w:rFonts w:hint="eastAsia" w:ascii="宋体" w:hAnsi="宋体" w:cs="Arial"/>
          <w:kern w:val="0"/>
          <w:szCs w:val="21"/>
        </w:rPr>
        <w:t>联系人：</w:t>
      </w:r>
      <w:r>
        <w:rPr>
          <w:rFonts w:hint="eastAsia"/>
          <w:lang w:val="en-US" w:eastAsia="zh-CN"/>
        </w:rPr>
        <w:t>陈婷婷</w:t>
      </w:r>
    </w:p>
    <w:p>
      <w:pPr>
        <w:pStyle w:val="16"/>
        <w:ind w:firstLine="420" w:firstLineChars="200"/>
        <w:rPr>
          <w:rFonts w:hint="default" w:eastAsia="宋体"/>
          <w:lang w:val="en-US" w:eastAsia="zh-CN"/>
        </w:rPr>
      </w:pPr>
      <w:r>
        <w:rPr>
          <w:rFonts w:hint="eastAsia" w:ascii="宋体" w:hAnsi="宋体" w:cs="Arial"/>
          <w:kern w:val="0"/>
          <w:szCs w:val="21"/>
        </w:rPr>
        <w:t>联系电话：</w:t>
      </w:r>
      <w:r>
        <w:rPr>
          <w:rFonts w:hint="eastAsia"/>
          <w:lang w:val="en-US" w:eastAsia="zh-CN"/>
        </w:rPr>
        <w:t>0999-8795722</w:t>
      </w:r>
    </w:p>
    <w:p>
      <w:pPr>
        <w:widowControl/>
        <w:spacing w:line="380" w:lineRule="exact"/>
        <w:ind w:firstLine="420" w:firstLineChars="200"/>
        <w:jc w:val="left"/>
        <w:rPr>
          <w:rFonts w:ascii="宋体" w:hAnsi="宋体" w:cs="Arial"/>
          <w:kern w:val="0"/>
          <w:szCs w:val="21"/>
        </w:rPr>
      </w:pP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采购代理机构：霍尔果斯经济开发区政府采购中心</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地  址：霍尔果斯市政务服务中心225办公室</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联系人：祖力</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联系电话：0999-8797331</w:t>
      </w:r>
    </w:p>
    <w:p>
      <w:pPr>
        <w:widowControl/>
        <w:spacing w:line="380" w:lineRule="exact"/>
        <w:ind w:firstLine="840" w:firstLineChars="400"/>
        <w:jc w:val="left"/>
        <w:rPr>
          <w:rFonts w:ascii="宋体" w:cs="Arial"/>
          <w:color w:val="000000" w:themeColor="text1"/>
          <w:kern w:val="0"/>
          <w:szCs w:val="21"/>
          <w14:textFill>
            <w14:solidFill>
              <w14:schemeClr w14:val="tx1"/>
            </w14:solidFill>
          </w14:textFill>
        </w:rPr>
      </w:pPr>
    </w:p>
    <w:p>
      <w:pPr>
        <w:spacing w:line="400" w:lineRule="exac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14:textFill>
            <w14:solidFill>
              <w14:schemeClr w14:val="tx1"/>
            </w14:solidFill>
          </w14:textFill>
        </w:rPr>
        <w:t>注：本项目采购公告发布截止日后，请持续关注本项目后续网上发布变更、答疑澄清等内容。</w:t>
      </w:r>
    </w:p>
    <w:p>
      <w:pPr>
        <w:widowControl/>
        <w:spacing w:line="400" w:lineRule="exact"/>
        <w:jc w:val="center"/>
        <w:outlineLvl w:val="0"/>
        <w:rPr>
          <w:rFonts w:ascii="宋体" w:hAnsi="宋体"/>
          <w:b/>
          <w:color w:val="000000" w:themeColor="text1"/>
          <w:sz w:val="32"/>
          <w:szCs w:val="32"/>
          <w14:textFill>
            <w14:solidFill>
              <w14:schemeClr w14:val="tx1"/>
            </w14:solidFill>
          </w14:textFill>
        </w:rPr>
      </w:pPr>
    </w:p>
    <w:p>
      <w:pPr>
        <w:widowControl/>
        <w:spacing w:line="400" w:lineRule="exact"/>
        <w:jc w:val="center"/>
        <w:outlineLvl w:val="0"/>
        <w:rPr>
          <w:rFonts w:ascii="宋体" w:hAnsi="宋体"/>
          <w:b/>
          <w:color w:val="000000" w:themeColor="text1"/>
          <w:sz w:val="32"/>
          <w:szCs w:val="32"/>
          <w14:textFill>
            <w14:solidFill>
              <w14:schemeClr w14:val="tx1"/>
            </w14:solidFill>
          </w14:textFill>
        </w:rPr>
      </w:pPr>
    </w:p>
    <w:p>
      <w:pPr>
        <w:widowControl/>
        <w:spacing w:line="400" w:lineRule="exact"/>
        <w:jc w:val="center"/>
        <w:outlineLvl w:val="0"/>
        <w:rPr>
          <w:rFonts w:ascii="宋体" w:hAnsi="宋体"/>
          <w:b/>
          <w:color w:val="000000" w:themeColor="text1"/>
          <w:sz w:val="32"/>
          <w:szCs w:val="32"/>
          <w14:textFill>
            <w14:solidFill>
              <w14:schemeClr w14:val="tx1"/>
            </w14:solidFill>
          </w14:textFill>
        </w:rPr>
      </w:pPr>
    </w:p>
    <w:p>
      <w:pPr>
        <w:widowControl/>
        <w:spacing w:line="400" w:lineRule="exact"/>
        <w:jc w:val="center"/>
        <w:outlineLvl w:val="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第二章 投标须知</w:t>
      </w:r>
      <w:bookmarkEnd w:id="10"/>
      <w:bookmarkEnd w:id="11"/>
    </w:p>
    <w:p>
      <w:pPr>
        <w:pStyle w:val="26"/>
        <w:jc w:val="center"/>
        <w:outlineLvl w:val="1"/>
        <w:rPr>
          <w:rFonts w:hAnsi="宋体"/>
          <w:b/>
          <w:color w:val="000000" w:themeColor="text1"/>
          <w:sz w:val="30"/>
          <w:szCs w:val="30"/>
          <w14:textFill>
            <w14:solidFill>
              <w14:schemeClr w14:val="tx1"/>
            </w14:solidFill>
          </w14:textFill>
        </w:rPr>
      </w:pPr>
      <w:bookmarkStart w:id="12" w:name="_Toc474235942"/>
      <w:r>
        <w:rPr>
          <w:rFonts w:hint="eastAsia" w:hAnsi="宋体"/>
          <w:b/>
          <w:color w:val="000000" w:themeColor="text1"/>
          <w:sz w:val="30"/>
          <w:szCs w:val="30"/>
          <w14:textFill>
            <w14:solidFill>
              <w14:schemeClr w14:val="tx1"/>
            </w14:solidFill>
          </w14:textFill>
        </w:rPr>
        <w:t>投标须知前附表</w:t>
      </w:r>
      <w:bookmarkEnd w:id="12"/>
    </w:p>
    <w:tbl>
      <w:tblPr>
        <w:tblStyle w:val="46"/>
        <w:tblW w:w="884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67"/>
        <w:gridCol w:w="1633"/>
        <w:gridCol w:w="49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267"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p>
        </w:tc>
        <w:tc>
          <w:tcPr>
            <w:tcW w:w="1633"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条款名称</w:t>
            </w:r>
          </w:p>
        </w:tc>
        <w:tc>
          <w:tcPr>
            <w:tcW w:w="4945"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5"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第二章第1.1款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4945" w:type="dxa"/>
            <w:vAlign w:val="center"/>
          </w:tcPr>
          <w:p>
            <w:pPr>
              <w:widowControl/>
              <w:spacing w:line="380" w:lineRule="exact"/>
              <w:jc w:val="left"/>
              <w:rPr>
                <w:rFonts w:ascii="宋体" w:hAnsi="宋体" w:cs="Arial"/>
                <w:color w:val="000000" w:themeColor="text1"/>
                <w:kern w:val="0"/>
                <w:szCs w:val="21"/>
                <w14:textFill>
                  <w14:solidFill>
                    <w14:schemeClr w14:val="tx1"/>
                  </w14:solidFill>
                </w14:textFill>
              </w:rPr>
            </w:pPr>
            <w:r>
              <w:rPr>
                <w:rFonts w:hint="eastAsia" w:ascii="宋体" w:hAnsi="宋体" w:cs="Arial"/>
                <w:kern w:val="0"/>
                <w:szCs w:val="21"/>
              </w:rPr>
              <w:t>霍尔果斯国家物流枢纽综合信息服务平台建设项目（霍尔果斯跨境电商综试区平台）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8"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第二章第1.2款</w:t>
            </w:r>
          </w:p>
        </w:tc>
        <w:tc>
          <w:tcPr>
            <w:tcW w:w="1633" w:type="dxa"/>
            <w:vAlign w:val="center"/>
          </w:tcPr>
          <w:p>
            <w:pPr>
              <w:spacing w:line="380" w:lineRule="exac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采购目录</w:t>
            </w:r>
          </w:p>
        </w:tc>
        <w:tc>
          <w:tcPr>
            <w:tcW w:w="4945" w:type="dxa"/>
            <w:tcBorders>
              <w:bottom w:val="single" w:color="auto" w:sz="4" w:space="0"/>
            </w:tcBorders>
            <w:vAlign w:val="center"/>
          </w:tcPr>
          <w:p>
            <w:pPr>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A02019900其他信息化设备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第二章第1.3款</w:t>
            </w:r>
          </w:p>
        </w:tc>
        <w:tc>
          <w:tcPr>
            <w:tcW w:w="1633"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项目地点</w:t>
            </w:r>
          </w:p>
        </w:tc>
        <w:tc>
          <w:tcPr>
            <w:tcW w:w="4945" w:type="dxa"/>
            <w:vAlign w:val="center"/>
          </w:tcPr>
          <w:p>
            <w:pPr>
              <w:spacing w:line="4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新疆霍尔果斯市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第二章第1.4款</w:t>
            </w:r>
          </w:p>
        </w:tc>
        <w:tc>
          <w:tcPr>
            <w:tcW w:w="1633"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采购方式</w:t>
            </w:r>
          </w:p>
        </w:tc>
        <w:tc>
          <w:tcPr>
            <w:tcW w:w="4945" w:type="dxa"/>
            <w:vAlign w:val="center"/>
          </w:tcPr>
          <w:p>
            <w:pPr>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第二章第1.5款</w:t>
            </w:r>
          </w:p>
        </w:tc>
        <w:tc>
          <w:tcPr>
            <w:tcW w:w="1633" w:type="dxa"/>
            <w:vAlign w:val="center"/>
          </w:tcPr>
          <w:p>
            <w:pPr>
              <w:adjustRightInd w:val="0"/>
              <w:snapToGrid w:val="0"/>
              <w:spacing w:line="400" w:lineRule="exact"/>
              <w:rPr>
                <w:rFonts w:ascii="宋体" w:hAnsi="宋体"/>
                <w:szCs w:val="21"/>
              </w:rPr>
            </w:pPr>
            <w:r>
              <w:rPr>
                <w:rFonts w:hint="eastAsia" w:ascii="宋体" w:hAnsi="宋体"/>
                <w:szCs w:val="21"/>
              </w:rPr>
              <w:t>供货期限</w:t>
            </w:r>
          </w:p>
        </w:tc>
        <w:tc>
          <w:tcPr>
            <w:tcW w:w="4945" w:type="dxa"/>
            <w:tcBorders>
              <w:bottom w:val="single" w:color="auto" w:sz="4" w:space="0"/>
            </w:tcBorders>
            <w:vAlign w:val="center"/>
          </w:tcPr>
          <w:p>
            <w:pPr>
              <w:adjustRightInd w:val="0"/>
              <w:snapToGrid w:val="0"/>
              <w:spacing w:line="400" w:lineRule="exact"/>
              <w:rPr>
                <w:rFonts w:ascii="宋体" w:hAnsi="宋体" w:cs="宋体"/>
                <w:kern w:val="0"/>
                <w:szCs w:val="21"/>
              </w:rPr>
            </w:pPr>
            <w:r>
              <w:rPr>
                <w:rFonts w:hint="eastAsia"/>
                <w:color w:val="FF0000"/>
              </w:rPr>
              <w:t>★</w:t>
            </w:r>
            <w:r>
              <w:rPr>
                <w:rFonts w:hint="eastAsia" w:ascii="宋体" w:hAnsi="宋体" w:cs="宋体"/>
                <w:color w:val="FF0000"/>
                <w:kern w:val="0"/>
                <w:szCs w:val="21"/>
              </w:rPr>
              <w:t>签订合同后</w:t>
            </w:r>
            <w:r>
              <w:rPr>
                <w:rFonts w:hint="eastAsia" w:ascii="宋体" w:hAnsi="宋体" w:cs="宋体"/>
                <w:color w:val="FF0000"/>
                <w:kern w:val="0"/>
                <w:szCs w:val="21"/>
                <w:highlight w:val="none"/>
                <w:lang w:val="en-US" w:eastAsia="zh-CN"/>
              </w:rPr>
              <w:t>60天</w:t>
            </w:r>
            <w:r>
              <w:rPr>
                <w:rFonts w:hint="eastAsia" w:ascii="宋体" w:hAnsi="宋体" w:cs="宋体"/>
                <w:color w:val="FF0000"/>
                <w:kern w:val="0"/>
                <w:szCs w:val="21"/>
              </w:rPr>
              <w:t>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5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第二章第2.1款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w:t>
            </w:r>
          </w:p>
        </w:tc>
        <w:tc>
          <w:tcPr>
            <w:tcW w:w="4945" w:type="dxa"/>
            <w:vAlign w:val="center"/>
          </w:tcPr>
          <w:p>
            <w:pPr>
              <w:adjustRightInd w:val="0"/>
              <w:snapToGrid w:val="0"/>
              <w:spacing w:line="300" w:lineRule="exact"/>
              <w:jc w:val="left"/>
              <w:rPr>
                <w:rFonts w:ascii="宋体" w:hAnsi="宋体" w:cs="Arial"/>
                <w:kern w:val="0"/>
                <w:szCs w:val="21"/>
              </w:rPr>
            </w:pPr>
            <w:r>
              <w:rPr>
                <w:rFonts w:hint="eastAsia" w:ascii="宋体" w:hAnsi="宋体"/>
                <w:szCs w:val="21"/>
              </w:rPr>
              <w:t>采购人：</w:t>
            </w:r>
            <w:r>
              <w:rPr>
                <w:rFonts w:hint="eastAsia" w:ascii="宋体" w:hAnsi="宋体" w:cs="Arial"/>
                <w:kern w:val="0"/>
                <w:szCs w:val="21"/>
              </w:rPr>
              <w:t>霍尔果斯市经济开发区管理委员会招商局（商务经信局）</w:t>
            </w:r>
          </w:p>
          <w:p>
            <w:pPr>
              <w:adjustRightInd w:val="0"/>
              <w:snapToGrid w:val="0"/>
              <w:spacing w:line="300" w:lineRule="exact"/>
              <w:jc w:val="left"/>
              <w:rPr>
                <w:rFonts w:ascii="宋体" w:hAnsi="宋体"/>
                <w:szCs w:val="21"/>
                <w:highlight w:val="green"/>
              </w:rPr>
            </w:pPr>
            <w:r>
              <w:rPr>
                <w:rFonts w:hint="eastAsia" w:ascii="宋体" w:hAnsi="宋体"/>
                <w:szCs w:val="21"/>
              </w:rPr>
              <w:t>地  址：</w:t>
            </w:r>
            <w:r>
              <w:rPr>
                <w:rFonts w:hint="eastAsia"/>
              </w:rPr>
              <w:t>霍尔果斯市联检大楼4楼</w:t>
            </w:r>
            <w:r>
              <w:rPr>
                <w:rFonts w:hint="eastAsia"/>
                <w:lang w:val="en-US" w:eastAsia="zh-CN"/>
              </w:rPr>
              <w:t>413</w:t>
            </w:r>
            <w:r>
              <w:rPr>
                <w:rFonts w:hint="eastAsia"/>
              </w:rPr>
              <w:t>办公室</w:t>
            </w:r>
          </w:p>
          <w:p>
            <w:pPr>
              <w:adjustRightInd w:val="0"/>
              <w:snapToGrid w:val="0"/>
              <w:spacing w:line="300" w:lineRule="exact"/>
              <w:jc w:val="left"/>
              <w:rPr>
                <w:rFonts w:ascii="宋体" w:hAnsi="宋体"/>
                <w:szCs w:val="21"/>
              </w:rPr>
            </w:pPr>
            <w:r>
              <w:rPr>
                <w:rFonts w:hint="eastAsia" w:ascii="宋体" w:hAnsi="宋体"/>
                <w:szCs w:val="21"/>
              </w:rPr>
              <w:t>联系人：</w:t>
            </w:r>
            <w:r>
              <w:rPr>
                <w:rFonts w:hint="eastAsia"/>
                <w:lang w:val="en-US" w:eastAsia="zh-CN"/>
              </w:rPr>
              <w:t>陈婷婷</w:t>
            </w:r>
          </w:p>
          <w:p>
            <w:pPr>
              <w:adjustRightInd w:val="0"/>
              <w:snapToGrid w:val="0"/>
              <w:spacing w:line="300" w:lineRule="exact"/>
              <w:jc w:val="left"/>
              <w:rPr>
                <w:rFonts w:ascii="宋体" w:hAnsi="宋体"/>
                <w:color w:val="000000" w:themeColor="text1"/>
                <w:szCs w:val="21"/>
                <w14:textFill>
                  <w14:solidFill>
                    <w14:schemeClr w14:val="tx1"/>
                  </w14:solidFill>
                </w14:textFill>
              </w:rPr>
            </w:pPr>
            <w:r>
              <w:rPr>
                <w:rFonts w:hint="eastAsia" w:ascii="宋体" w:hAnsi="宋体"/>
                <w:szCs w:val="21"/>
              </w:rPr>
              <w:t>联系电话：</w:t>
            </w:r>
            <w:r>
              <w:rPr>
                <w:rFonts w:hint="eastAsia"/>
                <w:color w:val="000000" w:themeColor="text1"/>
                <w:lang w:val="en-US" w:eastAsia="zh-CN"/>
                <w14:textFill>
                  <w14:solidFill>
                    <w14:schemeClr w14:val="tx1"/>
                  </w14:solidFill>
                </w14:textFill>
              </w:rPr>
              <w:t>0999-8795722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1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第二章第2.2款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采购代理机构</w:t>
            </w:r>
          </w:p>
        </w:tc>
        <w:tc>
          <w:tcPr>
            <w:tcW w:w="4945" w:type="dxa"/>
            <w:vAlign w:val="center"/>
          </w:tcPr>
          <w:p>
            <w:pPr>
              <w:adjustRightInd w:val="0"/>
              <w:snapToGrid w:val="0"/>
              <w:spacing w:line="3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名  称：霍尔果斯经济开发区政府采购中心</w:t>
            </w:r>
          </w:p>
          <w:p>
            <w:pPr>
              <w:adjustRightInd w:val="0"/>
              <w:snapToGrid w:val="0"/>
              <w:spacing w:line="300" w:lineRule="exact"/>
              <w:jc w:val="left"/>
            </w:pPr>
            <w:r>
              <w:rPr>
                <w:rFonts w:hint="eastAsia"/>
                <w:color w:val="000000" w:themeColor="text1"/>
                <w14:textFill>
                  <w14:solidFill>
                    <w14:schemeClr w14:val="tx1"/>
                  </w14:solidFill>
                </w14:textFill>
              </w:rPr>
              <w:t>地  址：霍尔果斯市政务服务中心225办公室     联系人：祖力</w:t>
            </w:r>
          </w:p>
          <w:p>
            <w:pPr>
              <w:adjustRightInd w:val="0"/>
              <w:snapToGrid w:val="0"/>
              <w:spacing w:line="3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联系电话：0999-8797331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80"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第二章第3.1款</w:t>
            </w:r>
          </w:p>
        </w:tc>
        <w:tc>
          <w:tcPr>
            <w:tcW w:w="163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投标人资格条件</w:t>
            </w:r>
          </w:p>
          <w:p>
            <w:pPr>
              <w:jc w:val="center"/>
              <w:rPr>
                <w:color w:val="000000" w:themeColor="text1"/>
                <w14:textFill>
                  <w14:solidFill>
                    <w14:schemeClr w14:val="tx1"/>
                  </w14:solidFill>
                </w14:textFill>
              </w:rPr>
            </w:pPr>
            <w:r>
              <w:rPr>
                <w:rFonts w:hint="eastAsia"/>
                <w:b/>
                <w:bCs/>
                <w:color w:val="000000" w:themeColor="text1"/>
                <w14:textFill>
                  <w14:solidFill>
                    <w14:schemeClr w14:val="tx1"/>
                  </w14:solidFill>
                </w14:textFill>
              </w:rPr>
              <w:t>（要求请查看本文件后附《投标人的资格证明材料说明》）</w:t>
            </w:r>
          </w:p>
        </w:tc>
        <w:tc>
          <w:tcPr>
            <w:tcW w:w="4945" w:type="dxa"/>
            <w:vAlign w:val="center"/>
          </w:tcPr>
          <w:p>
            <w:pPr>
              <w:adjustRightInd w:val="0"/>
              <w:snapToGrid w:val="0"/>
              <w:spacing w:line="360" w:lineRule="exact"/>
              <w:jc w:val="left"/>
            </w:pPr>
            <w:r>
              <w:rPr>
                <w:rFonts w:hint="eastAsia"/>
              </w:rPr>
              <w:t>1、符合政府采购法二十二条规定：</w:t>
            </w:r>
          </w:p>
          <w:p>
            <w:pPr>
              <w:adjustRightInd w:val="0"/>
              <w:snapToGrid w:val="0"/>
              <w:spacing w:line="360" w:lineRule="exact"/>
              <w:jc w:val="left"/>
            </w:pPr>
            <w:r>
              <w:rPr>
                <w:rFonts w:hint="eastAsia"/>
              </w:rPr>
              <w:t>（一）具有独立承担民事责任的能力；</w:t>
            </w:r>
          </w:p>
          <w:p>
            <w:pPr>
              <w:adjustRightInd w:val="0"/>
              <w:snapToGrid w:val="0"/>
              <w:spacing w:line="360" w:lineRule="exact"/>
              <w:jc w:val="left"/>
            </w:pPr>
            <w:r>
              <w:rPr>
                <w:rFonts w:hint="eastAsia"/>
              </w:rPr>
              <w:t>（二）具有良好的商业信誉和健全的财务会计制度；</w:t>
            </w:r>
          </w:p>
          <w:p>
            <w:pPr>
              <w:adjustRightInd w:val="0"/>
              <w:snapToGrid w:val="0"/>
              <w:spacing w:line="360" w:lineRule="exact"/>
              <w:jc w:val="left"/>
            </w:pPr>
            <w:r>
              <w:rPr>
                <w:rFonts w:hint="eastAsia"/>
              </w:rPr>
              <w:t>（三）具有履行合同所必需的设备和专业技术能力；</w:t>
            </w:r>
          </w:p>
          <w:p>
            <w:pPr>
              <w:adjustRightInd w:val="0"/>
              <w:snapToGrid w:val="0"/>
              <w:spacing w:line="360" w:lineRule="exact"/>
              <w:jc w:val="left"/>
            </w:pPr>
            <w:r>
              <w:rPr>
                <w:rFonts w:hint="eastAsia"/>
              </w:rPr>
              <w:t>（四）有依法缴纳税收和社会保障资金的良好记录；</w:t>
            </w:r>
          </w:p>
          <w:p>
            <w:pPr>
              <w:adjustRightInd w:val="0"/>
              <w:snapToGrid w:val="0"/>
              <w:spacing w:line="360" w:lineRule="exact"/>
              <w:jc w:val="left"/>
            </w:pPr>
            <w:r>
              <w:rPr>
                <w:rFonts w:hint="eastAsia"/>
              </w:rPr>
              <w:t>（五）参加政府采购活动前三年内，在经营活动中没有重大违法记录；</w:t>
            </w:r>
          </w:p>
          <w:p>
            <w:pPr>
              <w:adjustRightInd w:val="0"/>
              <w:snapToGrid w:val="0"/>
              <w:spacing w:line="360" w:lineRule="exact"/>
              <w:jc w:val="left"/>
            </w:pPr>
            <w:r>
              <w:rPr>
                <w:rFonts w:hint="eastAsia"/>
              </w:rPr>
              <w:t>（六）法律、行政法规规定的其他条件。</w:t>
            </w:r>
          </w:p>
          <w:p>
            <w:pPr>
              <w:adjustRightInd w:val="0"/>
              <w:snapToGrid w:val="0"/>
              <w:spacing w:line="360" w:lineRule="exact"/>
              <w:jc w:val="left"/>
              <w:rPr>
                <w:rFonts w:eastAsia="黑体"/>
              </w:rPr>
            </w:pPr>
            <w:r>
              <w:rPr>
                <w:rFonts w:hint="eastAsia"/>
              </w:rPr>
              <w:t>2、提供“信用中国”及“中国政府采购网”查询截图，未被“信用中国”（www.creditchina.gov.cn）、中国政府采购网（www.ccgp.gov.cn）列入失信被执行人、重大税收违法案件当事人名单、政府采购严重违法失信行为记录名单。</w:t>
            </w:r>
            <w:r>
              <w:rPr>
                <w:rFonts w:hint="eastAsia"/>
                <w:b/>
                <w:bCs/>
              </w:rPr>
              <w:t>（网页打印件须自招标文件发布之日起至投标截止时间从上述网站中打印）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第二章第6.1款</w:t>
            </w:r>
          </w:p>
        </w:tc>
        <w:tc>
          <w:tcPr>
            <w:tcW w:w="1633"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联合体形式</w:t>
            </w:r>
          </w:p>
        </w:tc>
        <w:tc>
          <w:tcPr>
            <w:tcW w:w="4945"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第二章第7.1款</w:t>
            </w:r>
          </w:p>
        </w:tc>
        <w:tc>
          <w:tcPr>
            <w:tcW w:w="1633"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现场勘察</w:t>
            </w:r>
          </w:p>
        </w:tc>
        <w:tc>
          <w:tcPr>
            <w:tcW w:w="4945"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无需提供现场勘察证明</w:t>
            </w:r>
            <w:r>
              <w:rPr>
                <w:rFonts w:hint="eastAsia"/>
                <w:b/>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33" w:hRule="atLeast"/>
          <w:jc w:val="center"/>
        </w:trPr>
        <w:tc>
          <w:tcPr>
            <w:tcW w:w="2267"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第二章第9.1款</w:t>
            </w:r>
          </w:p>
        </w:tc>
        <w:tc>
          <w:tcPr>
            <w:tcW w:w="1633" w:type="dxa"/>
            <w:vAlign w:val="center"/>
          </w:tcPr>
          <w:p>
            <w:pPr>
              <w:spacing w:line="300" w:lineRule="exact"/>
              <w:rPr>
                <w:rFonts w:ascii="宋体" w:hAnsi="宋体" w:cs="宋体"/>
                <w:bCs/>
                <w:color w:val="000000" w:themeColor="text1"/>
                <w:kern w:val="0"/>
                <w:szCs w:val="21"/>
                <w14:textFill>
                  <w14:solidFill>
                    <w14:schemeClr w14:val="tx1"/>
                  </w14:solidFill>
                </w14:textFill>
              </w:rPr>
            </w:pPr>
            <w:r>
              <w:rPr>
                <w:rFonts w:ascii="宋体" w:hAnsi="宋体"/>
                <w:szCs w:val="21"/>
              </w:rPr>
              <w:t>政府采购优先采购节能产品</w:t>
            </w:r>
            <w:r>
              <w:rPr>
                <w:rFonts w:hint="eastAsia" w:ascii="宋体" w:hAnsi="宋体"/>
                <w:szCs w:val="21"/>
              </w:rPr>
              <w:t>、</w:t>
            </w:r>
            <w:r>
              <w:rPr>
                <w:rFonts w:ascii="宋体" w:hAnsi="宋体"/>
                <w:szCs w:val="21"/>
              </w:rPr>
              <w:t xml:space="preserve">环境标志产品 </w:t>
            </w:r>
          </w:p>
        </w:tc>
        <w:tc>
          <w:tcPr>
            <w:tcW w:w="4945" w:type="dxa"/>
            <w:vAlign w:val="center"/>
          </w:tcPr>
          <w:p>
            <w:pPr>
              <w:pStyle w:val="41"/>
              <w:spacing w:before="0" w:beforeAutospacing="0" w:after="0" w:afterAutospacing="0" w:line="12" w:lineRule="atLeast"/>
              <w:ind w:firstLine="420" w:firstLineChars="200"/>
              <w:jc w:val="both"/>
              <w:textAlignment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pPr>
              <w:pStyle w:val="41"/>
              <w:spacing w:before="0" w:beforeAutospacing="0" w:after="0" w:afterAutospacing="0" w:line="12" w:lineRule="atLeast"/>
              <w:ind w:firstLine="420"/>
              <w:jc w:val="both"/>
              <w:textAlignment w:val="center"/>
              <w:rPr>
                <w:color w:val="000000" w:themeColor="text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01" w:hRule="atLeast"/>
          <w:jc w:val="center"/>
        </w:trPr>
        <w:tc>
          <w:tcPr>
            <w:tcW w:w="2267"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633" w:type="dxa"/>
            <w:vAlign w:val="center"/>
          </w:tcPr>
          <w:p>
            <w:pPr>
              <w:spacing w:line="300" w:lineRule="exac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支持</w:t>
            </w:r>
            <w:r>
              <w:rPr>
                <w:rFonts w:hint="eastAsia" w:ascii="宋体" w:hAnsi="宋体"/>
                <w:color w:val="000000" w:themeColor="text1"/>
                <w:szCs w:val="21"/>
                <w14:textFill>
                  <w14:solidFill>
                    <w14:schemeClr w14:val="tx1"/>
                  </w14:solidFill>
                </w14:textFill>
              </w:rPr>
              <w:t>中小企业发展</w:t>
            </w:r>
          </w:p>
        </w:tc>
        <w:tc>
          <w:tcPr>
            <w:tcW w:w="4945" w:type="dxa"/>
            <w:vAlign w:val="center"/>
          </w:tcPr>
          <w:p>
            <w:pPr>
              <w:spacing w:line="30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本项目不专门面向中小企业预留份额。</w:t>
            </w:r>
          </w:p>
          <w:p>
            <w:pPr>
              <w:spacing w:line="300" w:lineRule="exact"/>
              <w:rPr>
                <w:rFonts w:ascii="宋体" w:hAnsi="宋体"/>
                <w:color w:val="000000" w:themeColor="text1"/>
                <w:szCs w:val="21"/>
                <w14:textFill>
                  <w14:solidFill>
                    <w14:schemeClr w14:val="tx1"/>
                  </w14:solidFill>
                </w14:textFill>
              </w:rPr>
            </w:pPr>
            <w:r>
              <w:rPr>
                <w:rFonts w:hint="eastAsia"/>
              </w:rPr>
              <w:t>按照《政府采购促进中小企业发展管理办法》、《关于进一步加大政府采购支持中小企业力度的通知》要求给予小型和微型企业产品的价格给予10%的扣除，用扣除后的价格参与评审。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第二章第10.1款</w:t>
            </w:r>
          </w:p>
        </w:tc>
        <w:tc>
          <w:tcPr>
            <w:tcW w:w="1633" w:type="dxa"/>
            <w:vAlign w:val="center"/>
          </w:tcPr>
          <w:p>
            <w:pPr>
              <w:spacing w:line="300" w:lineRule="exact"/>
              <w:rPr>
                <w:rFonts w:ascii="宋体" w:hAnsi="宋体"/>
                <w:szCs w:val="21"/>
              </w:rPr>
            </w:pPr>
            <w:r>
              <w:rPr>
                <w:rFonts w:hint="eastAsia" w:ascii="宋体" w:hAnsi="宋体"/>
                <w:szCs w:val="21"/>
              </w:rPr>
              <w:t>质保期</w:t>
            </w:r>
          </w:p>
        </w:tc>
        <w:tc>
          <w:tcPr>
            <w:tcW w:w="4945" w:type="dxa"/>
            <w:vAlign w:val="center"/>
          </w:tcPr>
          <w:p>
            <w:pPr>
              <w:rPr>
                <w:rFonts w:ascii="宋体" w:hAnsi="宋体"/>
                <w:szCs w:val="21"/>
              </w:rPr>
            </w:pPr>
            <w:r>
              <w:rPr>
                <w:rFonts w:hint="eastAsia"/>
                <w:color w:val="FF0000"/>
              </w:rPr>
              <w:t>★</w:t>
            </w:r>
            <w:r>
              <w:rPr>
                <w:rFonts w:hint="eastAsia" w:ascii="宋体" w:hAnsi="宋体"/>
                <w:bCs/>
                <w:color w:val="FF0000"/>
                <w:szCs w:val="21"/>
              </w:rPr>
              <w:t>质保期</w:t>
            </w:r>
            <w:r>
              <w:rPr>
                <w:rFonts w:ascii="宋体" w:hAnsi="宋体"/>
                <w:bCs/>
                <w:color w:val="FF0000"/>
                <w:szCs w:val="21"/>
                <w:highlight w:val="none"/>
              </w:rPr>
              <w:t>2</w:t>
            </w:r>
            <w:r>
              <w:rPr>
                <w:rFonts w:hint="eastAsia" w:ascii="宋体" w:hAnsi="宋体"/>
                <w:bCs/>
                <w:color w:val="FF0000"/>
                <w:szCs w:val="21"/>
              </w:rPr>
              <w:t>年，质保期起计日为合同标的经验收合格交付之日起计。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二、招标文件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vMerge w:val="restart"/>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第二章第11.1款</w:t>
            </w:r>
          </w:p>
        </w:tc>
        <w:tc>
          <w:tcPr>
            <w:tcW w:w="1633" w:type="dxa"/>
            <w:tcBorders>
              <w:bottom w:val="single" w:color="auto" w:sz="4" w:space="0"/>
            </w:tcBorders>
            <w:vAlign w:val="center"/>
          </w:tcPr>
          <w:p>
            <w:pPr>
              <w:adjustRightInd w:val="0"/>
              <w:snapToGrid w:val="0"/>
              <w:spacing w:line="340" w:lineRule="exact"/>
              <w:rPr>
                <w:rFonts w:ascii="宋体" w:hAnsi="宋体"/>
                <w:color w:val="000000" w:themeColor="text1"/>
                <w:szCs w:val="21"/>
                <w:highlight w:val="red"/>
                <w14:textFill>
                  <w14:solidFill>
                    <w14:schemeClr w14:val="tx1"/>
                  </w14:solidFill>
                </w14:textFill>
              </w:rPr>
            </w:pPr>
            <w:r>
              <w:rPr>
                <w:rFonts w:hint="eastAsia" w:ascii="宋体" w:hAnsi="宋体"/>
                <w:color w:val="000000" w:themeColor="text1"/>
                <w:szCs w:val="21"/>
                <w14:textFill>
                  <w14:solidFill>
                    <w14:schemeClr w14:val="tx1"/>
                  </w14:solidFill>
                </w14:textFill>
              </w:rPr>
              <w:t>提交电子投标文件的截止时间</w:t>
            </w:r>
          </w:p>
        </w:tc>
        <w:tc>
          <w:tcPr>
            <w:tcW w:w="4945" w:type="dxa"/>
            <w:tcBorders>
              <w:bottom w:val="single" w:color="auto" w:sz="4" w:space="0"/>
            </w:tcBorders>
            <w:vAlign w:val="center"/>
          </w:tcPr>
          <w:p>
            <w:pPr>
              <w:adjustRightInd w:val="0"/>
              <w:snapToGrid w:val="0"/>
              <w:spacing w:line="340" w:lineRule="exact"/>
              <w:jc w:val="left"/>
              <w:rPr>
                <w:rFonts w:ascii="宋体" w:hAnsi="宋体"/>
                <w:bCs/>
                <w:szCs w:val="21"/>
              </w:rPr>
            </w:pPr>
            <w:r>
              <w:rPr>
                <w:rFonts w:hint="eastAsia" w:ascii="宋体" w:hAnsi="宋体"/>
                <w:b/>
                <w:szCs w:val="21"/>
                <w:highlight w:val="yellow"/>
                <w:u w:val="single"/>
              </w:rPr>
              <w:t>2023年7月</w:t>
            </w:r>
            <w:r>
              <w:rPr>
                <w:rFonts w:hint="eastAsia" w:ascii="宋体" w:hAnsi="宋体"/>
                <w:b/>
                <w:szCs w:val="21"/>
                <w:highlight w:val="yellow"/>
                <w:u w:val="single"/>
                <w:lang w:val="en-US" w:eastAsia="zh-CN"/>
              </w:rPr>
              <w:t>25</w:t>
            </w:r>
            <w:r>
              <w:rPr>
                <w:rFonts w:hint="eastAsia" w:ascii="宋体" w:hAnsi="宋体"/>
                <w:b/>
                <w:szCs w:val="21"/>
                <w:highlight w:val="yellow"/>
                <w:u w:val="single"/>
              </w:rPr>
              <w:t>日10：30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57" w:hRule="atLeast"/>
          <w:jc w:val="center"/>
        </w:trPr>
        <w:tc>
          <w:tcPr>
            <w:tcW w:w="2267" w:type="dxa"/>
            <w:vMerge w:val="continue"/>
            <w:tcBorders>
              <w:right w:val="single" w:color="auto" w:sz="4" w:space="0"/>
            </w:tcBorders>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p>
        </w:tc>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电子投标文件解密时间</w:t>
            </w:r>
          </w:p>
        </w:tc>
        <w:tc>
          <w:tcPr>
            <w:tcW w:w="4945" w:type="dxa"/>
            <w:tcBorders>
              <w:top w:val="single" w:color="auto" w:sz="4" w:space="0"/>
              <w:left w:val="single" w:color="auto" w:sz="4" w:space="0"/>
              <w:bottom w:val="single" w:color="auto" w:sz="4" w:space="0"/>
            </w:tcBorders>
            <w:vAlign w:val="center"/>
          </w:tcPr>
          <w:p>
            <w:pPr>
              <w:pStyle w:val="26"/>
              <w:rPr>
                <w:rFonts w:ascii="宋体" w:hAnsi="宋体"/>
                <w:bCs/>
                <w:szCs w:val="21"/>
              </w:rPr>
            </w:pPr>
            <w:r>
              <w:rPr>
                <w:rFonts w:hint="eastAsia" w:ascii="宋体" w:hAnsi="宋体"/>
                <w:bCs/>
                <w:sz w:val="21"/>
                <w:szCs w:val="21"/>
              </w:rPr>
              <w:t>开标时间后30分钟内（</w:t>
            </w:r>
            <w:r>
              <w:rPr>
                <w:rFonts w:hint="eastAsia" w:ascii="宋体" w:hAnsi="宋体"/>
                <w:b/>
                <w:sz w:val="21"/>
                <w:szCs w:val="21"/>
              </w:rPr>
              <w:t>2023年7月</w:t>
            </w:r>
            <w:r>
              <w:rPr>
                <w:rFonts w:hint="eastAsia" w:ascii="宋体" w:hAnsi="宋体"/>
                <w:b/>
                <w:sz w:val="21"/>
                <w:szCs w:val="21"/>
                <w:lang w:val="en-US" w:eastAsia="zh-CN"/>
              </w:rPr>
              <w:t>25</w:t>
            </w:r>
            <w:r>
              <w:rPr>
                <w:rFonts w:hint="eastAsia" w:ascii="宋体" w:hAnsi="宋体"/>
                <w:b/>
                <w:sz w:val="21"/>
                <w:szCs w:val="21"/>
              </w:rPr>
              <w:t>日10:30-11：00前</w:t>
            </w:r>
            <w:r>
              <w:rPr>
                <w:rFonts w:hint="eastAsia" w:ascii="宋体" w:hAnsi="宋体"/>
                <w:bCs/>
                <w:sz w:val="21"/>
                <w:szCs w:val="21"/>
              </w:rPr>
              <w:t>）供应商登录“政采云”平台，用“项目采购-开标评标”功能进行解密投标文件。若供应商在规定时间内未按时解密的，视为无效投标。</w:t>
            </w:r>
            <w:r>
              <w:rPr>
                <w:rFonts w:hint="eastAsia" w:ascii="宋体" w:hAnsi="宋体"/>
                <w:bCs/>
                <w:sz w:val="21"/>
                <w:szCs w:val="21"/>
                <w:u w:val="single"/>
              </w:rPr>
              <w:t>（解密时间开始时政采云平台将以短信形式向供应商在政采云平台预留的手机号发送短信通知，请供应商及时关注。）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三、投标文件的编写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9" w:hRule="exac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第二章第15.4款</w:t>
            </w:r>
          </w:p>
        </w:tc>
        <w:tc>
          <w:tcPr>
            <w:tcW w:w="1633" w:type="dxa"/>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预算总资金</w:t>
            </w:r>
          </w:p>
        </w:tc>
        <w:tc>
          <w:tcPr>
            <w:tcW w:w="4945" w:type="dxa"/>
            <w:tcBorders>
              <w:bottom w:val="single" w:color="auto" w:sz="4" w:space="0"/>
            </w:tcBorders>
            <w:vAlign w:val="center"/>
          </w:tcPr>
          <w:p>
            <w:pPr>
              <w:pStyle w:val="25"/>
              <w:ind w:left="0"/>
              <w:rPr>
                <w:rFonts w:eastAsiaTheme="minorEastAsia"/>
                <w:i w:val="0"/>
                <w:iCs w:val="0"/>
              </w:rPr>
            </w:pPr>
            <w:r>
              <w:rPr>
                <w:rFonts w:hint="eastAsia" w:ascii="宋体" w:hAnsi="宋体"/>
                <w:b/>
                <w:bCs/>
                <w:i w:val="0"/>
                <w:iCs w:val="0"/>
                <w:color w:val="000000" w:themeColor="text1"/>
                <w:sz w:val="21"/>
                <w:szCs w:val="21"/>
                <w14:textFill>
                  <w14:solidFill>
                    <w14:schemeClr w14:val="tx1"/>
                  </w14:solidFill>
                </w14:textFill>
              </w:rPr>
              <w:t>14000000.00元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22"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第二章第16.3款</w:t>
            </w:r>
          </w:p>
        </w:tc>
        <w:tc>
          <w:tcPr>
            <w:tcW w:w="1633" w:type="dxa"/>
            <w:vAlign w:val="center"/>
          </w:tcPr>
          <w:p>
            <w:pPr>
              <w:adjustRightInd w:val="0"/>
              <w:snapToGrid w:val="0"/>
              <w:spacing w:line="3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w:t>
            </w:r>
          </w:p>
        </w:tc>
        <w:tc>
          <w:tcPr>
            <w:tcW w:w="4945" w:type="dxa"/>
            <w:tcBorders>
              <w:bottom w:val="single" w:color="auto" w:sz="4" w:space="0"/>
            </w:tcBorders>
            <w:vAlign w:val="center"/>
          </w:tcPr>
          <w:p>
            <w:pPr>
              <w:adjustRightInd w:val="0"/>
              <w:snapToGrid w:val="0"/>
              <w:spacing w:line="3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提供同类项目近三年的业绩（2020年1月1日至今），证明材料扫描件编制于投标文件内（具体查看评分因素）。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第二章第17.1款</w:t>
            </w:r>
          </w:p>
        </w:tc>
        <w:tc>
          <w:tcPr>
            <w:tcW w:w="1633" w:type="dxa"/>
            <w:vAlign w:val="center"/>
          </w:tcPr>
          <w:p>
            <w:pPr>
              <w:adjustRightInd w:val="0"/>
              <w:snapToGrid w:val="0"/>
              <w:spacing w:line="400" w:lineRule="exact"/>
              <w:ind w:left="-533" w:leftChars="-254" w:firstLine="533" w:firstLineChars="2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w:t>
            </w:r>
          </w:p>
        </w:tc>
        <w:tc>
          <w:tcPr>
            <w:tcW w:w="4945" w:type="dxa"/>
            <w:vAlign w:val="center"/>
          </w:tcPr>
          <w:p>
            <w:pPr>
              <w:adjustRightInd w:val="0"/>
              <w:snapToGrid w:val="0"/>
              <w:spacing w:line="400" w:lineRule="exact"/>
              <w:jc w:val="left"/>
              <w:rPr>
                <w:rFonts w:hint="default"/>
                <w:lang w:val="en-US"/>
              </w:rPr>
            </w:pPr>
            <w:r>
              <w:rPr>
                <w:rFonts w:hint="eastAsia"/>
                <w:lang w:val="en-US" w:eastAsia="zh-CN"/>
              </w:rPr>
              <w:t>本项目不收取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第二章第18.1款</w:t>
            </w:r>
          </w:p>
        </w:tc>
        <w:tc>
          <w:tcPr>
            <w:tcW w:w="1633"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投标文件有效期</w:t>
            </w:r>
          </w:p>
        </w:tc>
        <w:tc>
          <w:tcPr>
            <w:tcW w:w="4945"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90日历日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第二章第19.1款</w:t>
            </w:r>
          </w:p>
        </w:tc>
        <w:tc>
          <w:tcPr>
            <w:tcW w:w="1633"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投标文件份数</w:t>
            </w:r>
          </w:p>
        </w:tc>
        <w:tc>
          <w:tcPr>
            <w:tcW w:w="4945"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电子加密投标文件一份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b/>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四、投标文件递交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17"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第二章第22.1款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投标地点（网址）</w:t>
            </w:r>
          </w:p>
        </w:tc>
        <w:tc>
          <w:tcPr>
            <w:tcW w:w="4945" w:type="dxa"/>
            <w:vAlign w:val="center"/>
          </w:tcPr>
          <w:p>
            <w:pPr>
              <w:adjustRightInd w:val="0"/>
              <w:snapToGrid w:val="0"/>
              <w:spacing w:line="400" w:lineRule="exact"/>
              <w:rPr>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电子版投标文件提交至政采云平台</w:t>
            </w:r>
            <w:r>
              <w:rPr>
                <w:rFonts w:hint="eastAsia" w:ascii="宋体" w:hAnsi="宋体"/>
                <w:bCs/>
                <w:color w:val="000000" w:themeColor="text1"/>
                <w:szCs w:val="21"/>
                <w14:textFill>
                  <w14:solidFill>
                    <w14:schemeClr w14:val="tx1"/>
                  </w14:solidFill>
                </w14:textFill>
              </w:rPr>
              <w:t>（</w:t>
            </w:r>
            <w:r>
              <w:fldChar w:fldCharType="begin"/>
            </w:r>
            <w:r>
              <w:instrText xml:space="preserve"> HYPERLINK "https://www.zcygov.cn，投标供应商无需到达评标现场。" </w:instrText>
            </w:r>
            <w:r>
              <w:fldChar w:fldCharType="separate"/>
            </w:r>
            <w:r>
              <w:rPr>
                <w:rFonts w:hint="eastAsia" w:ascii="宋体" w:hAnsi="宋体" w:cs="Arial"/>
                <w:bCs/>
                <w:kern w:val="0"/>
                <w:szCs w:val="21"/>
              </w:rPr>
              <w:t>https://www.zcygov.cn</w:t>
            </w:r>
            <w:r>
              <w:rPr>
                <w:rFonts w:hint="eastAsia" w:ascii="宋体" w:hAnsi="宋体" w:cs="Arial"/>
                <w:bCs/>
                <w:kern w:val="0"/>
                <w:szCs w:val="21"/>
              </w:rPr>
              <w:fldChar w:fldCharType="end"/>
            </w:r>
            <w:r>
              <w:rPr>
                <w:rFonts w:hint="eastAsia" w:ascii="宋体" w:hAnsi="宋体" w:cs="Arial"/>
                <w:bCs/>
                <w:kern w:val="0"/>
                <w:szCs w:val="21"/>
              </w:rPr>
              <w:t>）</w:t>
            </w:r>
            <w:r>
              <w:rPr>
                <w:rFonts w:hint="eastAsia" w:ascii="宋体" w:hAnsi="宋体"/>
                <w:b/>
                <w:color w:val="000000" w:themeColor="text1"/>
                <w:szCs w:val="21"/>
                <w14:textFill>
                  <w14:solidFill>
                    <w14:schemeClr w14:val="tx1"/>
                  </w14:solidFill>
                </w14:textFill>
              </w:rPr>
              <w:t>在线投标，投标人无需到达评标现场。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五、开标和评标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1" w:hRule="atLeast"/>
          <w:jc w:val="center"/>
        </w:trPr>
        <w:tc>
          <w:tcPr>
            <w:tcW w:w="2267" w:type="dxa"/>
            <w:vAlign w:val="center"/>
          </w:tcPr>
          <w:p>
            <w:pPr>
              <w:adjustRightInd w:val="0"/>
              <w:snapToGrid w:val="0"/>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第二章第25.1款</w:t>
            </w:r>
          </w:p>
        </w:tc>
        <w:tc>
          <w:tcPr>
            <w:tcW w:w="1633"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评标办法</w:t>
            </w:r>
          </w:p>
        </w:tc>
        <w:tc>
          <w:tcPr>
            <w:tcW w:w="4945"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2"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六、中标结果信息公布与履约保证金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267" w:type="dxa"/>
            <w:vAlign w:val="center"/>
          </w:tcPr>
          <w:p>
            <w:pPr>
              <w:adjustRightInd w:val="0"/>
              <w:snapToGrid w:val="0"/>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第二章第30.1款</w:t>
            </w:r>
          </w:p>
        </w:tc>
        <w:tc>
          <w:tcPr>
            <w:tcW w:w="1633"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财政部门指定的媒体</w:t>
            </w:r>
          </w:p>
        </w:tc>
        <w:tc>
          <w:tcPr>
            <w:tcW w:w="4945" w:type="dxa"/>
            <w:vAlign w:val="center"/>
          </w:tcPr>
          <w:p>
            <w:pPr>
              <w:adjustRightInd w:val="0"/>
              <w:snapToGrid w:val="0"/>
              <w:spacing w:line="32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新疆政府采购网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第二章第32.3款</w:t>
            </w:r>
          </w:p>
        </w:tc>
        <w:tc>
          <w:tcPr>
            <w:tcW w:w="1633" w:type="dxa"/>
            <w:vAlign w:val="center"/>
          </w:tcPr>
          <w:p>
            <w:pPr>
              <w:adjustRightInd w:val="0"/>
              <w:snapToGrid w:val="0"/>
              <w:spacing w:line="400" w:lineRule="exact"/>
              <w:rPr>
                <w:rFonts w:ascii="宋体" w:hAnsi="宋体"/>
                <w:color w:val="000000" w:themeColor="text1"/>
                <w:szCs w:val="21"/>
                <w:highlight w:val="cyan"/>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w:t>
            </w:r>
          </w:p>
        </w:tc>
        <w:tc>
          <w:tcPr>
            <w:tcW w:w="4945" w:type="dxa"/>
            <w:vAlign w:val="center"/>
          </w:tcPr>
          <w:p>
            <w:pPr>
              <w:adjustRightInd w:val="0"/>
              <w:snapToGrid w:val="0"/>
              <w:spacing w:line="320" w:lineRule="exact"/>
              <w:jc w:val="left"/>
              <w:rPr>
                <w:rFonts w:ascii="宋体" w:hAnsi="宋体"/>
                <w:color w:val="000000" w:themeColor="text1"/>
                <w:szCs w:val="21"/>
                <w:highlight w:val="cya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与采购人签订合同约定，履约保证金的数额不得超出政府采购合同金额的10%，以非现金形式提交至采购人，项目按时履约、按质履约后无息退还。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b/>
                <w:szCs w:val="21"/>
              </w:rPr>
            </w:pPr>
            <w:r>
              <w:rPr>
                <w:rFonts w:hint="eastAsia" w:ascii="宋体" w:hAnsi="宋体"/>
                <w:b/>
                <w:szCs w:val="21"/>
              </w:rPr>
              <w:t>七、其他规定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2267" w:type="dxa"/>
            <w:vAlign w:val="center"/>
          </w:tcPr>
          <w:p>
            <w:pPr>
              <w:adjustRightInd w:val="0"/>
              <w:snapToGrid w:val="0"/>
              <w:spacing w:line="400" w:lineRule="exact"/>
              <w:jc w:val="center"/>
              <w:rPr>
                <w:rFonts w:ascii="宋体" w:hAnsi="宋体"/>
                <w:bCs/>
                <w:szCs w:val="21"/>
              </w:rPr>
            </w:pPr>
            <w:r>
              <w:rPr>
                <w:rFonts w:hint="eastAsia" w:ascii="宋体" w:hAnsi="宋体"/>
                <w:bCs/>
                <w:szCs w:val="21"/>
              </w:rPr>
              <w:t>付款方式</w:t>
            </w:r>
          </w:p>
        </w:tc>
        <w:tc>
          <w:tcPr>
            <w:tcW w:w="6578" w:type="dxa"/>
            <w:gridSpan w:val="2"/>
            <w:vAlign w:val="center"/>
          </w:tcPr>
          <w:p>
            <w:pPr>
              <w:adjustRightInd w:val="0"/>
              <w:snapToGrid w:val="0"/>
              <w:spacing w:line="400" w:lineRule="exact"/>
              <w:jc w:val="left"/>
              <w:rPr>
                <w:rFonts w:ascii="宋体" w:hAnsi="宋体"/>
                <w:bCs/>
                <w:szCs w:val="21"/>
              </w:rPr>
            </w:pPr>
            <w:r>
              <w:rPr>
                <w:rFonts w:hint="eastAsia" w:ascii="宋体" w:hAnsi="宋体"/>
                <w:bCs/>
                <w:szCs w:val="21"/>
              </w:rPr>
              <w:t>全部设备安装调试完毕、经买方验收合格后支付。                （具体要求与采购人签订合同约定）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样品</w:t>
            </w:r>
          </w:p>
        </w:tc>
        <w:tc>
          <w:tcPr>
            <w:tcW w:w="6578" w:type="dxa"/>
            <w:gridSpan w:val="2"/>
            <w:vAlign w:val="center"/>
          </w:tcPr>
          <w:p>
            <w:pPr>
              <w:adjustRightInd w:val="0"/>
              <w:snapToGrid w:val="0"/>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不提供</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bookmarkStart w:id="13" w:name="_Toc420948007"/>
            <w:r>
              <w:rPr>
                <w:rFonts w:hint="eastAsia" w:ascii="宋体" w:hAnsi="宋体"/>
                <w:color w:val="000000" w:themeColor="text1"/>
                <w:szCs w:val="21"/>
                <w:lang w:val="zh-CN"/>
                <w14:textFill>
                  <w14:solidFill>
                    <w14:schemeClr w14:val="tx1"/>
                  </w14:solidFill>
                </w14:textFill>
              </w:rPr>
              <w:t>场地费</w:t>
            </w:r>
          </w:p>
        </w:tc>
        <w:tc>
          <w:tcPr>
            <w:tcW w:w="6578" w:type="dxa"/>
            <w:gridSpan w:val="2"/>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招标代理服务费</w:t>
            </w:r>
          </w:p>
        </w:tc>
        <w:tc>
          <w:tcPr>
            <w:tcW w:w="6578" w:type="dxa"/>
            <w:gridSpan w:val="2"/>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2267" w:type="dxa"/>
            <w:vAlign w:val="center"/>
          </w:tcPr>
          <w:p>
            <w:pPr>
              <w:jc w:val="center"/>
              <w:rPr>
                <w:rFonts w:ascii="宋体" w:hAnsi="宋体" w:cs="宋体"/>
                <w:b/>
                <w:bCs/>
                <w:szCs w:val="21"/>
              </w:rPr>
            </w:pPr>
            <w:r>
              <w:rPr>
                <w:rFonts w:hint="eastAsia" w:ascii="宋体" w:hAnsi="宋体" w:cs="宋体"/>
                <w:b/>
                <w:bCs/>
                <w:szCs w:val="21"/>
              </w:rPr>
              <w:t>关于政采云平台线上电子招投标的注意事项</w:t>
            </w:r>
          </w:p>
          <w:p>
            <w:pPr>
              <w:spacing w:before="62" w:beforeLines="20" w:line="288" w:lineRule="auto"/>
              <w:rPr>
                <w:rFonts w:ascii="宋体" w:hAnsi="宋体"/>
                <w:color w:val="000000" w:themeColor="text1"/>
                <w:szCs w:val="21"/>
                <w14:textFill>
                  <w14:solidFill>
                    <w14:schemeClr w14:val="tx1"/>
                  </w14:solidFill>
                </w14:textFill>
              </w:rPr>
            </w:pPr>
          </w:p>
        </w:tc>
        <w:tc>
          <w:tcPr>
            <w:tcW w:w="6578" w:type="dxa"/>
            <w:gridSpan w:val="2"/>
            <w:vAlign w:val="center"/>
          </w:tcPr>
          <w:p>
            <w:pPr>
              <w:adjustRightInd w:val="0"/>
              <w:snapToGrid w:val="0"/>
              <w:spacing w:line="400" w:lineRule="exact"/>
              <w:jc w:val="left"/>
            </w:pPr>
            <w:r>
              <w:rPr>
                <w:rFonts w:hint="eastAsia"/>
                <w:b/>
                <w:bCs/>
              </w:rPr>
              <w:t>1、投标文件解密时间：</w:t>
            </w:r>
            <w:r>
              <w:rPr>
                <w:rFonts w:hint="eastAsia"/>
              </w:rPr>
              <w:t>投标文件解密时间30分钟，开标前需投标单位用CA证书登录政采云平台开标大厅签到，在30分钟解密时间内输入CA证书PIN码解密投标文件。</w:t>
            </w:r>
            <w:r>
              <w:rPr>
                <w:rFonts w:hint="eastAsia"/>
                <w:b/>
                <w:bCs/>
              </w:rPr>
              <w:t>在30分钟解密时间内未进行解密的投标单位将导致废标。</w:t>
            </w:r>
            <w:r>
              <w:rPr>
                <w:rFonts w:hint="eastAsia"/>
              </w:rPr>
              <w:t>（解密时间开始时政采云平台将以短信形式向供应商在政采云平台预留的手机号发送短信通知，请供应商及时关注。）</w:t>
            </w:r>
          </w:p>
          <w:p>
            <w:pPr>
              <w:adjustRightInd w:val="0"/>
              <w:snapToGrid w:val="0"/>
              <w:spacing w:line="400" w:lineRule="exact"/>
              <w:jc w:val="left"/>
            </w:pPr>
            <w:r>
              <w:rPr>
                <w:rFonts w:hint="eastAsia"/>
                <w:b/>
                <w:bCs/>
              </w:rPr>
              <w:t>2、供应商报价CA签字确认：</w:t>
            </w:r>
            <w:r>
              <w:rPr>
                <w:rFonts w:hint="eastAsia"/>
              </w:rPr>
              <w:t>报价文件开启后将开启签字时段，供应商须在</w:t>
            </w:r>
            <w:r>
              <w:rPr>
                <w:rFonts w:hint="eastAsia"/>
                <w:b/>
                <w:bCs/>
                <w:color w:val="000000" w:themeColor="text1"/>
                <w14:textFill>
                  <w14:solidFill>
                    <w14:schemeClr w14:val="tx1"/>
                  </w14:solidFill>
                </w14:textFill>
              </w:rPr>
              <w:t>20分钟内用CA证书对报价进行签字确认，如未按时签字确认视为默认投标报价。</w:t>
            </w:r>
          </w:p>
          <w:p>
            <w:pPr>
              <w:adjustRightInd w:val="0"/>
              <w:snapToGrid w:val="0"/>
              <w:spacing w:line="400" w:lineRule="exact"/>
              <w:jc w:val="left"/>
              <w:rPr>
                <w:b/>
                <w:bCs/>
              </w:rPr>
            </w:pPr>
            <w:r>
              <w:rPr>
                <w:rFonts w:hint="eastAsia"/>
                <w:b/>
                <w:bCs/>
              </w:rPr>
              <w:t>3、备注:</w:t>
            </w:r>
          </w:p>
          <w:p>
            <w:pPr>
              <w:adjustRightInd w:val="0"/>
              <w:snapToGrid w:val="0"/>
              <w:spacing w:line="400" w:lineRule="exact"/>
              <w:jc w:val="left"/>
            </w:pPr>
            <w:r>
              <w:rPr>
                <w:rFonts w:hint="eastAsia"/>
              </w:rPr>
              <w:t>（1）本次采购采用电子交易方式，电子交易平台为“政府采购云平台（www.zcygov.cn）”。供应商参与本项目电子交易活动前，应注册成为政府采购云平台供应商。编制电子投标文件前还需申领CA证书并绑定帐号.</w:t>
            </w:r>
          </w:p>
          <w:p>
            <w:pPr>
              <w:adjustRightInd w:val="0"/>
              <w:snapToGrid w:val="0"/>
              <w:spacing w:line="400" w:lineRule="exact"/>
              <w:jc w:val="left"/>
            </w:pPr>
            <w:r>
              <w:rPr>
                <w:rFonts w:hint="eastAsia"/>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adjustRightInd w:val="0"/>
              <w:snapToGrid w:val="0"/>
              <w:spacing w:line="400" w:lineRule="exact"/>
              <w:jc w:val="left"/>
            </w:pPr>
            <w:r>
              <w:rPr>
                <w:rFonts w:hint="eastAsia"/>
              </w:rPr>
              <w:t>（3）供应商应当在投标截止时间前，将“电子招投标供应商客户端”生成的“电子加密投标文件”上传电子交易平台。</w:t>
            </w:r>
          </w:p>
          <w:p>
            <w:pPr>
              <w:adjustRightInd w:val="0"/>
              <w:snapToGrid w:val="0"/>
              <w:spacing w:line="400" w:lineRule="exact"/>
              <w:jc w:val="left"/>
            </w:pPr>
            <w:r>
              <w:rPr>
                <w:rFonts w:hint="eastAsia"/>
              </w:rPr>
              <w:t>（4）服务与支持。各政府采购代理机构（含集采机构）及供应商对不见面开评标系统的技术操作咨询，可通过</w:t>
            </w:r>
            <w:r>
              <w:fldChar w:fldCharType="begin"/>
            </w:r>
            <w:r>
              <w:instrText xml:space="preserve"> HYPERLINK "https://edu.zcygov.cn/luban/xinjiang-e-biding" </w:instrText>
            </w:r>
            <w:r>
              <w:fldChar w:fldCharType="separate"/>
            </w:r>
            <w:r>
              <w:rPr>
                <w:rFonts w:hint="eastAsia"/>
              </w:rPr>
              <w:t>https://edu.zcygov.cn/luban/xinjiang-e-biding</w:t>
            </w:r>
            <w:r>
              <w:rPr>
                <w:rFonts w:hint="eastAsia"/>
              </w:rPr>
              <w:fldChar w:fldCharType="end"/>
            </w:r>
            <w:r>
              <w:rPr>
                <w:rFonts w:hint="eastAsia"/>
              </w:rPr>
              <w:t>自助查询，也可在政采云帮助中心常见问题解答和操作流程讲解视频中自助查询，网址为：</w:t>
            </w:r>
            <w:r>
              <w:fldChar w:fldCharType="begin"/>
            </w:r>
            <w:r>
              <w:instrText xml:space="preserve"> HYPERLINK "https://service.zcygov.cn/" \l "/help" </w:instrText>
            </w:r>
            <w:r>
              <w:fldChar w:fldCharType="separate"/>
            </w:r>
            <w:r>
              <w:rPr>
                <w:rFonts w:hint="eastAsia"/>
              </w:rPr>
              <w:t>https://service.zcygov.cn/#/help</w:t>
            </w:r>
            <w:r>
              <w:rPr>
                <w:rFonts w:hint="eastAsia"/>
              </w:rPr>
              <w:fldChar w:fldCharType="end"/>
            </w:r>
            <w:r>
              <w:rPr>
                <w:rFonts w:hint="eastAsia"/>
              </w:rPr>
              <w:t>，“项目采购—操作流程—电子招投标—政府采购项目电子交易管理操作指南-供应商”版面获取操作指南，同时对自助查询无法解决的问题可通过钉钉群及政采云在线客服获取服务支</w:t>
            </w:r>
            <w:r>
              <w:t>持。</w:t>
            </w:r>
            <w:r>
              <w:rPr>
                <w:rFonts w:hint="eastAsia"/>
              </w:rPr>
              <w:t>政采云热线人工号码：95763</w:t>
            </w:r>
          </w:p>
          <w:p>
            <w:pPr>
              <w:adjustRightInd w:val="0"/>
              <w:snapToGrid w:val="0"/>
              <w:spacing w:line="400" w:lineRule="exact"/>
              <w:jc w:val="left"/>
            </w:pPr>
            <w:r>
              <w:rPr>
                <w:rFonts w:hint="eastAsia"/>
              </w:rPr>
              <w:t>（5）建议投标人使用带有摄像头和麦克风的设备，以备评标演示时使用，投标人自行承担因投标人设备原因而产生的不利后果。浏览器要求：建议使用者谷歌Chrome浏览器或360极速浏览器。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96" w:hRule="atLeast"/>
          <w:jc w:val="center"/>
        </w:trPr>
        <w:tc>
          <w:tcPr>
            <w:tcW w:w="2267" w:type="dxa"/>
            <w:vAlign w:val="center"/>
          </w:tcPr>
          <w:p>
            <w:pPr>
              <w:spacing w:before="62" w:beforeLines="20" w:line="288" w:lineRule="auto"/>
              <w:jc w:val="center"/>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CA办理及技术支持</w:t>
            </w:r>
          </w:p>
        </w:tc>
        <w:tc>
          <w:tcPr>
            <w:tcW w:w="6578" w:type="dxa"/>
            <w:gridSpan w:val="2"/>
            <w:vAlign w:val="center"/>
          </w:tcPr>
          <w:p>
            <w:pPr>
              <w:pStyle w:val="26"/>
              <w:rPr>
                <w:rFonts w:ascii="Times New Roman" w:hAnsi="Times New Roman"/>
                <w:color w:val="000000" w:themeColor="text1"/>
                <w:sz w:val="21"/>
                <w:szCs w:val="24"/>
                <w14:textFill>
                  <w14:solidFill>
                    <w14:schemeClr w14:val="tx1"/>
                  </w14:solidFill>
                </w14:textFill>
              </w:rPr>
            </w:pPr>
            <w:r>
              <w:rPr>
                <w:rFonts w:hint="eastAsia" w:ascii="Times New Roman" w:hAnsi="Times New Roman"/>
                <w:color w:val="000000" w:themeColor="text1"/>
                <w:sz w:val="21"/>
                <w:szCs w:val="24"/>
                <w14:textFill>
                  <w14:solidFill>
                    <w14:schemeClr w14:val="tx1"/>
                  </w14:solidFill>
                </w14:textFill>
              </w:rPr>
              <w:t>CA服务电话：0991-2819290</w:t>
            </w:r>
          </w:p>
          <w:p>
            <w:pPr>
              <w:pStyle w:val="26"/>
              <w:rPr>
                <w:rFonts w:ascii="Times New Roman" w:hAnsi="Times New Roman"/>
                <w:color w:val="000000" w:themeColor="text1"/>
                <w:sz w:val="21"/>
                <w:szCs w:val="24"/>
                <w14:textFill>
                  <w14:solidFill>
                    <w14:schemeClr w14:val="tx1"/>
                  </w14:solidFill>
                </w14:textFill>
              </w:rPr>
            </w:pPr>
            <w:r>
              <w:rPr>
                <w:rFonts w:hint="eastAsia" w:ascii="Times New Roman" w:hAnsi="Times New Roman"/>
                <w:color w:val="000000" w:themeColor="text1"/>
                <w:sz w:val="21"/>
                <w:szCs w:val="24"/>
                <w14:textFill>
                  <w14:solidFill>
                    <w14:schemeClr w14:val="tx1"/>
                  </w14:solidFill>
                </w14:textFill>
              </w:rPr>
              <w:t>CA申领地址：https://www.xjca.com.cn/article/content/201802/582/1.html</w:t>
            </w:r>
          </w:p>
        </w:tc>
      </w:tr>
    </w:tbl>
    <w:p>
      <w:pPr>
        <w:adjustRightInd w:val="0"/>
        <w:snapToGrid w:val="0"/>
        <w:spacing w:line="360" w:lineRule="auto"/>
        <w:jc w:val="center"/>
        <w:outlineLvl w:val="1"/>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br w:type="page"/>
      </w:r>
      <w:bookmarkStart w:id="14" w:name="_Toc474235943"/>
      <w:r>
        <w:rPr>
          <w:rFonts w:hint="eastAsia" w:ascii="宋体" w:hAnsi="宋体"/>
          <w:b/>
          <w:color w:val="000000" w:themeColor="text1"/>
          <w:sz w:val="24"/>
          <w14:textFill>
            <w14:solidFill>
              <w14:schemeClr w14:val="tx1"/>
            </w14:solidFill>
          </w14:textFill>
        </w:rPr>
        <w:t>投标须知正文</w:t>
      </w:r>
      <w:bookmarkEnd w:id="13"/>
      <w:bookmarkEnd w:id="14"/>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15" w:name="_Toc420948008"/>
      <w:bookmarkStart w:id="16" w:name="_Toc474235944"/>
      <w:r>
        <w:rPr>
          <w:rFonts w:hint="eastAsia" w:ascii="宋体" w:hAnsi="宋体"/>
          <w:b/>
          <w:color w:val="000000" w:themeColor="text1"/>
          <w:sz w:val="24"/>
          <w14:textFill>
            <w14:solidFill>
              <w14:schemeClr w14:val="tx1"/>
            </w14:solidFill>
          </w14:textFill>
        </w:rPr>
        <w:t>一、</w:t>
      </w:r>
      <w:bookmarkEnd w:id="15"/>
      <w:r>
        <w:rPr>
          <w:rFonts w:hint="eastAsia" w:ascii="宋体" w:hAnsi="宋体"/>
          <w:b/>
          <w:color w:val="000000" w:themeColor="text1"/>
          <w:sz w:val="24"/>
          <w14:textFill>
            <w14:solidFill>
              <w14:schemeClr w14:val="tx1"/>
            </w14:solidFill>
          </w14:textFill>
        </w:rPr>
        <w:t>总则</w:t>
      </w:r>
      <w:bookmarkEnd w:id="16"/>
    </w:p>
    <w:p>
      <w:pPr>
        <w:adjustRightInd w:val="0"/>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 项目概况</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1.1项目名称：详见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1.2采购范围：详见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1.3项目地点：详见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1.4采购方式：详见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1.5完工期限：详见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2.定义</w:t>
      </w:r>
    </w:p>
    <w:p>
      <w:pPr>
        <w:adjustRightInd w:val="0"/>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“采购人”是指依法进行政府采购的国家机关、事业单位、团体组织。采购人名称、地址、电话、联系人见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 “采购代理机构”是指接受采购人委托，代理采购项目的集中采购机构和其他采购代理机构。采购代理机构名称、地址、电话、联系人见</w:t>
      </w:r>
      <w:r>
        <w:rPr>
          <w:rFonts w:hint="eastAsia" w:ascii="宋体" w:hAnsi="宋体"/>
          <w:b/>
          <w:color w:val="000000" w:themeColor="text1"/>
          <w:szCs w:val="21"/>
          <w14:textFill>
            <w14:solidFill>
              <w14:schemeClr w14:val="tx1"/>
            </w14:solidFill>
          </w14:textFill>
        </w:rPr>
        <w:t>投标须知前附表。</w:t>
      </w:r>
    </w:p>
    <w:p>
      <w:pPr>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2.3 “投标人”是指响应招标文件要求、参加招标采购的法人、其他组织或者自然人。</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 “货物”是指各种形态和种类的物品，包括原材料、燃料、设备、产品等，详见《政府采购品目分类目录》(</w:t>
      </w:r>
      <w:r>
        <w:rPr>
          <w:rStyle w:val="49"/>
          <w:rFonts w:ascii="宋体" w:hAnsi="宋体"/>
          <w:b w:val="0"/>
          <w:color w:val="000000" w:themeColor="text1"/>
          <w14:textFill>
            <w14:solidFill>
              <w14:schemeClr w14:val="tx1"/>
            </w14:solidFill>
          </w14:textFill>
        </w:rPr>
        <w:t>财库</w:t>
      </w:r>
      <w:r>
        <w:rPr>
          <w:rStyle w:val="49"/>
          <w:rFonts w:hint="eastAsia" w:ascii="宋体" w:hAnsi="宋体"/>
          <w:b w:val="0"/>
          <w:color w:val="000000" w:themeColor="text1"/>
          <w14:textFill>
            <w14:solidFill>
              <w14:schemeClr w14:val="tx1"/>
            </w14:solidFill>
          </w14:textFill>
        </w:rPr>
        <w:t>[</w:t>
      </w:r>
      <w:r>
        <w:rPr>
          <w:rStyle w:val="49"/>
          <w:rFonts w:ascii="宋体" w:hAnsi="宋体"/>
          <w:b w:val="0"/>
          <w:color w:val="000000" w:themeColor="text1"/>
          <w14:textFill>
            <w14:solidFill>
              <w14:schemeClr w14:val="tx1"/>
            </w14:solidFill>
          </w14:textFill>
        </w:rPr>
        <w:t>20</w:t>
      </w:r>
      <w:r>
        <w:rPr>
          <w:rStyle w:val="49"/>
          <w:rFonts w:hint="eastAsia" w:ascii="宋体" w:hAnsi="宋体"/>
          <w:b w:val="0"/>
          <w:color w:val="000000" w:themeColor="text1"/>
          <w14:textFill>
            <w14:solidFill>
              <w14:schemeClr w14:val="tx1"/>
            </w14:solidFill>
          </w14:textFill>
        </w:rPr>
        <w:t>22]31</w:t>
      </w:r>
      <w:r>
        <w:rPr>
          <w:rStyle w:val="49"/>
          <w:rFonts w:ascii="宋体" w:hAnsi="宋体"/>
          <w:b w:val="0"/>
          <w:color w:val="000000" w:themeColor="text1"/>
          <w14:textFill>
            <w14:solidFill>
              <w14:schemeClr w14:val="tx1"/>
            </w14:solidFill>
          </w14:textFill>
        </w:rPr>
        <w:t>号</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2.5 “进口产品”是指通过中国海关报关验收进入中国境内且产自关境外的产品，详见《</w:t>
      </w:r>
      <w:r>
        <w:rPr>
          <w:rFonts w:ascii="宋体" w:hAnsi="宋体" w:cs="宋体"/>
          <w:color w:val="000000" w:themeColor="text1"/>
          <w:kern w:val="0"/>
          <w:szCs w:val="21"/>
          <w14:textFill>
            <w14:solidFill>
              <w14:schemeClr w14:val="tx1"/>
            </w14:solidFill>
          </w14:textFill>
        </w:rPr>
        <w:t>关于政府采购进口产品管理有关问题的通知</w:t>
      </w:r>
      <w:r>
        <w:rPr>
          <w:rFonts w:hint="eastAsia" w:ascii="宋体" w:hAnsi="宋体" w:cs="宋体"/>
          <w:color w:val="000000" w:themeColor="text1"/>
          <w:kern w:val="0"/>
          <w:szCs w:val="21"/>
          <w14:textFill>
            <w14:solidFill>
              <w14:schemeClr w14:val="tx1"/>
            </w14:solidFill>
          </w14:textFill>
        </w:rPr>
        <w:t>》(财库[2007]119号)。</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2.6偏离</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2.6.1本条所称偏离为投标文件对招标文件的偏离，即不满足、或不响应招标文件的要求。偏离分为对招标文件的实质性要求条款偏离和对招标文件的一般商务和技术条款偏离。</w:t>
      </w:r>
    </w:p>
    <w:p>
      <w:pPr>
        <w:adjustRightInd w:val="0"/>
        <w:snapToGrid w:val="0"/>
        <w:spacing w:line="360" w:lineRule="auto"/>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2.6.2除法律、法规和规章规定外，招标文件中用“拒绝”、“不接受”、“无效”、“不得”等文字规定的条款为实质性要求条款（即重要条款），对其中任何一条的偏离，在评标时将其视为无效投标。未用上述文字规定或符号标注的条款为非实质性要求条款(即一般条款)。</w:t>
      </w:r>
    </w:p>
    <w:p>
      <w:pPr>
        <w:adjustRightInd w:val="0"/>
        <w:snapToGrid w:val="0"/>
        <w:spacing w:line="360" w:lineRule="auto"/>
        <w:ind w:firstLine="422"/>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2.7.特别说明</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2.7.1投标人投标所使用的资格、信誉、荣誉、业绩与企业认证等必须为投标人所拥有。</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2.7.2投标人应仔细阅读招标文件的所有内容，按照招标文件的要求提交投标文件，并对所提供的全部资料的真实性承担法律责任。</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2.7.3投标人在投标活动中提供任何虚假材料，其投标无效并承担相应法律责任。</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3.投标人的资格要求</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 投标人应当符合</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中规定的资格条件要求；</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 投标人不得存在下列情形之一：</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（l）与采购人、采购代理机构存在</w:t>
      </w:r>
      <w:r>
        <w:rPr>
          <w:rFonts w:hint="eastAsia" w:ascii="宋体" w:hAnsi="宋体"/>
          <w:bCs/>
          <w:color w:val="000000" w:themeColor="text1"/>
          <w:szCs w:val="21"/>
          <w14:textFill>
            <w14:solidFill>
              <w14:schemeClr w14:val="tx1"/>
            </w14:solidFill>
          </w14:textFill>
        </w:rPr>
        <w:t>利害关系</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（2）单位负责人为同一人或者存在直接控股、管理关系的不同投标单位，不得参加同一合同项下的政府采购活动。</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（3）除单一来源采购项目外，为采购项目提供整体设计、规范编制或者项目管理、监理、检测等服务的投标单位，不得再参加该采购项目的其他采购活动。</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 投标人具有履行合同所必需的设备和专业技术能力，在人员、设备、资金等方面具有相应能力；投标人提供的的产品必须是成熟产品；在项目地具有技术支持和后续服务等能力。</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 投标费用和知识产权</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4.1投标人应承担其参加本招标活动自身所发生的费用。招标文件所提供的资料，是采购人现有的能被投标人利用的资料，采购人对投标人做出的任何推论、理解和结论均不负责任。</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pStyle w:val="26"/>
        <w:adjustRightInd w:val="0"/>
        <w:snapToGrid w:val="0"/>
        <w:spacing w:line="360" w:lineRule="auto"/>
        <w:rPr>
          <w:rFonts w:ascii="宋体" w:hAnsi="宋体"/>
          <w:b/>
          <w:bCs/>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5．</w:t>
      </w:r>
      <w:r>
        <w:rPr>
          <w:rFonts w:hint="eastAsia" w:ascii="宋体" w:hAnsi="宋体"/>
          <w:b/>
          <w:bCs/>
          <w:color w:val="000000" w:themeColor="text1"/>
          <w:sz w:val="21"/>
          <w:szCs w:val="21"/>
          <w14:textFill>
            <w14:solidFill>
              <w14:schemeClr w14:val="tx1"/>
            </w14:solidFill>
          </w14:textFill>
        </w:rPr>
        <w:t>授权委托</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5.1投标人代表为投标人法定代表人的，应提供法定代表人身份证明。投标人代表不是投标人法定代表人的，应提供法定代表人授权书。</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6．联合体形式</w:t>
      </w:r>
      <w:r>
        <w:rPr>
          <w:rFonts w:hint="eastAsia" w:ascii="宋体" w:hAnsi="宋体"/>
          <w:color w:val="000000" w:themeColor="text1"/>
          <w:sz w:val="21"/>
          <w:szCs w:val="21"/>
          <w14:textFill>
            <w14:solidFill>
              <w14:schemeClr w14:val="tx1"/>
            </w14:solidFill>
          </w14:textFill>
        </w:rPr>
        <w:t xml:space="preserve"> </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6.1除</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中另有规定，本次招标采购不接受为联合体形式的投标人。</w:t>
      </w:r>
    </w:p>
    <w:p>
      <w:pPr>
        <w:adjustRightInd w:val="0"/>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7.现场勘察</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7.1投标人应按</w:t>
      </w:r>
      <w:r>
        <w:rPr>
          <w:rFonts w:hint="eastAsia" w:ascii="宋体" w:hAnsi="宋体"/>
          <w:b/>
          <w:color w:val="000000" w:themeColor="text1"/>
          <w14:textFill>
            <w14:solidFill>
              <w14:schemeClr w14:val="tx1"/>
            </w14:solidFill>
          </w14:textFill>
        </w:rPr>
        <w:t>投标须知前附表</w:t>
      </w:r>
      <w:r>
        <w:rPr>
          <w:rFonts w:hint="eastAsia" w:ascii="宋体" w:hAnsi="宋体"/>
          <w:color w:val="000000" w:themeColor="text1"/>
          <w14:textFill>
            <w14:solidFill>
              <w14:schemeClr w14:val="tx1"/>
            </w14:solidFill>
          </w14:textFill>
        </w:rPr>
        <w:t>中规定</w:t>
      </w:r>
      <w:r>
        <w:rPr>
          <w:rFonts w:hint="eastAsia" w:ascii="宋体" w:hAnsi="宋体"/>
          <w:color w:val="000000" w:themeColor="text1"/>
          <w:szCs w:val="21"/>
          <w14:textFill>
            <w14:solidFill>
              <w14:schemeClr w14:val="tx1"/>
            </w14:solidFill>
          </w14:textFill>
        </w:rPr>
        <w:t>对招标采购项目现场设备型号、数量和周围环境进行现场考察。</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7.2勘察现场的费用由投标人自己承担，勘察期间所发生的人身伤害及 财产损失由投标人自己负责。</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7.3采购人不对投标人据此而做出的推论、理解和结论负责。一旦中标，投标人不得以任何借口，而提出额外补偿，或延长合同期限的要求。</w:t>
      </w:r>
    </w:p>
    <w:p>
      <w:pPr>
        <w:adjustRightInd w:val="0"/>
        <w:snapToGrid w:val="0"/>
        <w:spacing w:line="360" w:lineRule="auto"/>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8.采购进口产品</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8.1除</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另有规定外，本项目</w:t>
      </w:r>
      <w:r>
        <w:rPr>
          <w:rFonts w:hint="eastAsia" w:ascii="宋体" w:hAnsi="宋体" w:cs="宋体"/>
          <w:color w:val="000000" w:themeColor="text1"/>
          <w:kern w:val="0"/>
          <w:szCs w:val="21"/>
          <w14:textFill>
            <w14:solidFill>
              <w14:schemeClr w14:val="tx1"/>
            </w14:solidFill>
          </w14:textFill>
        </w:rPr>
        <w:t>拒绝进口产品参加</w:t>
      </w:r>
      <w:r>
        <w:rPr>
          <w:rFonts w:hint="eastAsia" w:ascii="宋体" w:hAnsi="宋体"/>
          <w:color w:val="000000" w:themeColor="text1"/>
          <w:szCs w:val="21"/>
          <w14:textFill>
            <w14:solidFill>
              <w14:schemeClr w14:val="tx1"/>
            </w14:solidFill>
          </w14:textFill>
        </w:rPr>
        <w:t>招标采购活动</w:t>
      </w:r>
      <w:r>
        <w:rPr>
          <w:rFonts w:hint="eastAsia"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8.2</w:t>
      </w:r>
      <w:r>
        <w:rPr>
          <w:rFonts w:hint="eastAsia" w:ascii="宋体" w:hAnsi="宋体"/>
          <w:color w:val="000000" w:themeColor="text1"/>
          <w:szCs w:val="21"/>
          <w14:textFill>
            <w14:solidFill>
              <w14:schemeClr w14:val="tx1"/>
            </w14:solidFill>
          </w14:textFill>
        </w:rPr>
        <w:t>本章第8.1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规定</w:t>
      </w:r>
      <w:r>
        <w:rPr>
          <w:rFonts w:ascii="宋体" w:hAnsi="宋体" w:cs="宋体"/>
          <w:color w:val="000000" w:themeColor="text1"/>
          <w:kern w:val="0"/>
          <w:szCs w:val="21"/>
          <w14:textFill>
            <w14:solidFill>
              <w14:schemeClr w14:val="tx1"/>
            </w14:solidFill>
          </w14:textFill>
        </w:rPr>
        <w:t>同意购买进口产品的</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w:t>
      </w:r>
      <w:r>
        <w:rPr>
          <w:rFonts w:hint="eastAsia" w:ascii="宋体" w:hAnsi="宋体" w:cs="宋体"/>
          <w:color w:val="000000" w:themeColor="text1"/>
          <w:kern w:val="0"/>
          <w:szCs w:val="21"/>
          <w:lang w:val="zh-CN"/>
          <w14:textFill>
            <w14:solidFill>
              <w14:schemeClr w14:val="tx1"/>
            </w14:solidFill>
          </w14:textFill>
        </w:rPr>
        <w:t>采购活动</w:t>
      </w:r>
      <w:r>
        <w:rPr>
          <w:rFonts w:hint="eastAsia" w:ascii="宋体" w:hAnsi="宋体" w:cs="宋体"/>
          <w:color w:val="000000" w:themeColor="text1"/>
          <w:kern w:val="0"/>
          <w:szCs w:val="21"/>
          <w14:textFill>
            <w14:solidFill>
              <w14:schemeClr w14:val="tx1"/>
            </w14:solidFill>
          </w14:textFill>
        </w:rPr>
        <w:t>不</w:t>
      </w:r>
      <w:r>
        <w:rPr>
          <w:rFonts w:ascii="宋体" w:hAnsi="宋体" w:cs="宋体"/>
          <w:color w:val="000000" w:themeColor="text1"/>
          <w:kern w:val="0"/>
          <w:szCs w:val="21"/>
          <w14:textFill>
            <w14:solidFill>
              <w14:schemeClr w14:val="tx1"/>
            </w14:solidFill>
          </w14:textFill>
        </w:rPr>
        <w:t>限制满足</w:t>
      </w:r>
      <w:r>
        <w:rPr>
          <w:rFonts w:hint="eastAsia" w:ascii="宋体" w:hAnsi="宋体"/>
          <w:color w:val="000000" w:themeColor="text1"/>
          <w:szCs w:val="21"/>
          <w14:textFill>
            <w14:solidFill>
              <w14:schemeClr w14:val="tx1"/>
            </w14:solidFill>
          </w14:textFill>
        </w:rPr>
        <w:t>招标文件要求</w:t>
      </w:r>
      <w:r>
        <w:rPr>
          <w:rFonts w:ascii="宋体" w:hAnsi="宋体" w:cs="宋体"/>
          <w:color w:val="000000" w:themeColor="text1"/>
          <w:kern w:val="0"/>
          <w:szCs w:val="21"/>
          <w14:textFill>
            <w14:solidFill>
              <w14:schemeClr w14:val="tx1"/>
            </w14:solidFill>
          </w14:textFill>
        </w:rPr>
        <w:t>的国内产品参与</w:t>
      </w:r>
      <w:r>
        <w:rPr>
          <w:rFonts w:hint="eastAsia" w:ascii="宋体" w:hAnsi="宋体"/>
          <w:color w:val="000000" w:themeColor="text1"/>
          <w:szCs w:val="21"/>
          <w14:textFill>
            <w14:solidFill>
              <w14:schemeClr w14:val="tx1"/>
            </w14:solidFill>
          </w14:textFill>
        </w:rPr>
        <w:t>招标</w:t>
      </w:r>
      <w:r>
        <w:rPr>
          <w:rFonts w:ascii="宋体" w:hAnsi="宋体" w:cs="宋体"/>
          <w:color w:val="000000" w:themeColor="text1"/>
          <w:kern w:val="0"/>
          <w:szCs w:val="21"/>
          <w14:textFill>
            <w14:solidFill>
              <w14:schemeClr w14:val="tx1"/>
            </w14:solidFill>
          </w14:textFill>
        </w:rPr>
        <w:t>。</w:t>
      </w:r>
    </w:p>
    <w:p>
      <w:pPr>
        <w:adjustRightInd w:val="0"/>
        <w:snapToGrid w:val="0"/>
        <w:spacing w:line="360" w:lineRule="auto"/>
        <w:jc w:val="left"/>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9.</w:t>
      </w:r>
      <w:r>
        <w:rPr>
          <w:rFonts w:hint="eastAsia" w:ascii="宋体" w:hAnsi="宋体"/>
          <w:b/>
          <w:color w:val="000000" w:themeColor="text1"/>
          <w:szCs w:val="21"/>
          <w14:textFill>
            <w14:solidFill>
              <w14:schemeClr w14:val="tx1"/>
            </w14:solidFill>
          </w14:textFill>
        </w:rPr>
        <w:t xml:space="preserve">政府采购政策支持 </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9.1为</w:t>
      </w:r>
      <w:r>
        <w:rPr>
          <w:rFonts w:hint="eastAsia" w:ascii="宋体" w:hAnsi="宋体" w:cs="宋体"/>
          <w:color w:val="000000" w:themeColor="text1"/>
          <w:szCs w:val="21"/>
          <w14:textFill>
            <w14:solidFill>
              <w14:schemeClr w14:val="tx1"/>
            </w14:solidFill>
          </w14:textFill>
        </w:rPr>
        <w:t>推进政府采购诚信体系建设，</w:t>
      </w:r>
      <w:r>
        <w:rPr>
          <w:rFonts w:hint="eastAsia" w:ascii="宋体" w:hAnsi="宋体"/>
          <w:color w:val="000000" w:themeColor="text1"/>
          <w:szCs w:val="21"/>
          <w14:textFill>
            <w14:solidFill>
              <w14:schemeClr w14:val="tx1"/>
            </w14:solidFill>
          </w14:textFill>
        </w:rPr>
        <w:t>投标人在签署相关承诺，提供相关信息前，应认真阅读财政部门相关政策规定。符合本章第9.1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的，应提供相关证明材料。</w:t>
      </w:r>
    </w:p>
    <w:p>
      <w:pPr>
        <w:pStyle w:val="26"/>
        <w:adjustRightInd w:val="0"/>
        <w:snapToGrid w:val="0"/>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9.2电子版投标文件内所有资格证明文件，投标人须逐页加盖电子签章。</w:t>
      </w:r>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17" w:name="_Toc420948009"/>
      <w:bookmarkStart w:id="18" w:name="_Toc474235945"/>
      <w:r>
        <w:rPr>
          <w:rFonts w:hint="eastAsia" w:ascii="宋体" w:hAnsi="宋体"/>
          <w:b/>
          <w:color w:val="000000" w:themeColor="text1"/>
          <w:sz w:val="24"/>
          <w14:textFill>
            <w14:solidFill>
              <w14:schemeClr w14:val="tx1"/>
            </w14:solidFill>
          </w14:textFill>
        </w:rPr>
        <w:t>二、招标</w:t>
      </w:r>
      <w:bookmarkEnd w:id="17"/>
      <w:r>
        <w:rPr>
          <w:rFonts w:hint="eastAsia" w:ascii="宋体" w:hAnsi="宋体"/>
          <w:b/>
          <w:color w:val="000000" w:themeColor="text1"/>
          <w:sz w:val="24"/>
          <w14:textFill>
            <w14:solidFill>
              <w14:schemeClr w14:val="tx1"/>
            </w14:solidFill>
          </w14:textFill>
        </w:rPr>
        <w:t>文件</w:t>
      </w:r>
      <w:bookmarkEnd w:id="18"/>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10.招标文件的组成</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10.1 招标文件由下列文件组成：</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第一章 招标公告</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第二章 投标须知</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第三章 评标方法及标准</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第四章 政府采购合同格式条款</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第五章 采购需求</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第六章 投标文件格式</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10.2</w:t>
      </w:r>
      <w:r>
        <w:rPr>
          <w:rFonts w:hint="eastAsia" w:ascii="宋体" w:hAnsi="宋体"/>
          <w:bCs/>
          <w:color w:val="000000" w:themeColor="text1"/>
          <w:sz w:val="21"/>
          <w:szCs w:val="21"/>
          <w14:textFill>
            <w14:solidFill>
              <w14:schemeClr w14:val="tx1"/>
            </w14:solidFill>
          </w14:textFill>
        </w:rPr>
        <w:t>本章第11.1</w:t>
      </w:r>
      <w:r>
        <w:rPr>
          <w:rFonts w:hint="eastAsia" w:ascii="宋体" w:hAnsi="宋体" w:cs="宋体"/>
          <w:color w:val="000000" w:themeColor="text1"/>
          <w:kern w:val="0"/>
          <w:sz w:val="21"/>
          <w:szCs w:val="21"/>
          <w:lang w:val="zh-CN"/>
          <w14:textFill>
            <w14:solidFill>
              <w14:schemeClr w14:val="tx1"/>
            </w14:solidFill>
          </w14:textFill>
        </w:rPr>
        <w:t>款</w:t>
      </w:r>
      <w:r>
        <w:rPr>
          <w:rFonts w:hint="eastAsia" w:ascii="宋体" w:hAnsi="宋体"/>
          <w:bCs/>
          <w:color w:val="000000" w:themeColor="text1"/>
          <w:sz w:val="21"/>
          <w:szCs w:val="21"/>
          <w14:textFill>
            <w14:solidFill>
              <w14:schemeClr w14:val="tx1"/>
            </w14:solidFill>
          </w14:textFill>
        </w:rPr>
        <w:t>规定的</w:t>
      </w:r>
      <w:r>
        <w:rPr>
          <w:rFonts w:hint="eastAsia" w:ascii="宋体" w:hAnsi="宋体" w:cs="宋体"/>
          <w:color w:val="000000" w:themeColor="text1"/>
          <w:kern w:val="0"/>
          <w:sz w:val="21"/>
          <w:szCs w:val="21"/>
          <w14:textFill>
            <w14:solidFill>
              <w14:schemeClr w14:val="tx1"/>
            </w14:solidFill>
          </w14:textFill>
        </w:rPr>
        <w:t>提交投标文件截止时间前对招标文件澄清或者修改内容，为招标文件的组成部分。</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10.3</w:t>
      </w:r>
      <w:r>
        <w:rPr>
          <w:rFonts w:hint="eastAsia" w:ascii="宋体" w:hAnsi="宋体"/>
          <w:color w:val="000000" w:themeColor="text1"/>
          <w:szCs w:val="21"/>
          <w14:textFill>
            <w14:solidFill>
              <w14:schemeClr w14:val="tx1"/>
            </w14:solidFill>
          </w14:textFill>
        </w:rPr>
        <w:t>投标人应仔细阅读</w:t>
      </w:r>
      <w:r>
        <w:rPr>
          <w:rFonts w:hint="eastAsia" w:ascii="宋体" w:hAnsi="宋体"/>
          <w:bCs/>
          <w:color w:val="000000" w:themeColor="text1"/>
          <w:szCs w:val="21"/>
          <w14:textFill>
            <w14:solidFill>
              <w14:schemeClr w14:val="tx1"/>
            </w14:solidFill>
          </w14:textFill>
        </w:rPr>
        <w:t>招标文件</w:t>
      </w:r>
      <w:r>
        <w:rPr>
          <w:rFonts w:hint="eastAsia" w:ascii="宋体" w:hAnsi="宋体"/>
          <w:color w:val="000000" w:themeColor="text1"/>
          <w:szCs w:val="21"/>
          <w14:textFill>
            <w14:solidFill>
              <w14:schemeClr w14:val="tx1"/>
            </w14:solidFill>
          </w14:textFill>
        </w:rPr>
        <w:t>的全部内容，按照</w:t>
      </w:r>
      <w:r>
        <w:rPr>
          <w:rFonts w:hint="eastAsia" w:ascii="宋体" w:hAnsi="宋体"/>
          <w:bCs/>
          <w:color w:val="000000" w:themeColor="text1"/>
          <w:szCs w:val="21"/>
          <w14:textFill>
            <w14:solidFill>
              <w14:schemeClr w14:val="tx1"/>
            </w14:solidFill>
          </w14:textFill>
        </w:rPr>
        <w:t>招标文件</w:t>
      </w:r>
      <w:r>
        <w:rPr>
          <w:rFonts w:hint="eastAsia" w:ascii="宋体" w:hAnsi="宋体"/>
          <w:color w:val="000000" w:themeColor="text1"/>
          <w:szCs w:val="21"/>
          <w14:textFill>
            <w14:solidFill>
              <w14:schemeClr w14:val="tx1"/>
            </w14:solidFill>
          </w14:textFill>
        </w:rPr>
        <w:t>要求编制投标文件。任何对</w:t>
      </w:r>
      <w:r>
        <w:rPr>
          <w:rFonts w:hint="eastAsia" w:ascii="宋体" w:hAnsi="宋体"/>
          <w:bCs/>
          <w:color w:val="000000" w:themeColor="text1"/>
          <w:szCs w:val="21"/>
          <w14:textFill>
            <w14:solidFill>
              <w14:schemeClr w14:val="tx1"/>
            </w14:solidFill>
          </w14:textFill>
        </w:rPr>
        <w:t>招标文件</w:t>
      </w:r>
      <w:r>
        <w:rPr>
          <w:rFonts w:hint="eastAsia" w:ascii="宋体" w:hAnsi="宋体"/>
          <w:color w:val="000000" w:themeColor="text1"/>
          <w:szCs w:val="21"/>
          <w14:textFill>
            <w14:solidFill>
              <w14:schemeClr w14:val="tx1"/>
            </w14:solidFill>
          </w14:textFill>
        </w:rPr>
        <w:t>的忽略或误解不能作为投标文件存在缺陷或瑕疵的理由，其风险由投标人承担。</w:t>
      </w:r>
    </w:p>
    <w:p>
      <w:pPr>
        <w:pStyle w:val="26"/>
        <w:adjustRightInd w:val="0"/>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11.</w:t>
      </w:r>
      <w:r>
        <w:rPr>
          <w:rFonts w:hint="eastAsia" w:ascii="宋体" w:hAnsi="宋体" w:cs="宋体"/>
          <w:b/>
          <w:color w:val="000000" w:themeColor="text1"/>
          <w:kern w:val="0"/>
          <w:sz w:val="21"/>
          <w:szCs w:val="21"/>
          <w14:textFill>
            <w14:solidFill>
              <w14:schemeClr w14:val="tx1"/>
            </w14:solidFill>
          </w14:textFill>
        </w:rPr>
        <w:t>提交投标文件</w:t>
      </w:r>
      <w:r>
        <w:rPr>
          <w:rFonts w:hint="eastAsia" w:ascii="宋体" w:hAnsi="宋体"/>
          <w:b/>
          <w:color w:val="000000" w:themeColor="text1"/>
          <w:sz w:val="21"/>
          <w:szCs w:val="21"/>
          <w14:textFill>
            <w14:solidFill>
              <w14:schemeClr w14:val="tx1"/>
            </w14:solidFill>
          </w14:textFill>
        </w:rPr>
        <w:t>的</w:t>
      </w:r>
      <w:r>
        <w:rPr>
          <w:rFonts w:hint="eastAsia" w:ascii="宋体" w:hAnsi="宋体" w:cs="宋体"/>
          <w:b/>
          <w:color w:val="000000" w:themeColor="text1"/>
          <w:kern w:val="0"/>
          <w:sz w:val="21"/>
          <w:szCs w:val="21"/>
          <w14:textFill>
            <w14:solidFill>
              <w14:schemeClr w14:val="tx1"/>
            </w14:solidFill>
          </w14:textFill>
        </w:rPr>
        <w:t>截止</w:t>
      </w:r>
      <w:r>
        <w:rPr>
          <w:rFonts w:hint="eastAsia" w:ascii="宋体" w:hAnsi="宋体"/>
          <w:b/>
          <w:color w:val="000000" w:themeColor="text1"/>
          <w:sz w:val="21"/>
          <w:szCs w:val="21"/>
          <w14:textFill>
            <w14:solidFill>
              <w14:schemeClr w14:val="tx1"/>
            </w14:solidFill>
          </w14:textFill>
        </w:rPr>
        <w:t>时间</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11.1投标人</w:t>
      </w:r>
      <w:r>
        <w:rPr>
          <w:rFonts w:hint="eastAsia" w:ascii="宋体" w:hAnsi="宋体" w:cs="宋体"/>
          <w:color w:val="000000" w:themeColor="text1"/>
          <w:kern w:val="0"/>
          <w:sz w:val="21"/>
          <w:szCs w:val="21"/>
          <w14:textFill>
            <w14:solidFill>
              <w14:schemeClr w14:val="tx1"/>
            </w14:solidFill>
          </w14:textFill>
        </w:rPr>
        <w:t>提交投标文件截止</w:t>
      </w:r>
      <w:r>
        <w:rPr>
          <w:rFonts w:hint="eastAsia" w:ascii="宋体" w:hAnsi="宋体"/>
          <w:color w:val="000000" w:themeColor="text1"/>
          <w:sz w:val="21"/>
          <w:szCs w:val="21"/>
          <w14:textFill>
            <w14:solidFill>
              <w14:schemeClr w14:val="tx1"/>
            </w14:solidFill>
          </w14:textFill>
        </w:rPr>
        <w:t>时间见</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12.招标文件的澄清</w:t>
      </w:r>
      <w:r>
        <w:rPr>
          <w:rFonts w:hint="eastAsia" w:ascii="宋体" w:hAnsi="宋体"/>
          <w:b/>
          <w:color w:val="000000" w:themeColor="text1"/>
          <w:kern w:val="0"/>
          <w:szCs w:val="21"/>
          <w:lang w:val="zh-CN"/>
          <w14:textFill>
            <w14:solidFill>
              <w14:schemeClr w14:val="tx1"/>
            </w14:solidFill>
          </w14:textFill>
        </w:rPr>
        <w:t>或者</w:t>
      </w:r>
      <w:r>
        <w:rPr>
          <w:rFonts w:hint="eastAsia" w:ascii="宋体" w:hAnsi="宋体"/>
          <w:b/>
          <w:bCs/>
          <w:color w:val="000000" w:themeColor="text1"/>
          <w:szCs w:val="21"/>
          <w14:textFill>
            <w14:solidFill>
              <w14:schemeClr w14:val="tx1"/>
            </w14:solidFill>
          </w14:textFill>
        </w:rPr>
        <w:t>修改</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bookmarkStart w:id="19" w:name="_Toc420948010"/>
      <w:r>
        <w:rPr>
          <w:rFonts w:hint="eastAsia" w:ascii="宋体" w:hAnsi="宋体"/>
          <w:color w:val="000000" w:themeColor="text1"/>
          <w:sz w:val="21"/>
          <w:szCs w:val="21"/>
          <w14:textFill>
            <w14:solidFill>
              <w14:schemeClr w14:val="tx1"/>
            </w14:solidFill>
          </w14:textFill>
        </w:rPr>
        <w:t>12.1采购代理机构对已发出的招标文件进行必要澄清或者修改的，在招标文件前附表规定的提交投标文件截止时间十五日前，通知所有招标文件收受人。招标文件的澄清或者修改在新疆政府采购网上公布(新疆政府采购网， http://www.ccgp-xinjiang.gov.cn)或通过政采云平台自行获取，投标人应自行查阅澄清公告或更正公告，澄清或者修改文件作为招标文件的组成部分对投标人具有约束力。</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12.2 如果澄清或者修改发出的时间距规定的投标截止时间不足十五日，将相应顺延投标截止时间。</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12.3采购代理机构可以视采购具体情况，延长投标截止时间和开标时间，但应当在规定的提交投标文件的截止时间三日前，将变更时间书面通知所有招标文件收受人，并在指定的媒体上发布更正公告。</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12.4投标人认为招标文件存在歧视性条款的，应在收到招标文件之日或者招标文件公告期限届满之日起7个工作日内以书面形式向本代理机构提出。</w:t>
      </w:r>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20" w:name="_Toc474235946"/>
      <w:r>
        <w:rPr>
          <w:rFonts w:hint="eastAsia" w:ascii="宋体" w:hAnsi="宋体"/>
          <w:b/>
          <w:color w:val="000000" w:themeColor="text1"/>
          <w:sz w:val="24"/>
          <w14:textFill>
            <w14:solidFill>
              <w14:schemeClr w14:val="tx1"/>
            </w14:solidFill>
          </w14:textFill>
        </w:rPr>
        <w:t>三、投标文件</w:t>
      </w:r>
      <w:bookmarkEnd w:id="19"/>
      <w:bookmarkEnd w:id="20"/>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13.一般要求</w:t>
      </w:r>
    </w:p>
    <w:p>
      <w:pPr>
        <w:adjustRightInd w:val="0"/>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13.1 </w:t>
      </w:r>
      <w:r>
        <w:rPr>
          <w:rFonts w:hint="eastAsia" w:ascii="宋体" w:hAnsi="宋体"/>
          <w:color w:val="000000" w:themeColor="text1"/>
          <w:szCs w:val="21"/>
          <w14:textFill>
            <w14:solidFill>
              <w14:schemeClr w14:val="tx1"/>
            </w14:solidFill>
          </w14:textFill>
        </w:rPr>
        <w:t>投标人</w:t>
      </w:r>
      <w:r>
        <w:rPr>
          <w:rFonts w:hint="eastAsia" w:ascii="宋体" w:hAnsi="宋体"/>
          <w:bCs/>
          <w:color w:val="000000" w:themeColor="text1"/>
          <w:szCs w:val="21"/>
          <w14:textFill>
            <w14:solidFill>
              <w14:schemeClr w14:val="tx1"/>
            </w14:solidFill>
          </w14:textFill>
        </w:rPr>
        <w:t>应仔细阅读招标文件的所有内容，按招标文件的要求编制投标文件，并保证所提供的全部资料的真实性，以使其投标文件对招标文件做出实质性的投标。</w:t>
      </w:r>
    </w:p>
    <w:p>
      <w:pPr>
        <w:adjustRightInd w:val="0"/>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13.2 </w:t>
      </w:r>
      <w:r>
        <w:rPr>
          <w:rFonts w:hint="eastAsia" w:ascii="宋体" w:hAnsi="宋体"/>
          <w:color w:val="000000" w:themeColor="text1"/>
          <w:szCs w:val="21"/>
          <w14:textFill>
            <w14:solidFill>
              <w14:schemeClr w14:val="tx1"/>
            </w14:solidFill>
          </w14:textFill>
        </w:rPr>
        <w:t>投标人提交的投标文件及投标人与采购人或采购代理机构就有关招标的所有来往函电均使用中文。投标人可以提交其它语言的资料，但应附中文注释，在有差异时以中文为准。</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 xml:space="preserve">13.3 </w:t>
      </w:r>
      <w:r>
        <w:rPr>
          <w:rFonts w:hint="eastAsia" w:ascii="宋体" w:hAnsi="宋体"/>
          <w:color w:val="000000" w:themeColor="text1"/>
          <w:sz w:val="21"/>
          <w:szCs w:val="21"/>
          <w14:textFill>
            <w14:solidFill>
              <w14:schemeClr w14:val="tx1"/>
            </w14:solidFill>
          </w14:textFill>
        </w:rPr>
        <w:t>计量单位应使用我国法定计量单位，未列明时应默认为我国法定计量单位。</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13.4 投标文件应采用书面形式，传真、电子邮件形式的投标文件概不接受。</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13.5 投标人应按招标文件中提供的投标文件格式填写。</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14.</w:t>
      </w:r>
      <w:r>
        <w:rPr>
          <w:rFonts w:hint="eastAsia" w:ascii="宋体" w:hAnsi="宋体"/>
          <w:b/>
          <w:color w:val="000000" w:themeColor="text1"/>
          <w:szCs w:val="21"/>
          <w14:textFill>
            <w14:solidFill>
              <w14:schemeClr w14:val="tx1"/>
            </w14:solidFill>
          </w14:textFill>
        </w:rPr>
        <w:t>投标文件</w:t>
      </w:r>
      <w:r>
        <w:rPr>
          <w:rFonts w:hint="eastAsia" w:ascii="宋体" w:hAnsi="宋体"/>
          <w:b/>
          <w:bCs/>
          <w:color w:val="000000" w:themeColor="text1"/>
          <w:szCs w:val="21"/>
          <w14:textFill>
            <w14:solidFill>
              <w14:schemeClr w14:val="tx1"/>
            </w14:solidFill>
          </w14:textFill>
        </w:rPr>
        <w:t>的组成</w:t>
      </w:r>
    </w:p>
    <w:p>
      <w:pPr>
        <w:adjustRightInd w:val="0"/>
        <w:snapToGrid w:val="0"/>
        <w:spacing w:line="360" w:lineRule="auto"/>
        <w:ind w:firstLine="420" w:firstLineChars="200"/>
        <w:jc w:val="left"/>
        <w:rPr>
          <w:rFonts w:ascii="宋体" w:hAnsi="宋体"/>
          <w:szCs w:val="21"/>
        </w:rPr>
      </w:pPr>
      <w:bookmarkStart w:id="21" w:name="_Toc427862404"/>
      <w:bookmarkStart w:id="22" w:name="_Toc420948011"/>
      <w:r>
        <w:rPr>
          <w:rFonts w:hint="eastAsia" w:ascii="宋体" w:hAnsi="宋体"/>
        </w:rPr>
        <w:t>14.1 投标文件包括但不限于下列内容：</w:t>
      </w:r>
      <w:bookmarkEnd w:id="21"/>
      <w:bookmarkEnd w:id="22"/>
      <w:r>
        <w:rPr>
          <w:rFonts w:hint="eastAsia" w:ascii="宋体" w:hAnsi="宋体"/>
          <w:szCs w:val="21"/>
        </w:rPr>
        <w:t xml:space="preserve"> </w:t>
      </w:r>
    </w:p>
    <w:p>
      <w:pPr>
        <w:pStyle w:val="26"/>
        <w:adjustRightInd w:val="0"/>
        <w:snapToGrid w:val="0"/>
        <w:spacing w:line="360" w:lineRule="auto"/>
        <w:ind w:firstLine="420" w:firstLineChars="200"/>
        <w:rPr>
          <w:rFonts w:ascii="宋体" w:hAnsi="宋体"/>
          <w:sz w:val="21"/>
          <w:szCs w:val="21"/>
        </w:rPr>
      </w:pPr>
      <w:r>
        <w:rPr>
          <w:rFonts w:hint="eastAsia" w:ascii="宋体" w:hAnsi="宋体"/>
          <w:sz w:val="21"/>
          <w:szCs w:val="21"/>
        </w:rPr>
        <w:t>（1）投标函</w:t>
      </w:r>
    </w:p>
    <w:p>
      <w:pPr>
        <w:pStyle w:val="26"/>
        <w:adjustRightInd w:val="0"/>
        <w:snapToGrid w:val="0"/>
        <w:spacing w:line="360" w:lineRule="auto"/>
        <w:ind w:firstLine="420" w:firstLineChars="200"/>
        <w:rPr>
          <w:rFonts w:ascii="宋体" w:hAnsi="宋体"/>
          <w:sz w:val="21"/>
          <w:szCs w:val="21"/>
        </w:rPr>
      </w:pPr>
      <w:r>
        <w:rPr>
          <w:rFonts w:hint="eastAsia" w:ascii="宋体" w:hAnsi="宋体"/>
          <w:sz w:val="21"/>
          <w:szCs w:val="21"/>
        </w:rPr>
        <w:t>（2）开标一览表及投标报价明细表</w:t>
      </w:r>
    </w:p>
    <w:p>
      <w:pPr>
        <w:pStyle w:val="26"/>
        <w:adjustRightInd w:val="0"/>
        <w:snapToGrid w:val="0"/>
        <w:spacing w:line="360" w:lineRule="auto"/>
        <w:ind w:firstLine="420" w:firstLineChars="200"/>
        <w:rPr>
          <w:rFonts w:ascii="宋体" w:hAnsi="宋体"/>
          <w:sz w:val="21"/>
          <w:szCs w:val="21"/>
        </w:rPr>
      </w:pPr>
      <w:r>
        <w:rPr>
          <w:rFonts w:hint="eastAsia" w:ascii="宋体" w:hAnsi="宋体"/>
          <w:sz w:val="21"/>
          <w:szCs w:val="21"/>
        </w:rPr>
        <w:t>（3）投标人的资格证明文件</w:t>
      </w:r>
    </w:p>
    <w:p>
      <w:pPr>
        <w:pStyle w:val="26"/>
        <w:adjustRightInd w:val="0"/>
        <w:snapToGrid w:val="0"/>
        <w:spacing w:line="360" w:lineRule="auto"/>
        <w:ind w:firstLine="420" w:firstLineChars="200"/>
        <w:rPr>
          <w:rFonts w:ascii="宋体" w:hAnsi="宋体"/>
          <w:sz w:val="21"/>
          <w:szCs w:val="21"/>
        </w:rPr>
      </w:pPr>
      <w:r>
        <w:rPr>
          <w:rFonts w:hint="eastAsia" w:ascii="宋体" w:hAnsi="宋体"/>
          <w:sz w:val="21"/>
          <w:szCs w:val="21"/>
        </w:rPr>
        <w:t>（4）货物说明</w:t>
      </w:r>
    </w:p>
    <w:p>
      <w:pPr>
        <w:pStyle w:val="26"/>
        <w:adjustRightInd w:val="0"/>
        <w:snapToGrid w:val="0"/>
        <w:spacing w:line="360" w:lineRule="auto"/>
        <w:ind w:firstLine="420" w:firstLineChars="200"/>
        <w:rPr>
          <w:rFonts w:ascii="宋体" w:hAnsi="宋体"/>
          <w:sz w:val="21"/>
          <w:szCs w:val="21"/>
        </w:rPr>
      </w:pPr>
      <w:r>
        <w:rPr>
          <w:rFonts w:hint="eastAsia" w:ascii="宋体" w:hAnsi="宋体"/>
          <w:sz w:val="21"/>
          <w:szCs w:val="21"/>
        </w:rPr>
        <w:t>（5）实施方案</w:t>
      </w:r>
    </w:p>
    <w:p>
      <w:pPr>
        <w:pStyle w:val="26"/>
        <w:adjustRightInd w:val="0"/>
        <w:snapToGrid w:val="0"/>
        <w:spacing w:line="360" w:lineRule="auto"/>
        <w:ind w:firstLine="420" w:firstLineChars="200"/>
        <w:rPr>
          <w:rFonts w:ascii="宋体" w:hAnsi="宋体"/>
          <w:sz w:val="21"/>
          <w:szCs w:val="21"/>
        </w:rPr>
      </w:pPr>
      <w:r>
        <w:rPr>
          <w:rFonts w:hint="eastAsia" w:ascii="宋体" w:hAnsi="宋体"/>
          <w:sz w:val="21"/>
          <w:szCs w:val="21"/>
        </w:rPr>
        <w:t>（6）商务响应与偏离表</w:t>
      </w:r>
    </w:p>
    <w:p>
      <w:pPr>
        <w:pStyle w:val="26"/>
        <w:adjustRightInd w:val="0"/>
        <w:snapToGrid w:val="0"/>
        <w:spacing w:line="360" w:lineRule="auto"/>
        <w:ind w:firstLine="420" w:firstLineChars="200"/>
        <w:rPr>
          <w:rFonts w:ascii="宋体" w:hAnsi="宋体"/>
          <w:sz w:val="21"/>
          <w:szCs w:val="21"/>
        </w:rPr>
      </w:pPr>
      <w:r>
        <w:rPr>
          <w:rFonts w:hint="eastAsia" w:ascii="宋体" w:hAnsi="宋体"/>
          <w:sz w:val="21"/>
          <w:szCs w:val="21"/>
        </w:rPr>
        <w:t>（7）投标人认为需提供的其他资料</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15.报价</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15.1投标人应当根据招标文件要求和范围，以</w:t>
      </w:r>
      <w:r>
        <w:rPr>
          <w:rFonts w:hint="eastAsia" w:ascii="宋体" w:hAnsi="宋体"/>
          <w:bCs/>
          <w:color w:val="000000" w:themeColor="text1"/>
          <w:szCs w:val="21"/>
          <w14:textFill>
            <w14:solidFill>
              <w14:schemeClr w14:val="tx1"/>
            </w14:solidFill>
          </w14:textFill>
        </w:rPr>
        <w:t>人民币</w:t>
      </w:r>
      <w:r>
        <w:rPr>
          <w:rFonts w:hint="eastAsia" w:ascii="宋体" w:hAnsi="宋体"/>
          <w:color w:val="000000" w:themeColor="text1"/>
          <w:szCs w:val="21"/>
          <w14:textFill>
            <w14:solidFill>
              <w14:schemeClr w14:val="tx1"/>
            </w14:solidFill>
          </w14:textFill>
        </w:rPr>
        <w:t>报价，以元为单位，</w:t>
      </w:r>
      <w:r>
        <w:rPr>
          <w:rFonts w:hint="eastAsia" w:ascii="宋体" w:hAnsi="宋体"/>
          <w:b/>
          <w:bCs/>
          <w:color w:val="000000" w:themeColor="text1"/>
          <w:szCs w:val="21"/>
          <w14:textFill>
            <w14:solidFill>
              <w14:schemeClr w14:val="tx1"/>
            </w14:solidFill>
          </w14:textFill>
        </w:rPr>
        <w:t>保留小数点后两位</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15.2投标报价是履行合同的最终价格，应包括为完成本项目采购范围内所有货物、配套工具及供货、其他平台数据对接费用、人工费及供货、运输、调试、培训、保险、税金及其它附带服务的全部费用。投标人漏报的单价或每项单价报价中漏报、少报的费用，视为此项费用已隐含在其他报价中，中标后不予调整。</w:t>
      </w:r>
    </w:p>
    <w:p>
      <w:pPr>
        <w:pStyle w:val="167"/>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15.3投标人应按第五章“采购需求”要求及第六章“投标文件组成”格式填写。投标人在</w:t>
      </w:r>
      <w:r>
        <w:rPr>
          <w:rFonts w:hint="eastAsia" w:ascii="宋体" w:hAnsi="宋体"/>
          <w:bCs/>
          <w:color w:val="000000" w:themeColor="text1"/>
          <w14:textFill>
            <w14:solidFill>
              <w14:schemeClr w14:val="tx1"/>
            </w14:solidFill>
          </w14:textFill>
        </w:rPr>
        <w:t>本章第11.1</w:t>
      </w:r>
      <w:r>
        <w:rPr>
          <w:rFonts w:hint="eastAsia" w:ascii="宋体" w:hAnsi="宋体" w:cs="宋体"/>
          <w:color w:val="000000" w:themeColor="text1"/>
          <w:lang w:val="zh-CN"/>
          <w14:textFill>
            <w14:solidFill>
              <w14:schemeClr w14:val="tx1"/>
            </w14:solidFill>
          </w14:textFill>
        </w:rPr>
        <w:t>款</w:t>
      </w:r>
      <w:r>
        <w:rPr>
          <w:rFonts w:hint="eastAsia" w:ascii="宋体" w:hAnsi="宋体"/>
          <w:bCs/>
          <w:color w:val="000000" w:themeColor="text1"/>
          <w14:textFill>
            <w14:solidFill>
              <w14:schemeClr w14:val="tx1"/>
            </w14:solidFill>
          </w14:textFill>
        </w:rPr>
        <w:t>规定的</w:t>
      </w:r>
      <w:r>
        <w:rPr>
          <w:rFonts w:hint="eastAsia" w:ascii="宋体" w:hAnsi="宋体" w:cs="宋体"/>
          <w:color w:val="000000" w:themeColor="text1"/>
          <w14:textFill>
            <w14:solidFill>
              <w14:schemeClr w14:val="tx1"/>
            </w14:solidFill>
          </w14:textFill>
        </w:rPr>
        <w:t>提交投标文件截止之日前</w:t>
      </w:r>
      <w:r>
        <w:rPr>
          <w:rFonts w:hint="eastAsia" w:ascii="宋体" w:hAnsi="宋体"/>
          <w:color w:val="000000" w:themeColor="text1"/>
          <w14:textFill>
            <w14:solidFill>
              <w14:schemeClr w14:val="tx1"/>
            </w14:solidFill>
          </w14:textFill>
        </w:rPr>
        <w:t>修改开标一览表中的报价，应同时修改其按第六章要求填写的相应表格中的报价。此修改须符合本章第21.1款的有关要求。</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15.4投标文件中标明的价格在合同执行过程中是固定不变的，不得以任何理由予以变更。以可变动价格提交的报价将被认为是非实质投标而被拒绝。</w:t>
      </w:r>
    </w:p>
    <w:p>
      <w:pPr>
        <w:pStyle w:val="26"/>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15.5</w:t>
      </w:r>
      <w:r>
        <w:rPr>
          <w:rFonts w:hint="eastAsia" w:ascii="宋体" w:hAnsi="宋体"/>
          <w:b/>
          <w:color w:val="000000" w:themeColor="text1"/>
          <w:sz w:val="21"/>
          <w:szCs w:val="21"/>
          <w14:textFill>
            <w14:solidFill>
              <w14:schemeClr w14:val="tx1"/>
            </w14:solidFill>
          </w14:textFill>
        </w:rPr>
        <w:t>投标人的报价不得超过采购项目预算总金额，</w:t>
      </w:r>
      <w:r>
        <w:rPr>
          <w:rFonts w:hint="eastAsia" w:ascii="宋体" w:hAnsi="宋体"/>
          <w:color w:val="000000" w:themeColor="text1"/>
          <w:sz w:val="21"/>
          <w:szCs w:val="21"/>
          <w14:textFill>
            <w14:solidFill>
              <w14:schemeClr w14:val="tx1"/>
            </w14:solidFill>
          </w14:textFill>
        </w:rPr>
        <w:t>采购项目预算或其计算方法见</w:t>
      </w:r>
      <w:r>
        <w:rPr>
          <w:rFonts w:hint="eastAsia" w:ascii="宋体" w:hAnsi="宋体"/>
          <w:b/>
          <w:color w:val="000000" w:themeColor="text1"/>
          <w:sz w:val="21"/>
          <w:szCs w:val="21"/>
          <w14:textFill>
            <w14:solidFill>
              <w14:schemeClr w14:val="tx1"/>
            </w14:solidFill>
          </w14:textFill>
        </w:rPr>
        <w:t>招标须知前附表</w:t>
      </w:r>
      <w:r>
        <w:rPr>
          <w:rFonts w:hint="eastAsia" w:ascii="宋体" w:hAnsi="宋体"/>
          <w:color w:val="000000" w:themeColor="text1"/>
          <w:sz w:val="21"/>
          <w:szCs w:val="21"/>
          <w14:textFill>
            <w14:solidFill>
              <w14:schemeClr w14:val="tx1"/>
            </w14:solidFill>
          </w14:textFill>
        </w:rPr>
        <w:t>。</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16.</w:t>
      </w:r>
      <w:r>
        <w:rPr>
          <w:rFonts w:hint="eastAsia" w:ascii="宋体" w:hAnsi="宋体"/>
          <w:color w:val="000000" w:themeColor="text1"/>
          <w:sz w:val="21"/>
          <w:szCs w:val="21"/>
          <w14:textFill>
            <w14:solidFill>
              <w14:schemeClr w14:val="tx1"/>
            </w14:solidFill>
          </w14:textFill>
        </w:rPr>
        <w:t xml:space="preserve"> </w:t>
      </w:r>
      <w:r>
        <w:rPr>
          <w:rFonts w:hint="eastAsia" w:ascii="宋体" w:hAnsi="宋体"/>
          <w:b/>
          <w:color w:val="000000" w:themeColor="text1"/>
          <w:sz w:val="21"/>
          <w:szCs w:val="21"/>
          <w14:textFill>
            <w14:solidFill>
              <w14:schemeClr w14:val="tx1"/>
            </w14:solidFill>
          </w14:textFill>
        </w:rPr>
        <w:t>投标人满足招标文件规定的资格证明文件</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16.1</w:t>
      </w:r>
      <w:r>
        <w:rPr>
          <w:rFonts w:hint="eastAsia" w:ascii="宋体" w:hAnsi="宋体"/>
          <w:color w:val="000000" w:themeColor="text1"/>
          <w:szCs w:val="21"/>
          <w14:textFill>
            <w14:solidFill>
              <w14:schemeClr w14:val="tx1"/>
            </w14:solidFill>
          </w14:textFill>
        </w:rPr>
        <w:t>投标人应提供资格证明材料，以证实其各项条件能满足本章第3.1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规定的投标人资格条件要求。</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16.2投标人应当提交满足招标文件规定的业绩证明文件，该证明文件作为投标文件的一部分，业绩证明文件要求详见</w:t>
      </w:r>
      <w:r>
        <w:rPr>
          <w:rFonts w:hint="eastAsia" w:ascii="宋体" w:hAnsi="宋体" w:cs="宋体"/>
          <w:b/>
          <w:color w:val="000000" w:themeColor="text1"/>
          <w:kern w:val="0"/>
          <w:szCs w:val="21"/>
          <w14:textFill>
            <w14:solidFill>
              <w14:schemeClr w14:val="tx1"/>
            </w14:solidFill>
          </w14:textFill>
        </w:rPr>
        <w:t>投标须知前附表</w:t>
      </w:r>
      <w:r>
        <w:rPr>
          <w:rFonts w:hint="eastAsia"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16.3投标单位在货物说明一览表中应当说明货物的品牌型号、规格参数、制造商及原产地等，交货时应出具原产地证明及出厂合格证明。</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16.4上述证明文件可以是文字资料、图纸和数据，并须提供：</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（1）货物主要性能和参数的详细说明； </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（2）对照招标文件技术规格，逐条说明所提供货物和服务对招标文件的技术规格条文的响应与偏离。对有具体参数要求的指标，投标单位应提供具体参数值；</w:t>
      </w:r>
    </w:p>
    <w:p>
      <w:pPr>
        <w:adjustRightInd w:val="0"/>
        <w:snapToGrid w:val="0"/>
        <w:spacing w:line="360" w:lineRule="auto"/>
        <w:rPr>
          <w:rFonts w:hint="default" w:ascii="宋体" w:hAnsi="宋体" w:eastAsia="宋体"/>
          <w:b/>
          <w:bCs/>
          <w:color w:val="000000" w:themeColor="text1"/>
          <w:szCs w:val="21"/>
          <w:lang w:val="en-US"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17.投标保证金</w:t>
      </w:r>
      <w:r>
        <w:rPr>
          <w:rFonts w:hint="eastAsia" w:ascii="宋体" w:hAnsi="宋体"/>
          <w:b/>
          <w:bCs/>
          <w:color w:val="000000" w:themeColor="text1"/>
          <w:szCs w:val="21"/>
          <w:lang w:eastAsia="zh-CN"/>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本项目不收取）</w:t>
      </w:r>
    </w:p>
    <w:p>
      <w:pPr>
        <w:pStyle w:val="26"/>
        <w:adjustRightInd w:val="0"/>
        <w:snapToGrid w:val="0"/>
        <w:spacing w:line="360" w:lineRule="auto"/>
        <w:ind w:firstLine="420" w:firstLineChars="200"/>
        <w:rPr>
          <w:rFonts w:ascii="宋体" w:hAnsi="宋体" w:cs="宋体"/>
          <w:color w:val="000000" w:themeColor="text1"/>
          <w:kern w:val="0"/>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17.1</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规定交纳投标</w:t>
      </w:r>
      <w:r>
        <w:rPr>
          <w:rFonts w:hint="eastAsia" w:ascii="宋体" w:hAnsi="宋体"/>
          <w:bCs/>
          <w:color w:val="000000" w:themeColor="text1"/>
          <w:sz w:val="21"/>
          <w:szCs w:val="21"/>
          <w14:textFill>
            <w14:solidFill>
              <w14:schemeClr w14:val="tx1"/>
            </w14:solidFill>
          </w14:textFill>
        </w:rPr>
        <w:t>保证金的</w:t>
      </w:r>
      <w:r>
        <w:rPr>
          <w:rFonts w:hint="eastAsia" w:ascii="宋体" w:hAnsi="宋体"/>
          <w:color w:val="000000" w:themeColor="text1"/>
          <w:sz w:val="21"/>
          <w:szCs w:val="21"/>
          <w14:textFill>
            <w14:solidFill>
              <w14:schemeClr w14:val="tx1"/>
            </w14:solidFill>
          </w14:textFill>
        </w:rPr>
        <w:t>，应按</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规定的</w:t>
      </w:r>
      <w:r>
        <w:rPr>
          <w:rFonts w:hint="eastAsia" w:ascii="宋体" w:hAnsi="宋体"/>
          <w:bCs/>
          <w:color w:val="000000" w:themeColor="text1"/>
          <w:sz w:val="21"/>
          <w:szCs w:val="21"/>
          <w14:textFill>
            <w14:solidFill>
              <w14:schemeClr w14:val="tx1"/>
            </w14:solidFill>
          </w14:textFill>
        </w:rPr>
        <w:t>形式、金额，</w:t>
      </w:r>
      <w:r>
        <w:rPr>
          <w:rFonts w:hint="eastAsia" w:ascii="宋体" w:hAnsi="宋体"/>
          <w:color w:val="000000" w:themeColor="text1"/>
          <w:sz w:val="21"/>
          <w:szCs w:val="21"/>
          <w14:textFill>
            <w14:solidFill>
              <w14:schemeClr w14:val="tx1"/>
            </w14:solidFill>
          </w14:textFill>
        </w:rPr>
        <w:t>在本章第11.1</w:t>
      </w:r>
      <w:r>
        <w:rPr>
          <w:rFonts w:hint="eastAsia" w:ascii="宋体" w:hAnsi="宋体" w:cs="宋体"/>
          <w:color w:val="000000" w:themeColor="text1"/>
          <w:kern w:val="0"/>
          <w:sz w:val="21"/>
          <w:szCs w:val="21"/>
          <w:lang w:val="zh-CN"/>
          <w14:textFill>
            <w14:solidFill>
              <w14:schemeClr w14:val="tx1"/>
            </w14:solidFill>
          </w14:textFill>
        </w:rPr>
        <w:t>款</w:t>
      </w:r>
      <w:r>
        <w:rPr>
          <w:rFonts w:hint="eastAsia" w:ascii="宋体" w:hAnsi="宋体"/>
          <w:color w:val="000000" w:themeColor="text1"/>
          <w:sz w:val="21"/>
          <w:szCs w:val="21"/>
          <w14:textFill>
            <w14:solidFill>
              <w14:schemeClr w14:val="tx1"/>
            </w14:solidFill>
          </w14:textFill>
        </w:rPr>
        <w:t>规定的</w:t>
      </w:r>
      <w:r>
        <w:rPr>
          <w:rFonts w:hint="eastAsia" w:ascii="宋体" w:hAnsi="宋体" w:cs="宋体"/>
          <w:color w:val="000000" w:themeColor="text1"/>
          <w:kern w:val="0"/>
          <w:sz w:val="21"/>
          <w:szCs w:val="21"/>
          <w14:textFill>
            <w14:solidFill>
              <w14:schemeClr w14:val="tx1"/>
            </w14:solidFill>
          </w14:textFill>
        </w:rPr>
        <w:t>提交投标文件截止时间</w:t>
      </w:r>
      <w:r>
        <w:rPr>
          <w:rFonts w:hint="eastAsia" w:ascii="宋体" w:hAnsi="宋体"/>
          <w:color w:val="000000" w:themeColor="text1"/>
          <w:sz w:val="21"/>
          <w:szCs w:val="21"/>
          <w14:textFill>
            <w14:solidFill>
              <w14:schemeClr w14:val="tx1"/>
            </w14:solidFill>
          </w14:textFill>
        </w:rPr>
        <w:t>前，</w:t>
      </w:r>
      <w:r>
        <w:rPr>
          <w:rFonts w:hint="eastAsia" w:ascii="宋体" w:hAnsi="宋体"/>
          <w:bCs/>
          <w:color w:val="000000" w:themeColor="text1"/>
          <w:sz w:val="21"/>
          <w:szCs w:val="21"/>
          <w14:textFill>
            <w14:solidFill>
              <w14:schemeClr w14:val="tx1"/>
            </w14:solidFill>
          </w14:textFill>
        </w:rPr>
        <w:t>提交投标保证金</w:t>
      </w:r>
      <w:r>
        <w:rPr>
          <w:rFonts w:hint="eastAsia" w:ascii="宋体" w:hAnsi="宋体"/>
          <w:color w:val="000000" w:themeColor="text1"/>
          <w:sz w:val="21"/>
          <w:szCs w:val="21"/>
          <w14:textFill>
            <w14:solidFill>
              <w14:schemeClr w14:val="tx1"/>
            </w14:solidFill>
          </w14:textFill>
        </w:rPr>
        <w:t>。</w:t>
      </w:r>
    </w:p>
    <w:p>
      <w:pPr>
        <w:pStyle w:val="26"/>
        <w:adjustRightInd w:val="0"/>
        <w:snapToGrid w:val="0"/>
        <w:spacing w:line="360" w:lineRule="auto"/>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18.</w:t>
      </w:r>
      <w:r>
        <w:rPr>
          <w:rFonts w:hint="eastAsia" w:ascii="宋体" w:hAnsi="宋体"/>
          <w:color w:val="000000" w:themeColor="text1"/>
          <w:sz w:val="21"/>
          <w:szCs w:val="21"/>
          <w14:textFill>
            <w14:solidFill>
              <w14:schemeClr w14:val="tx1"/>
            </w14:solidFill>
          </w14:textFill>
        </w:rPr>
        <w:t xml:space="preserve"> </w:t>
      </w:r>
      <w:r>
        <w:rPr>
          <w:rFonts w:hint="eastAsia" w:ascii="宋体" w:hAnsi="宋体"/>
          <w:b/>
          <w:color w:val="000000" w:themeColor="text1"/>
          <w:sz w:val="21"/>
          <w:szCs w:val="21"/>
          <w14:textFill>
            <w14:solidFill>
              <w14:schemeClr w14:val="tx1"/>
            </w14:solidFill>
          </w14:textFill>
        </w:rPr>
        <w:t>投标文件有效期</w:t>
      </w:r>
    </w:p>
    <w:p>
      <w:pPr>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18.1投标文件</w:t>
      </w:r>
      <w:r>
        <w:rPr>
          <w:rFonts w:hint="eastAsia" w:ascii="宋体" w:hAnsi="宋体"/>
          <w:color w:val="000000" w:themeColor="text1"/>
          <w:szCs w:val="21"/>
          <w14:textFill>
            <w14:solidFill>
              <w14:schemeClr w14:val="tx1"/>
            </w14:solidFill>
          </w14:textFill>
        </w:rPr>
        <w:t>有效期见</w:t>
      </w:r>
      <w:r>
        <w:rPr>
          <w:rFonts w:hint="eastAsia" w:ascii="宋体" w:hAnsi="宋体"/>
          <w:b/>
          <w:color w:val="000000" w:themeColor="text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，在此期间</w:t>
      </w:r>
      <w:r>
        <w:rPr>
          <w:rFonts w:hint="eastAsia" w:ascii="宋体" w:hAnsi="宋体"/>
          <w:color w:val="000000" w:themeColor="text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文件对投标人具有法律约束力，</w:t>
      </w:r>
      <w:r>
        <w:rPr>
          <w:rFonts w:hint="eastAsia" w:ascii="宋体" w:hAnsi="宋体" w:cs="Arial"/>
          <w:color w:val="000000" w:themeColor="text1"/>
          <w14:textFill>
            <w14:solidFill>
              <w14:schemeClr w14:val="tx1"/>
            </w14:solidFill>
          </w14:textFill>
        </w:rPr>
        <w:t>从</w:t>
      </w:r>
      <w:r>
        <w:rPr>
          <w:rFonts w:hint="eastAsia" w:ascii="宋体" w:hAnsi="宋体"/>
          <w:color w:val="000000" w:themeColor="text1"/>
          <w14:textFill>
            <w14:solidFill>
              <w14:schemeClr w14:val="tx1"/>
            </w14:solidFill>
          </w14:textFill>
        </w:rPr>
        <w:t>本章第11.1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14:textFill>
            <w14:solidFill>
              <w14:schemeClr w14:val="tx1"/>
            </w14:solidFill>
          </w14:textFill>
        </w:rPr>
        <w:t>规定的</w:t>
      </w:r>
      <w:r>
        <w:rPr>
          <w:rFonts w:hint="eastAsia" w:ascii="宋体" w:hAnsi="宋体" w:cs="宋体"/>
          <w:color w:val="000000" w:themeColor="text1"/>
          <w:kern w:val="0"/>
          <w:szCs w:val="21"/>
          <w14:textFill>
            <w14:solidFill>
              <w14:schemeClr w14:val="tx1"/>
            </w14:solidFill>
          </w14:textFill>
        </w:rPr>
        <w:t>提交投标文件截止时间</w:t>
      </w:r>
      <w:r>
        <w:rPr>
          <w:rFonts w:hint="eastAsia" w:ascii="宋体" w:hAnsi="宋体"/>
          <w:color w:val="000000" w:themeColor="text1"/>
          <w14:textFill>
            <w14:solidFill>
              <w14:schemeClr w14:val="tx1"/>
            </w14:solidFill>
          </w14:textFill>
        </w:rPr>
        <w:t>之日</w:t>
      </w:r>
      <w:r>
        <w:rPr>
          <w:rFonts w:hint="eastAsia" w:ascii="宋体" w:hAnsi="宋体" w:cs="Arial"/>
          <w:color w:val="000000" w:themeColor="text1"/>
          <w14:textFill>
            <w14:solidFill>
              <w14:schemeClr w14:val="tx1"/>
            </w14:solidFill>
          </w14:textFill>
        </w:rPr>
        <w:t>起计算。</w:t>
      </w:r>
      <w:r>
        <w:rPr>
          <w:rFonts w:hint="eastAsia" w:ascii="宋体" w:hAnsi="宋体"/>
          <w:color w:val="000000" w:themeColor="text1"/>
          <w14:textFill>
            <w14:solidFill>
              <w14:schemeClr w14:val="tx1"/>
            </w14:solidFill>
          </w14:textFill>
        </w:rPr>
        <w:t>投标文件有效期不足的将被视为无效投标。</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19.投标文件的签署及规定</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19.1采用电子签章或公章。</w:t>
      </w:r>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23" w:name="_Toc474235947"/>
      <w:bookmarkStart w:id="24" w:name="_Toc420948012"/>
      <w:r>
        <w:rPr>
          <w:rFonts w:hint="eastAsia" w:ascii="宋体" w:hAnsi="宋体"/>
          <w:b/>
          <w:color w:val="000000" w:themeColor="text1"/>
          <w:sz w:val="24"/>
          <w14:textFill>
            <w14:solidFill>
              <w14:schemeClr w14:val="tx1"/>
            </w14:solidFill>
          </w14:textFill>
        </w:rPr>
        <w:t>四、投标文件的递交</w:t>
      </w:r>
      <w:bookmarkEnd w:id="23"/>
      <w:bookmarkEnd w:id="24"/>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20.</w:t>
      </w:r>
      <w:r>
        <w:rPr>
          <w:rFonts w:hint="eastAsia" w:ascii="宋体" w:hAnsi="宋体"/>
          <w:b/>
          <w:color w:val="000000" w:themeColor="text1"/>
          <w:szCs w:val="21"/>
          <w14:textFill>
            <w14:solidFill>
              <w14:schemeClr w14:val="tx1"/>
            </w14:solidFill>
          </w14:textFill>
        </w:rPr>
        <w:t>投标文件</w:t>
      </w:r>
      <w:r>
        <w:rPr>
          <w:rFonts w:hint="eastAsia" w:ascii="宋体" w:hAnsi="宋体"/>
          <w:b/>
          <w:bCs/>
          <w:color w:val="000000" w:themeColor="text1"/>
          <w:szCs w:val="21"/>
          <w14:textFill>
            <w14:solidFill>
              <w14:schemeClr w14:val="tx1"/>
            </w14:solidFill>
          </w14:textFill>
        </w:rPr>
        <w:t>的密封和标记</w:t>
      </w:r>
    </w:p>
    <w:p>
      <w:pPr>
        <w:adjustRightInd w:val="0"/>
        <w:snapToGrid w:val="0"/>
        <w:spacing w:line="360" w:lineRule="auto"/>
        <w:ind w:firstLine="420" w:firstLineChars="200"/>
        <w:jc w:val="lef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20.1“电子加密投标文件”的递交：在线上传递交。投标人应在投标截止时间前将“电子加密投标文件”成功上传递交至“政府采购云平台”，否则投标无效。</w:t>
      </w:r>
    </w:p>
    <w:p>
      <w:pPr>
        <w:autoSpaceDE w:val="0"/>
        <w:autoSpaceDN w:val="0"/>
        <w:snapToGrid w:val="0"/>
        <w:spacing w:line="360" w:lineRule="auto"/>
        <w:ind w:firstLine="420" w:firstLineChars="20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20.2“电子加密投标文件”成功上传递交后，投标人可自行打印投标文件接收回执。</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20.3投标文件如果未按上述规定上传，</w:t>
      </w:r>
      <w:r>
        <w:rPr>
          <w:rFonts w:hint="eastAsia" w:ascii="宋体" w:hAnsi="宋体"/>
          <w:b/>
          <w:color w:val="000000" w:themeColor="text1"/>
          <w:szCs w:val="21"/>
          <w14:textFill>
            <w14:solidFill>
              <w14:schemeClr w14:val="tx1"/>
            </w14:solidFill>
          </w14:textFill>
        </w:rPr>
        <w:t>采购人或采购代理机构将视为无效投标</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21.投标文件的</w:t>
      </w:r>
      <w:r>
        <w:rPr>
          <w:rFonts w:hint="eastAsia" w:ascii="宋体" w:hAnsi="宋体" w:cs="宋体"/>
          <w:b/>
          <w:color w:val="000000" w:themeColor="text1"/>
          <w:kern w:val="0"/>
          <w:szCs w:val="21"/>
          <w:lang w:val="zh-CN"/>
          <w14:textFill>
            <w14:solidFill>
              <w14:schemeClr w14:val="tx1"/>
            </w14:solidFill>
          </w14:textFill>
        </w:rPr>
        <w:t>补充、修改或者撤回</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21.1投标人</w:t>
      </w:r>
      <w:r>
        <w:rPr>
          <w:rFonts w:hint="eastAsia" w:ascii="宋体" w:hAnsi="宋体" w:cs="宋体"/>
          <w:color w:val="000000" w:themeColor="text1"/>
          <w:kern w:val="0"/>
          <w:sz w:val="21"/>
          <w:szCs w:val="21"/>
          <w14:textFill>
            <w14:solidFill>
              <w14:schemeClr w14:val="tx1"/>
            </w14:solidFill>
          </w14:textFill>
        </w:rPr>
        <w:t>在</w:t>
      </w:r>
      <w:r>
        <w:rPr>
          <w:rFonts w:hint="eastAsia" w:ascii="宋体" w:hAnsi="宋体"/>
          <w:color w:val="000000" w:themeColor="text1"/>
          <w:sz w:val="21"/>
          <w:szCs w:val="21"/>
          <w14:textFill>
            <w14:solidFill>
              <w14:schemeClr w14:val="tx1"/>
            </w14:solidFill>
          </w14:textFill>
        </w:rPr>
        <w:t>本章第11.1</w:t>
      </w:r>
      <w:r>
        <w:rPr>
          <w:rFonts w:hint="eastAsia" w:ascii="宋体" w:hAnsi="宋体" w:cs="宋体"/>
          <w:color w:val="000000" w:themeColor="text1"/>
          <w:kern w:val="0"/>
          <w:sz w:val="21"/>
          <w:szCs w:val="21"/>
          <w:lang w:val="zh-CN"/>
          <w14:textFill>
            <w14:solidFill>
              <w14:schemeClr w14:val="tx1"/>
            </w14:solidFill>
          </w14:textFill>
        </w:rPr>
        <w:t>款</w:t>
      </w:r>
      <w:r>
        <w:rPr>
          <w:rFonts w:hint="eastAsia" w:ascii="宋体" w:hAnsi="宋体"/>
          <w:color w:val="000000" w:themeColor="text1"/>
          <w:sz w:val="21"/>
          <w:szCs w:val="21"/>
          <w14:textFill>
            <w14:solidFill>
              <w14:schemeClr w14:val="tx1"/>
            </w14:solidFill>
          </w14:textFill>
        </w:rPr>
        <w:t>规定的</w:t>
      </w:r>
      <w:r>
        <w:rPr>
          <w:rFonts w:hint="eastAsia" w:ascii="宋体" w:hAnsi="宋体" w:cs="宋体"/>
          <w:color w:val="000000" w:themeColor="text1"/>
          <w:kern w:val="0"/>
          <w:sz w:val="21"/>
          <w:szCs w:val="21"/>
          <w14:textFill>
            <w14:solidFill>
              <w14:schemeClr w14:val="tx1"/>
            </w14:solidFill>
          </w14:textFill>
        </w:rPr>
        <w:t>提交投标文件截止时间前，可以对所提交的投标文件进行补充、修改或者撤回，并书面通知采购人、采购代理机构。</w:t>
      </w:r>
      <w:r>
        <w:rPr>
          <w:rFonts w:hint="eastAsia" w:ascii="宋体" w:hAnsi="宋体"/>
          <w:color w:val="000000" w:themeColor="text1"/>
          <w:sz w:val="21"/>
          <w:szCs w:val="21"/>
          <w14:textFill>
            <w14:solidFill>
              <w14:schemeClr w14:val="tx1"/>
            </w14:solidFill>
          </w14:textFill>
        </w:rPr>
        <w:t>该通知应有投标人法定代表人或其委托代理人签字。</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21.2</w:t>
      </w:r>
      <w:r>
        <w:rPr>
          <w:rFonts w:hint="eastAsia" w:ascii="宋体" w:hAnsi="宋体" w:cs="宋体"/>
          <w:color w:val="000000" w:themeColor="text1"/>
          <w:kern w:val="0"/>
          <w:sz w:val="21"/>
          <w:szCs w:val="21"/>
          <w:lang w:val="zh-CN"/>
          <w14:textFill>
            <w14:solidFill>
              <w14:schemeClr w14:val="tx1"/>
            </w14:solidFill>
          </w14:textFill>
        </w:rPr>
        <w:t>补充、修改的内容与投标文件不一致时，以补充、修改的内容为准。</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22.投标文件的递交与接收</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22.1 投标人应在</w:t>
      </w:r>
      <w:r>
        <w:rPr>
          <w:rFonts w:hint="eastAsia" w:ascii="宋体" w:hAnsi="宋体"/>
          <w:color w:val="000000" w:themeColor="text1"/>
          <w14:textFill>
            <w14:solidFill>
              <w14:schemeClr w14:val="tx1"/>
            </w14:solidFill>
          </w14:textFill>
        </w:rPr>
        <w:t>本章第11.1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14:textFill>
            <w14:solidFill>
              <w14:schemeClr w14:val="tx1"/>
            </w14:solidFill>
          </w14:textFill>
        </w:rPr>
        <w:t>规定的</w:t>
      </w:r>
      <w:r>
        <w:rPr>
          <w:rFonts w:hint="eastAsia" w:ascii="宋体" w:hAnsi="宋体" w:cs="宋体"/>
          <w:color w:val="000000" w:themeColor="text1"/>
          <w:kern w:val="0"/>
          <w:szCs w:val="21"/>
          <w14:textFill>
            <w14:solidFill>
              <w14:schemeClr w14:val="tx1"/>
            </w14:solidFill>
          </w14:textFill>
        </w:rPr>
        <w:t>提交投标文件截止时间</w:t>
      </w:r>
      <w:r>
        <w:rPr>
          <w:rFonts w:hint="eastAsia" w:ascii="宋体" w:hAnsi="宋体"/>
          <w:color w:val="000000" w:themeColor="text1"/>
          <w:szCs w:val="21"/>
          <w14:textFill>
            <w14:solidFill>
              <w14:schemeClr w14:val="tx1"/>
            </w14:solidFill>
          </w14:textFill>
        </w:rPr>
        <w:t>前，将投标文件送</w:t>
      </w:r>
      <w:r>
        <w:rPr>
          <w:rFonts w:hint="eastAsia" w:ascii="宋体" w:hAnsi="宋体" w:cs="Arial"/>
          <w:color w:val="000000" w:themeColor="text1"/>
          <w:szCs w:val="21"/>
          <w14:textFill>
            <w14:solidFill>
              <w14:schemeClr w14:val="tx1"/>
            </w14:solidFill>
          </w14:textFill>
        </w:rPr>
        <w:t>达（上传)</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中指定的地点（网址）。</w:t>
      </w:r>
      <w:r>
        <w:rPr>
          <w:rFonts w:hint="eastAsia" w:ascii="宋体" w:hAnsi="宋体" w:cs="宋体"/>
          <w:color w:val="000000" w:themeColor="text1"/>
          <w:kern w:val="0"/>
          <w14:textFill>
            <w14:solidFill>
              <w14:schemeClr w14:val="tx1"/>
            </w14:solidFill>
          </w14:textFill>
        </w:rPr>
        <w:t>在截止时间后送达的投标文件，采购人、采购代理机构应当拒收。</w:t>
      </w:r>
    </w:p>
    <w:p>
      <w:pPr>
        <w:pStyle w:val="41"/>
        <w:adjustRightInd w:val="0"/>
        <w:snapToGrid w:val="0"/>
        <w:spacing w:before="156" w:beforeLines="50" w:beforeAutospacing="0" w:after="0" w:afterAutospacing="0" w:line="360" w:lineRule="auto"/>
        <w:outlineLvl w:val="2"/>
        <w:rPr>
          <w:b/>
          <w:color w:val="000000" w:themeColor="text1"/>
          <w:sz w:val="21"/>
          <w:szCs w:val="21"/>
          <w14:textFill>
            <w14:solidFill>
              <w14:schemeClr w14:val="tx1"/>
            </w14:solidFill>
          </w14:textFill>
        </w:rPr>
      </w:pPr>
      <w:bookmarkStart w:id="25" w:name="_Toc474235948"/>
      <w:bookmarkStart w:id="26" w:name="_Toc420948013"/>
      <w:r>
        <w:rPr>
          <w:rFonts w:hint="eastAsia"/>
          <w:b/>
          <w:color w:val="000000" w:themeColor="text1"/>
          <w14:textFill>
            <w14:solidFill>
              <w14:schemeClr w14:val="tx1"/>
            </w14:solidFill>
          </w14:textFill>
        </w:rPr>
        <w:t>五、</w:t>
      </w:r>
      <w:r>
        <w:rPr>
          <w:rFonts w:cs="Times New Roman"/>
          <w:b/>
          <w:color w:val="000000" w:themeColor="text1"/>
          <w:kern w:val="2"/>
          <w14:textFill>
            <w14:solidFill>
              <w14:schemeClr w14:val="tx1"/>
            </w14:solidFill>
          </w14:textFill>
        </w:rPr>
        <w:t>开标和评标</w:t>
      </w:r>
      <w:bookmarkEnd w:id="25"/>
    </w:p>
    <w:p>
      <w:pPr>
        <w:pStyle w:val="26"/>
        <w:adjustRightInd w:val="0"/>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23.开标</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23.1 采购组织机构将按照招标文件规定的时间通过“政府采购云平台”组织开标，所有投标人均应当准时在线参加。投标人自行承担因不参加在线开标而产生的不利后果。</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23.2 向各投标投标人发出电子加密投标文件【开始解密】通知，各投标投标人代表应当在接到解密通知后</w:t>
      </w:r>
      <w:r>
        <w:rPr>
          <w:rFonts w:hint="eastAsia" w:ascii="宋体" w:hAnsi="宋体"/>
          <w:b/>
          <w:bCs/>
          <w:color w:val="000000" w:themeColor="text1"/>
          <w:szCs w:val="21"/>
          <w14:textFill>
            <w14:solidFill>
              <w14:schemeClr w14:val="tx1"/>
            </w14:solidFill>
          </w14:textFill>
        </w:rPr>
        <w:t>30分钟内自行完成“电子加密投标文件”的在线解密，如未按时解密则视为无效投标。</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23.3 开启《开标一览表》，公布投标投标人报价，各投标投标人代表应当在</w:t>
      </w:r>
      <w:r>
        <w:rPr>
          <w:rFonts w:hint="eastAsia" w:ascii="宋体" w:hAnsi="宋体"/>
          <w:b/>
          <w:bCs/>
          <w:color w:val="000000" w:themeColor="text1"/>
          <w:szCs w:val="21"/>
          <w14:textFill>
            <w14:solidFill>
              <w14:schemeClr w14:val="tx1"/>
            </w14:solidFill>
          </w14:textFill>
        </w:rPr>
        <w:t>20分钟内CA签字确认，如未按时签字确认视为默认投标报价。</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23.4 开启资格证明文件，由采购人在监督下进行资格审查；评审小组对通过资格审查的投标投标人进行符合性审查。</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23.5 通过电子交易平台公布无效投标人名单及导致无效的原因。</w:t>
      </w:r>
    </w:p>
    <w:p>
      <w:pPr>
        <w:autoSpaceDE w:val="0"/>
        <w:autoSpaceDN w:val="0"/>
        <w:adjustRightIn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23.6 </w:t>
      </w:r>
      <w:r>
        <w:rPr>
          <w:rFonts w:hint="eastAsia" w:ascii="宋体" w:hAnsi="宋体"/>
          <w:color w:val="000000" w:themeColor="text1"/>
          <w:szCs w:val="21"/>
          <w:highlight w:val="none"/>
          <w14:textFill>
            <w14:solidFill>
              <w14:schemeClr w14:val="tx1"/>
            </w14:solidFill>
          </w14:textFill>
        </w:rPr>
        <w:t>开启在线评标，</w:t>
      </w:r>
      <w:r>
        <w:rPr>
          <w:rFonts w:hint="eastAsia" w:ascii="宋体" w:hAnsi="宋体"/>
          <w:color w:val="000000" w:themeColor="text1"/>
          <w:szCs w:val="21"/>
          <w:highlight w:val="none"/>
          <w:lang w:eastAsia="zh-CN"/>
          <w14:textFill>
            <w14:solidFill>
              <w14:schemeClr w14:val="tx1"/>
            </w14:solidFill>
          </w14:textFill>
        </w:rPr>
        <w:t>报价符合性评审。对符合要求享受中小企业扶持政策的供应商报价，按照</w:t>
      </w:r>
      <w:r>
        <w:rPr>
          <w:rFonts w:hint="eastAsia" w:ascii="宋体" w:hAnsi="宋体"/>
          <w:color w:val="000000" w:themeColor="text1"/>
          <w:szCs w:val="21"/>
          <w:highlight w:val="none"/>
          <w14:textFill>
            <w14:solidFill>
              <w14:schemeClr w14:val="tx1"/>
            </w14:solidFill>
          </w14:textFill>
        </w:rPr>
        <w:t>《政府采购促进中小企业发展管理办法》（财库[2020]46号）文件</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w:t>
      </w:r>
      <w:r>
        <w:rPr>
          <w:rFonts w:hint="eastAsia" w:ascii="宋体" w:hAnsi="宋体"/>
          <w:color w:val="000000" w:themeColor="text1"/>
          <w:szCs w:val="21"/>
          <w:highlight w:val="none"/>
          <w14:textFill>
            <w14:solidFill>
              <w14:schemeClr w14:val="tx1"/>
            </w14:solidFill>
          </w14:textFill>
        </w:rPr>
        <w:t>的规定</w:t>
      </w:r>
      <w:r>
        <w:rPr>
          <w:rFonts w:hint="eastAsia" w:cs="Times New Roman"/>
          <w:color w:val="000000" w:themeColor="text1"/>
          <w:kern w:val="2"/>
          <w:sz w:val="21"/>
          <w:szCs w:val="21"/>
          <w:highlight w:val="none"/>
          <w:lang w:val="en-US" w:eastAsia="zh-CN"/>
          <w14:textFill>
            <w14:solidFill>
              <w14:schemeClr w14:val="tx1"/>
            </w14:solidFill>
          </w14:textFill>
        </w:rPr>
        <w:t>执行</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23.7 报价符合性评审汇总，报价评审。</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23.7 汇总报价评审，得出有效投标（响应）供应商评分排名。</w:t>
      </w:r>
    </w:p>
    <w:p>
      <w:pPr>
        <w:pStyle w:val="25"/>
        <w:rPr>
          <w:rFonts w:ascii="宋体" w:hAnsi="宋体"/>
          <w:i w:val="0"/>
          <w:iCs w:val="0"/>
          <w:color w:val="000000" w:themeColor="text1"/>
          <w:sz w:val="21"/>
          <w:szCs w:val="21"/>
          <w14:textFill>
            <w14:solidFill>
              <w14:schemeClr w14:val="tx1"/>
            </w14:solidFill>
          </w14:textFill>
        </w:rPr>
      </w:pPr>
      <w:r>
        <w:rPr>
          <w:rFonts w:hint="eastAsia" w:ascii="宋体" w:hAnsi="宋体"/>
          <w:i w:val="0"/>
          <w:iCs w:val="0"/>
          <w:color w:val="000000" w:themeColor="text1"/>
          <w:sz w:val="21"/>
          <w:szCs w:val="21"/>
          <w14:textFill>
            <w14:solidFill>
              <w14:schemeClr w14:val="tx1"/>
            </w14:solidFill>
          </w14:textFill>
        </w:rPr>
        <w:t>23.8 推荐3个中标候选供应商名单，采购人在5个工作日内确认中标供应商，公示结果。</w:t>
      </w:r>
    </w:p>
    <w:p>
      <w:pPr>
        <w:tabs>
          <w:tab w:val="left" w:pos="0"/>
        </w:tabs>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24.评标委员会</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24.1评标委员会由采购人代表和评审专家组成，成员人数应当为5人以上单数，其中评审专家不得少于成员总数的三分之二。</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采购项目符合下列情形之一的，评标委员会成员人数应当为7人以上单数：</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（一）采购预算金额在1000万元以上；</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（二）技术复杂；</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（三）社会影响较大。</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评审专家对本单位的采购项目只能作为采购人代表参与评标</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24.2评标委员会成员与投标人存在利害关系的，应当回避。</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cs="宋体"/>
          <w:b/>
          <w:color w:val="000000" w:themeColor="text1"/>
          <w:kern w:val="0"/>
          <w:sz w:val="21"/>
          <w:szCs w:val="21"/>
          <w14:textFill>
            <w14:solidFill>
              <w14:schemeClr w14:val="tx1"/>
            </w14:solidFill>
          </w14:textFill>
        </w:rPr>
        <w:t>25</w:t>
      </w:r>
      <w:r>
        <w:rPr>
          <w:rFonts w:hint="eastAsia" w:ascii="宋体" w:hAnsi="宋体"/>
          <w:b/>
          <w:color w:val="000000" w:themeColor="text1"/>
          <w:sz w:val="21"/>
          <w:szCs w:val="21"/>
          <w14:textFill>
            <w14:solidFill>
              <w14:schemeClr w14:val="tx1"/>
            </w14:solidFill>
          </w14:textFill>
        </w:rPr>
        <w:t>.评标</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25.1 评标委员会按照第三章“评标方法及标准”规定的评标方法、评审因素、标准和程序以及有关法律、法规及规章对投标文件进行评审。</w:t>
      </w:r>
    </w:p>
    <w:bookmarkEnd w:id="26"/>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26.确定中标人</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26.1采购人不保证将合同授予最低投标报价的投标人。</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26.2采购代理机构应当在评审结束后2个工作日内将结果确认单送采购人确认。</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26.3采购人应当在收到评标报告后5个工作日内，从评标报告提出中标候选人中，合同将授予实质上响应采购文件要求，经评定认为具备履行合同义务能力、技术和商务条件都符合采购文件要求的、政策享受优惠后评标总得分最高的原则确定中标人（中标候选人并列的，由采购人或者采购人委托评标委员会按照招标文件规定的方式确定中标人；招标文件未规定的，采取随机抽取的方式确定），也可以书面授权评标委员会直接确定中标人。采购人在收到评标报告5个工作日内未按评标报告推荐的中标候选人顺序确定中标人，又不能说明合法理由的，视同按评标报告推荐的顺序确定排名第一的中标候选人为中标人。</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26.4由采购人确定中标人的，在确定中标人前，采购人将通过“信用中国”网站(www.creditchina.gov.cn)、中国政府采购网(www.ccgp.gov.cn)查询中标候选人的信用记录，采购人将确定未被列入失信被执行人、重大税收违法案件当事人名单、政府采购严重违法失信行为记录名单的，排名第一的中标候选人为中标人。</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27.招标终止</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27.1采购人、采购代理机构在发出招标公告后，除因重大变故采购任务取消情况外，不得擅自终止招标活动。终止招标的，应当及时在原公告发布媒体上发布终止公告，并将项目实施情况和采购任务取消原因报告本级财政部门。</w:t>
      </w:r>
    </w:p>
    <w:p>
      <w:pPr>
        <w:pStyle w:val="26"/>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27.2 </w:t>
      </w:r>
      <w:r>
        <w:rPr>
          <w:rFonts w:hint="eastAsia" w:ascii="宋体" w:hAnsi="宋体"/>
          <w:bCs/>
          <w:color w:val="000000" w:themeColor="text1"/>
          <w:sz w:val="21"/>
          <w:szCs w:val="21"/>
          <w14:textFill>
            <w14:solidFill>
              <w14:schemeClr w14:val="tx1"/>
            </w14:solidFill>
          </w14:textFill>
        </w:rPr>
        <w:t>采购过程中出现以下情形，导致电子交易平台无法正常运行，或者无法保证电子交易的公平、公正和安全时，采购人（或代理机构）可中止电子交易活动：</w:t>
      </w:r>
    </w:p>
    <w:p>
      <w:pPr>
        <w:pStyle w:val="26"/>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 xml:space="preserve">（1）电子交易平台发生故障而无法登录访问的； </w:t>
      </w:r>
    </w:p>
    <w:p>
      <w:pPr>
        <w:pStyle w:val="26"/>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（2）电子交易平台应用或数据库出现错误，不能进行正常操作的；</w:t>
      </w:r>
    </w:p>
    <w:p>
      <w:pPr>
        <w:pStyle w:val="26"/>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（3）电子交易平台发现严重安全漏洞，有潜在泄密危险的；</w:t>
      </w:r>
    </w:p>
    <w:p>
      <w:pPr>
        <w:pStyle w:val="26"/>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（4）病毒发作导致不能进行正常操作的；</w:t>
      </w:r>
    </w:p>
    <w:p>
      <w:pPr>
        <w:pStyle w:val="26"/>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（5）其他无法保证电子交易的公平、公正和安全的情况。</w:t>
      </w:r>
    </w:p>
    <w:p>
      <w:pPr>
        <w:pStyle w:val="26"/>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出现上述规定情形，不影响采购公平、公正性的，采购人（或代理机构）可以待上述情形消除后继续组织电子交易活动，也可以决定某些环节以纸质形式进行。</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28.重新评审</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28.1除资格性审查认定错误和价格计算错误外，采购人或者采购代理机构不能以任何理由组织重新评审。采购人、采购代理机构发现评标委员会未按照招标文件规定的评标标准进行评审的，应当重新开展采购活动，并同时书面报告本级财政部门。</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29.纪律与保密事项</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29.1评标委员会成员以及与评标工作有关的人员不得泄露评审情况以及评标过程中获悉的国家秘密、商业秘密。</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29.2投标人不得与采购人、采购代理机构、其他投标人恶意串通；不得向采购人、采购代理机构或者评标委员会成员行贿或者提供其他不正当利益；不得提供虚假材料谋取中标；不得以任何方式干扰、影响采购工作。</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29.3</w:t>
      </w:r>
      <w:r>
        <w:rPr>
          <w:rFonts w:ascii="宋体" w:hAnsi="宋体"/>
          <w:color w:val="000000" w:themeColor="text1"/>
          <w:sz w:val="21"/>
          <w:szCs w:val="21"/>
          <w14:textFill>
            <w14:solidFill>
              <w14:schemeClr w14:val="tx1"/>
            </w14:solidFill>
          </w14:textFill>
        </w:rPr>
        <w:t>有下列情形之一的，属于恶意串通，中标无效，并依照《政府采购法》第七十七条的规定追究法律责任：</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（1）投标人直接或者间接从采购人、采购代理机构获得其他投标人的投标情况，并修改其投标文件的；</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（2）采购人、采购代理机构授意投标人撤换、修改投标文件的；</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（3）投标人之间协商技术方案、合同条款以及报价等投标文件实质性内容的；</w:t>
      </w:r>
    </w:p>
    <w:p>
      <w:pPr>
        <w:pStyle w:val="26"/>
        <w:adjustRightInd w:val="0"/>
        <w:snapToGrid w:val="0"/>
        <w:spacing w:line="360" w:lineRule="auto"/>
        <w:ind w:firstLine="420" w:firstLineChars="200"/>
        <w:rPr>
          <w:rFonts w:ascii="宋体" w:hAnsi="宋体"/>
          <w:color w:val="000000" w:themeColor="text1"/>
          <w:spacing w:val="-4"/>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w:t>
      </w:r>
      <w:r>
        <w:rPr>
          <w:rFonts w:hint="eastAsia" w:ascii="宋体" w:hAnsi="宋体"/>
          <w:color w:val="000000" w:themeColor="text1"/>
          <w:spacing w:val="-4"/>
          <w:sz w:val="21"/>
          <w:szCs w:val="21"/>
          <w14:textFill>
            <w14:solidFill>
              <w14:schemeClr w14:val="tx1"/>
            </w14:solidFill>
          </w14:textFill>
        </w:rPr>
        <w:t>属于同一集团、协会、商会等组织成员的投标人按照该组织要求协同参加政府采购活动的；</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（5）投标人之间事先约定由某一特定投标人中标的；</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（6）投标人之间商定部分投标人放弃提交投标文件或者退出招标或者放弃中标的；</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（7）投标人与采购人、采购代理机构以及评标委员会成员之间、投标人相互之间，为谋求特定投标人中标或者排斥其他投标人的其他串通行为的。</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8</w:t>
      </w:r>
      <w:r>
        <w:rPr>
          <w:rFonts w:ascii="宋体" w:hAnsi="宋体"/>
          <w:color w:val="000000" w:themeColor="text1"/>
          <w:sz w:val="21"/>
          <w:szCs w:val="21"/>
          <w14:textFill>
            <w14:solidFill>
              <w14:schemeClr w14:val="tx1"/>
            </w14:solidFill>
          </w14:textFill>
        </w:rPr>
        <w:t>）法律、行政法规或规章规定的其他串通行为。</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bookmarkStart w:id="27" w:name="_Toc420948014"/>
      <w:r>
        <w:rPr>
          <w:rFonts w:hint="eastAsia" w:ascii="宋体" w:hAnsi="宋体"/>
          <w:b/>
          <w:color w:val="000000" w:themeColor="text1"/>
          <w:sz w:val="21"/>
          <w:szCs w:val="21"/>
          <w14:textFill>
            <w14:solidFill>
              <w14:schemeClr w14:val="tx1"/>
            </w14:solidFill>
          </w14:textFill>
        </w:rPr>
        <w:t>六、中标结果信息公布与授予合同</w:t>
      </w:r>
      <w:bookmarkEnd w:id="27"/>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30.中标信息的公布</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30.1中标人确定后2个工作日内，采购人或者采购代理机构应将中标结果信息在投标须知前附表指定的媒体上（新疆政府采购网www.ccgp-xinjiang.gov.cn）公布。</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31.询问及质疑</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31.1投标人对政府采购活动事项有疑问的，可以向采购人或采购代理机构提出询问。采购人或采购代理机构将在三个工作日内作出答复。</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31.2投标人若认为招标文件、招标过程和中标结果使自己的权益受到损害，应当在下列时间内以书面形式向采购人或采购代理机构提出：</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（1）关于采购过程的质疑，应在采购程序环节结束之日起七个工作日内提出。</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（2）关于中标结果的质疑，应在中标结果信息发布后七个工作日内提出。</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31.3 投标人提出质疑的，应提供质疑书原件。采购人或采购代理机构应当向质疑投标人签收回执。</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31.4 质疑书应当包括下列内容：依照新疆政府采购网http://www.ccgp-xinjiang.gov.cn/ 办事指南栏目中的模板）</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（1）质疑投标人的名称、地址及有效联系方式；</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（2）质疑事项；</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（3）事实依据及相关证明材料；</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（4）相关请求及主张。</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31.5 质疑书应当由投标人法定代表人或其授权的代理人签字并加盖投标人单位章，质疑书由授权的代理人签字的应附投标人法定代表人委托授权书。</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31.6 采购人或采购代理机构将在签收回执之日起七个工作日内作出书面答复，并以书面形式通知质疑投标人和其他有关的投标人。</w:t>
      </w:r>
    </w:p>
    <w:p>
      <w:pPr>
        <w:pStyle w:val="26"/>
        <w:adjustRightInd w:val="0"/>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31.7投标人对采购人或采购代理机构的答复不满意，或采购人或采购代理机构未在规定的期限作出答复的，可在答复期满后十五个工作日内，按政府采购相关法律法规规章的规定及程序，向同级财政部门提出投诉。</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32.中标通知</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32.1中标人确定后，采购人或采购代理机构将以书面形式向中标人发出中标通知书。中标通知书对采购人和中标人具有同等法律效力。</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32.2 中标通知书是合同文件的组成部分。</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32.3 中标人在收到采购代理机构的中标通知书后10日内，应按照投标须知前附表的规定，向采购人提交履约保证金。</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32.4 中标人没有按照约定提交履约保证金的，视为放弃中标资格。</w:t>
      </w:r>
    </w:p>
    <w:p>
      <w:pPr>
        <w:pStyle w:val="26"/>
        <w:adjustRightInd w:val="0"/>
        <w:snapToGrid w:val="0"/>
        <w:spacing w:line="360" w:lineRule="auto"/>
        <w:ind w:firstLine="420" w:firstLineChars="200"/>
        <w:rPr>
          <w:rFonts w:ascii="宋体" w:hAnsi="宋体"/>
          <w:color w:val="FF0000"/>
          <w:sz w:val="21"/>
          <w:szCs w:val="21"/>
        </w:rPr>
      </w:pPr>
      <w:r>
        <w:rPr>
          <w:rFonts w:hint="eastAsia" w:ascii="宋体" w:hAnsi="宋体"/>
          <w:color w:val="000000" w:themeColor="text1"/>
          <w:sz w:val="21"/>
          <w:szCs w:val="21"/>
          <w14:textFill>
            <w14:solidFill>
              <w14:schemeClr w14:val="tx1"/>
            </w14:solidFill>
          </w14:textFill>
        </w:rPr>
        <w:t>32.</w:t>
      </w:r>
      <w:r>
        <w:rPr>
          <w:rFonts w:hint="eastAsia" w:ascii="宋体" w:hAnsi="宋体"/>
          <w:sz w:val="21"/>
          <w:szCs w:val="21"/>
        </w:rPr>
        <w:t>5</w:t>
      </w:r>
      <w:r>
        <w:rPr>
          <w:rFonts w:hint="eastAsia" w:ascii="宋体" w:hAnsi="宋体"/>
          <w:bCs/>
          <w:sz w:val="21"/>
          <w:szCs w:val="21"/>
        </w:rPr>
        <w:t>如中标人未按照招标文件要求交付使用期的时间内交货，将按照每日缴纳中标金额2%的违约金，从支付款项中扣除。</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33.签订合同</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33.1 招标文件、中标人的投标文件及其补充的投标文件等均为签订政府采购合同的依据。</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33.2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33.3 中标人应当按照合同约定履行义务。中标人不得向他人转让中标项目，也不得将中标项目分包后分别向他人转让。</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33.4 中标人有下列情形之一的，责令限期改正，情节严重的，列入不良行为记录名单，在1至3年内禁止参加政府采购活动，并予以通报：</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（一）中标后无正当理由不与采购人签订合同的；</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（二）未按照招标文件确定的事项签订政府采购合同，或者与采购人另行订立背离合同实质性内容的协议的；</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（三）拒绝履行合同义务的；</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（四）违反法律、规章、规范性文件规定的。</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33.5采购人应当自政府采购合同签订之日起2个工作日内，将政府采购合同在省级以上人民政府财政部门指定的媒体上公告，但政府采购合同中涉及国家秘密、商业秘密的内容除外。</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34. 政府采购合同履行中数量的变更</w:t>
      </w:r>
    </w:p>
    <w:p>
      <w:pPr>
        <w:pStyle w:val="26"/>
        <w:adjustRightInd w:val="0"/>
        <w:snapToGrid w:val="0"/>
        <w:spacing w:line="360" w:lineRule="auto"/>
        <w:ind w:firstLine="420" w:firstLineChars="200"/>
        <w:jc w:val="left"/>
        <w:rPr>
          <w:rFonts w:ascii="宋体" w:hAnsi="宋体"/>
          <w:color w:val="000000" w:themeColor="text1"/>
          <w:sz w:val="21"/>
          <w:szCs w:val="21"/>
          <w14:textFill>
            <w14:solidFill>
              <w14:schemeClr w14:val="tx1"/>
            </w14:solidFill>
          </w14:textFill>
        </w:rPr>
        <w:sectPr>
          <w:pgSz w:w="11906" w:h="16838"/>
          <w:pgMar w:top="1474" w:right="1531" w:bottom="1474" w:left="1531" w:header="851" w:footer="992" w:gutter="0"/>
          <w:cols w:space="720" w:num="1"/>
          <w:docGrid w:type="lines" w:linePitch="312" w:charSpace="0"/>
        </w:sectPr>
      </w:pPr>
      <w:r>
        <w:rPr>
          <w:rFonts w:hint="eastAsia" w:ascii="宋体" w:hAnsi="宋体"/>
          <w:color w:val="000000" w:themeColor="text1"/>
          <w:sz w:val="21"/>
          <w:szCs w:val="21"/>
          <w14:textFill>
            <w14:solidFill>
              <w14:schemeClr w14:val="tx1"/>
            </w14:solidFill>
          </w14:textFill>
        </w:rPr>
        <w:t>34.1政府采购合同履行中，采购人需追加与合同标的相同的货物服务的，在不改变合同其他条款的前提下，可以与中标人协商签订补充合同，但所有补充合同的采购金额不得超过原合同采购金额的百分之十。</w:t>
      </w:r>
    </w:p>
    <w:p>
      <w:pPr>
        <w:pStyle w:val="26"/>
        <w:adjustRightInd w:val="0"/>
        <w:snapToGrid w:val="0"/>
        <w:spacing w:line="360" w:lineRule="auto"/>
        <w:jc w:val="center"/>
        <w:rPr>
          <w:rFonts w:ascii="宋体" w:hAnsi="宋体"/>
          <w:b/>
          <w:bCs/>
          <w:color w:val="000000" w:themeColor="text1"/>
          <w:sz w:val="32"/>
          <w:szCs w:val="32"/>
          <w14:textFill>
            <w14:solidFill>
              <w14:schemeClr w14:val="tx1"/>
            </w14:solidFill>
          </w14:textFill>
        </w:rPr>
      </w:pPr>
      <w:bookmarkStart w:id="28" w:name="_Toc474235949"/>
      <w:bookmarkStart w:id="29" w:name="_Toc430715133"/>
      <w:bookmarkStart w:id="30" w:name="_Toc420948016"/>
      <w:r>
        <w:rPr>
          <w:rFonts w:hint="eastAsia" w:ascii="宋体" w:hAnsi="宋体"/>
          <w:b/>
          <w:bCs/>
          <w:color w:val="000000" w:themeColor="text1"/>
          <w:sz w:val="32"/>
          <w:szCs w:val="32"/>
          <w14:textFill>
            <w14:solidFill>
              <w14:schemeClr w14:val="tx1"/>
            </w14:solidFill>
          </w14:textFill>
        </w:rPr>
        <w:t>第三章 评标方法及标准</w:t>
      </w:r>
      <w:bookmarkEnd w:id="28"/>
      <w:bookmarkEnd w:id="29"/>
    </w:p>
    <w:p>
      <w:pPr>
        <w:adjustRightInd w:val="0"/>
        <w:snapToGrid w:val="0"/>
        <w:spacing w:before="156" w:beforeLines="50" w:line="360" w:lineRule="auto"/>
        <w:ind w:right="-109" w:rightChars="-5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一、资格审核</w:t>
      </w:r>
    </w:p>
    <w:p>
      <w:pPr>
        <w:adjustRightInd w:val="0"/>
        <w:snapToGrid w:val="0"/>
        <w:spacing w:before="156" w:beforeLines="50" w:line="360" w:lineRule="auto"/>
        <w:ind w:right="-109" w:rightChars="-5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1.评标前投标文件的初步</w:t>
      </w:r>
      <w:r>
        <w:rPr>
          <w:rFonts w:hint="eastAsia" w:ascii="宋体" w:hAnsi="宋体"/>
          <w:b/>
          <w:color w:val="000000" w:themeColor="text1"/>
          <w:szCs w:val="21"/>
          <w14:textFill>
            <w14:solidFill>
              <w14:schemeClr w14:val="tx1"/>
            </w14:solidFill>
          </w14:textFill>
        </w:rPr>
        <w:t>审核</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1.1初步</w:t>
      </w:r>
      <w:r>
        <w:rPr>
          <w:rFonts w:hint="eastAsia" w:ascii="宋体" w:hAnsi="宋体"/>
          <w:color w:val="000000" w:themeColor="text1"/>
          <w:szCs w:val="21"/>
          <w14:textFill>
            <w14:solidFill>
              <w14:schemeClr w14:val="tx1"/>
            </w14:solidFill>
          </w14:textFill>
        </w:rPr>
        <w:t>评审为资格性检查和符合性检查。</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 资格性检查。根据法律法规和招标文件的规定，对投标文件中的资格证明、投标保证金等进行审查，以确定投标人是否具备投标资格。</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 符合性检查。依据招标文件的规定，从投标文件的有效性、完整性和对招标文件的响应程度进行审查，以确定是否对招标文件的实质性要求作出响应。采购人决定投标文件的响应性只根据投标文件真实无误的内容，而不依据外部的证据，但投标文件有不真实、不正确的内容时除外。</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1.1.3投标人不得通过修正或撤销不合要求的偏离从而使其投标成为实质上响应的投标。</w:t>
      </w:r>
    </w:p>
    <w:tbl>
      <w:tblPr>
        <w:tblStyle w:val="46"/>
        <w:tblW w:w="88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7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w:t>
            </w:r>
          </w:p>
        </w:tc>
        <w:tc>
          <w:tcPr>
            <w:tcW w:w="7836"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审核</w:t>
            </w:r>
            <w:r>
              <w:rPr>
                <w:rFonts w:ascii="宋体" w:hAnsi="宋体"/>
                <w:b/>
                <w:color w:val="000000" w:themeColor="text1"/>
                <w:szCs w:val="21"/>
                <w14:textFill>
                  <w14:solidFill>
                    <w14:schemeClr w14:val="tx1"/>
                  </w14:solidFill>
                </w14:textFill>
              </w:rPr>
              <w:t>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6" w:type="dxa"/>
            <w:vMerge w:val="restart"/>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资格性检查</w:t>
            </w:r>
          </w:p>
        </w:tc>
        <w:tc>
          <w:tcPr>
            <w:tcW w:w="7836" w:type="dxa"/>
            <w:vAlign w:val="center"/>
          </w:tcPr>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1、法人提供法定代表人身份证明，</w:t>
            </w:r>
            <w:r>
              <w:rPr>
                <w:rFonts w:hint="eastAsia"/>
                <w:b/>
                <w:bCs/>
                <w:color w:val="000000" w:themeColor="text1"/>
                <w14:textFill>
                  <w14:solidFill>
                    <w14:schemeClr w14:val="tx1"/>
                  </w14:solidFill>
                </w14:textFill>
              </w:rPr>
              <w:t>或</w:t>
            </w:r>
            <w:r>
              <w:rPr>
                <w:rFonts w:hint="eastAsia"/>
                <w:color w:val="000000" w:themeColor="text1"/>
                <w14:textFill>
                  <w14:solidFill>
                    <w14:schemeClr w14:val="tx1"/>
                  </w14:solidFill>
                </w14:textFill>
              </w:rPr>
              <w:t>委托代理人提供授权委托书；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6" w:type="dxa"/>
            <w:vMerge w:val="continue"/>
            <w:vAlign w:val="center"/>
          </w:tcPr>
          <w:p>
            <w:pPr>
              <w:spacing w:line="400" w:lineRule="exact"/>
              <w:jc w:val="center"/>
              <w:rPr>
                <w:rFonts w:ascii="宋体" w:hAnsi="宋体"/>
                <w:b/>
                <w:color w:val="000000" w:themeColor="text1"/>
                <w:szCs w:val="21"/>
                <w14:textFill>
                  <w14:solidFill>
                    <w14:schemeClr w14:val="tx1"/>
                  </w14:solidFill>
                </w14:textFill>
              </w:rPr>
            </w:pPr>
          </w:p>
        </w:tc>
        <w:tc>
          <w:tcPr>
            <w:tcW w:w="7836" w:type="dxa"/>
            <w:vAlign w:val="center"/>
          </w:tcPr>
          <w:p>
            <w:pPr>
              <w:spacing w:line="400" w:lineRule="exac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color w:val="000000" w:themeColor="text1"/>
                <w14:textFill>
                  <w14:solidFill>
                    <w14:schemeClr w14:val="tx1"/>
                  </w14:solidFill>
                </w14:textFill>
              </w:rPr>
              <w:t>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6" w:type="dxa"/>
            <w:vMerge w:val="continue"/>
            <w:vAlign w:val="center"/>
          </w:tcPr>
          <w:p>
            <w:pPr>
              <w:spacing w:line="400" w:lineRule="exact"/>
              <w:jc w:val="center"/>
              <w:rPr>
                <w:rFonts w:ascii="宋体" w:hAnsi="宋体"/>
                <w:b/>
                <w:color w:val="000000" w:themeColor="text1"/>
                <w:szCs w:val="21"/>
                <w14:textFill>
                  <w14:solidFill>
                    <w14:schemeClr w14:val="tx1"/>
                  </w14:solidFill>
                </w14:textFill>
              </w:rPr>
            </w:pPr>
          </w:p>
        </w:tc>
        <w:tc>
          <w:tcPr>
            <w:tcW w:w="7836" w:type="dxa"/>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3、</w:t>
            </w:r>
            <w:r>
              <w:rPr>
                <w:rFonts w:hint="eastAsia"/>
              </w:rPr>
              <w:t>具有良好的商业信誉和健全的财务会计制度，</w:t>
            </w:r>
            <w:r>
              <w:rPr>
                <w:rFonts w:hint="eastAsia"/>
                <w:color w:val="000000" w:themeColor="text1"/>
                <w14:textFill>
                  <w14:solidFill>
                    <w14:schemeClr w14:val="tx1"/>
                  </w14:solidFill>
                </w14:textFill>
              </w:rPr>
              <w:t> </w:t>
            </w:r>
            <w:r>
              <w:rPr>
                <w:rFonts w:hint="eastAsia"/>
              </w:rPr>
              <w:t>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6" w:type="dxa"/>
            <w:vMerge w:val="continue"/>
            <w:vAlign w:val="center"/>
          </w:tcPr>
          <w:p>
            <w:pPr>
              <w:adjustRightInd w:val="0"/>
              <w:snapToGrid w:val="0"/>
              <w:spacing w:line="400" w:lineRule="exact"/>
              <w:jc w:val="left"/>
              <w:rPr>
                <w:color w:val="000000" w:themeColor="text1"/>
                <w14:textFill>
                  <w14:solidFill>
                    <w14:schemeClr w14:val="tx1"/>
                  </w14:solidFill>
                </w14:textFill>
              </w:rPr>
            </w:pPr>
          </w:p>
        </w:tc>
        <w:tc>
          <w:tcPr>
            <w:tcW w:w="7836"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rPr>
              <w:t>具有履行合同所必需的设备和专业技术能力，提供《政府采购供应商信用承诺函》；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6" w:type="dxa"/>
            <w:vMerge w:val="continue"/>
            <w:vAlign w:val="center"/>
          </w:tcPr>
          <w:p>
            <w:pPr>
              <w:adjustRightInd w:val="0"/>
              <w:snapToGrid w:val="0"/>
              <w:spacing w:line="400" w:lineRule="exact"/>
              <w:jc w:val="left"/>
              <w:rPr>
                <w:color w:val="000000" w:themeColor="text1"/>
                <w14:textFill>
                  <w14:solidFill>
                    <w14:schemeClr w14:val="tx1"/>
                  </w14:solidFill>
                </w14:textFill>
              </w:rPr>
            </w:pPr>
          </w:p>
        </w:tc>
        <w:tc>
          <w:tcPr>
            <w:tcW w:w="7836"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rFonts w:hint="eastAsia"/>
              </w:rPr>
              <w:t>有依法缴纳税收和社会保障资金的良好记录，提供《政府采购供应商信用承诺函》；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6" w:type="dxa"/>
            <w:vMerge w:val="continue"/>
            <w:vAlign w:val="center"/>
          </w:tcPr>
          <w:p>
            <w:pPr>
              <w:adjustRightInd w:val="0"/>
              <w:snapToGrid w:val="0"/>
              <w:spacing w:line="400" w:lineRule="exact"/>
              <w:jc w:val="left"/>
              <w:rPr>
                <w:color w:val="000000" w:themeColor="text1"/>
                <w14:textFill>
                  <w14:solidFill>
                    <w14:schemeClr w14:val="tx1"/>
                  </w14:solidFill>
                </w14:textFill>
              </w:rPr>
            </w:pPr>
          </w:p>
        </w:tc>
        <w:tc>
          <w:tcPr>
            <w:tcW w:w="7836"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6、无重大违法记录，</w:t>
            </w:r>
            <w:r>
              <w:rPr>
                <w:rFonts w:hint="eastAsia"/>
              </w:rPr>
              <w:t>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7、提供在“信用中国”（www.creditchina.gov.cn）和中国政府采购网（www.ccgp.gov.cn）网站上未被列入失信被执行人、重大税收违法案件当事人名单以及政府采购严重违法失信行为记录名单的网页打印件</w:t>
            </w:r>
            <w:r>
              <w:rPr>
                <w:rFonts w:hint="eastAsia"/>
              </w:rPr>
              <w:t>（网页打印件须自招标文件发布之日起至投标截止时间从上述网站中打印）；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6"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符合性检查</w:t>
            </w:r>
          </w:p>
        </w:tc>
        <w:tc>
          <w:tcPr>
            <w:tcW w:w="7836"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1.投标文件按照按招标文件要求上传、解密、签署电子章的；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2.开标一览表内承诺交付使用期、质保期满足招标文件要求；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3.报价具有唯一性，报价未超过招标文件中规定的</w:t>
            </w:r>
            <w:r>
              <w:rPr>
                <w:rFonts w:hint="eastAsia" w:ascii="宋体" w:hAnsi="宋体"/>
                <w:color w:val="000000" w:themeColor="text1"/>
                <w:szCs w:val="21"/>
                <w:lang w:val="en-US" w:eastAsia="zh-CN"/>
                <w14:textFill>
                  <w14:solidFill>
                    <w14:schemeClr w14:val="tx1"/>
                  </w14:solidFill>
                </w14:textFill>
              </w:rPr>
              <w:t>预算金额</w:t>
            </w: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4.满足实质条款要求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6"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结论</w:t>
            </w:r>
          </w:p>
        </w:tc>
        <w:tc>
          <w:tcPr>
            <w:tcW w:w="7836" w:type="dxa"/>
            <w:vAlign w:val="center"/>
          </w:tcPr>
          <w:p>
            <w:pPr>
              <w:spacing w:line="400" w:lineRule="exact"/>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是否通过资格审查，进入下一阶段报价评审。</w:t>
            </w:r>
          </w:p>
        </w:tc>
      </w:tr>
    </w:tbl>
    <w:p>
      <w:pPr>
        <w:tabs>
          <w:tab w:val="left" w:pos="0"/>
        </w:tabs>
        <w:adjustRightInd w:val="0"/>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注：表中全部符合，则为有效投标，进入专家评标阶段。</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 有下列情形之一时，采购人或采购代理机构应予此次招标活动无效，并将理由通知所有投标人：</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（1）符合专业条件的投标人或者对招标文件作实质性响应的投标人不足三家的；</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（2）出现影响招标公正的违法、违规行为的；</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（3）投标人的报价均超过了采购预算；</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1.3邀请招标数额标准以上的采购项目，投标截止后投标人不足3家或者通过资格审查或符合性审查的投标人不足3家的，除采购任务取消情形外，按照以下方式处理：</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（1）招标文件存在不合理条款或者招标程序不符合规定的，采购人、采购代理机构改正后依法重新招标；</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（2）招标文件没有不合理条款、招标程序符合规定，需要采用其他采购方式采购的，采购人应当依法报财政部门批准。</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1.4有下列情形之一的，视为投标人串通投标，其投标无效：</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（1）不同投标人的投标文件由同一单位或者个人编制；</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（2）不同投标人委托同一单位或者个人办理投标事宜；</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（3）不同投标人的投标文件载明的项目管理成员或者联系人员为同一人；</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（4）不同投标人的投标文件异常一致或者投标报价呈规律性差别；</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（5）不同投标人的投标文件相互混装；</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（6）不同投标人的投标保证金从同一单位或者个人的账户转出。</w:t>
      </w:r>
    </w:p>
    <w:p>
      <w:pPr>
        <w:tabs>
          <w:tab w:val="left" w:pos="0"/>
        </w:tabs>
        <w:adjustRightInd w:val="0"/>
        <w:snapToGrid w:val="0"/>
        <w:spacing w:before="156" w:beforeLines="50" w:line="360" w:lineRule="auto"/>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二、评标程序</w:t>
      </w:r>
    </w:p>
    <w:p>
      <w:pPr>
        <w:adjustRightInd w:val="0"/>
        <w:snapToGrid w:val="0"/>
        <w:spacing w:before="156" w:beforeLines="50" w:line="360" w:lineRule="auto"/>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评标委员会</w:t>
      </w:r>
    </w:p>
    <w:p>
      <w:pPr>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2.1评标由依法组成的评标委员会负责。</w:t>
      </w:r>
    </w:p>
    <w:p>
      <w:pPr>
        <w:adjustRightInd w:val="0"/>
        <w:snapToGrid w:val="0"/>
        <w:spacing w:before="156" w:beforeLines="50" w:line="360" w:lineRule="auto"/>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w:t>
      </w:r>
      <w:r>
        <w:rPr>
          <w:rFonts w:hint="eastAsia" w:ascii="宋体" w:hAnsi="宋体"/>
          <w:b/>
          <w:color w:val="000000" w:themeColor="text1"/>
          <w:szCs w:val="21"/>
          <w14:textFill>
            <w14:solidFill>
              <w14:schemeClr w14:val="tx1"/>
            </w14:solidFill>
          </w14:textFill>
        </w:rPr>
        <w:t>评标方法</w:t>
      </w:r>
    </w:p>
    <w:p>
      <w:pPr>
        <w:tabs>
          <w:tab w:val="left" w:pos="0"/>
        </w:tabs>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3.1评标方法：</w:t>
      </w:r>
      <w:r>
        <w:rPr>
          <w:rFonts w:hint="eastAsia" w:ascii="宋体" w:hAnsi="宋体"/>
          <w:b/>
          <w:bCs/>
          <w:color w:val="000000" w:themeColor="text1"/>
          <w:szCs w:val="21"/>
          <w14:textFill>
            <w14:solidFill>
              <w14:schemeClr w14:val="tx1"/>
            </w14:solidFill>
          </w14:textFill>
        </w:rPr>
        <w:t>综合评分法</w:t>
      </w:r>
      <w:r>
        <w:rPr>
          <w:rFonts w:hint="eastAsia" w:ascii="宋体" w:hAnsi="宋体"/>
          <w:color w:val="000000" w:themeColor="text1"/>
          <w:szCs w:val="21"/>
          <w14:textFill>
            <w14:solidFill>
              <w14:schemeClr w14:val="tx1"/>
            </w14:solidFill>
          </w14:textFill>
        </w:rPr>
        <w:t>，是指投标文件满足招标文件全部实质性要求且按照评审因素的量化指标评审得分最高的供应商为中标候选人的评标方法。</w:t>
      </w:r>
    </w:p>
    <w:p>
      <w:pPr>
        <w:tabs>
          <w:tab w:val="left" w:pos="0"/>
        </w:tabs>
        <w:adjustRightInd w:val="0"/>
        <w:snapToGrid w:val="0"/>
        <w:spacing w:before="156" w:beforeLines="50" w:line="360" w:lineRule="auto"/>
        <w:ind w:firstLine="420" w:firstLineChars="200"/>
        <w:rPr>
          <w:rFonts w:ascii="宋体" w:hAnsi="宋体"/>
          <w:b/>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3.2本招标项目</w:t>
      </w:r>
      <w:r>
        <w:rPr>
          <w:rFonts w:hint="eastAsia" w:ascii="宋体" w:hAnsi="宋体"/>
          <w:color w:val="000000" w:themeColor="text1"/>
          <w:szCs w:val="21"/>
          <w14:textFill>
            <w14:solidFill>
              <w14:schemeClr w14:val="tx1"/>
            </w14:solidFill>
          </w14:textFill>
        </w:rPr>
        <w:t>的评标因素：价格、技术、信誉、业绩、服务、对招标文件的响应程度，以及相应的比重或者权值等，但不包括第二章“投标须知”第3.1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规定的投标人资格条件。</w:t>
      </w:r>
    </w:p>
    <w:p>
      <w:pPr>
        <w:adjustRightInd w:val="0"/>
        <w:snapToGrid w:val="0"/>
        <w:spacing w:before="156" w:beforeLines="50" w:line="360" w:lineRule="auto"/>
        <w:ind w:right="-109" w:rightChars="-52"/>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4.澄清有关问题</w:t>
      </w:r>
    </w:p>
    <w:p>
      <w:pPr>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 对投标文件中含义不明确、同类问题表述不一致或者有明显文字和计算错误的内容，评标委员会将以书面形式通知投标人作出必要的澄清、说明，但不得超出投标文件的范围或对投标文件做实质性的修改（计算错误修正除外）。评标委员会不接受投标人主动提出的澄清、说明。</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4.2投标人不得对下列内容进行澄清或补充：</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（1）开标时，未宣读的投标价格、价格折扣等实质性内容。</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（2）招标文件规定的实质性要求。</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4.3投标文件报价出现前后不一致的，除招标文件另有规定外，按照下列规定修正：</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（1）电子交易平台生成的开标一览表内容与投标文件中相应内容不一致的，以电子交易平台生成的开标一览表为准；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（2）大写金额和小写金额不一致的，以大写金额为准；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（3）单价金额小数点或者百分比有明显错位的，以电子交易平台生成的开标一览表总价为准，并修改单价；</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（5）总价金额与按单价汇总金额不一致的，以单价金额计算结果为准。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同时出现两种以上不一致的，按照前款规定的顺序修正。评标委员会应当通过电子交易平台要求投标人对修正后的报价予以确认并对投标人产生约束力。投标人不接受修正或在规定的时间内不予确认的，其投标无效。</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对不同文字文本投标文件的解释发生异议的，以中文文本为准。若投标人拒绝接受上述修正，在评标时将其视为无效投标。</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4.4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4.5评标委员会成员对需要共同认定的事项存在争议的，应当按照少数服从多数的原则作出结论。持不同意见的评标委员会成员应当在评标报告上签署不同意见及理由，否则视为同意评标报告。</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4.6 投标人的澄清、说明或者补正应该采用书面形式，并加盖公章，或者由法定代表人或其授权的代理人签字。投标人的澄清、说明或者补正不得超出投标文件的范围或者改变投标文件的实质性内容。</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4.7 有效的书面澄清材料，是投标文件的补充材料，成为投标文件的组成部分。</w:t>
      </w:r>
    </w:p>
    <w:p>
      <w:pPr>
        <w:tabs>
          <w:tab w:val="left" w:pos="0"/>
        </w:tabs>
        <w:adjustRightInd w:val="0"/>
        <w:snapToGrid w:val="0"/>
        <w:spacing w:before="156" w:beforeLines="5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5.投标文件的详细</w:t>
      </w:r>
      <w:r>
        <w:rPr>
          <w:rFonts w:hint="eastAsia" w:ascii="宋体" w:hAnsi="宋体"/>
          <w:b/>
          <w:color w:val="000000" w:themeColor="text1"/>
          <w:szCs w:val="21"/>
          <w14:textFill>
            <w14:solidFill>
              <w14:schemeClr w14:val="tx1"/>
            </w14:solidFill>
          </w14:textFill>
        </w:rPr>
        <w:t>评审</w:t>
      </w:r>
    </w:p>
    <w:p>
      <w:pPr>
        <w:tabs>
          <w:tab w:val="left" w:pos="0"/>
        </w:tabs>
        <w:adjustRightInd w:val="0"/>
        <w:snapToGrid w:val="0"/>
        <w:spacing w:before="156" w:beforeLines="50"/>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5.1评标委员会应按照招标文件中规定的评标方法、</w:t>
      </w:r>
      <w:r>
        <w:rPr>
          <w:rFonts w:hint="eastAsia" w:ascii="宋体" w:hAnsi="宋体"/>
          <w:color w:val="000000" w:themeColor="text1"/>
          <w:szCs w:val="21"/>
          <w14:textFill>
            <w14:solidFill>
              <w14:schemeClr w14:val="tx1"/>
            </w14:solidFill>
          </w14:textFill>
        </w:rPr>
        <w:t>标准和评标因素，</w:t>
      </w:r>
      <w:r>
        <w:rPr>
          <w:rFonts w:hint="eastAsia" w:ascii="宋体" w:hAnsi="宋体"/>
          <w:bCs/>
          <w:color w:val="000000" w:themeColor="text1"/>
          <w:szCs w:val="21"/>
          <w14:textFill>
            <w14:solidFill>
              <w14:schemeClr w14:val="tx1"/>
            </w14:solidFill>
          </w14:textFill>
        </w:rPr>
        <w:t>对</w:t>
      </w:r>
      <w:r>
        <w:rPr>
          <w:rFonts w:hint="eastAsia" w:ascii="宋体" w:hAnsi="宋体"/>
          <w:color w:val="000000" w:themeColor="text1"/>
          <w:szCs w:val="21"/>
          <w14:textFill>
            <w14:solidFill>
              <w14:schemeClr w14:val="tx1"/>
            </w14:solidFill>
          </w14:textFill>
        </w:rPr>
        <w:t>资格性检查</w:t>
      </w:r>
      <w:r>
        <w:rPr>
          <w:rFonts w:hint="eastAsia" w:ascii="宋体" w:hAnsi="宋体"/>
          <w:bCs/>
          <w:color w:val="000000" w:themeColor="text1"/>
          <w:szCs w:val="21"/>
          <w14:textFill>
            <w14:solidFill>
              <w14:schemeClr w14:val="tx1"/>
            </w14:solidFill>
          </w14:textFill>
        </w:rPr>
        <w:t>合格的投标文件进行详细评审。</w:t>
      </w:r>
    </w:p>
    <w:p>
      <w:pPr>
        <w:widowControl/>
        <w:adjustRightInd w:val="0"/>
        <w:snapToGrid w:val="0"/>
        <w:spacing w:before="156" w:beforeLines="50"/>
        <w:ind w:firstLine="420" w:firstLineChars="200"/>
        <w:jc w:val="left"/>
        <w:rPr>
          <w:rFonts w:ascii="宋体" w:hAnsi="宋体"/>
          <w:color w:val="000000" w:themeColor="text1"/>
          <w:szCs w:val="21"/>
          <w:highlight w:val="yellow"/>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5.2</w:t>
      </w:r>
      <w:r>
        <w:rPr>
          <w:rFonts w:hint="eastAsia" w:ascii="宋体" w:hAnsi="宋体"/>
          <w:color w:val="000000" w:themeColor="text1"/>
          <w:szCs w:val="21"/>
          <w14:textFill>
            <w14:solidFill>
              <w14:schemeClr w14:val="tx1"/>
            </w14:solidFill>
          </w14:textFill>
        </w:rPr>
        <w:t>评标时，评标委员会各成员应当</w:t>
      </w:r>
      <w:r>
        <w:rPr>
          <w:rFonts w:hint="eastAsia" w:ascii="宋体" w:hAnsi="宋体"/>
          <w:b/>
          <w:color w:val="000000" w:themeColor="text1"/>
          <w:szCs w:val="21"/>
          <w14:textFill>
            <w14:solidFill>
              <w14:schemeClr w14:val="tx1"/>
            </w14:solidFill>
          </w14:textFill>
        </w:rPr>
        <w:t>独立</w:t>
      </w:r>
      <w:r>
        <w:rPr>
          <w:rFonts w:hint="eastAsia" w:ascii="宋体" w:hAnsi="宋体"/>
          <w:color w:val="000000" w:themeColor="text1"/>
          <w:szCs w:val="21"/>
          <w14:textFill>
            <w14:solidFill>
              <w14:schemeClr w14:val="tx1"/>
            </w14:solidFill>
          </w14:textFill>
        </w:rPr>
        <w:t>对每个投标人的</w:t>
      </w:r>
      <w:r>
        <w:rPr>
          <w:rFonts w:hint="eastAsia" w:ascii="宋体" w:hAnsi="宋体"/>
          <w:bCs/>
          <w:color w:val="000000" w:themeColor="text1"/>
          <w:szCs w:val="21"/>
          <w14:textFill>
            <w14:solidFill>
              <w14:schemeClr w14:val="tx1"/>
            </w14:solidFill>
          </w14:textFill>
        </w:rPr>
        <w:t>投标文件</w:t>
      </w:r>
      <w:r>
        <w:rPr>
          <w:rFonts w:hint="eastAsia" w:ascii="宋体" w:hAnsi="宋体"/>
          <w:color w:val="000000" w:themeColor="text1"/>
          <w:szCs w:val="21"/>
          <w14:textFill>
            <w14:solidFill>
              <w14:schemeClr w14:val="tx1"/>
            </w14:solidFill>
          </w14:textFill>
        </w:rPr>
        <w:t>进行评价、评分，然后汇总每个投标人每项评分因素的得分。</w:t>
      </w:r>
    </w:p>
    <w:p>
      <w:pPr>
        <w:ind w:firstLine="420" w:firstLineChars="200"/>
        <w:rPr>
          <w:rFonts w:ascii="宋体" w:hAnsi="宋体" w:cs="宋体"/>
          <w:b/>
          <w:bCs/>
          <w:szCs w:val="21"/>
        </w:rPr>
      </w:pPr>
      <w:r>
        <w:rPr>
          <w:rFonts w:hint="eastAsia" w:ascii="宋体" w:hAnsi="宋体"/>
          <w:color w:val="000000" w:themeColor="text1"/>
          <w:szCs w:val="21"/>
          <w14:textFill>
            <w14:solidFill>
              <w14:schemeClr w14:val="tx1"/>
            </w14:solidFill>
          </w14:textFill>
        </w:rPr>
        <w:t>5.3</w:t>
      </w:r>
      <w:r>
        <w:rPr>
          <w:rFonts w:hint="eastAsia" w:ascii="宋体" w:hAnsi="宋体" w:cs="宋体"/>
          <w:b/>
          <w:bCs/>
          <w:szCs w:val="21"/>
          <w:lang w:bidi="ar"/>
        </w:rPr>
        <w:t>有下列情况之一的投标文件应作无效文件处理：</w:t>
      </w:r>
    </w:p>
    <w:p>
      <w:pPr>
        <w:spacing w:line="380" w:lineRule="exact"/>
        <w:ind w:firstLine="420" w:firstLineChars="200"/>
        <w:rPr>
          <w:rFonts w:ascii="宋体" w:hAnsi="宋体" w:cs="宋体"/>
          <w:szCs w:val="21"/>
        </w:rPr>
      </w:pPr>
      <w:r>
        <w:rPr>
          <w:rFonts w:hint="eastAsia" w:ascii="宋体" w:hAnsi="宋体" w:cs="宋体"/>
          <w:szCs w:val="21"/>
          <w:lang w:bidi="ar"/>
        </w:rPr>
        <w:t>（1）未在规定时间内按时解密的；</w:t>
      </w:r>
    </w:p>
    <w:p>
      <w:pPr>
        <w:spacing w:line="380" w:lineRule="exact"/>
        <w:ind w:firstLine="420" w:firstLineChars="200"/>
        <w:rPr>
          <w:rFonts w:hint="default" w:ascii="宋体" w:hAnsi="宋体" w:eastAsia="宋体" w:cs="宋体"/>
          <w:szCs w:val="21"/>
          <w:lang w:val="en-US" w:eastAsia="zh-CN"/>
        </w:rPr>
      </w:pPr>
      <w:r>
        <w:rPr>
          <w:rFonts w:hint="eastAsia" w:ascii="宋体" w:hAnsi="宋体" w:cs="宋体"/>
          <w:szCs w:val="21"/>
          <w:lang w:bidi="ar"/>
        </w:rPr>
        <w:t>（2）应交未交投标保证金的；</w:t>
      </w:r>
      <w:r>
        <w:rPr>
          <w:rFonts w:hint="eastAsia" w:ascii="宋体" w:hAnsi="宋体" w:cs="宋体"/>
          <w:szCs w:val="21"/>
          <w:lang w:eastAsia="zh-CN" w:bidi="ar"/>
        </w:rPr>
        <w:t>（</w:t>
      </w:r>
      <w:r>
        <w:rPr>
          <w:rFonts w:hint="eastAsia" w:ascii="宋体" w:hAnsi="宋体" w:cs="宋体"/>
          <w:szCs w:val="21"/>
          <w:lang w:val="en-US" w:eastAsia="zh-CN" w:bidi="ar"/>
        </w:rPr>
        <w:t>本项目不收取）</w:t>
      </w:r>
    </w:p>
    <w:p>
      <w:pPr>
        <w:spacing w:line="380" w:lineRule="exact"/>
        <w:ind w:firstLine="420" w:firstLineChars="200"/>
        <w:rPr>
          <w:rFonts w:ascii="宋体" w:hAnsi="宋体" w:cs="宋体"/>
          <w:szCs w:val="21"/>
        </w:rPr>
      </w:pPr>
      <w:r>
        <w:rPr>
          <w:rFonts w:hint="eastAsia" w:ascii="宋体" w:hAnsi="宋体" w:cs="宋体"/>
          <w:szCs w:val="21"/>
          <w:lang w:bidi="ar"/>
        </w:rPr>
        <w:t>（3）不具备采购文件中规定资格要求的；</w:t>
      </w:r>
    </w:p>
    <w:p>
      <w:pPr>
        <w:spacing w:line="380" w:lineRule="exact"/>
        <w:ind w:firstLine="420" w:firstLineChars="200"/>
        <w:rPr>
          <w:rFonts w:ascii="宋体" w:hAnsi="宋体" w:cs="宋体"/>
          <w:szCs w:val="21"/>
        </w:rPr>
      </w:pPr>
      <w:r>
        <w:rPr>
          <w:rFonts w:hint="eastAsia" w:ascii="宋体" w:hAnsi="宋体" w:cs="宋体"/>
          <w:szCs w:val="21"/>
          <w:lang w:bidi="ar"/>
        </w:rPr>
        <w:t>（4）投标文件未按规定由供应商法定代表人或其授权代理人签字和加盖公章的；</w:t>
      </w:r>
    </w:p>
    <w:p>
      <w:pPr>
        <w:spacing w:line="380" w:lineRule="exact"/>
        <w:ind w:firstLine="420" w:firstLineChars="200"/>
        <w:rPr>
          <w:rFonts w:ascii="宋体" w:hAnsi="宋体" w:cs="宋体"/>
          <w:szCs w:val="21"/>
        </w:rPr>
      </w:pPr>
      <w:r>
        <w:rPr>
          <w:rFonts w:hint="eastAsia" w:ascii="宋体" w:hAnsi="宋体" w:cs="宋体"/>
          <w:szCs w:val="21"/>
          <w:lang w:bidi="ar"/>
        </w:rPr>
        <w:t>（5）</w:t>
      </w:r>
      <w:r>
        <w:rPr>
          <w:rFonts w:hint="eastAsia" w:ascii="宋体" w:hAnsi="宋体" w:cs="宋体"/>
          <w:spacing w:val="15"/>
          <w:kern w:val="0"/>
          <w:szCs w:val="21"/>
          <w:lang w:bidi="ar"/>
        </w:rPr>
        <w:t>投标文件未按照采购文件规定要求签章的；</w:t>
      </w:r>
    </w:p>
    <w:p>
      <w:pPr>
        <w:spacing w:line="380" w:lineRule="exact"/>
        <w:ind w:firstLine="420" w:firstLineChars="200"/>
        <w:rPr>
          <w:rFonts w:ascii="宋体" w:hAnsi="宋体" w:cs="宋体"/>
          <w:szCs w:val="21"/>
        </w:rPr>
      </w:pPr>
      <w:r>
        <w:rPr>
          <w:rFonts w:hint="eastAsia" w:ascii="宋体" w:hAnsi="宋体" w:cs="宋体"/>
          <w:szCs w:val="21"/>
          <w:lang w:bidi="ar"/>
        </w:rPr>
        <w:t>（6）投标文件载明的采购项目供货期限超过采购文件规定期限的；</w:t>
      </w:r>
    </w:p>
    <w:p>
      <w:pPr>
        <w:spacing w:line="380" w:lineRule="exact"/>
        <w:ind w:firstLine="420" w:firstLineChars="200"/>
        <w:rPr>
          <w:rFonts w:ascii="宋体" w:hAnsi="宋体" w:cs="宋体"/>
          <w:szCs w:val="21"/>
        </w:rPr>
      </w:pPr>
      <w:r>
        <w:rPr>
          <w:rFonts w:hint="eastAsia" w:ascii="宋体" w:hAnsi="宋体" w:cs="宋体"/>
          <w:szCs w:val="21"/>
          <w:lang w:bidi="ar"/>
        </w:rPr>
        <w:t>（7）评标过程中拒绝澄清相关事宜和问题的；</w:t>
      </w:r>
    </w:p>
    <w:p>
      <w:pPr>
        <w:spacing w:line="380" w:lineRule="exact"/>
        <w:ind w:firstLine="420" w:firstLineChars="200"/>
        <w:rPr>
          <w:rFonts w:ascii="宋体" w:hAnsi="宋体" w:cs="宋体"/>
          <w:szCs w:val="21"/>
        </w:rPr>
      </w:pPr>
      <w:r>
        <w:rPr>
          <w:rFonts w:hint="eastAsia" w:ascii="宋体" w:hAnsi="宋体" w:cs="宋体"/>
          <w:szCs w:val="21"/>
          <w:lang w:bidi="ar"/>
        </w:rPr>
        <w:t>（8）投标文件不真实，有欺骗行为的；</w:t>
      </w:r>
    </w:p>
    <w:p>
      <w:pPr>
        <w:spacing w:line="400" w:lineRule="exact"/>
        <w:ind w:firstLine="420" w:firstLineChars="200"/>
        <w:rPr>
          <w:rFonts w:ascii="宋体" w:hAnsi="宋体" w:cs="宋体"/>
          <w:szCs w:val="21"/>
        </w:rPr>
      </w:pPr>
      <w:r>
        <w:rPr>
          <w:rFonts w:hint="eastAsia" w:ascii="宋体" w:hAnsi="宋体" w:cs="宋体"/>
          <w:szCs w:val="21"/>
          <w:lang w:bidi="ar"/>
        </w:rPr>
        <w:t>（9）投标文件附有采购人和组织采购方不能接受的其它条件的；</w:t>
      </w:r>
    </w:p>
    <w:p>
      <w:pPr>
        <w:spacing w:line="360" w:lineRule="auto"/>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s="宋体"/>
          <w:szCs w:val="21"/>
          <w:lang w:bidi="ar"/>
        </w:rPr>
        <w:t>（10）采购文件中加注“■”产品为强制节能产品，不满足则导致投标无效。</w:t>
      </w:r>
    </w:p>
    <w:p>
      <w:pPr>
        <w:ind w:firstLine="420" w:firstLineChars="200"/>
        <w:rPr>
          <w:rFonts w:ascii="宋体" w:hAnsi="宋体" w:cs="宋体"/>
          <w:b/>
          <w:bCs/>
          <w:szCs w:val="21"/>
        </w:rPr>
      </w:pPr>
      <w:r>
        <w:rPr>
          <w:rFonts w:hint="eastAsia" w:ascii="宋体" w:hAnsi="宋体"/>
          <w:color w:val="000000" w:themeColor="text1"/>
          <w:szCs w:val="21"/>
          <w14:textFill>
            <w14:solidFill>
              <w14:schemeClr w14:val="tx1"/>
            </w14:solidFill>
          </w14:textFill>
        </w:rPr>
        <w:t>5.4</w:t>
      </w:r>
      <w:r>
        <w:rPr>
          <w:rFonts w:hint="eastAsia" w:ascii="宋体" w:hAnsi="宋体" w:cs="宋体"/>
          <w:b/>
          <w:bCs/>
          <w:szCs w:val="21"/>
          <w:lang w:bidi="ar"/>
        </w:rPr>
        <w:t xml:space="preserve"> 评分标准：</w:t>
      </w:r>
    </w:p>
    <w:p>
      <w:pPr>
        <w:spacing w:line="380" w:lineRule="exact"/>
        <w:ind w:firstLine="422" w:firstLineChars="200"/>
        <w:rPr>
          <w:rFonts w:ascii="宋体" w:hAnsi="宋体" w:cs="宋体"/>
          <w:b/>
          <w:bCs/>
          <w:szCs w:val="21"/>
          <w:lang w:bidi="ar"/>
        </w:rPr>
      </w:pPr>
      <w:r>
        <w:rPr>
          <w:rFonts w:hint="eastAsia" w:ascii="宋体" w:hAnsi="宋体" w:cs="宋体"/>
          <w:b/>
          <w:bCs/>
          <w:szCs w:val="21"/>
          <w:lang w:bidi="ar"/>
        </w:rPr>
        <w:t>具体评分细则如下：</w:t>
      </w:r>
    </w:p>
    <w:p>
      <w:pPr>
        <w:pStyle w:val="25"/>
        <w:ind w:left="0"/>
      </w:pPr>
      <w:r>
        <w:rPr>
          <w:rFonts w:hint="eastAsia" w:ascii="黑体" w:hAnsi="黑体" w:eastAsia="黑体" w:cs="黑体"/>
          <w:i w:val="0"/>
          <w:iCs w:val="0"/>
          <w:color w:val="FF0000"/>
          <w:sz w:val="28"/>
          <w:szCs w:val="28"/>
          <w:highlight w:val="yellow"/>
        </w:rPr>
        <w:t>注：为方便电子评审，目录需关联至指定信息处，否则视同为未提供。</w:t>
      </w:r>
    </w:p>
    <w:tbl>
      <w:tblPr>
        <w:tblStyle w:val="46"/>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5483"/>
        <w:gridCol w:w="1013"/>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jc w:val="center"/>
        </w:trPr>
        <w:tc>
          <w:tcPr>
            <w:tcW w:w="1402" w:type="dxa"/>
            <w:vAlign w:val="center"/>
          </w:tcPr>
          <w:p>
            <w:pPr>
              <w:pStyle w:val="26"/>
              <w:snapToGrid w:val="0"/>
              <w:spacing w:line="240" w:lineRule="exact"/>
              <w:jc w:val="center"/>
              <w:rPr>
                <w:rFonts w:ascii="宋体" w:hAnsi="宋体" w:cs="Courier New"/>
                <w:b/>
                <w:sz w:val="21"/>
                <w:szCs w:val="21"/>
              </w:rPr>
            </w:pPr>
            <w:r>
              <w:rPr>
                <w:rFonts w:hint="eastAsia" w:ascii="宋体" w:hAnsi="宋体" w:cs="Courier New"/>
                <w:b/>
                <w:sz w:val="21"/>
                <w:szCs w:val="21"/>
              </w:rPr>
              <w:t>项目</w:t>
            </w:r>
          </w:p>
        </w:tc>
        <w:tc>
          <w:tcPr>
            <w:tcW w:w="5483" w:type="dxa"/>
            <w:vAlign w:val="center"/>
          </w:tcPr>
          <w:p>
            <w:pPr>
              <w:pStyle w:val="26"/>
              <w:snapToGrid w:val="0"/>
              <w:spacing w:line="240" w:lineRule="exact"/>
              <w:jc w:val="center"/>
              <w:rPr>
                <w:rFonts w:ascii="宋体" w:hAnsi="宋体" w:cs="Courier New"/>
                <w:b/>
                <w:sz w:val="21"/>
                <w:szCs w:val="21"/>
              </w:rPr>
            </w:pPr>
            <w:r>
              <w:rPr>
                <w:rFonts w:hint="eastAsia" w:ascii="宋体" w:hAnsi="宋体" w:cs="Courier New"/>
                <w:b/>
                <w:sz w:val="21"/>
                <w:szCs w:val="21"/>
              </w:rPr>
              <w:t>评审内容</w:t>
            </w:r>
          </w:p>
        </w:tc>
        <w:tc>
          <w:tcPr>
            <w:tcW w:w="1013" w:type="dxa"/>
            <w:vAlign w:val="center"/>
          </w:tcPr>
          <w:p>
            <w:pPr>
              <w:pStyle w:val="26"/>
              <w:snapToGrid w:val="0"/>
              <w:spacing w:line="240" w:lineRule="exact"/>
              <w:jc w:val="center"/>
              <w:rPr>
                <w:rFonts w:ascii="宋体" w:hAnsi="宋体" w:cs="Courier New"/>
                <w:b/>
                <w:sz w:val="21"/>
                <w:szCs w:val="21"/>
              </w:rPr>
            </w:pPr>
            <w:r>
              <w:rPr>
                <w:rFonts w:hint="eastAsia" w:ascii="宋体" w:hAnsi="宋体" w:cs="Courier New"/>
                <w:b/>
                <w:sz w:val="21"/>
                <w:szCs w:val="21"/>
              </w:rPr>
              <w:t>分值</w:t>
            </w:r>
          </w:p>
        </w:tc>
        <w:tc>
          <w:tcPr>
            <w:tcW w:w="969" w:type="dxa"/>
            <w:vAlign w:val="center"/>
          </w:tcPr>
          <w:p>
            <w:pPr>
              <w:pStyle w:val="26"/>
              <w:snapToGrid w:val="0"/>
              <w:spacing w:line="240" w:lineRule="exact"/>
              <w:jc w:val="center"/>
              <w:rPr>
                <w:rFonts w:ascii="宋体" w:hAnsi="宋体" w:cs="Courier New"/>
                <w:b/>
                <w:sz w:val="21"/>
                <w:szCs w:val="21"/>
              </w:rPr>
            </w:pPr>
            <w:r>
              <w:rPr>
                <w:rFonts w:hint="eastAsia" w:ascii="宋体" w:hAnsi="宋体" w:cs="Courier New"/>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67" w:type="dxa"/>
            <w:gridSpan w:val="4"/>
            <w:shd w:val="clear" w:color="auto" w:fill="auto"/>
            <w:vAlign w:val="center"/>
          </w:tcPr>
          <w:p>
            <w:pPr>
              <w:pStyle w:val="26"/>
              <w:snapToGrid w:val="0"/>
              <w:spacing w:line="240" w:lineRule="exact"/>
              <w:rPr>
                <w:rFonts w:ascii="宋体" w:hAnsi="宋体" w:cs="Courier New"/>
                <w:b/>
                <w:sz w:val="21"/>
                <w:szCs w:val="21"/>
              </w:rPr>
            </w:pPr>
            <w:r>
              <w:rPr>
                <w:rFonts w:hint="eastAsia" w:ascii="宋体" w:hAnsi="宋体" w:cs="Courier New"/>
                <w:b/>
                <w:sz w:val="21"/>
                <w:szCs w:val="21"/>
              </w:rPr>
              <w:t>A：投标价格评分</w:t>
            </w:r>
            <w:r>
              <w:rPr>
                <w:rFonts w:hint="eastAsia" w:ascii="宋体" w:hAnsi="宋体" w:cs="Courier New"/>
                <w:b/>
                <w:sz w:val="21"/>
                <w:szCs w:val="21"/>
                <w:highlight w:val="none"/>
              </w:rPr>
              <w:t>（</w:t>
            </w:r>
            <w:r>
              <w:rPr>
                <w:rFonts w:hint="eastAsia" w:ascii="宋体" w:hAnsi="宋体" w:cs="Courier New"/>
                <w:b/>
                <w:sz w:val="21"/>
                <w:szCs w:val="21"/>
                <w:highlight w:val="none"/>
                <w:lang w:val="en-US" w:eastAsia="zh-CN"/>
              </w:rPr>
              <w:t>30</w:t>
            </w:r>
            <w:r>
              <w:rPr>
                <w:rFonts w:hint="eastAsia" w:ascii="宋体" w:hAnsi="宋体" w:cs="Courier New"/>
                <w:b/>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1402" w:type="dxa"/>
            <w:shd w:val="clear" w:color="auto" w:fill="auto"/>
            <w:vAlign w:val="center"/>
          </w:tcPr>
          <w:p>
            <w:pPr>
              <w:pStyle w:val="26"/>
              <w:snapToGrid w:val="0"/>
              <w:spacing w:line="240" w:lineRule="exact"/>
              <w:jc w:val="center"/>
              <w:rPr>
                <w:rFonts w:ascii="宋体" w:hAnsi="宋体" w:cs="Courier New"/>
                <w:sz w:val="21"/>
                <w:szCs w:val="21"/>
              </w:rPr>
            </w:pPr>
            <w:r>
              <w:rPr>
                <w:rFonts w:hint="eastAsia" w:ascii="Times New Roman" w:hAnsi="Times New Roman"/>
                <w:sz w:val="21"/>
                <w:szCs w:val="24"/>
              </w:rPr>
              <w:t>投标总价</w:t>
            </w:r>
          </w:p>
        </w:tc>
        <w:tc>
          <w:tcPr>
            <w:tcW w:w="5483" w:type="dxa"/>
            <w:shd w:val="clear" w:color="auto" w:fill="auto"/>
            <w:vAlign w:val="center"/>
          </w:tcPr>
          <w:p>
            <w:pPr>
              <w:pStyle w:val="26"/>
              <w:snapToGrid w:val="0"/>
              <w:spacing w:line="240" w:lineRule="exact"/>
              <w:rPr>
                <w:rFonts w:ascii="宋体" w:hAnsi="宋体" w:cs="Courier New"/>
                <w:b/>
                <w:sz w:val="21"/>
                <w:szCs w:val="21"/>
              </w:rPr>
            </w:pPr>
            <w:r>
              <w:rPr>
                <w:rFonts w:hint="eastAsia" w:ascii="宋体" w:hAnsi="宋体" w:cs="Courier New"/>
                <w:b/>
                <w:sz w:val="21"/>
                <w:szCs w:val="21"/>
              </w:rPr>
              <w:t>投标报价得分=(评标基准价/投标报价）×</w:t>
            </w:r>
            <w:r>
              <w:rPr>
                <w:rFonts w:hint="eastAsia" w:ascii="宋体" w:hAnsi="宋体" w:cs="Courier New"/>
                <w:b/>
                <w:sz w:val="21"/>
                <w:szCs w:val="21"/>
                <w:lang w:val="en-US" w:eastAsia="zh-CN"/>
              </w:rPr>
              <w:t>30</w:t>
            </w:r>
            <w:r>
              <w:rPr>
                <w:rFonts w:hint="eastAsia" w:ascii="宋体" w:hAnsi="宋体" w:cs="Courier New"/>
                <w:b/>
                <w:sz w:val="21"/>
                <w:szCs w:val="21"/>
              </w:rPr>
              <w:t>%×100</w:t>
            </w:r>
          </w:p>
          <w:p>
            <w:pPr>
              <w:pStyle w:val="26"/>
              <w:snapToGrid w:val="0"/>
              <w:spacing w:line="240" w:lineRule="exact"/>
              <w:rPr>
                <w:rFonts w:ascii="宋体" w:hAnsi="宋体" w:cs="Courier New"/>
                <w:sz w:val="21"/>
                <w:szCs w:val="21"/>
              </w:rPr>
            </w:pPr>
            <w:r>
              <w:rPr>
                <w:rFonts w:hint="eastAsia" w:ascii="宋体" w:hAnsi="宋体" w:cs="Courier New"/>
                <w:sz w:val="21"/>
                <w:szCs w:val="21"/>
              </w:rPr>
              <w:t>备注：</w:t>
            </w:r>
          </w:p>
          <w:p>
            <w:pPr>
              <w:pStyle w:val="26"/>
              <w:snapToGrid w:val="0"/>
              <w:spacing w:line="240" w:lineRule="exact"/>
              <w:rPr>
                <w:rFonts w:ascii="宋体" w:hAnsi="宋体" w:cs="Courier New"/>
                <w:kern w:val="0"/>
                <w:sz w:val="21"/>
                <w:szCs w:val="21"/>
              </w:rPr>
            </w:pPr>
            <w:r>
              <w:rPr>
                <w:rFonts w:hint="eastAsia" w:ascii="宋体" w:hAnsi="宋体" w:cs="Courier New"/>
                <w:kern w:val="0"/>
                <w:sz w:val="21"/>
                <w:szCs w:val="21"/>
              </w:rPr>
              <w:t>1.投标价格评分采用低价优先法计算；</w:t>
            </w:r>
          </w:p>
          <w:p>
            <w:pPr>
              <w:pStyle w:val="26"/>
              <w:snapToGrid w:val="0"/>
              <w:spacing w:line="240" w:lineRule="exact"/>
              <w:rPr>
                <w:rFonts w:ascii="宋体" w:hAnsi="宋体" w:cs="Courier New"/>
                <w:kern w:val="0"/>
                <w:sz w:val="21"/>
                <w:szCs w:val="21"/>
              </w:rPr>
            </w:pPr>
            <w:r>
              <w:rPr>
                <w:rFonts w:hint="eastAsia" w:ascii="宋体" w:hAnsi="宋体" w:cs="Courier New"/>
                <w:kern w:val="0"/>
                <w:sz w:val="21"/>
                <w:szCs w:val="21"/>
              </w:rPr>
              <w:t>2.评标基准价：满足招标文件要求且经算术修正后的有效最低报价为评标基准价；</w:t>
            </w:r>
          </w:p>
          <w:p>
            <w:pPr>
              <w:pStyle w:val="26"/>
              <w:snapToGrid w:val="0"/>
              <w:spacing w:line="240" w:lineRule="exact"/>
              <w:rPr>
                <w:rFonts w:ascii="宋体" w:hAnsi="宋体" w:cs="Courier New"/>
                <w:b/>
                <w:sz w:val="21"/>
                <w:szCs w:val="21"/>
              </w:rPr>
            </w:pPr>
            <w:r>
              <w:rPr>
                <w:rFonts w:hint="eastAsia" w:ascii="宋体" w:hAnsi="宋体" w:cs="Courier New"/>
                <w:kern w:val="0"/>
                <w:sz w:val="21"/>
                <w:szCs w:val="21"/>
              </w:rPr>
              <w:t>3.投标报价：评标委员会以开标记录表中投标报价为基础，对其进行算术修正后，作为报价计算的依据。</w:t>
            </w:r>
          </w:p>
        </w:tc>
        <w:tc>
          <w:tcPr>
            <w:tcW w:w="1013" w:type="dxa"/>
            <w:shd w:val="clear" w:color="auto" w:fill="auto"/>
            <w:vAlign w:val="center"/>
          </w:tcPr>
          <w:p>
            <w:pPr>
              <w:pStyle w:val="26"/>
              <w:snapToGrid w:val="0"/>
              <w:spacing w:line="240" w:lineRule="exact"/>
              <w:jc w:val="center"/>
              <w:rPr>
                <w:rFonts w:ascii="宋体" w:hAnsi="宋体" w:cs="Courier New"/>
                <w:sz w:val="21"/>
                <w:szCs w:val="21"/>
              </w:rPr>
            </w:pPr>
            <w:r>
              <w:rPr>
                <w:rFonts w:hint="eastAsia" w:ascii="宋体" w:hAnsi="宋体" w:cs="Courier New"/>
                <w:sz w:val="21"/>
                <w:szCs w:val="21"/>
                <w:lang w:val="en-US" w:eastAsia="zh-CN"/>
              </w:rPr>
              <w:t>30</w:t>
            </w:r>
            <w:r>
              <w:rPr>
                <w:rFonts w:hint="eastAsia" w:ascii="宋体" w:hAnsi="宋体" w:cs="Courier New"/>
                <w:sz w:val="21"/>
                <w:szCs w:val="21"/>
              </w:rPr>
              <w:t>分</w:t>
            </w:r>
          </w:p>
        </w:tc>
        <w:tc>
          <w:tcPr>
            <w:tcW w:w="969" w:type="dxa"/>
            <w:shd w:val="clear" w:color="auto" w:fill="auto"/>
            <w:vAlign w:val="center"/>
          </w:tcPr>
          <w:p>
            <w:pPr>
              <w:pStyle w:val="26"/>
              <w:snapToGrid w:val="0"/>
              <w:spacing w:line="240" w:lineRule="exact"/>
              <w:jc w:val="center"/>
              <w:rPr>
                <w:rFonts w:ascii="宋体" w:hAnsi="宋体" w:cs="Courier New"/>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867" w:type="dxa"/>
            <w:gridSpan w:val="4"/>
            <w:shd w:val="clear" w:color="auto" w:fill="auto"/>
            <w:vAlign w:val="center"/>
          </w:tcPr>
          <w:p>
            <w:pPr>
              <w:pStyle w:val="26"/>
              <w:snapToGrid w:val="0"/>
              <w:spacing w:line="240" w:lineRule="exact"/>
              <w:rPr>
                <w:rFonts w:ascii="宋体" w:hAnsi="宋体" w:cs="Courier New"/>
                <w:b/>
                <w:sz w:val="21"/>
                <w:szCs w:val="21"/>
              </w:rPr>
            </w:pPr>
            <w:r>
              <w:rPr>
                <w:rFonts w:hint="eastAsia" w:ascii="宋体" w:hAnsi="宋体" w:cs="Courier New"/>
                <w:b/>
                <w:sz w:val="21"/>
                <w:szCs w:val="21"/>
              </w:rPr>
              <w:t>B：技术部分评分</w:t>
            </w:r>
            <w:r>
              <w:rPr>
                <w:rFonts w:hint="eastAsia" w:ascii="宋体" w:hAnsi="宋体" w:cs="Courier New"/>
                <w:b/>
                <w:sz w:val="21"/>
                <w:szCs w:val="21"/>
                <w:highlight w:val="none"/>
              </w:rPr>
              <w:t>（</w:t>
            </w:r>
            <w:r>
              <w:rPr>
                <w:rFonts w:hint="eastAsia" w:ascii="宋体" w:hAnsi="宋体" w:cs="Courier New"/>
                <w:b/>
                <w:sz w:val="21"/>
                <w:szCs w:val="21"/>
                <w:highlight w:val="none"/>
                <w:lang w:val="en-US" w:eastAsia="zh-CN"/>
              </w:rPr>
              <w:t>42</w:t>
            </w:r>
            <w:r>
              <w:rPr>
                <w:rFonts w:hint="eastAsia" w:ascii="宋体" w:hAnsi="宋体" w:cs="Courier New"/>
                <w:b/>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02" w:type="dxa"/>
            <w:shd w:val="clear" w:color="auto" w:fill="auto"/>
            <w:vAlign w:val="center"/>
          </w:tcPr>
          <w:p>
            <w:pPr>
              <w:pStyle w:val="172"/>
              <w:jc w:val="center"/>
              <w:rPr>
                <w:lang w:val="en-US"/>
              </w:rPr>
            </w:pPr>
            <w:r>
              <w:rPr>
                <w:rFonts w:hint="eastAsia"/>
                <w:szCs w:val="21"/>
              </w:rPr>
              <w:t>投标产品技术参数响应程度</w:t>
            </w:r>
          </w:p>
        </w:tc>
        <w:tc>
          <w:tcPr>
            <w:tcW w:w="5483" w:type="dxa"/>
            <w:shd w:val="clear" w:color="auto" w:fill="auto"/>
            <w:vAlign w:val="center"/>
          </w:tcPr>
          <w:p>
            <w:pPr>
              <w:spacing w:line="240" w:lineRule="exact"/>
              <w:jc w:val="left"/>
              <w:rPr>
                <w:lang w:val="zh-CN"/>
              </w:rPr>
            </w:pPr>
            <w:r>
              <w:rPr>
                <w:rFonts w:hint="eastAsia"/>
                <w:lang w:val="zh-CN"/>
              </w:rPr>
              <w:t>（</w:t>
            </w:r>
            <w:r>
              <w:rPr>
                <w:rFonts w:hint="eastAsia"/>
              </w:rPr>
              <w:t>1</w:t>
            </w:r>
            <w:r>
              <w:rPr>
                <w:rFonts w:hint="eastAsia"/>
                <w:lang w:val="zh-CN"/>
              </w:rPr>
              <w:t>）</w:t>
            </w:r>
            <w:r>
              <w:rPr>
                <w:rFonts w:hint="eastAsia"/>
              </w:rPr>
              <w:t>采购需求中</w:t>
            </w:r>
            <w:r>
              <w:rPr>
                <w:rFonts w:hint="eastAsia"/>
                <w:lang w:val="zh-CN"/>
              </w:rPr>
              <w:t>技术</w:t>
            </w:r>
            <w:r>
              <w:rPr>
                <w:rFonts w:hint="eastAsia"/>
              </w:rPr>
              <w:t>参数</w:t>
            </w:r>
            <w:r>
              <w:rPr>
                <w:rFonts w:hint="eastAsia"/>
                <w:lang w:val="zh-CN"/>
              </w:rPr>
              <w:t>要求无偏离的得</w:t>
            </w:r>
            <w:r>
              <w:rPr>
                <w:rFonts w:hint="eastAsia"/>
              </w:rPr>
              <w:t>20</w:t>
            </w:r>
            <w:r>
              <w:rPr>
                <w:rFonts w:hint="eastAsia"/>
                <w:lang w:val="zh-CN"/>
              </w:rPr>
              <w:t>分；</w:t>
            </w:r>
          </w:p>
          <w:p>
            <w:pPr>
              <w:spacing w:line="240" w:lineRule="exact"/>
              <w:jc w:val="left"/>
              <w:rPr>
                <w:lang w:val="zh-CN"/>
              </w:rPr>
            </w:pPr>
            <w:r>
              <w:rPr>
                <w:rFonts w:hint="eastAsia"/>
                <w:lang w:val="zh-CN"/>
              </w:rPr>
              <w:t>（</w:t>
            </w:r>
            <w:r>
              <w:rPr>
                <w:rFonts w:hint="eastAsia"/>
              </w:rPr>
              <w:t>2</w:t>
            </w:r>
            <w:r>
              <w:rPr>
                <w:rFonts w:hint="eastAsia"/>
                <w:lang w:val="zh-CN"/>
              </w:rPr>
              <w:t>）</w:t>
            </w:r>
            <w:r>
              <w:rPr>
                <w:rFonts w:hint="eastAsia"/>
              </w:rPr>
              <w:t>采购需求中</w:t>
            </w:r>
            <w:r>
              <w:rPr>
                <w:rFonts w:hint="eastAsia"/>
                <w:lang w:val="zh-CN"/>
              </w:rPr>
              <w:t>技术</w:t>
            </w:r>
            <w:r>
              <w:rPr>
                <w:rFonts w:hint="eastAsia"/>
              </w:rPr>
              <w:t>参数</w:t>
            </w:r>
            <w:r>
              <w:rPr>
                <w:rFonts w:hint="eastAsia"/>
                <w:lang w:val="zh-CN"/>
              </w:rPr>
              <w:t>要求</w:t>
            </w:r>
            <w:r>
              <w:rPr>
                <w:rFonts w:hint="eastAsia"/>
              </w:rPr>
              <w:t>优</w:t>
            </w:r>
            <w:r>
              <w:rPr>
                <w:rFonts w:hint="eastAsia"/>
                <w:lang w:val="zh-CN"/>
              </w:rPr>
              <w:t>于文件要求，每出现1条以上情形</w:t>
            </w:r>
            <w:r>
              <w:rPr>
                <w:rFonts w:hint="eastAsia"/>
              </w:rPr>
              <w:t>加0.5</w:t>
            </w:r>
            <w:r>
              <w:rPr>
                <w:rFonts w:hint="eastAsia"/>
                <w:lang w:val="zh-CN"/>
              </w:rPr>
              <w:t>分，</w:t>
            </w:r>
            <w:r>
              <w:rPr>
                <w:rFonts w:hint="eastAsia"/>
              </w:rPr>
              <w:t>最多加5分</w:t>
            </w:r>
            <w:r>
              <w:rPr>
                <w:rFonts w:hint="eastAsia"/>
                <w:lang w:eastAsia="zh-CN"/>
              </w:rPr>
              <w:t>；（</w:t>
            </w:r>
            <w:r>
              <w:rPr>
                <w:rFonts w:hint="eastAsia"/>
                <w:lang w:val="en-US" w:eastAsia="zh-CN"/>
              </w:rPr>
              <w:t>此两项评分</w:t>
            </w:r>
            <w:r>
              <w:rPr>
                <w:rFonts w:hint="eastAsia"/>
              </w:rPr>
              <w:t>最高得25分</w:t>
            </w:r>
            <w:r>
              <w:rPr>
                <w:rFonts w:hint="eastAsia"/>
                <w:lang w:val="zh-CN"/>
              </w:rPr>
              <w:t>）</w:t>
            </w:r>
          </w:p>
          <w:p>
            <w:pPr>
              <w:spacing w:line="240" w:lineRule="exact"/>
              <w:jc w:val="left"/>
              <w:rPr>
                <w:lang w:val="zh-CN"/>
              </w:rPr>
            </w:pPr>
            <w:r>
              <w:rPr>
                <w:rFonts w:hint="eastAsia"/>
                <w:lang w:val="zh-CN"/>
              </w:rPr>
              <w:t>（</w:t>
            </w:r>
            <w:r>
              <w:rPr>
                <w:rFonts w:hint="eastAsia"/>
              </w:rPr>
              <w:t>3</w:t>
            </w:r>
            <w:r>
              <w:rPr>
                <w:rFonts w:hint="eastAsia"/>
                <w:lang w:val="zh-CN"/>
              </w:rPr>
              <w:t>）</w:t>
            </w:r>
            <w:r>
              <w:rPr>
                <w:rFonts w:hint="eastAsia"/>
              </w:rPr>
              <w:t>采购需求中</w:t>
            </w:r>
            <w:r>
              <w:rPr>
                <w:rFonts w:hint="eastAsia"/>
                <w:lang w:val="zh-CN"/>
              </w:rPr>
              <w:t>技术</w:t>
            </w:r>
            <w:r>
              <w:rPr>
                <w:rFonts w:hint="eastAsia"/>
              </w:rPr>
              <w:t>参数</w:t>
            </w:r>
            <w:r>
              <w:rPr>
                <w:rFonts w:hint="eastAsia"/>
                <w:lang w:val="zh-CN"/>
              </w:rPr>
              <w:t>要求劣于文件要求、未做应答</w:t>
            </w:r>
            <w:r>
              <w:rPr>
                <w:rFonts w:hint="eastAsia"/>
              </w:rPr>
              <w:t>或缺漏项</w:t>
            </w:r>
            <w:r>
              <w:rPr>
                <w:rFonts w:hint="eastAsia"/>
                <w:lang w:val="zh-CN"/>
              </w:rPr>
              <w:t>不足</w:t>
            </w:r>
            <w:r>
              <w:rPr>
                <w:rFonts w:hint="eastAsia"/>
              </w:rPr>
              <w:t>30</w:t>
            </w:r>
            <w:r>
              <w:rPr>
                <w:rFonts w:hint="eastAsia"/>
                <w:lang w:val="zh-CN"/>
              </w:rPr>
              <w:t>条的，每出现1条以上情形减</w:t>
            </w:r>
            <w:r>
              <w:rPr>
                <w:rFonts w:hint="eastAsia"/>
              </w:rPr>
              <w:t>0.5</w:t>
            </w:r>
            <w:r>
              <w:rPr>
                <w:rFonts w:hint="eastAsia"/>
                <w:lang w:val="zh-CN"/>
              </w:rPr>
              <w:t>分；</w:t>
            </w:r>
          </w:p>
          <w:p>
            <w:pPr>
              <w:spacing w:line="240" w:lineRule="exact"/>
              <w:jc w:val="left"/>
              <w:rPr>
                <w:rFonts w:ascii="宋体" w:hAnsi="宋体" w:cs="Courier New"/>
                <w:b/>
                <w:bCs/>
                <w:szCs w:val="21"/>
              </w:rPr>
            </w:pPr>
            <w:r>
              <w:rPr>
                <w:rFonts w:hint="eastAsia"/>
                <w:lang w:val="zh-CN"/>
              </w:rPr>
              <w:t>（</w:t>
            </w:r>
            <w:r>
              <w:rPr>
                <w:rFonts w:hint="eastAsia"/>
              </w:rPr>
              <w:t>4</w:t>
            </w:r>
            <w:r>
              <w:rPr>
                <w:rFonts w:hint="eastAsia"/>
                <w:lang w:val="zh-CN"/>
              </w:rPr>
              <w:t>）</w:t>
            </w:r>
            <w:r>
              <w:rPr>
                <w:rFonts w:hint="eastAsia"/>
              </w:rPr>
              <w:t>采购需求中</w:t>
            </w:r>
            <w:r>
              <w:rPr>
                <w:rFonts w:hint="eastAsia"/>
                <w:lang w:val="zh-CN"/>
              </w:rPr>
              <w:t>技术</w:t>
            </w:r>
            <w:r>
              <w:rPr>
                <w:rFonts w:hint="eastAsia"/>
              </w:rPr>
              <w:t>参数</w:t>
            </w:r>
            <w:r>
              <w:rPr>
                <w:rFonts w:hint="eastAsia"/>
                <w:lang w:val="zh-CN"/>
              </w:rPr>
              <w:t>要求劣于文件要求或未做应答≥</w:t>
            </w:r>
            <w:r>
              <w:rPr>
                <w:rFonts w:hint="eastAsia"/>
              </w:rPr>
              <w:t>30</w:t>
            </w:r>
            <w:r>
              <w:rPr>
                <w:rFonts w:hint="eastAsia"/>
                <w:lang w:val="zh-CN"/>
              </w:rPr>
              <w:t>条的，本项得0分。</w:t>
            </w:r>
          </w:p>
        </w:tc>
        <w:tc>
          <w:tcPr>
            <w:tcW w:w="1013" w:type="dxa"/>
            <w:shd w:val="clear" w:color="auto" w:fill="auto"/>
            <w:vAlign w:val="center"/>
          </w:tcPr>
          <w:p>
            <w:pPr>
              <w:pStyle w:val="33"/>
              <w:snapToGrid w:val="0"/>
              <w:spacing w:line="240" w:lineRule="exact"/>
              <w:jc w:val="center"/>
              <w:rPr>
                <w:rFonts w:ascii="宋体" w:hAnsi="宋体" w:cs="宋体"/>
                <w:sz w:val="21"/>
                <w:szCs w:val="21"/>
              </w:rPr>
            </w:pPr>
            <w:r>
              <w:rPr>
                <w:rFonts w:hint="eastAsia" w:ascii="宋体" w:hAnsi="宋体" w:cs="宋体"/>
                <w:b w:val="0"/>
                <w:bCs w:val="0"/>
                <w:sz w:val="21"/>
                <w:szCs w:val="21"/>
              </w:rPr>
              <w:t>25分</w:t>
            </w:r>
          </w:p>
        </w:tc>
        <w:tc>
          <w:tcPr>
            <w:tcW w:w="969" w:type="dxa"/>
            <w:vMerge w:val="restart"/>
            <w:shd w:val="clear" w:color="auto" w:fill="auto"/>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402" w:type="dxa"/>
            <w:shd w:val="clear" w:color="auto" w:fill="auto"/>
            <w:vAlign w:val="center"/>
          </w:tcPr>
          <w:p>
            <w:pPr>
              <w:spacing w:line="240" w:lineRule="exact"/>
              <w:jc w:val="center"/>
              <w:rPr>
                <w:rFonts w:ascii="宋体" w:hAnsi="宋体" w:cs="宋体"/>
                <w:bCs/>
                <w:szCs w:val="21"/>
              </w:rPr>
            </w:pPr>
            <w:r>
              <w:rPr>
                <w:rFonts w:hint="eastAsia"/>
              </w:rPr>
              <w:t>环境标志产品</w:t>
            </w:r>
          </w:p>
        </w:tc>
        <w:tc>
          <w:tcPr>
            <w:tcW w:w="5483" w:type="dxa"/>
            <w:shd w:val="clear" w:color="auto" w:fill="auto"/>
            <w:vAlign w:val="center"/>
          </w:tcPr>
          <w:p>
            <w:pPr>
              <w:spacing w:line="240" w:lineRule="exact"/>
              <w:jc w:val="left"/>
            </w:pPr>
            <w:r>
              <w:rPr>
                <w:rFonts w:hint="eastAsia"/>
              </w:rPr>
              <w:t>按照《关于调整优化节能产品、环境标志产品政府采购执行机制的通知》（财库[2019]9号）及</w:t>
            </w:r>
            <w:r>
              <w:rPr>
                <w:rFonts w:hint="eastAsia" w:ascii="宋体" w:hAnsi="宋体" w:cs="Arial"/>
                <w:kern w:val="0"/>
                <w:szCs w:val="21"/>
              </w:rPr>
              <w:t>财政部、生态环境部《关于印发环境标志产品政府采购品目清单的通知》（财库[2019]18号文）</w:t>
            </w:r>
            <w:r>
              <w:rPr>
                <w:rFonts w:hint="eastAsia"/>
              </w:rPr>
              <w:t>判定，投标产品是否属于环境标志产品。</w:t>
            </w:r>
          </w:p>
          <w:p>
            <w:pPr>
              <w:spacing w:line="240" w:lineRule="exact"/>
              <w:jc w:val="left"/>
              <w:rPr>
                <w:rFonts w:hint="eastAsia" w:eastAsia="宋体"/>
                <w:lang w:eastAsia="zh-CN"/>
              </w:rPr>
            </w:pPr>
            <w:r>
              <w:rPr>
                <w:rFonts w:hint="eastAsia"/>
              </w:rPr>
              <w:t>（1）投标产品为1项的，且投标产品是环境标志产品的计</w:t>
            </w:r>
            <w:r>
              <w:rPr>
                <w:rFonts w:hint="eastAsia"/>
                <w:lang w:val="en-US" w:eastAsia="zh-CN"/>
              </w:rPr>
              <w:t>2</w:t>
            </w:r>
            <w:r>
              <w:rPr>
                <w:rFonts w:hint="eastAsia"/>
              </w:rPr>
              <w:t>分</w:t>
            </w:r>
            <w:r>
              <w:rPr>
                <w:rFonts w:hint="eastAsia"/>
                <w:lang w:eastAsia="zh-CN"/>
              </w:rPr>
              <w:t>；</w:t>
            </w:r>
          </w:p>
          <w:p>
            <w:pPr>
              <w:pStyle w:val="16"/>
              <w:rPr>
                <w:rFonts w:hint="eastAsia" w:eastAsia="宋体"/>
                <w:lang w:eastAsia="zh-CN"/>
              </w:rPr>
            </w:pPr>
            <w:r>
              <w:rPr>
                <w:rFonts w:hint="eastAsia"/>
              </w:rPr>
              <w:t>（2）投标产品为多项的，得分为环境标志产品价值权重×</w:t>
            </w:r>
            <w:r>
              <w:rPr>
                <w:rFonts w:hint="eastAsia"/>
                <w:lang w:val="en-US" w:eastAsia="zh-CN"/>
              </w:rPr>
              <w:t>2</w:t>
            </w:r>
            <w:r>
              <w:rPr>
                <w:rFonts w:hint="eastAsia"/>
              </w:rPr>
              <w:t>分（计算结果保留2位小数）</w:t>
            </w:r>
            <w:r>
              <w:rPr>
                <w:rFonts w:hint="eastAsia"/>
                <w:lang w:eastAsia="zh-CN"/>
              </w:rPr>
              <w:t>；</w:t>
            </w:r>
          </w:p>
          <w:p>
            <w:pPr>
              <w:spacing w:line="240" w:lineRule="exact"/>
              <w:jc w:val="left"/>
              <w:rPr>
                <w:rFonts w:hint="eastAsia" w:eastAsia="宋体"/>
                <w:lang w:eastAsia="zh-CN"/>
              </w:rPr>
            </w:pPr>
            <w:r>
              <w:rPr>
                <w:rFonts w:hint="eastAsia"/>
              </w:rPr>
              <w:t>（3）其他计0分</w:t>
            </w:r>
            <w:r>
              <w:rPr>
                <w:rFonts w:hint="eastAsia"/>
                <w:lang w:eastAsia="zh-CN"/>
              </w:rPr>
              <w:t>。</w:t>
            </w:r>
          </w:p>
          <w:p>
            <w:pPr>
              <w:spacing w:line="240" w:lineRule="exact"/>
              <w:jc w:val="left"/>
              <w:rPr>
                <w:rFonts w:ascii="宋体" w:hAnsi="宋体" w:cs="宋体"/>
                <w:bCs/>
                <w:szCs w:val="21"/>
              </w:rPr>
            </w:pPr>
            <w:r>
              <w:rPr>
                <w:rFonts w:hint="eastAsia"/>
              </w:rPr>
              <w:t>需提供采购文件“第六章 投标文件格式”中《附件16：政府采购政策情况表》</w:t>
            </w:r>
          </w:p>
        </w:tc>
        <w:tc>
          <w:tcPr>
            <w:tcW w:w="1013" w:type="dxa"/>
            <w:shd w:val="clear" w:color="auto" w:fill="auto"/>
            <w:vAlign w:val="center"/>
          </w:tcPr>
          <w:p>
            <w:pPr>
              <w:jc w:val="center"/>
              <w:rPr>
                <w:rFonts w:ascii="宋体" w:hAnsi="宋体" w:cs="宋体"/>
                <w:bCs/>
                <w:szCs w:val="21"/>
              </w:rPr>
            </w:pPr>
            <w:r>
              <w:rPr>
                <w:rFonts w:hint="eastAsia" w:ascii="宋体" w:hAnsi="宋体"/>
                <w:kern w:val="0"/>
                <w:szCs w:val="21"/>
                <w:lang w:val="en-US" w:eastAsia="zh-CN"/>
              </w:rPr>
              <w:t>2</w:t>
            </w:r>
            <w:r>
              <w:rPr>
                <w:rFonts w:hint="eastAsia" w:ascii="宋体" w:hAnsi="宋体"/>
                <w:kern w:val="0"/>
                <w:szCs w:val="21"/>
              </w:rPr>
              <w:t>分</w:t>
            </w:r>
          </w:p>
        </w:tc>
        <w:tc>
          <w:tcPr>
            <w:tcW w:w="969" w:type="dxa"/>
            <w:vMerge w:val="continue"/>
            <w:shd w:val="clear" w:color="auto" w:fill="auto"/>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402" w:type="dxa"/>
            <w:shd w:val="clear" w:color="auto" w:fill="auto"/>
            <w:vAlign w:val="center"/>
          </w:tcPr>
          <w:p>
            <w:pPr>
              <w:spacing w:line="240" w:lineRule="exact"/>
              <w:jc w:val="center"/>
              <w:rPr>
                <w:rFonts w:ascii="宋体" w:hAnsi="宋体" w:cs="宋体"/>
                <w:bCs/>
                <w:szCs w:val="21"/>
              </w:rPr>
            </w:pPr>
            <w:r>
              <w:rPr>
                <w:rFonts w:hint="eastAsia"/>
              </w:rPr>
              <w:t>非强制节能产品</w:t>
            </w:r>
          </w:p>
        </w:tc>
        <w:tc>
          <w:tcPr>
            <w:tcW w:w="5483" w:type="dxa"/>
            <w:shd w:val="clear" w:color="auto" w:fill="auto"/>
            <w:vAlign w:val="center"/>
          </w:tcPr>
          <w:p>
            <w:pPr>
              <w:spacing w:line="240" w:lineRule="exact"/>
              <w:jc w:val="left"/>
            </w:pPr>
            <w:r>
              <w:rPr>
                <w:rFonts w:hint="eastAsia"/>
              </w:rPr>
              <w:t>按照《关于调整优化节能产品、环境标志产品政府采购执行机制的通知》（财库[2019]9号）及财政部、发展改革委《关于印发节能产品政府采购品目清单的通知》（财库[2019]19号文）判定，投标产品是否属于节能产品。</w:t>
            </w:r>
          </w:p>
          <w:p>
            <w:pPr>
              <w:spacing w:line="240" w:lineRule="exact"/>
              <w:jc w:val="left"/>
              <w:rPr>
                <w:rFonts w:hint="eastAsia" w:eastAsia="宋体"/>
                <w:lang w:eastAsia="zh-CN"/>
              </w:rPr>
            </w:pPr>
            <w:r>
              <w:rPr>
                <w:rFonts w:hint="eastAsia"/>
              </w:rPr>
              <w:t>（1）投标产品为1项的，且投标产品是非强制采购节能产品的计</w:t>
            </w:r>
            <w:r>
              <w:rPr>
                <w:rFonts w:hint="eastAsia"/>
                <w:lang w:val="en-US" w:eastAsia="zh-CN"/>
              </w:rPr>
              <w:t>2</w:t>
            </w:r>
            <w:r>
              <w:rPr>
                <w:rFonts w:hint="eastAsia"/>
              </w:rPr>
              <w:t>分</w:t>
            </w:r>
            <w:r>
              <w:rPr>
                <w:rFonts w:hint="eastAsia"/>
                <w:lang w:eastAsia="zh-CN"/>
              </w:rPr>
              <w:t>；</w:t>
            </w:r>
          </w:p>
          <w:p>
            <w:pPr>
              <w:spacing w:line="240" w:lineRule="exact"/>
              <w:jc w:val="left"/>
              <w:rPr>
                <w:rFonts w:hint="eastAsia" w:eastAsia="宋体"/>
                <w:lang w:eastAsia="zh-CN"/>
              </w:rPr>
            </w:pPr>
            <w:r>
              <w:rPr>
                <w:rFonts w:hint="eastAsia"/>
              </w:rPr>
              <w:t>（2）投标产品为多项的，得分为非强制采购节能产品价值权重×</w:t>
            </w:r>
            <w:r>
              <w:rPr>
                <w:rFonts w:hint="eastAsia"/>
                <w:lang w:val="en-US" w:eastAsia="zh-CN"/>
              </w:rPr>
              <w:t>2</w:t>
            </w:r>
            <w:r>
              <w:rPr>
                <w:rFonts w:hint="eastAsia"/>
              </w:rPr>
              <w:t>分（计算结果保留2位小数）</w:t>
            </w:r>
            <w:r>
              <w:rPr>
                <w:rFonts w:hint="eastAsia"/>
                <w:lang w:eastAsia="zh-CN"/>
              </w:rPr>
              <w:t>；</w:t>
            </w:r>
          </w:p>
          <w:p>
            <w:pPr>
              <w:spacing w:line="240" w:lineRule="exact"/>
              <w:jc w:val="left"/>
            </w:pPr>
            <w:r>
              <w:rPr>
                <w:rFonts w:hint="eastAsia"/>
              </w:rPr>
              <w:t>（3）其他计0分。</w:t>
            </w:r>
          </w:p>
          <w:p>
            <w:pPr>
              <w:spacing w:line="240" w:lineRule="exact"/>
              <w:jc w:val="left"/>
              <w:rPr>
                <w:rFonts w:ascii="宋体" w:hAnsi="宋体" w:cs="宋体"/>
                <w:bCs/>
                <w:szCs w:val="21"/>
              </w:rPr>
            </w:pPr>
            <w:r>
              <w:rPr>
                <w:rFonts w:hint="eastAsia"/>
              </w:rPr>
              <w:t>需提供采购文件“第六章 投标文件格式”中《附件16：政府采购政策情况表》</w:t>
            </w:r>
          </w:p>
        </w:tc>
        <w:tc>
          <w:tcPr>
            <w:tcW w:w="1013" w:type="dxa"/>
            <w:shd w:val="clear" w:color="auto" w:fill="auto"/>
            <w:vAlign w:val="center"/>
          </w:tcPr>
          <w:p>
            <w:pPr>
              <w:jc w:val="center"/>
              <w:rPr>
                <w:rFonts w:ascii="宋体" w:hAnsi="宋体" w:cs="宋体"/>
                <w:bCs/>
                <w:szCs w:val="21"/>
              </w:rPr>
            </w:pPr>
            <w:r>
              <w:rPr>
                <w:rFonts w:hint="eastAsia" w:ascii="宋体" w:hAnsi="宋体"/>
                <w:kern w:val="0"/>
                <w:szCs w:val="21"/>
                <w:lang w:val="en-US" w:eastAsia="zh-CN"/>
              </w:rPr>
              <w:t>2</w:t>
            </w:r>
            <w:r>
              <w:rPr>
                <w:rFonts w:hint="eastAsia" w:ascii="宋体" w:hAnsi="宋体"/>
                <w:kern w:val="0"/>
                <w:szCs w:val="21"/>
              </w:rPr>
              <w:t>分</w:t>
            </w:r>
          </w:p>
        </w:tc>
        <w:tc>
          <w:tcPr>
            <w:tcW w:w="969" w:type="dxa"/>
            <w:vMerge w:val="continue"/>
            <w:shd w:val="clear" w:color="auto" w:fill="auto"/>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402" w:type="dxa"/>
            <w:shd w:val="clear" w:color="auto" w:fill="auto"/>
            <w:vAlign w:val="center"/>
          </w:tcPr>
          <w:p>
            <w:pPr>
              <w:pStyle w:val="26"/>
              <w:snapToGrid w:val="0"/>
              <w:spacing w:line="240" w:lineRule="exact"/>
              <w:jc w:val="center"/>
              <w:rPr>
                <w:rFonts w:ascii="宋体" w:hAnsi="宋体" w:cs="宋体"/>
                <w:bCs/>
                <w:sz w:val="21"/>
                <w:szCs w:val="21"/>
              </w:rPr>
            </w:pPr>
            <w:r>
              <w:rPr>
                <w:rFonts w:hint="eastAsia" w:ascii="宋体" w:hAnsi="宋体" w:cs="宋体"/>
                <w:bCs/>
                <w:sz w:val="21"/>
                <w:szCs w:val="21"/>
              </w:rPr>
              <w:t>实施方案评价</w:t>
            </w:r>
          </w:p>
        </w:tc>
        <w:tc>
          <w:tcPr>
            <w:tcW w:w="5483" w:type="dxa"/>
            <w:shd w:val="clear" w:color="auto" w:fill="auto"/>
            <w:vAlign w:val="center"/>
          </w:tcPr>
          <w:p>
            <w:pPr>
              <w:widowControl/>
              <w:snapToGrid w:val="0"/>
              <w:rPr>
                <w:rFonts w:ascii="宋体" w:hAnsi="宋体" w:cs="宋体"/>
                <w:bCs/>
                <w:szCs w:val="21"/>
              </w:rPr>
            </w:pPr>
            <w:r>
              <w:rPr>
                <w:rFonts w:hint="eastAsia" w:ascii="宋体" w:hAnsi="宋体" w:cs="宋体"/>
                <w:bCs/>
                <w:szCs w:val="21"/>
              </w:rPr>
              <w:t>针对本项目特性，根据投标单位对本项目的理解制定实施方案（包括运输、供货、安装及调试以及工作时间进度表、工作程序和步骤、管理和协调方法、关键步骤的思路和重点要点等）的描述。</w:t>
            </w:r>
          </w:p>
          <w:p>
            <w:pPr>
              <w:widowControl/>
              <w:snapToGrid w:val="0"/>
              <w:rPr>
                <w:rFonts w:ascii="宋体" w:hAnsi="宋体" w:cs="宋体"/>
                <w:bCs/>
                <w:szCs w:val="21"/>
              </w:rPr>
            </w:pPr>
            <w:r>
              <w:rPr>
                <w:rFonts w:hint="eastAsia" w:ascii="宋体" w:hAnsi="宋体" w:cs="宋体"/>
                <w:bCs/>
                <w:szCs w:val="21"/>
              </w:rPr>
              <w:t>（1）实施方案全面、详细、完全满足采购需求的计</w:t>
            </w:r>
            <w:r>
              <w:rPr>
                <w:rFonts w:hint="eastAsia" w:ascii="宋体" w:hAnsi="宋体" w:cs="宋体"/>
                <w:bCs/>
                <w:szCs w:val="21"/>
                <w:lang w:val="en-US" w:eastAsia="zh-CN"/>
              </w:rPr>
              <w:t>7</w:t>
            </w:r>
            <w:r>
              <w:rPr>
                <w:rFonts w:hint="eastAsia" w:ascii="宋体" w:hAnsi="宋体" w:cs="宋体"/>
                <w:bCs/>
                <w:szCs w:val="21"/>
              </w:rPr>
              <w:t>分；</w:t>
            </w:r>
          </w:p>
          <w:p>
            <w:pPr>
              <w:widowControl/>
              <w:snapToGrid w:val="0"/>
              <w:rPr>
                <w:rFonts w:ascii="宋体" w:hAnsi="宋体" w:cs="宋体"/>
                <w:bCs/>
                <w:szCs w:val="21"/>
              </w:rPr>
            </w:pPr>
            <w:r>
              <w:rPr>
                <w:rFonts w:hint="eastAsia" w:ascii="宋体" w:hAnsi="宋体" w:cs="宋体"/>
                <w:bCs/>
                <w:szCs w:val="21"/>
              </w:rPr>
              <w:t>（2）满足招标文件要求，但内容存在1处瑕疵的计</w:t>
            </w:r>
            <w:r>
              <w:rPr>
                <w:rFonts w:hint="eastAsia" w:ascii="宋体" w:hAnsi="宋体" w:cs="宋体"/>
                <w:bCs/>
                <w:szCs w:val="21"/>
                <w:lang w:val="en-US" w:eastAsia="zh-CN"/>
              </w:rPr>
              <w:t>5</w:t>
            </w:r>
            <w:r>
              <w:rPr>
                <w:rFonts w:hint="eastAsia" w:ascii="宋体" w:hAnsi="宋体" w:cs="宋体"/>
                <w:bCs/>
                <w:szCs w:val="21"/>
              </w:rPr>
              <w:t>分；</w:t>
            </w:r>
          </w:p>
          <w:p>
            <w:pPr>
              <w:widowControl/>
              <w:snapToGrid w:val="0"/>
              <w:rPr>
                <w:rFonts w:ascii="宋体" w:hAnsi="宋体" w:cs="宋体"/>
                <w:bCs/>
                <w:szCs w:val="21"/>
              </w:rPr>
            </w:pPr>
            <w:r>
              <w:rPr>
                <w:rFonts w:hint="eastAsia" w:ascii="宋体" w:hAnsi="宋体" w:cs="宋体"/>
                <w:bCs/>
                <w:szCs w:val="21"/>
              </w:rPr>
              <w:t>（3）满足招标文件要求，但内容存在2处瑕疵的计</w:t>
            </w:r>
            <w:r>
              <w:rPr>
                <w:rFonts w:hint="eastAsia" w:ascii="宋体" w:hAnsi="宋体" w:cs="宋体"/>
                <w:bCs/>
                <w:szCs w:val="21"/>
                <w:lang w:val="en-US" w:eastAsia="zh-CN"/>
              </w:rPr>
              <w:t>3</w:t>
            </w:r>
            <w:r>
              <w:rPr>
                <w:rFonts w:hint="eastAsia" w:ascii="宋体" w:hAnsi="宋体" w:cs="宋体"/>
                <w:bCs/>
                <w:szCs w:val="21"/>
              </w:rPr>
              <w:t>分；</w:t>
            </w:r>
          </w:p>
          <w:p>
            <w:pPr>
              <w:spacing w:line="240" w:lineRule="exact"/>
              <w:jc w:val="left"/>
              <w:rPr>
                <w:rFonts w:ascii="宋体" w:hAnsi="宋体" w:cs="Courier New"/>
                <w:bCs/>
                <w:szCs w:val="21"/>
                <w:highlight w:val="green"/>
              </w:rPr>
            </w:pPr>
            <w:r>
              <w:rPr>
                <w:rFonts w:hint="eastAsia" w:ascii="宋体" w:hAnsi="宋体" w:cs="宋体"/>
                <w:bCs/>
                <w:szCs w:val="21"/>
              </w:rPr>
              <w:t>（4）其他计0分。</w:t>
            </w:r>
          </w:p>
        </w:tc>
        <w:tc>
          <w:tcPr>
            <w:tcW w:w="1013" w:type="dxa"/>
            <w:shd w:val="clear" w:color="auto" w:fill="auto"/>
            <w:vAlign w:val="center"/>
          </w:tcPr>
          <w:p>
            <w:pPr>
              <w:pStyle w:val="26"/>
              <w:snapToGrid w:val="0"/>
              <w:spacing w:line="280" w:lineRule="exact"/>
              <w:jc w:val="center"/>
            </w:pPr>
            <w:r>
              <w:rPr>
                <w:rFonts w:hint="eastAsia" w:ascii="宋体" w:hAnsi="宋体" w:cs="宋体"/>
                <w:bCs/>
                <w:sz w:val="21"/>
                <w:szCs w:val="21"/>
                <w:lang w:val="en-US" w:eastAsia="zh-CN"/>
              </w:rPr>
              <w:t>7</w:t>
            </w:r>
            <w:r>
              <w:rPr>
                <w:rFonts w:hint="eastAsia" w:ascii="宋体" w:hAnsi="宋体" w:cs="宋体"/>
                <w:bCs/>
                <w:sz w:val="21"/>
                <w:szCs w:val="21"/>
              </w:rPr>
              <w:t>分</w:t>
            </w:r>
          </w:p>
        </w:tc>
        <w:tc>
          <w:tcPr>
            <w:tcW w:w="969" w:type="dxa"/>
            <w:vMerge w:val="continue"/>
            <w:shd w:val="clear" w:color="auto" w:fill="auto"/>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402" w:type="dxa"/>
            <w:vMerge w:val="restart"/>
            <w:shd w:val="clear" w:color="auto" w:fill="auto"/>
            <w:vAlign w:val="center"/>
          </w:tcPr>
          <w:p>
            <w:pPr>
              <w:pStyle w:val="26"/>
              <w:snapToGrid w:val="0"/>
              <w:spacing w:line="240" w:lineRule="exact"/>
              <w:jc w:val="center"/>
              <w:rPr>
                <w:rFonts w:hint="eastAsia" w:ascii="宋体" w:hAnsi="宋体" w:cs="宋体"/>
                <w:bCs/>
                <w:color w:val="auto"/>
                <w:sz w:val="21"/>
                <w:szCs w:val="21"/>
              </w:rPr>
            </w:pPr>
            <w:r>
              <w:rPr>
                <w:rFonts w:hint="eastAsia" w:ascii="宋体" w:hAnsi="宋体" w:eastAsia="宋体" w:cs="宋体"/>
                <w:bCs/>
                <w:color w:val="auto"/>
                <w:sz w:val="21"/>
                <w:szCs w:val="21"/>
                <w:lang w:val="en-US" w:eastAsia="zh-CN"/>
              </w:rPr>
              <w:t>系统安全衔接</w:t>
            </w:r>
          </w:p>
        </w:tc>
        <w:tc>
          <w:tcPr>
            <w:tcW w:w="54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cs="宋体"/>
                <w:bCs/>
                <w:color w:val="auto"/>
                <w:szCs w:val="21"/>
                <w:lang w:val="en-US" w:eastAsia="zh-CN"/>
              </w:rPr>
            </w:pPr>
            <w:r>
              <w:rPr>
                <w:rFonts w:hint="eastAsia" w:ascii="宋体" w:hAnsi="宋体" w:eastAsia="宋体" w:cs="宋体"/>
                <w:color w:val="auto"/>
                <w:sz w:val="21"/>
                <w:szCs w:val="21"/>
                <w:lang w:val="en-US" w:eastAsia="zh-CN"/>
              </w:rPr>
              <w:t>针对本项目特性，根据投标单位对本项目的理解，</w:t>
            </w:r>
            <w:r>
              <w:rPr>
                <w:rFonts w:hint="eastAsia" w:ascii="宋体" w:hAnsi="宋体" w:cs="宋体"/>
                <w:bCs/>
                <w:color w:val="auto"/>
                <w:szCs w:val="21"/>
              </w:rPr>
              <w:t>制定</w:t>
            </w:r>
            <w:r>
              <w:rPr>
                <w:rFonts w:hint="eastAsia" w:ascii="宋体" w:hAnsi="宋体" w:cs="宋体"/>
                <w:bCs/>
                <w:color w:val="auto"/>
                <w:szCs w:val="21"/>
                <w:lang w:val="en-US" w:eastAsia="zh-CN"/>
              </w:rPr>
              <w:t>系统安全衔接方案。</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（1）方案充分阐述设备、软件与其他各相关系统之前的衔接与整合，</w:t>
            </w:r>
            <w:r>
              <w:rPr>
                <w:rFonts w:hint="eastAsia" w:ascii="宋体" w:hAnsi="宋体" w:eastAsia="宋体" w:cs="宋体"/>
                <w:color w:val="auto"/>
                <w:sz w:val="21"/>
                <w:szCs w:val="21"/>
              </w:rPr>
              <w:t>特别是对本项目的建设与现有系统以及其它各相关系统之间的衔接，并考虑系统的扩展和延伸能力，以及投标产品与采购人原有设备的有机结合、无缝连接和互通互联等方面情况，</w:t>
            </w:r>
            <w:r>
              <w:rPr>
                <w:rFonts w:hint="eastAsia" w:ascii="宋体" w:hAnsi="宋体" w:eastAsia="宋体" w:cs="宋体"/>
                <w:color w:val="auto"/>
                <w:sz w:val="21"/>
                <w:szCs w:val="21"/>
                <w:lang w:val="en-US" w:eastAsia="zh-CN"/>
              </w:rPr>
              <w:t>制定系统安全衔接方案。方案全面、详细、</w:t>
            </w:r>
            <w:r>
              <w:rPr>
                <w:rFonts w:hint="eastAsia" w:ascii="宋体" w:hAnsi="宋体" w:eastAsia="宋体" w:cs="宋体"/>
                <w:color w:val="auto"/>
                <w:sz w:val="21"/>
                <w:szCs w:val="21"/>
              </w:rPr>
              <w:t>安全、</w:t>
            </w:r>
            <w:r>
              <w:rPr>
                <w:rFonts w:hint="eastAsia" w:ascii="宋体" w:hAnsi="宋体" w:eastAsia="宋体" w:cs="宋体"/>
                <w:color w:val="auto"/>
                <w:sz w:val="21"/>
                <w:szCs w:val="21"/>
                <w:lang w:val="en-US" w:eastAsia="zh-CN"/>
              </w:rPr>
              <w:t>完全满足采购需求的计4</w:t>
            </w:r>
            <w:r>
              <w:rPr>
                <w:rFonts w:hint="eastAsia" w:ascii="宋体" w:hAnsi="宋体" w:eastAsia="宋体" w:cs="宋体"/>
                <w:color w:val="auto"/>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方案</w:t>
            </w:r>
            <w:r>
              <w:rPr>
                <w:rFonts w:hint="eastAsia" w:ascii="宋体" w:hAnsi="宋体" w:eastAsia="宋体" w:cs="宋体"/>
                <w:color w:val="auto"/>
                <w:sz w:val="21"/>
                <w:szCs w:val="21"/>
                <w:lang w:val="en-US" w:eastAsia="zh-CN"/>
              </w:rPr>
              <w:t>较为</w:t>
            </w:r>
            <w:r>
              <w:rPr>
                <w:rFonts w:hint="eastAsia" w:ascii="宋体" w:hAnsi="宋体" w:eastAsia="宋体" w:cs="宋体"/>
                <w:color w:val="auto"/>
                <w:sz w:val="21"/>
                <w:szCs w:val="21"/>
              </w:rPr>
              <w:t>科学</w:t>
            </w:r>
            <w:r>
              <w:rPr>
                <w:rFonts w:hint="eastAsia" w:ascii="宋体" w:hAnsi="宋体" w:eastAsia="宋体" w:cs="宋体"/>
                <w:color w:val="auto"/>
                <w:sz w:val="21"/>
                <w:szCs w:val="21"/>
                <w:lang w:val="en-US" w:eastAsia="zh-CN"/>
              </w:rPr>
              <w:t>较为</w:t>
            </w:r>
            <w:r>
              <w:rPr>
                <w:rFonts w:hint="eastAsia" w:ascii="宋体" w:hAnsi="宋体" w:eastAsia="宋体" w:cs="宋体"/>
                <w:color w:val="auto"/>
                <w:sz w:val="21"/>
                <w:szCs w:val="21"/>
              </w:rPr>
              <w:t>完善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但未充分考虑到</w:t>
            </w:r>
            <w:r>
              <w:rPr>
                <w:rFonts w:hint="eastAsia" w:ascii="宋体" w:hAnsi="宋体" w:eastAsia="宋体" w:cs="宋体"/>
                <w:color w:val="auto"/>
                <w:sz w:val="21"/>
                <w:szCs w:val="21"/>
              </w:rPr>
              <w:t>本项目的建设与现有系统以及其它各相关系统之间的衔接，并考虑系统的扩展和延伸能力，以及投标产品与采购人原有设备的有机结合、无缝连接和互通互联等方面考虑情况</w:t>
            </w:r>
            <w:r>
              <w:rPr>
                <w:rFonts w:hint="eastAsia" w:ascii="宋体" w:hAnsi="宋体" w:eastAsia="宋体" w:cs="宋体"/>
                <w:color w:val="auto"/>
                <w:sz w:val="21"/>
                <w:szCs w:val="21"/>
                <w:lang w:val="en-US" w:eastAsia="zh-CN"/>
              </w:rPr>
              <w:t>的计</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cs="宋体"/>
                <w:bCs/>
                <w:color w:val="auto"/>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其他计</w:t>
            </w:r>
            <w:r>
              <w:rPr>
                <w:rFonts w:hint="eastAsia" w:ascii="宋体" w:hAnsi="宋体" w:eastAsia="宋体" w:cs="宋体"/>
                <w:color w:val="auto"/>
                <w:sz w:val="21"/>
                <w:szCs w:val="21"/>
              </w:rPr>
              <w:t>0分</w:t>
            </w:r>
            <w:r>
              <w:rPr>
                <w:rFonts w:hint="eastAsia" w:ascii="宋体" w:hAnsi="宋体" w:eastAsia="宋体" w:cs="宋体"/>
                <w:color w:val="auto"/>
                <w:sz w:val="21"/>
                <w:szCs w:val="21"/>
                <w:lang w:eastAsia="zh-CN"/>
              </w:rPr>
              <w:t>。</w:t>
            </w:r>
          </w:p>
        </w:tc>
        <w:tc>
          <w:tcPr>
            <w:tcW w:w="1013" w:type="dxa"/>
            <w:shd w:val="clear" w:color="auto" w:fill="auto"/>
            <w:vAlign w:val="center"/>
          </w:tcPr>
          <w:p>
            <w:pPr>
              <w:pStyle w:val="26"/>
              <w:snapToGrid w:val="0"/>
              <w:spacing w:line="280" w:lineRule="exact"/>
              <w:jc w:val="center"/>
              <w:rPr>
                <w:rFonts w:hint="default" w:ascii="宋体" w:hAnsi="宋体" w:cs="宋体"/>
                <w:bCs/>
                <w:sz w:val="21"/>
                <w:szCs w:val="21"/>
                <w:lang w:val="en-US" w:eastAsia="zh-CN"/>
              </w:rPr>
            </w:pPr>
            <w:r>
              <w:rPr>
                <w:rFonts w:hint="eastAsia" w:ascii="宋体" w:hAnsi="宋体" w:cs="宋体"/>
                <w:bCs/>
                <w:sz w:val="21"/>
                <w:szCs w:val="21"/>
                <w:lang w:val="en-US" w:eastAsia="zh-CN"/>
              </w:rPr>
              <w:t>4分</w:t>
            </w:r>
          </w:p>
        </w:tc>
        <w:tc>
          <w:tcPr>
            <w:tcW w:w="969" w:type="dxa"/>
            <w:vMerge w:val="continue"/>
            <w:shd w:val="clear" w:color="auto" w:fill="auto"/>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402" w:type="dxa"/>
            <w:vMerge w:val="continue"/>
            <w:shd w:val="clear" w:color="auto" w:fill="auto"/>
            <w:vAlign w:val="center"/>
          </w:tcPr>
          <w:p>
            <w:pPr>
              <w:pStyle w:val="26"/>
              <w:snapToGrid w:val="0"/>
              <w:spacing w:line="240" w:lineRule="exact"/>
              <w:jc w:val="center"/>
              <w:rPr>
                <w:rFonts w:hint="eastAsia" w:ascii="宋体" w:hAnsi="宋体" w:eastAsia="宋体" w:cs="宋体"/>
                <w:bCs/>
                <w:color w:val="auto"/>
                <w:sz w:val="21"/>
                <w:szCs w:val="21"/>
                <w:lang w:val="en-US" w:eastAsia="zh-CN"/>
              </w:rPr>
            </w:pPr>
          </w:p>
        </w:tc>
        <w:tc>
          <w:tcPr>
            <w:tcW w:w="5483"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bCs/>
                <w:sz w:val="21"/>
                <w:szCs w:val="21"/>
                <w:highlight w:val="none"/>
              </w:rPr>
              <w:t>满足招标文件要求，</w:t>
            </w:r>
            <w:r>
              <w:rPr>
                <w:rFonts w:hint="eastAsia" w:ascii="宋体" w:hAnsi="宋体" w:eastAsia="宋体" w:cs="宋体"/>
                <w:color w:val="auto"/>
                <w:sz w:val="21"/>
                <w:szCs w:val="21"/>
                <w:lang w:val="en-US" w:eastAsia="zh-CN"/>
              </w:rPr>
              <w:t>投标人能提供</w:t>
            </w:r>
            <w:r>
              <w:rPr>
                <w:rFonts w:hint="eastAsia" w:ascii="宋体" w:hAnsi="宋体" w:eastAsia="宋体" w:cs="宋体"/>
                <w:color w:val="auto"/>
                <w:sz w:val="21"/>
                <w:szCs w:val="21"/>
              </w:rPr>
              <w:t>电子口岸或数据中心接入能力证明材料</w:t>
            </w:r>
            <w:r>
              <w:rPr>
                <w:rFonts w:hint="eastAsia" w:ascii="宋体" w:hAnsi="宋体" w:eastAsia="宋体" w:cs="宋体"/>
                <w:color w:val="auto"/>
                <w:sz w:val="21"/>
                <w:szCs w:val="21"/>
                <w:lang w:val="en-US" w:eastAsia="zh-CN"/>
              </w:rPr>
              <w:t>的计2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tc>
        <w:tc>
          <w:tcPr>
            <w:tcW w:w="1013" w:type="dxa"/>
            <w:shd w:val="clear" w:color="auto" w:fill="auto"/>
            <w:vAlign w:val="center"/>
          </w:tcPr>
          <w:p>
            <w:pPr>
              <w:pStyle w:val="26"/>
              <w:snapToGrid w:val="0"/>
              <w:spacing w:line="280" w:lineRule="exact"/>
              <w:jc w:val="center"/>
              <w:rPr>
                <w:rFonts w:hint="default" w:ascii="宋体" w:hAnsi="宋体" w:cs="宋体"/>
                <w:bCs/>
                <w:sz w:val="21"/>
                <w:szCs w:val="21"/>
                <w:lang w:val="en-US" w:eastAsia="zh-CN"/>
              </w:rPr>
            </w:pPr>
            <w:r>
              <w:rPr>
                <w:rFonts w:hint="eastAsia" w:ascii="宋体" w:hAnsi="宋体" w:cs="宋体"/>
                <w:bCs/>
                <w:sz w:val="21"/>
                <w:szCs w:val="21"/>
                <w:lang w:val="en-US" w:eastAsia="zh-CN"/>
              </w:rPr>
              <w:t>2分</w:t>
            </w:r>
          </w:p>
        </w:tc>
        <w:tc>
          <w:tcPr>
            <w:tcW w:w="969" w:type="dxa"/>
            <w:vMerge w:val="continue"/>
            <w:shd w:val="clear" w:color="auto" w:fill="auto"/>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867" w:type="dxa"/>
            <w:gridSpan w:val="4"/>
            <w:shd w:val="clear" w:color="auto" w:fill="auto"/>
            <w:vAlign w:val="center"/>
          </w:tcPr>
          <w:p>
            <w:pPr>
              <w:pStyle w:val="26"/>
              <w:snapToGrid w:val="0"/>
              <w:spacing w:line="240" w:lineRule="exact"/>
              <w:rPr>
                <w:rFonts w:ascii="宋体" w:hAnsi="宋体" w:cs="Courier New"/>
                <w:b/>
                <w:sz w:val="21"/>
                <w:szCs w:val="21"/>
              </w:rPr>
            </w:pPr>
            <w:r>
              <w:rPr>
                <w:rFonts w:hint="eastAsia" w:ascii="宋体" w:hAnsi="宋体" w:cs="Courier New"/>
                <w:b/>
                <w:sz w:val="21"/>
                <w:szCs w:val="21"/>
              </w:rPr>
              <w:t>B：商务部分评分</w:t>
            </w:r>
            <w:r>
              <w:rPr>
                <w:rFonts w:hint="eastAsia" w:ascii="宋体" w:hAnsi="宋体" w:cs="Courier New"/>
                <w:b/>
                <w:sz w:val="21"/>
                <w:szCs w:val="21"/>
                <w:highlight w:val="none"/>
              </w:rPr>
              <w:t>（</w:t>
            </w:r>
            <w:r>
              <w:rPr>
                <w:rFonts w:hint="eastAsia" w:ascii="宋体" w:hAnsi="宋体" w:cs="Courier New"/>
                <w:b/>
                <w:sz w:val="21"/>
                <w:szCs w:val="21"/>
                <w:highlight w:val="none"/>
                <w:lang w:val="en-US" w:eastAsia="zh-CN"/>
              </w:rPr>
              <w:t>28</w:t>
            </w:r>
            <w:r>
              <w:rPr>
                <w:rFonts w:hint="eastAsia" w:ascii="宋体" w:hAnsi="宋体" w:cs="Courier New"/>
                <w:b/>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402" w:type="dxa"/>
            <w:shd w:val="clear" w:color="auto" w:fill="auto"/>
            <w:vAlign w:val="center"/>
          </w:tcPr>
          <w:p>
            <w:pPr>
              <w:pStyle w:val="26"/>
              <w:snapToGrid w:val="0"/>
              <w:spacing w:line="240" w:lineRule="exact"/>
              <w:jc w:val="center"/>
              <w:rPr>
                <w:rFonts w:ascii="宋体" w:hAnsi="宋体" w:cs="宋体"/>
                <w:bCs/>
                <w:sz w:val="21"/>
                <w:szCs w:val="21"/>
              </w:rPr>
            </w:pPr>
            <w:r>
              <w:rPr>
                <w:rFonts w:hint="eastAsia" w:ascii="宋体" w:hAnsi="宋体" w:cs="宋体"/>
                <w:bCs/>
                <w:sz w:val="21"/>
                <w:szCs w:val="21"/>
              </w:rPr>
              <w:t>售后服务方案评价</w:t>
            </w:r>
          </w:p>
        </w:tc>
        <w:tc>
          <w:tcPr>
            <w:tcW w:w="5483" w:type="dxa"/>
            <w:shd w:val="clear" w:color="auto" w:fill="auto"/>
            <w:vAlign w:val="center"/>
          </w:tcPr>
          <w:p>
            <w:pPr>
              <w:pStyle w:val="26"/>
              <w:snapToGrid w:val="0"/>
              <w:spacing w:line="240" w:lineRule="exact"/>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满足招标文件要求，接服务咨询后</w:t>
            </w:r>
            <w:r>
              <w:rPr>
                <w:rFonts w:hint="eastAsia" w:ascii="宋体" w:hAnsi="宋体" w:eastAsia="宋体" w:cs="宋体"/>
                <w:bCs/>
                <w:sz w:val="21"/>
                <w:szCs w:val="21"/>
                <w:highlight w:val="none"/>
                <w:lang w:val="en-US" w:eastAsia="zh-CN"/>
              </w:rPr>
              <w:t>半个</w:t>
            </w:r>
            <w:r>
              <w:rPr>
                <w:rFonts w:hint="eastAsia" w:ascii="宋体" w:hAnsi="宋体" w:eastAsia="宋体" w:cs="宋体"/>
                <w:bCs/>
                <w:sz w:val="21"/>
                <w:szCs w:val="21"/>
                <w:highlight w:val="none"/>
              </w:rPr>
              <w:t>小时响应，</w:t>
            </w:r>
            <w:r>
              <w:rPr>
                <w:rFonts w:hint="eastAsia" w:ascii="宋体" w:hAnsi="宋体" w:eastAsia="宋体" w:cs="宋体"/>
                <w:bCs/>
                <w:sz w:val="21"/>
                <w:szCs w:val="21"/>
                <w:highlight w:val="none"/>
                <w:lang w:val="en-US" w:eastAsia="zh-CN"/>
              </w:rPr>
              <w:t>4个小时技术人员能到达现场，8个</w:t>
            </w:r>
            <w:r>
              <w:rPr>
                <w:rFonts w:hint="eastAsia" w:ascii="宋体" w:hAnsi="宋体" w:eastAsia="宋体" w:cs="宋体"/>
                <w:bCs/>
                <w:sz w:val="21"/>
                <w:szCs w:val="21"/>
                <w:highlight w:val="none"/>
              </w:rPr>
              <w:t>小时</w:t>
            </w:r>
            <w:r>
              <w:rPr>
                <w:rFonts w:hint="eastAsia" w:ascii="宋体" w:hAnsi="宋体" w:eastAsia="宋体" w:cs="宋体"/>
                <w:bCs/>
                <w:sz w:val="21"/>
                <w:szCs w:val="21"/>
                <w:highlight w:val="none"/>
                <w:lang w:val="en-US" w:eastAsia="zh-CN"/>
              </w:rPr>
              <w:t>解决</w:t>
            </w:r>
            <w:r>
              <w:rPr>
                <w:rFonts w:hint="eastAsia" w:ascii="宋体" w:hAnsi="宋体" w:eastAsia="宋体" w:cs="宋体"/>
                <w:bCs/>
                <w:sz w:val="21"/>
                <w:szCs w:val="21"/>
                <w:highlight w:val="none"/>
              </w:rPr>
              <w:t>问题的计</w:t>
            </w:r>
            <w:r>
              <w:rPr>
                <w:rFonts w:hint="eastAsia" w:ascii="宋体" w:hAnsi="宋体" w:cs="宋体"/>
                <w:bCs/>
                <w:sz w:val="21"/>
                <w:szCs w:val="21"/>
                <w:highlight w:val="none"/>
                <w:lang w:val="en-US" w:eastAsia="zh-CN"/>
              </w:rPr>
              <w:t>6</w:t>
            </w:r>
            <w:r>
              <w:rPr>
                <w:rFonts w:hint="eastAsia" w:ascii="宋体" w:hAnsi="宋体" w:eastAsia="宋体" w:cs="宋体"/>
                <w:bCs/>
                <w:sz w:val="21"/>
                <w:szCs w:val="21"/>
                <w:highlight w:val="none"/>
              </w:rPr>
              <w:t>分</w:t>
            </w:r>
            <w:r>
              <w:rPr>
                <w:rFonts w:hint="eastAsia" w:ascii="宋体" w:hAnsi="宋体" w:eastAsia="宋体" w:cs="宋体"/>
                <w:bCs/>
                <w:sz w:val="21"/>
                <w:szCs w:val="21"/>
                <w:highlight w:val="none"/>
                <w:lang w:eastAsia="zh-CN"/>
              </w:rPr>
              <w:t>；</w:t>
            </w:r>
          </w:p>
          <w:p>
            <w:pPr>
              <w:pStyle w:val="26"/>
              <w:snapToGrid w:val="0"/>
              <w:spacing w:line="240" w:lineRule="exact"/>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满足招标文件要求，接服务咨询后</w:t>
            </w:r>
            <w:r>
              <w:rPr>
                <w:rFonts w:hint="eastAsia" w:ascii="宋体" w:hAnsi="宋体" w:eastAsia="宋体" w:cs="宋体"/>
                <w:bCs/>
                <w:sz w:val="21"/>
                <w:szCs w:val="21"/>
                <w:highlight w:val="none"/>
                <w:lang w:val="en-US" w:eastAsia="zh-CN"/>
              </w:rPr>
              <w:t>半个</w:t>
            </w:r>
            <w:r>
              <w:rPr>
                <w:rFonts w:hint="eastAsia" w:ascii="宋体" w:hAnsi="宋体" w:eastAsia="宋体" w:cs="宋体"/>
                <w:bCs/>
                <w:sz w:val="21"/>
                <w:szCs w:val="21"/>
                <w:highlight w:val="none"/>
              </w:rPr>
              <w:t>小时响应，</w:t>
            </w:r>
            <w:r>
              <w:rPr>
                <w:rFonts w:hint="eastAsia" w:ascii="宋体" w:hAnsi="宋体" w:eastAsia="宋体" w:cs="宋体"/>
                <w:bCs/>
                <w:sz w:val="21"/>
                <w:szCs w:val="21"/>
                <w:highlight w:val="none"/>
                <w:lang w:val="en-US" w:eastAsia="zh-CN"/>
              </w:rPr>
              <w:t>8个小时技术人员能到达现场，12个</w:t>
            </w:r>
            <w:r>
              <w:rPr>
                <w:rFonts w:hint="eastAsia" w:ascii="宋体" w:hAnsi="宋体" w:eastAsia="宋体" w:cs="宋体"/>
                <w:bCs/>
                <w:sz w:val="21"/>
                <w:szCs w:val="21"/>
                <w:highlight w:val="none"/>
              </w:rPr>
              <w:t>小时</w:t>
            </w:r>
            <w:r>
              <w:rPr>
                <w:rFonts w:hint="eastAsia" w:ascii="宋体" w:hAnsi="宋体" w:eastAsia="宋体" w:cs="宋体"/>
                <w:bCs/>
                <w:sz w:val="21"/>
                <w:szCs w:val="21"/>
                <w:highlight w:val="none"/>
                <w:lang w:val="en-US" w:eastAsia="zh-CN"/>
              </w:rPr>
              <w:t>解决</w:t>
            </w:r>
            <w:r>
              <w:rPr>
                <w:rFonts w:hint="eastAsia" w:ascii="宋体" w:hAnsi="宋体" w:eastAsia="宋体" w:cs="宋体"/>
                <w:bCs/>
                <w:sz w:val="21"/>
                <w:szCs w:val="21"/>
                <w:highlight w:val="none"/>
              </w:rPr>
              <w:t>问题的计</w:t>
            </w: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分</w:t>
            </w:r>
            <w:r>
              <w:rPr>
                <w:rFonts w:hint="eastAsia" w:ascii="宋体" w:hAnsi="宋体" w:eastAsia="宋体" w:cs="宋体"/>
                <w:bCs/>
                <w:sz w:val="21"/>
                <w:szCs w:val="21"/>
                <w:highlight w:val="none"/>
                <w:lang w:eastAsia="zh-CN"/>
              </w:rPr>
              <w:t>；</w:t>
            </w:r>
          </w:p>
          <w:p>
            <w:pPr>
              <w:pStyle w:val="26"/>
              <w:snapToGrid w:val="0"/>
              <w:spacing w:line="24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）其他计0分。</w:t>
            </w:r>
          </w:p>
          <w:p>
            <w:pPr>
              <w:pStyle w:val="26"/>
              <w:snapToGrid w:val="0"/>
              <w:spacing w:line="240" w:lineRule="exact"/>
              <w:jc w:val="left"/>
              <w:rPr>
                <w:rFonts w:ascii="宋体" w:hAnsi="宋体" w:cs="Courier New"/>
                <w:kern w:val="0"/>
                <w:szCs w:val="21"/>
              </w:rPr>
            </w:pPr>
            <w:r>
              <w:rPr>
                <w:rFonts w:hint="eastAsia"/>
                <w:lang w:eastAsia="zh-CN"/>
              </w:rPr>
              <w:t>（</w:t>
            </w:r>
            <w:r>
              <w:rPr>
                <w:rFonts w:hint="eastAsia"/>
              </w:rPr>
              <w:t>须提供售后服务响应时间可行性支撑资料</w:t>
            </w:r>
            <w:r>
              <w:rPr>
                <w:rFonts w:hint="eastAsia"/>
                <w:lang w:eastAsia="zh-CN"/>
              </w:rPr>
              <w:t>。）</w:t>
            </w:r>
          </w:p>
        </w:tc>
        <w:tc>
          <w:tcPr>
            <w:tcW w:w="1013" w:type="dxa"/>
            <w:shd w:val="clear" w:color="auto" w:fill="auto"/>
            <w:vAlign w:val="center"/>
          </w:tcPr>
          <w:p>
            <w:pPr>
              <w:pStyle w:val="26"/>
              <w:snapToGrid w:val="0"/>
              <w:spacing w:line="240" w:lineRule="exact"/>
              <w:jc w:val="center"/>
              <w:rPr>
                <w:rFonts w:ascii="宋体" w:hAnsi="宋体" w:cs="宋体"/>
                <w:bCs/>
                <w:sz w:val="21"/>
                <w:szCs w:val="21"/>
              </w:rPr>
            </w:pPr>
            <w:r>
              <w:rPr>
                <w:rFonts w:hint="eastAsia" w:ascii="宋体" w:hAnsi="宋体"/>
                <w:bCs/>
                <w:sz w:val="21"/>
                <w:szCs w:val="21"/>
                <w:lang w:val="en-US" w:eastAsia="zh-CN"/>
              </w:rPr>
              <w:t>6</w:t>
            </w:r>
            <w:r>
              <w:rPr>
                <w:rFonts w:hint="eastAsia" w:ascii="宋体" w:hAnsi="宋体"/>
                <w:bCs/>
                <w:sz w:val="21"/>
                <w:szCs w:val="21"/>
              </w:rPr>
              <w:t>分</w:t>
            </w:r>
          </w:p>
        </w:tc>
        <w:tc>
          <w:tcPr>
            <w:tcW w:w="969" w:type="dxa"/>
            <w:vMerge w:val="restart"/>
            <w:shd w:val="clear" w:color="auto" w:fill="auto"/>
            <w:vAlign w:val="center"/>
          </w:tcPr>
          <w:p>
            <w:pPr>
              <w:pStyle w:val="26"/>
              <w:snapToGrid w:val="0"/>
              <w:spacing w:line="240" w:lineRule="exact"/>
              <w:jc w:val="center"/>
              <w:rPr>
                <w:rFonts w:ascii="宋体" w:hAnsi="宋体" w:cs="Courier New"/>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2" w:type="dxa"/>
            <w:shd w:val="clear" w:color="auto" w:fill="auto"/>
            <w:vAlign w:val="center"/>
          </w:tcPr>
          <w:p>
            <w:pPr>
              <w:pStyle w:val="172"/>
              <w:jc w:val="center"/>
              <w:rPr>
                <w:bCs/>
                <w:szCs w:val="21"/>
                <w:lang w:val="en-US"/>
              </w:rPr>
            </w:pPr>
            <w:r>
              <w:rPr>
                <w:rFonts w:hint="eastAsia"/>
                <w:szCs w:val="21"/>
              </w:rPr>
              <w:t>投标人的业绩</w:t>
            </w:r>
          </w:p>
        </w:tc>
        <w:tc>
          <w:tcPr>
            <w:tcW w:w="5483" w:type="dxa"/>
            <w:shd w:val="clear" w:color="auto" w:fill="auto"/>
            <w:vAlign w:val="center"/>
          </w:tcPr>
          <w:p>
            <w:pPr>
              <w:spacing w:line="240" w:lineRule="exact"/>
              <w:jc w:val="left"/>
              <w:rPr>
                <w:rFonts w:ascii="宋体" w:hAnsi="宋体" w:cs="宋体"/>
                <w:bCs/>
                <w:szCs w:val="21"/>
              </w:rPr>
            </w:pPr>
            <w:r>
              <w:rPr>
                <w:rFonts w:hint="eastAsia" w:ascii="宋体" w:hAnsi="宋体" w:cs="宋体"/>
                <w:bCs/>
                <w:color w:val="000000" w:themeColor="text1"/>
                <w:szCs w:val="21"/>
                <w:lang w:val="zh-CN"/>
                <w14:textFill>
                  <w14:solidFill>
                    <w14:schemeClr w14:val="tx1"/>
                  </w14:solidFill>
                </w14:textFill>
              </w:rPr>
              <w:t>投</w:t>
            </w:r>
            <w:r>
              <w:rPr>
                <w:rFonts w:hint="eastAsia" w:ascii="宋体" w:hAnsi="宋体" w:cs="宋体"/>
                <w:bCs/>
                <w:szCs w:val="21"/>
                <w:lang w:val="zh-CN"/>
              </w:rPr>
              <w:t>标人近</w:t>
            </w:r>
            <w:r>
              <w:rPr>
                <w:rFonts w:hint="eastAsia" w:ascii="宋体" w:hAnsi="宋体" w:cs="宋体"/>
                <w:bCs/>
                <w:szCs w:val="21"/>
              </w:rPr>
              <w:t>三</w:t>
            </w:r>
            <w:r>
              <w:rPr>
                <w:rFonts w:hint="eastAsia" w:ascii="宋体" w:hAnsi="宋体" w:cs="宋体"/>
                <w:bCs/>
                <w:szCs w:val="21"/>
                <w:lang w:val="zh-CN"/>
              </w:rPr>
              <w:t>年（</w:t>
            </w:r>
            <w:r>
              <w:rPr>
                <w:rFonts w:hint="eastAsia" w:ascii="宋体" w:hAnsi="宋体" w:cs="宋体"/>
                <w:bCs/>
                <w:szCs w:val="21"/>
              </w:rPr>
              <w:t>2020年1月1日起</w:t>
            </w:r>
            <w:r>
              <w:rPr>
                <w:rFonts w:hint="eastAsia" w:ascii="宋体" w:hAnsi="宋体" w:cs="宋体"/>
                <w:bCs/>
                <w:szCs w:val="21"/>
                <w:lang w:val="zh-CN"/>
              </w:rPr>
              <w:t>）完成类似</w:t>
            </w:r>
            <w:r>
              <w:rPr>
                <w:rFonts w:hint="eastAsia" w:ascii="宋体" w:hAnsi="宋体" w:cs="宋体"/>
                <w:bCs/>
                <w:szCs w:val="21"/>
              </w:rPr>
              <w:t>成功</w:t>
            </w:r>
            <w:r>
              <w:rPr>
                <w:rFonts w:hint="eastAsia" w:ascii="宋体" w:hAnsi="宋体" w:cs="宋体"/>
                <w:bCs/>
                <w:szCs w:val="21"/>
                <w:lang w:val="zh-CN"/>
              </w:rPr>
              <w:t>业绩得</w:t>
            </w:r>
            <w:r>
              <w:rPr>
                <w:rFonts w:hint="eastAsia" w:ascii="宋体" w:hAnsi="宋体" w:cs="宋体"/>
                <w:bCs/>
                <w:szCs w:val="21"/>
              </w:rPr>
              <w:t>1</w:t>
            </w:r>
            <w:r>
              <w:rPr>
                <w:rFonts w:hint="eastAsia" w:ascii="宋体" w:hAnsi="宋体" w:cs="宋体"/>
                <w:bCs/>
                <w:szCs w:val="21"/>
                <w:lang w:val="zh-CN"/>
              </w:rPr>
              <w:t>分，</w:t>
            </w:r>
            <w:r>
              <w:rPr>
                <w:rFonts w:hint="eastAsia" w:ascii="宋体" w:hAnsi="宋体" w:cs="宋体"/>
                <w:bCs/>
                <w:szCs w:val="21"/>
              </w:rPr>
              <w:t>最高得5分。</w:t>
            </w:r>
          </w:p>
          <w:p>
            <w:pPr>
              <w:spacing w:line="240" w:lineRule="exact"/>
              <w:rPr>
                <w:rFonts w:ascii="宋体" w:hAnsi="宋体" w:cs="Courier New"/>
                <w:kern w:val="0"/>
                <w:szCs w:val="21"/>
              </w:rPr>
            </w:pPr>
            <w:r>
              <w:rPr>
                <w:rFonts w:hint="eastAsia" w:ascii="宋体" w:hAnsi="宋体" w:cs="宋体"/>
                <w:bCs/>
                <w:szCs w:val="21"/>
              </w:rPr>
              <w:t>注:标书内提供</w:t>
            </w:r>
            <w:r>
              <w:rPr>
                <w:rFonts w:hint="eastAsia" w:ascii="宋体" w:hAnsi="宋体" w:cs="宋体"/>
                <w:bCs/>
                <w:szCs w:val="21"/>
                <w:lang w:val="zh-CN"/>
              </w:rPr>
              <w:t>合同文本，</w:t>
            </w:r>
            <w:r>
              <w:rPr>
                <w:rFonts w:hint="eastAsia" w:ascii="宋体" w:hAnsi="宋体" w:cs="宋体"/>
                <w:bCs/>
                <w:szCs w:val="21"/>
              </w:rPr>
              <w:t>合同需体现项目名称、项目时间、项目内容、签订双方（公章</w:t>
            </w:r>
            <w:r>
              <w:rPr>
                <w:rFonts w:hint="eastAsia" w:ascii="宋体" w:hAnsi="宋体" w:cs="宋体"/>
                <w:bCs/>
                <w:color w:val="000000" w:themeColor="text1"/>
                <w:szCs w:val="21"/>
                <w14:textFill>
                  <w14:solidFill>
                    <w14:schemeClr w14:val="tx1"/>
                  </w14:solidFill>
                </w14:textFill>
              </w:rPr>
              <w:t>）。</w:t>
            </w:r>
          </w:p>
        </w:tc>
        <w:tc>
          <w:tcPr>
            <w:tcW w:w="1013" w:type="dxa"/>
            <w:shd w:val="clear" w:color="auto" w:fill="auto"/>
            <w:vAlign w:val="center"/>
          </w:tcPr>
          <w:p>
            <w:pPr>
              <w:spacing w:line="240" w:lineRule="exact"/>
              <w:jc w:val="center"/>
              <w:rPr>
                <w:rFonts w:ascii="宋体" w:hAnsi="宋体" w:cs="宋体"/>
                <w:bCs/>
                <w:szCs w:val="21"/>
              </w:rPr>
            </w:pPr>
            <w:r>
              <w:rPr>
                <w:rFonts w:hint="eastAsia" w:ascii="宋体" w:hAnsi="宋体" w:cs="宋体"/>
                <w:bCs/>
                <w:szCs w:val="21"/>
              </w:rPr>
              <w:t>5分</w:t>
            </w:r>
          </w:p>
        </w:tc>
        <w:tc>
          <w:tcPr>
            <w:tcW w:w="969" w:type="dxa"/>
            <w:vMerge w:val="continue"/>
            <w:shd w:val="clear" w:color="auto" w:fill="auto"/>
            <w:vAlign w:val="center"/>
          </w:tcPr>
          <w:p>
            <w:pPr>
              <w:pStyle w:val="26"/>
              <w:snapToGrid w:val="0"/>
              <w:spacing w:line="240" w:lineRule="exact"/>
              <w:jc w:val="center"/>
              <w:rPr>
                <w:rFonts w:ascii="宋体" w:hAnsi="宋体" w:cs="Courier New"/>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2" w:type="dxa"/>
            <w:shd w:val="clear" w:color="auto" w:fill="auto"/>
            <w:vAlign w:val="center"/>
          </w:tcPr>
          <w:p>
            <w:pPr>
              <w:pStyle w:val="25"/>
              <w:ind w:left="0"/>
              <w:jc w:val="center"/>
              <w:rPr>
                <w:rFonts w:ascii="宋体" w:hAnsi="宋体" w:cs="Courier New"/>
                <w:bCs/>
                <w:sz w:val="21"/>
                <w:szCs w:val="21"/>
                <w:highlight w:val="green"/>
              </w:rPr>
            </w:pPr>
            <w:r>
              <w:rPr>
                <w:rFonts w:hint="eastAsia"/>
                <w:i w:val="0"/>
                <w:iCs w:val="0"/>
                <w:sz w:val="21"/>
                <w:szCs w:val="24"/>
              </w:rPr>
              <w:t>相关证书</w:t>
            </w:r>
          </w:p>
        </w:tc>
        <w:tc>
          <w:tcPr>
            <w:tcW w:w="5483" w:type="dxa"/>
            <w:shd w:val="clear" w:color="auto" w:fill="auto"/>
            <w:vAlign w:val="center"/>
          </w:tcPr>
          <w:p>
            <w:pPr>
              <w:pStyle w:val="26"/>
              <w:snapToGrid w:val="0"/>
              <w:spacing w:line="280" w:lineRule="exact"/>
              <w:rPr>
                <w:rFonts w:ascii="宋体" w:hAnsi="宋体"/>
                <w:sz w:val="21"/>
                <w:szCs w:val="21"/>
                <w:highlight w:val="green"/>
              </w:rPr>
            </w:pPr>
            <w:r>
              <w:rPr>
                <w:rFonts w:hint="eastAsia" w:ascii="宋体" w:hAnsi="宋体" w:cs="宋体"/>
                <w:bCs/>
                <w:color w:val="auto"/>
                <w:sz w:val="21"/>
                <w:szCs w:val="21"/>
                <w:lang w:val="en-US" w:eastAsia="zh-CN"/>
              </w:rPr>
              <w:t>投标人</w:t>
            </w:r>
            <w:r>
              <w:rPr>
                <w:rFonts w:hint="eastAsia" w:ascii="宋体" w:hAnsi="宋体" w:cs="宋体"/>
                <w:bCs/>
                <w:color w:val="auto"/>
                <w:sz w:val="21"/>
                <w:szCs w:val="21"/>
                <w:lang w:val="zh-CN"/>
              </w:rPr>
              <w:t>针对</w:t>
            </w:r>
            <w:r>
              <w:rPr>
                <w:rFonts w:hint="eastAsia" w:ascii="宋体" w:hAnsi="宋体" w:cs="宋体"/>
                <w:bCs/>
                <w:color w:val="auto"/>
                <w:sz w:val="21"/>
                <w:szCs w:val="21"/>
                <w:lang w:val="en-US" w:eastAsia="zh-CN"/>
              </w:rPr>
              <w:t>采购文件“第五章 采购需求”中</w:t>
            </w:r>
            <w:r>
              <w:rPr>
                <w:rFonts w:hint="eastAsia" w:ascii="宋体" w:hAnsi="宋体" w:eastAsia="宋体" w:cs="宋体"/>
                <w:b/>
                <w:bCs w:val="0"/>
                <w:color w:val="auto"/>
                <w:sz w:val="21"/>
                <w:szCs w:val="21"/>
              </w:rPr>
              <w:t>X光机（落地查验）</w:t>
            </w:r>
            <w:r>
              <w:rPr>
                <w:rFonts w:hint="eastAsia" w:ascii="宋体" w:hAnsi="宋体" w:eastAsia="宋体" w:cs="宋体"/>
                <w:bCs/>
                <w:color w:val="auto"/>
                <w:sz w:val="21"/>
                <w:szCs w:val="21"/>
                <w:lang w:val="en-US" w:eastAsia="zh-CN"/>
              </w:rPr>
              <w:t>提供</w:t>
            </w:r>
            <w:r>
              <w:rPr>
                <w:rFonts w:hint="eastAsia" w:ascii="宋体" w:hAnsi="宋体" w:cs="宋体"/>
                <w:bCs/>
                <w:color w:val="auto"/>
                <w:sz w:val="21"/>
                <w:szCs w:val="21"/>
              </w:rPr>
              <w:t>辅助资料的</w:t>
            </w:r>
            <w:r>
              <w:rPr>
                <w:rFonts w:hint="eastAsia" w:ascii="宋体" w:hAnsi="宋体" w:cs="Courier New"/>
                <w:color w:val="auto"/>
                <w:sz w:val="21"/>
                <w:szCs w:val="21"/>
              </w:rPr>
              <w:t>有一项得1分，最高得</w:t>
            </w:r>
            <w:r>
              <w:rPr>
                <w:rFonts w:hint="eastAsia" w:ascii="宋体" w:hAnsi="宋体" w:cs="Courier New"/>
                <w:color w:val="auto"/>
                <w:sz w:val="21"/>
                <w:szCs w:val="21"/>
                <w:lang w:val="en-US" w:eastAsia="zh-CN"/>
              </w:rPr>
              <w:t>5</w:t>
            </w:r>
            <w:r>
              <w:rPr>
                <w:rFonts w:hint="eastAsia" w:ascii="宋体" w:hAnsi="宋体" w:cs="Courier New"/>
                <w:color w:val="auto"/>
                <w:sz w:val="21"/>
                <w:szCs w:val="21"/>
              </w:rPr>
              <w:t>分。（辅助资料指：</w:t>
            </w:r>
            <w:r>
              <w:rPr>
                <w:rFonts w:hint="eastAsia" w:ascii="宋体" w:hAnsi="宋体" w:cs="Courier New"/>
                <w:color w:val="auto"/>
                <w:sz w:val="21"/>
                <w:szCs w:val="21"/>
                <w:lang w:val="zh-CN"/>
              </w:rPr>
              <w:t>产品检测报告、制造商出具的授权函、</w:t>
            </w:r>
            <w:r>
              <w:rPr>
                <w:rFonts w:hint="eastAsia" w:ascii="宋体" w:hAnsi="宋体" w:cs="Courier New"/>
                <w:color w:val="auto"/>
                <w:sz w:val="21"/>
                <w:szCs w:val="21"/>
              </w:rPr>
              <w:t>原厂售后服务承诺函、</w:t>
            </w:r>
            <w:r>
              <w:rPr>
                <w:rFonts w:hint="eastAsia" w:ascii="宋体" w:hAnsi="宋体" w:cs="Courier New"/>
                <w:color w:val="auto"/>
                <w:sz w:val="21"/>
                <w:szCs w:val="21"/>
                <w:lang w:val="zh-CN"/>
              </w:rPr>
              <w:t>质量管理体系认证</w:t>
            </w:r>
            <w:r>
              <w:rPr>
                <w:rFonts w:hint="eastAsia" w:ascii="宋体" w:hAnsi="宋体" w:cs="Courier New"/>
                <w:color w:val="auto"/>
                <w:sz w:val="21"/>
                <w:szCs w:val="21"/>
              </w:rPr>
              <w:t>证书等资料；环境标志、节能产品认证证书不得分</w:t>
            </w:r>
            <w:r>
              <w:rPr>
                <w:rFonts w:hint="eastAsia" w:ascii="宋体" w:hAnsi="宋体" w:cs="Courier New"/>
                <w:color w:val="auto"/>
                <w:sz w:val="21"/>
                <w:szCs w:val="21"/>
                <w:lang w:val="zh-CN"/>
              </w:rPr>
              <w:t>）。</w:t>
            </w:r>
          </w:p>
        </w:tc>
        <w:tc>
          <w:tcPr>
            <w:tcW w:w="1013" w:type="dxa"/>
            <w:shd w:val="clear" w:color="auto" w:fill="auto"/>
            <w:vAlign w:val="center"/>
          </w:tcPr>
          <w:p>
            <w:pPr>
              <w:pStyle w:val="33"/>
              <w:snapToGrid w:val="0"/>
              <w:spacing w:line="240" w:lineRule="exact"/>
              <w:jc w:val="center"/>
              <w:rPr>
                <w:rFonts w:ascii="宋体" w:hAnsi="宋体" w:cs="Courier New"/>
                <w:b w:val="0"/>
                <w:bCs w:val="0"/>
                <w:sz w:val="21"/>
                <w:szCs w:val="21"/>
                <w:highlight w:val="green"/>
              </w:rPr>
            </w:pPr>
            <w:r>
              <w:rPr>
                <w:rFonts w:hint="eastAsia" w:ascii="宋体" w:hAnsi="宋体" w:cs="Courier New"/>
                <w:b w:val="0"/>
                <w:sz w:val="21"/>
                <w:szCs w:val="21"/>
                <w:lang w:val="en-US" w:eastAsia="zh-CN"/>
              </w:rPr>
              <w:t>5</w:t>
            </w:r>
            <w:r>
              <w:rPr>
                <w:rFonts w:hint="eastAsia" w:ascii="宋体" w:hAnsi="宋体" w:cs="Courier New"/>
                <w:b w:val="0"/>
                <w:sz w:val="21"/>
                <w:szCs w:val="21"/>
              </w:rPr>
              <w:t>分</w:t>
            </w:r>
          </w:p>
        </w:tc>
        <w:tc>
          <w:tcPr>
            <w:tcW w:w="969" w:type="dxa"/>
            <w:vMerge w:val="continue"/>
            <w:shd w:val="clear" w:color="auto" w:fill="auto"/>
            <w:vAlign w:val="center"/>
          </w:tcPr>
          <w:p>
            <w:pPr>
              <w:pStyle w:val="26"/>
              <w:snapToGrid w:val="0"/>
              <w:spacing w:line="240" w:lineRule="exact"/>
              <w:jc w:val="center"/>
              <w:rPr>
                <w:rFonts w:ascii="宋体" w:hAnsi="宋体" w:cs="Courier New"/>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2" w:type="dxa"/>
            <w:shd w:val="clear" w:color="auto" w:fill="auto"/>
            <w:vAlign w:val="center"/>
          </w:tcPr>
          <w:p>
            <w:pPr>
              <w:spacing w:line="240" w:lineRule="exact"/>
              <w:jc w:val="center"/>
              <w:rPr>
                <w:rFonts w:hint="eastAsia"/>
                <w:i w:val="0"/>
                <w:iCs w:val="0"/>
                <w:sz w:val="21"/>
                <w:szCs w:val="24"/>
              </w:rPr>
            </w:pPr>
            <w:r>
              <w:rPr>
                <w:rFonts w:hint="eastAsia"/>
                <w:lang w:val="en-US" w:eastAsia="zh-CN"/>
              </w:rPr>
              <w:t>产品</w:t>
            </w:r>
            <w:r>
              <w:rPr>
                <w:rFonts w:hint="eastAsia"/>
              </w:rPr>
              <w:t>的可靠性、稳定性及技术实力</w:t>
            </w:r>
          </w:p>
        </w:tc>
        <w:tc>
          <w:tcPr>
            <w:tcW w:w="5483" w:type="dxa"/>
            <w:shd w:val="clear" w:color="auto" w:fill="auto"/>
            <w:vAlign w:val="center"/>
          </w:tcPr>
          <w:p>
            <w:pPr>
              <w:spacing w:line="240" w:lineRule="exact"/>
              <w:jc w:val="left"/>
              <w:rPr>
                <w:rFonts w:hint="eastAsia" w:ascii="宋体" w:hAnsi="宋体" w:eastAsia="宋体" w:cs="Courier New"/>
                <w:b w:val="0"/>
                <w:bCs w:val="0"/>
                <w:color w:val="auto"/>
                <w:kern w:val="2"/>
                <w:sz w:val="21"/>
                <w:szCs w:val="21"/>
                <w:lang w:val="en-US" w:eastAsia="zh-CN" w:bidi="ar-SA"/>
              </w:rPr>
            </w:pPr>
            <w:r>
              <w:rPr>
                <w:rFonts w:hint="eastAsia" w:ascii="宋体" w:hAnsi="宋体" w:cs="宋体"/>
                <w:bCs/>
                <w:color w:val="auto"/>
                <w:sz w:val="21"/>
                <w:szCs w:val="21"/>
                <w:lang w:val="en-US" w:eastAsia="zh-CN"/>
              </w:rPr>
              <w:t>采购文件“第五章 采购需求”中</w:t>
            </w:r>
            <w:r>
              <w:rPr>
                <w:rFonts w:hint="eastAsia" w:ascii="宋体" w:hAnsi="宋体" w:eastAsia="宋体" w:cs="宋体"/>
                <w:b/>
                <w:bCs w:val="0"/>
                <w:color w:val="auto"/>
                <w:sz w:val="21"/>
                <w:szCs w:val="21"/>
              </w:rPr>
              <w:t>X光机（落地查验）</w:t>
            </w:r>
            <w:r>
              <w:rPr>
                <w:rFonts w:hint="eastAsia" w:ascii="宋体" w:hAnsi="宋体" w:eastAsia="宋体" w:cs="Courier New"/>
                <w:color w:val="auto"/>
                <w:kern w:val="2"/>
                <w:sz w:val="21"/>
                <w:szCs w:val="21"/>
                <w:lang w:val="en-US" w:eastAsia="zh-CN" w:bidi="ar-SA"/>
              </w:rPr>
              <w:t>技术特点、技术原理及功能是否完善，系统结构组成是否可靠、</w:t>
            </w:r>
            <w:r>
              <w:rPr>
                <w:rFonts w:hint="eastAsia" w:ascii="宋体" w:hAnsi="宋体" w:eastAsia="宋体" w:cs="Courier New"/>
                <w:b w:val="0"/>
                <w:bCs w:val="0"/>
                <w:color w:val="auto"/>
                <w:kern w:val="2"/>
                <w:sz w:val="21"/>
                <w:szCs w:val="21"/>
                <w:lang w:val="en-US" w:eastAsia="zh-CN" w:bidi="ar-SA"/>
              </w:rPr>
              <w:t>稳定，设备及配套系统对接是否最佳化。</w:t>
            </w:r>
          </w:p>
          <w:p>
            <w:pPr>
              <w:spacing w:line="240" w:lineRule="exact"/>
              <w:jc w:val="left"/>
              <w:rPr>
                <w:rFonts w:hint="eastAsia" w:ascii="宋体" w:hAnsi="宋体" w:eastAsia="宋体" w:cs="Courier New"/>
                <w:b w:val="0"/>
                <w:bCs w:val="0"/>
                <w:color w:val="auto"/>
                <w:kern w:val="2"/>
                <w:sz w:val="21"/>
                <w:szCs w:val="21"/>
                <w:lang w:val="en-US" w:eastAsia="zh-CN" w:bidi="ar-SA"/>
              </w:rPr>
            </w:pPr>
            <w:r>
              <w:rPr>
                <w:rFonts w:hint="eastAsia" w:ascii="宋体" w:hAnsi="宋体" w:eastAsia="宋体" w:cs="Courier New"/>
                <w:b w:val="0"/>
                <w:bCs w:val="0"/>
                <w:color w:val="auto"/>
                <w:kern w:val="2"/>
                <w:sz w:val="21"/>
                <w:szCs w:val="21"/>
                <w:lang w:val="en-US" w:eastAsia="zh-CN" w:bidi="ar-SA"/>
              </w:rPr>
              <w:t>（1）</w:t>
            </w:r>
            <w:r>
              <w:rPr>
                <w:rFonts w:hint="eastAsia" w:ascii="宋体" w:hAnsi="宋体" w:eastAsia="宋体" w:cs="宋体"/>
                <w:b w:val="0"/>
                <w:bCs w:val="0"/>
                <w:color w:val="auto"/>
                <w:sz w:val="21"/>
                <w:szCs w:val="21"/>
              </w:rPr>
              <w:t>X光机（落地查验）</w:t>
            </w:r>
            <w:r>
              <w:rPr>
                <w:rFonts w:hint="eastAsia" w:ascii="宋体" w:hAnsi="宋体" w:eastAsia="宋体" w:cs="宋体"/>
                <w:b w:val="0"/>
                <w:bCs w:val="0"/>
                <w:color w:val="auto"/>
                <w:sz w:val="21"/>
                <w:szCs w:val="21"/>
                <w:lang w:val="en-US" w:eastAsia="zh-CN"/>
              </w:rPr>
              <w:t>的</w:t>
            </w:r>
            <w:r>
              <w:rPr>
                <w:rFonts w:hint="eastAsia" w:ascii="宋体" w:hAnsi="宋体" w:eastAsia="宋体" w:cs="Courier New"/>
                <w:b w:val="0"/>
                <w:bCs w:val="0"/>
                <w:color w:val="auto"/>
                <w:kern w:val="2"/>
                <w:sz w:val="21"/>
                <w:szCs w:val="21"/>
                <w:lang w:val="en-US" w:eastAsia="zh-CN" w:bidi="ar-SA"/>
              </w:rPr>
              <w:t>技术特点、技术原理优良、主要功能完善，产品配置合理、产品可靠、稳定、设备及系统可接入海关管理网，设备完全满足采购需求的计6分；</w:t>
            </w:r>
          </w:p>
          <w:p>
            <w:pPr>
              <w:spacing w:line="240" w:lineRule="exact"/>
              <w:jc w:val="left"/>
              <w:rPr>
                <w:rFonts w:hint="default" w:ascii="宋体" w:hAnsi="宋体" w:eastAsia="宋体" w:cs="Courier New"/>
                <w:b w:val="0"/>
                <w:bCs w:val="0"/>
                <w:color w:val="auto"/>
                <w:kern w:val="2"/>
                <w:sz w:val="21"/>
                <w:szCs w:val="21"/>
                <w:lang w:val="en-US" w:eastAsia="zh-CN" w:bidi="ar-SA"/>
              </w:rPr>
            </w:pPr>
            <w:r>
              <w:rPr>
                <w:rFonts w:hint="eastAsia" w:ascii="宋体" w:hAnsi="宋体" w:eastAsia="宋体" w:cs="Courier New"/>
                <w:b w:val="0"/>
                <w:bCs w:val="0"/>
                <w:color w:val="auto"/>
                <w:kern w:val="2"/>
                <w:sz w:val="21"/>
                <w:szCs w:val="21"/>
                <w:lang w:val="en-US" w:eastAsia="zh-CN" w:bidi="ar-SA"/>
              </w:rPr>
              <w:t>（2）</w:t>
            </w:r>
            <w:r>
              <w:rPr>
                <w:rFonts w:hint="eastAsia" w:ascii="宋体" w:hAnsi="宋体" w:eastAsia="宋体" w:cs="宋体"/>
                <w:b w:val="0"/>
                <w:bCs w:val="0"/>
                <w:color w:val="auto"/>
                <w:sz w:val="21"/>
                <w:szCs w:val="21"/>
              </w:rPr>
              <w:t>X光机（落地查验）</w:t>
            </w:r>
            <w:r>
              <w:rPr>
                <w:rFonts w:hint="eastAsia" w:ascii="宋体" w:hAnsi="宋体" w:eastAsia="宋体" w:cs="宋体"/>
                <w:b w:val="0"/>
                <w:bCs w:val="0"/>
                <w:color w:val="auto"/>
                <w:sz w:val="21"/>
                <w:szCs w:val="21"/>
                <w:lang w:val="en-US" w:eastAsia="zh-CN"/>
              </w:rPr>
              <w:t>的</w:t>
            </w:r>
            <w:r>
              <w:rPr>
                <w:rFonts w:hint="eastAsia" w:ascii="宋体" w:hAnsi="宋体" w:eastAsia="宋体" w:cs="Courier New"/>
                <w:b w:val="0"/>
                <w:bCs w:val="0"/>
                <w:color w:val="auto"/>
                <w:kern w:val="2"/>
                <w:sz w:val="21"/>
                <w:szCs w:val="21"/>
                <w:lang w:val="en-US" w:eastAsia="zh-CN" w:bidi="ar-SA"/>
              </w:rPr>
              <w:t>技术特点、技术原理一般，主要功能满足招标文件要求，设备及系统不能接入海关管理网的计3分；</w:t>
            </w:r>
          </w:p>
          <w:p>
            <w:pPr>
              <w:spacing w:line="240" w:lineRule="exact"/>
              <w:jc w:val="left"/>
              <w:rPr>
                <w:rFonts w:hint="eastAsia" w:ascii="宋体" w:hAnsi="宋体" w:cs="宋体"/>
                <w:bCs/>
                <w:color w:val="000000" w:themeColor="text1"/>
                <w:sz w:val="21"/>
                <w:szCs w:val="21"/>
                <w:lang w:val="zh-CN"/>
                <w14:textFill>
                  <w14:solidFill>
                    <w14:schemeClr w14:val="tx1"/>
                  </w14:solidFill>
                </w14:textFill>
              </w:rPr>
            </w:pPr>
            <w:r>
              <w:rPr>
                <w:rFonts w:hint="eastAsia" w:ascii="宋体" w:hAnsi="宋体" w:eastAsia="宋体" w:cs="Courier New"/>
                <w:b w:val="0"/>
                <w:bCs w:val="0"/>
                <w:color w:val="auto"/>
                <w:kern w:val="2"/>
                <w:sz w:val="21"/>
                <w:szCs w:val="21"/>
                <w:lang w:val="en-US" w:eastAsia="zh-CN" w:bidi="ar-SA"/>
              </w:rPr>
              <w:t>（3）</w:t>
            </w:r>
            <w:r>
              <w:rPr>
                <w:rFonts w:hint="eastAsia" w:ascii="宋体" w:hAnsi="宋体" w:eastAsia="宋体" w:cs="宋体"/>
                <w:b w:val="0"/>
                <w:bCs w:val="0"/>
                <w:color w:val="auto"/>
                <w:sz w:val="21"/>
                <w:szCs w:val="21"/>
              </w:rPr>
              <w:t>X光机（落地查验）</w:t>
            </w:r>
            <w:r>
              <w:rPr>
                <w:rFonts w:hint="eastAsia" w:ascii="宋体" w:hAnsi="宋体" w:eastAsia="宋体" w:cs="Courier New"/>
                <w:b w:val="0"/>
                <w:bCs w:val="0"/>
                <w:color w:val="auto"/>
                <w:kern w:val="2"/>
                <w:sz w:val="21"/>
                <w:szCs w:val="21"/>
                <w:lang w:val="en-US" w:eastAsia="zh-CN" w:bidi="ar-SA"/>
              </w:rPr>
              <w:t>不能满足招标文件要求，设备及系统不能接入海关管理网的计0分。</w:t>
            </w:r>
          </w:p>
        </w:tc>
        <w:tc>
          <w:tcPr>
            <w:tcW w:w="1013" w:type="dxa"/>
            <w:shd w:val="clear" w:color="auto" w:fill="auto"/>
            <w:vAlign w:val="center"/>
          </w:tcPr>
          <w:p>
            <w:pPr>
              <w:jc w:val="center"/>
              <w:rPr>
                <w:rFonts w:hint="eastAsia" w:ascii="宋体" w:hAnsi="宋体" w:cs="Courier New"/>
                <w:b w:val="0"/>
                <w:sz w:val="21"/>
                <w:szCs w:val="21"/>
                <w:lang w:val="en-US" w:eastAsia="zh-CN"/>
              </w:rPr>
            </w:pPr>
            <w:r>
              <w:rPr>
                <w:rFonts w:hint="eastAsia" w:ascii="宋体" w:hAnsi="宋体"/>
                <w:kern w:val="0"/>
                <w:szCs w:val="21"/>
                <w:lang w:val="en-US" w:eastAsia="zh-CN"/>
              </w:rPr>
              <w:t>6分</w:t>
            </w:r>
          </w:p>
        </w:tc>
        <w:tc>
          <w:tcPr>
            <w:tcW w:w="969" w:type="dxa"/>
            <w:vMerge w:val="continue"/>
            <w:shd w:val="clear" w:color="auto" w:fill="auto"/>
            <w:vAlign w:val="center"/>
          </w:tcPr>
          <w:p>
            <w:pPr>
              <w:pStyle w:val="26"/>
              <w:snapToGrid w:val="0"/>
              <w:spacing w:line="240" w:lineRule="exact"/>
              <w:jc w:val="center"/>
              <w:rPr>
                <w:rFonts w:ascii="宋体" w:hAnsi="宋体" w:cs="Courier New"/>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2" w:type="dxa"/>
            <w:shd w:val="clear" w:color="auto" w:fill="auto"/>
            <w:vAlign w:val="center"/>
          </w:tcPr>
          <w:p>
            <w:pPr>
              <w:jc w:val="center"/>
              <w:rPr>
                <w:rFonts w:hint="eastAsia"/>
                <w:i w:val="0"/>
                <w:iCs w:val="0"/>
                <w:sz w:val="21"/>
                <w:szCs w:val="24"/>
              </w:rPr>
            </w:pPr>
            <w:r>
              <w:rPr>
                <w:rFonts w:hint="eastAsia"/>
              </w:rPr>
              <w:t>投入项目人员评价</w:t>
            </w:r>
          </w:p>
        </w:tc>
        <w:tc>
          <w:tcPr>
            <w:tcW w:w="5483" w:type="dxa"/>
            <w:shd w:val="clear" w:color="auto" w:fill="auto"/>
            <w:vAlign w:val="center"/>
          </w:tcPr>
          <w:p>
            <w:pPr>
              <w:rPr>
                <w:lang w:val="zh-CN"/>
              </w:rPr>
            </w:pPr>
            <w:r>
              <w:rPr>
                <w:rFonts w:hint="eastAsia"/>
                <w:lang w:val="zh-CN"/>
              </w:rPr>
              <w:t>投入的项目人员为投标单位正式员工，提供开标前半年内任意1个月的由投标单位为项目人员缴纳社会保险证明扫描件，否则不予认定加分。</w:t>
            </w:r>
          </w:p>
          <w:p>
            <w:pPr>
              <w:rPr>
                <w:lang w:val="zh-CN"/>
              </w:rPr>
            </w:pPr>
            <w:r>
              <w:rPr>
                <w:rFonts w:hint="eastAsia"/>
                <w:lang w:val="zh-CN"/>
              </w:rPr>
              <w:t>（</w:t>
            </w:r>
            <w:r>
              <w:rPr>
                <w:rFonts w:hint="eastAsia"/>
              </w:rPr>
              <w:t>1</w:t>
            </w:r>
            <w:r>
              <w:rPr>
                <w:rFonts w:hint="eastAsia"/>
                <w:lang w:val="zh-CN"/>
              </w:rPr>
              <w:t>）项目负责人具有</w:t>
            </w:r>
            <w:r>
              <w:rPr>
                <w:rFonts w:hint="eastAsia"/>
              </w:rPr>
              <w:t>相关中级及以上</w:t>
            </w:r>
            <w:r>
              <w:rPr>
                <w:rFonts w:hint="eastAsia"/>
                <w:lang w:val="zh-CN"/>
              </w:rPr>
              <w:t>职称证书，提供证书扫描件</w:t>
            </w:r>
            <w:r>
              <w:rPr>
                <w:rFonts w:hint="eastAsia"/>
              </w:rPr>
              <w:t>计2</w:t>
            </w:r>
            <w:r>
              <w:rPr>
                <w:rFonts w:hint="eastAsia"/>
                <w:lang w:val="zh-CN"/>
              </w:rPr>
              <w:t>分；</w:t>
            </w:r>
          </w:p>
          <w:p>
            <w:pPr>
              <w:rPr>
                <w:rFonts w:hint="eastAsia" w:ascii="宋体" w:hAnsi="宋体" w:cs="宋体"/>
                <w:bCs/>
                <w:color w:val="000000" w:themeColor="text1"/>
                <w:sz w:val="21"/>
                <w:szCs w:val="21"/>
                <w:lang w:val="zh-CN"/>
                <w14:textFill>
                  <w14:solidFill>
                    <w14:schemeClr w14:val="tx1"/>
                  </w14:solidFill>
                </w14:textFill>
              </w:rPr>
            </w:pPr>
            <w:r>
              <w:rPr>
                <w:rFonts w:hint="eastAsia"/>
                <w:lang w:val="zh-CN"/>
              </w:rPr>
              <w:t>（</w:t>
            </w:r>
            <w:r>
              <w:rPr>
                <w:rFonts w:hint="eastAsia"/>
              </w:rPr>
              <w:t>2</w:t>
            </w:r>
            <w:r>
              <w:rPr>
                <w:rFonts w:hint="eastAsia"/>
                <w:lang w:val="zh-CN"/>
              </w:rPr>
              <w:t>）项目人员（不含项目负责人）具有</w:t>
            </w:r>
            <w:r>
              <w:rPr>
                <w:rFonts w:hint="eastAsia"/>
              </w:rPr>
              <w:t>相关职称证书</w:t>
            </w:r>
            <w:r>
              <w:rPr>
                <w:rFonts w:hint="eastAsia"/>
                <w:lang w:val="zh-CN"/>
              </w:rPr>
              <w:t>，提供证书扫描件</w:t>
            </w:r>
            <w:r>
              <w:rPr>
                <w:rFonts w:hint="eastAsia"/>
              </w:rPr>
              <w:t>计1</w:t>
            </w:r>
            <w:r>
              <w:rPr>
                <w:rFonts w:hint="eastAsia"/>
                <w:lang w:val="zh-CN"/>
              </w:rPr>
              <w:t>分，最多</w:t>
            </w:r>
            <w:r>
              <w:rPr>
                <w:rFonts w:hint="eastAsia"/>
              </w:rPr>
              <w:t>计3</w:t>
            </w:r>
            <w:r>
              <w:rPr>
                <w:rFonts w:hint="eastAsia"/>
                <w:lang w:val="zh-CN"/>
              </w:rPr>
              <w:t>分。</w:t>
            </w:r>
          </w:p>
        </w:tc>
        <w:tc>
          <w:tcPr>
            <w:tcW w:w="1013" w:type="dxa"/>
            <w:shd w:val="clear" w:color="auto" w:fill="auto"/>
            <w:vAlign w:val="center"/>
          </w:tcPr>
          <w:p>
            <w:pPr>
              <w:jc w:val="center"/>
              <w:rPr>
                <w:rFonts w:hint="eastAsia" w:ascii="宋体" w:hAnsi="宋体" w:cs="Courier New"/>
                <w:b w:val="0"/>
                <w:sz w:val="21"/>
                <w:szCs w:val="21"/>
                <w:lang w:val="en-US" w:eastAsia="zh-CN"/>
              </w:rPr>
            </w:pPr>
            <w:r>
              <w:rPr>
                <w:rFonts w:hint="eastAsia" w:ascii="宋体" w:hAnsi="宋体" w:eastAsia="宋体" w:cs="Courier New"/>
                <w:b w:val="0"/>
                <w:bCs/>
                <w:caps/>
                <w:kern w:val="2"/>
                <w:sz w:val="21"/>
                <w:szCs w:val="21"/>
                <w:lang w:val="en-US" w:eastAsia="zh-CN" w:bidi="ar-SA"/>
              </w:rPr>
              <w:t>5分</w:t>
            </w:r>
          </w:p>
        </w:tc>
        <w:tc>
          <w:tcPr>
            <w:tcW w:w="969" w:type="dxa"/>
            <w:vMerge w:val="continue"/>
            <w:shd w:val="clear" w:color="auto" w:fill="auto"/>
            <w:vAlign w:val="center"/>
          </w:tcPr>
          <w:p>
            <w:pPr>
              <w:pStyle w:val="26"/>
              <w:snapToGrid w:val="0"/>
              <w:spacing w:line="240" w:lineRule="exact"/>
              <w:jc w:val="center"/>
              <w:rPr>
                <w:rFonts w:ascii="宋体" w:hAnsi="宋体" w:cs="Courier New"/>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402" w:type="dxa"/>
            <w:shd w:val="clear" w:color="auto" w:fill="auto"/>
            <w:vAlign w:val="center"/>
          </w:tcPr>
          <w:p>
            <w:pPr>
              <w:pStyle w:val="172"/>
              <w:jc w:val="center"/>
              <w:rPr>
                <w:bCs/>
                <w:szCs w:val="21"/>
                <w:lang w:val="en-US"/>
              </w:rPr>
            </w:pPr>
            <w:bookmarkStart w:id="199" w:name="_GoBack"/>
            <w:r>
              <w:rPr>
                <w:rFonts w:hint="eastAsia"/>
                <w:szCs w:val="21"/>
              </w:rPr>
              <w:t>投标文件及相关资料的完整性</w:t>
            </w:r>
            <w:bookmarkEnd w:id="199"/>
          </w:p>
        </w:tc>
        <w:tc>
          <w:tcPr>
            <w:tcW w:w="5483" w:type="dxa"/>
            <w:shd w:val="clear" w:color="auto" w:fill="auto"/>
            <w:vAlign w:val="center"/>
          </w:tcPr>
          <w:p>
            <w:pPr>
              <w:pStyle w:val="26"/>
              <w:snapToGrid w:val="0"/>
              <w:spacing w:line="240" w:lineRule="exact"/>
              <w:rPr>
                <w:rFonts w:hint="eastAsia" w:ascii="宋体" w:hAnsi="宋体" w:eastAsia="宋体"/>
                <w:bCs/>
                <w:sz w:val="21"/>
                <w:szCs w:val="21"/>
                <w:lang w:eastAsia="zh-CN"/>
              </w:rPr>
            </w:pPr>
            <w:r>
              <w:rPr>
                <w:rFonts w:hint="eastAsia" w:ascii="宋体" w:hAnsi="宋体"/>
                <w:bCs/>
                <w:sz w:val="21"/>
                <w:szCs w:val="21"/>
              </w:rPr>
              <w:t>商务技术响应电子文件内扫描件内容清晰可辨、特定信息关联至评分项、编制目录等</w:t>
            </w:r>
            <w:r>
              <w:rPr>
                <w:rFonts w:hint="eastAsia" w:ascii="宋体" w:hAnsi="宋体"/>
                <w:bCs/>
                <w:sz w:val="21"/>
                <w:szCs w:val="21"/>
                <w:lang w:eastAsia="zh-CN"/>
              </w:rPr>
              <w:t>。</w:t>
            </w:r>
          </w:p>
          <w:p>
            <w:pPr>
              <w:pStyle w:val="26"/>
              <w:snapToGrid w:val="0"/>
              <w:spacing w:line="240" w:lineRule="exact"/>
              <w:rPr>
                <w:rFonts w:ascii="宋体" w:hAnsi="宋体"/>
                <w:bCs/>
                <w:sz w:val="21"/>
                <w:szCs w:val="21"/>
              </w:rPr>
            </w:pPr>
            <w:r>
              <w:rPr>
                <w:rFonts w:hint="eastAsia" w:ascii="宋体" w:hAnsi="宋体"/>
                <w:bCs/>
                <w:sz w:val="21"/>
                <w:szCs w:val="21"/>
              </w:rPr>
              <w:t>（1）商务技术响应文件目录引索性强、文件均准确关联至特定信息的计</w:t>
            </w:r>
            <w:r>
              <w:rPr>
                <w:rFonts w:hint="eastAsia" w:ascii="宋体" w:hAnsi="宋体"/>
                <w:bCs/>
                <w:sz w:val="21"/>
                <w:szCs w:val="21"/>
                <w:lang w:val="en-US" w:eastAsia="zh-CN"/>
              </w:rPr>
              <w:t>0.5</w:t>
            </w:r>
            <w:r>
              <w:rPr>
                <w:rFonts w:hint="eastAsia" w:ascii="宋体" w:hAnsi="宋体"/>
                <w:bCs/>
                <w:sz w:val="21"/>
                <w:szCs w:val="21"/>
              </w:rPr>
              <w:t>分；</w:t>
            </w:r>
          </w:p>
          <w:p>
            <w:pPr>
              <w:pStyle w:val="26"/>
              <w:snapToGrid w:val="0"/>
              <w:spacing w:line="240" w:lineRule="exact"/>
              <w:jc w:val="left"/>
              <w:rPr>
                <w:rFonts w:ascii="宋体" w:hAnsi="宋体"/>
                <w:bCs/>
                <w:color w:val="000000" w:themeColor="text1"/>
                <w:sz w:val="21"/>
                <w:szCs w:val="21"/>
                <w14:textFill>
                  <w14:solidFill>
                    <w14:schemeClr w14:val="tx1"/>
                  </w14:solidFill>
                </w14:textFill>
              </w:rPr>
            </w:pPr>
            <w:r>
              <w:rPr>
                <w:rFonts w:hint="eastAsia" w:ascii="宋体" w:hAnsi="宋体"/>
                <w:bCs/>
                <w:sz w:val="21"/>
                <w:szCs w:val="21"/>
              </w:rPr>
              <w:t>（2）</w:t>
            </w:r>
            <w:r>
              <w:rPr>
                <w:rFonts w:hint="eastAsia" w:ascii="宋体" w:hAnsi="宋体" w:cs="宋体"/>
                <w:bCs/>
                <w:sz w:val="21"/>
                <w:szCs w:val="21"/>
              </w:rPr>
              <w:t>满足要求，但内容存在1处</w:t>
            </w:r>
            <w:r>
              <w:rPr>
                <w:rFonts w:hint="eastAsia" w:ascii="宋体" w:hAnsi="宋体" w:cs="宋体"/>
                <w:bCs/>
                <w:sz w:val="21"/>
                <w:szCs w:val="21"/>
                <w:lang w:val="en-US" w:eastAsia="zh-CN"/>
              </w:rPr>
              <w:t>以上</w:t>
            </w:r>
            <w:r>
              <w:rPr>
                <w:rFonts w:hint="eastAsia" w:ascii="宋体" w:hAnsi="宋体" w:cs="宋体"/>
                <w:bCs/>
                <w:sz w:val="21"/>
                <w:szCs w:val="21"/>
              </w:rPr>
              <w:t>的计1分；</w:t>
            </w:r>
          </w:p>
          <w:p>
            <w:pPr>
              <w:pStyle w:val="26"/>
              <w:snapToGrid w:val="0"/>
              <w:spacing w:line="240" w:lineRule="exact"/>
              <w:rPr>
                <w:rFonts w:ascii="宋体" w:hAnsi="宋体"/>
                <w:sz w:val="21"/>
                <w:szCs w:val="21"/>
              </w:rPr>
            </w:pPr>
            <w:r>
              <w:rPr>
                <w:rFonts w:hint="eastAsia" w:ascii="宋体" w:hAnsi="宋体" w:cs="宋体"/>
                <w:bCs/>
                <w:color w:val="000000" w:themeColor="text1"/>
                <w:sz w:val="21"/>
                <w:szCs w:val="21"/>
                <w14:textFill>
                  <w14:solidFill>
                    <w14:schemeClr w14:val="tx1"/>
                  </w14:solidFill>
                </w14:textFill>
              </w:rPr>
              <w:t>（3）其他计0分。</w:t>
            </w:r>
          </w:p>
        </w:tc>
        <w:tc>
          <w:tcPr>
            <w:tcW w:w="1013" w:type="dxa"/>
            <w:shd w:val="clear" w:color="auto" w:fill="auto"/>
            <w:vAlign w:val="center"/>
          </w:tcPr>
          <w:p>
            <w:pPr>
              <w:pStyle w:val="26"/>
              <w:snapToGrid w:val="0"/>
              <w:spacing w:line="240" w:lineRule="exact"/>
              <w:jc w:val="center"/>
              <w:rPr>
                <w:rFonts w:ascii="宋体" w:hAnsi="宋体" w:cs="宋体"/>
                <w:bCs/>
                <w:sz w:val="21"/>
                <w:szCs w:val="21"/>
              </w:rPr>
            </w:pPr>
            <w:r>
              <w:rPr>
                <w:rFonts w:hint="eastAsia" w:ascii="宋体" w:hAnsi="宋体" w:cs="宋体"/>
                <w:bCs/>
                <w:sz w:val="21"/>
                <w:szCs w:val="21"/>
                <w:lang w:val="en-US" w:eastAsia="zh-CN"/>
              </w:rPr>
              <w:t>1</w:t>
            </w:r>
            <w:r>
              <w:rPr>
                <w:rFonts w:hint="eastAsia" w:ascii="宋体" w:hAnsi="宋体" w:cs="宋体"/>
                <w:bCs/>
                <w:sz w:val="21"/>
                <w:szCs w:val="21"/>
              </w:rPr>
              <w:t>分</w:t>
            </w:r>
          </w:p>
        </w:tc>
        <w:tc>
          <w:tcPr>
            <w:tcW w:w="969" w:type="dxa"/>
            <w:vMerge w:val="continue"/>
            <w:shd w:val="clear" w:color="auto" w:fill="auto"/>
            <w:vAlign w:val="center"/>
          </w:tcPr>
          <w:p>
            <w:pPr>
              <w:pStyle w:val="26"/>
              <w:snapToGrid w:val="0"/>
              <w:spacing w:line="240" w:lineRule="exact"/>
              <w:jc w:val="center"/>
              <w:rPr>
                <w:rFonts w:ascii="宋体" w:hAnsi="宋体" w:cs="宋体"/>
                <w:bCs/>
                <w:cap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867" w:type="dxa"/>
            <w:gridSpan w:val="4"/>
            <w:vAlign w:val="center"/>
          </w:tcPr>
          <w:p>
            <w:pPr>
              <w:pStyle w:val="26"/>
              <w:snapToGrid w:val="0"/>
              <w:spacing w:line="240" w:lineRule="exact"/>
              <w:ind w:firstLine="422" w:firstLineChars="200"/>
              <w:jc w:val="left"/>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本项目不专门面向中小企业预留份额。</w:t>
            </w:r>
          </w:p>
          <w:p>
            <w:pPr>
              <w:pStyle w:val="26"/>
              <w:snapToGrid w:val="0"/>
              <w:spacing w:line="240" w:lineRule="exact"/>
              <w:ind w:firstLine="420" w:firstLineChars="200"/>
              <w:jc w:val="left"/>
              <w:rPr>
                <w:rFonts w:ascii="宋体" w:hAnsi="宋体"/>
                <w:bCs/>
                <w:sz w:val="21"/>
                <w:szCs w:val="21"/>
              </w:rPr>
            </w:pPr>
            <w:r>
              <w:rPr>
                <w:rFonts w:hint="eastAsia" w:ascii="宋体" w:hAnsi="宋体"/>
                <w:sz w:val="21"/>
                <w:szCs w:val="21"/>
              </w:rPr>
              <w:t>按照《政府采购促进中小企业发展管理办法》、《关于进一步加大政府采购支持中小企业力度的通知》要求给予小型和微型企业产品的价格给予10%的扣除，用扣除后的价格参与评审。</w:t>
            </w:r>
          </w:p>
        </w:tc>
      </w:tr>
      <w:bookmarkEnd w:id="30"/>
    </w:tbl>
    <w:p>
      <w:pPr>
        <w:spacing w:line="240" w:lineRule="exact"/>
        <w:ind w:firstLine="420" w:firstLineChars="200"/>
        <w:jc w:val="left"/>
        <w:rPr>
          <w:rFonts w:ascii="宋体" w:hAnsi="宋体"/>
          <w:szCs w:val="21"/>
        </w:rPr>
      </w:pPr>
      <w:bookmarkStart w:id="31" w:name="_Toc474235950"/>
      <w:bookmarkStart w:id="32" w:name="_Toc420948020"/>
    </w:p>
    <w:p>
      <w:pPr>
        <w:widowControl/>
        <w:adjustRightInd w:val="0"/>
        <w:snapToGrid w:val="0"/>
        <w:spacing w:before="156" w:beforeLines="50"/>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5.5评标结果汇总完成后，除下列情形外，任何人不得修改评标结果：</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（一）分值汇总计算错误的；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（二）分项评分超出评分标准范围的；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（三）评标委员会成员对客观评审因素评分不一致的；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（四）经评标委员会认定评分畸高、畸低的。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投标人对本条第一款情形提出质疑的，采购人或者采购代理机构可以组织原评标委员会进行重新评审，重新评审改变评标结果的，应当书面报告本级财政部门。</w:t>
      </w:r>
    </w:p>
    <w:p>
      <w:pPr>
        <w:tabs>
          <w:tab w:val="left" w:pos="0"/>
        </w:tabs>
        <w:adjustRightInd w:val="0"/>
        <w:snapToGrid w:val="0"/>
        <w:spacing w:before="156" w:beforeLines="50"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6.推荐中标候选人名单</w:t>
      </w:r>
    </w:p>
    <w:p>
      <w:pPr>
        <w:widowControl/>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6.1中标候选人家数：3家。</w:t>
      </w:r>
    </w:p>
    <w:p>
      <w:pPr>
        <w:ind w:firstLine="420" w:firstLineChars="200"/>
        <w:sectPr>
          <w:pgSz w:w="11906" w:h="16838"/>
          <w:pgMar w:top="1474" w:right="1531" w:bottom="1474" w:left="1531" w:header="851" w:footer="992" w:gutter="0"/>
          <w:cols w:space="720" w:num="1"/>
          <w:docGrid w:type="lines" w:linePitch="312" w:charSpace="0"/>
        </w:sectPr>
      </w:pPr>
      <w:r>
        <w:rPr>
          <w:rFonts w:hint="eastAsia" w:ascii="宋体" w:hAnsi="宋体" w:cs="宋体"/>
          <w:color w:val="000000" w:themeColor="text1"/>
          <w:szCs w:val="21"/>
          <w14:textFill>
            <w14:solidFill>
              <w14:schemeClr w14:val="tx1"/>
            </w14:solidFill>
          </w14:textFill>
        </w:rPr>
        <w:t>6.2按评审后得分由高到低顺序排列。得分相同的，按投标报价由低到高顺序排列。得分且投标报价相同的并列。投标文件满足招标文件全部实质性要求，且按照评审因素的量化指标评审得分最高的前三名为中标候选人名单。</w:t>
      </w:r>
    </w:p>
    <w:p>
      <w:pPr>
        <w:spacing w:line="360" w:lineRule="exact"/>
        <w:jc w:val="center"/>
        <w:outlineLvl w:val="0"/>
        <w:rPr>
          <w:rFonts w:ascii="宋体" w:hAnsi="宋体"/>
          <w:b/>
          <w:bCs/>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第四章  政府采购合同格式</w:t>
      </w:r>
      <w:bookmarkEnd w:id="31"/>
      <w:r>
        <w:rPr>
          <w:rFonts w:hint="eastAsia" w:ascii="宋体" w:hAnsi="宋体"/>
          <w:b/>
          <w:color w:val="000000" w:themeColor="text1"/>
          <w:sz w:val="32"/>
          <w:szCs w:val="32"/>
          <w14:textFill>
            <w14:solidFill>
              <w14:schemeClr w14:val="tx1"/>
            </w14:solidFill>
          </w14:textFill>
        </w:rPr>
        <w:t>、验收书</w:t>
      </w:r>
    </w:p>
    <w:p>
      <w:pPr>
        <w:pStyle w:val="192"/>
        <w:ind w:firstLine="0"/>
        <w:jc w:val="center"/>
        <w:rPr>
          <w:rFonts w:hAnsi="宋体" w:eastAsia="宋体" w:cs="宋体"/>
          <w:b/>
          <w:color w:val="000000" w:themeColor="text1"/>
          <w:szCs w:val="24"/>
          <w14:textFill>
            <w14:solidFill>
              <w14:schemeClr w14:val="tx1"/>
            </w14:solidFill>
          </w14:textFill>
        </w:rPr>
      </w:pPr>
    </w:p>
    <w:p>
      <w:pPr>
        <w:pStyle w:val="192"/>
        <w:ind w:firstLine="0"/>
        <w:jc w:val="center"/>
        <w:rPr>
          <w:rFonts w:hAnsi="宋体" w:eastAsia="宋体" w:cs="宋体"/>
          <w:b/>
          <w:color w:val="000000" w:themeColor="text1"/>
          <w:szCs w:val="24"/>
          <w14:textFill>
            <w14:solidFill>
              <w14:schemeClr w14:val="tx1"/>
            </w14:solidFill>
          </w14:textFill>
        </w:rPr>
      </w:pPr>
      <w:r>
        <w:rPr>
          <w:rFonts w:hint="eastAsia" w:hAnsi="宋体" w:eastAsia="宋体" w:cs="宋体"/>
          <w:b/>
          <w:color w:val="000000" w:themeColor="text1"/>
          <w:szCs w:val="24"/>
          <w14:textFill>
            <w14:solidFill>
              <w14:schemeClr w14:val="tx1"/>
            </w14:solidFill>
          </w14:textFill>
        </w:rPr>
        <w:t>第一部分 合同书</w:t>
      </w:r>
    </w:p>
    <w:p>
      <w:pPr>
        <w:pStyle w:val="192"/>
        <w:ind w:firstLine="0"/>
        <w:rPr>
          <w:rFonts w:hAnsi="宋体"/>
          <w:color w:val="000000" w:themeColor="text1"/>
          <w:szCs w:val="24"/>
          <w14:textFill>
            <w14:solidFill>
              <w14:schemeClr w14:val="tx1"/>
            </w14:solidFill>
          </w14:textFill>
        </w:rPr>
      </w:pPr>
    </w:p>
    <w:p>
      <w:pPr>
        <w:pStyle w:val="192"/>
        <w:ind w:firstLine="0"/>
        <w:rPr>
          <w:rFonts w:hAnsi="宋体"/>
          <w:color w:val="000000" w:themeColor="text1"/>
          <w:szCs w:val="24"/>
          <w14:textFill>
            <w14:solidFill>
              <w14:schemeClr w14:val="tx1"/>
            </w14:solidFill>
          </w14:textFill>
        </w:rPr>
      </w:pP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ascii="宋体" w:hAnsi="宋体"/>
          <w:color w:val="000000" w:themeColor="text1"/>
          <w:sz w:val="24"/>
          <w:u w:val="single"/>
          <w14:textFill>
            <w14:solidFill>
              <w14:schemeClr w14:val="tx1"/>
            </w14:solidFill>
          </w14:textFill>
        </w:rPr>
        <w:t xml:space="preserve">                                   </w:t>
      </w:r>
    </w:p>
    <w:p>
      <w:pPr>
        <w:pStyle w:val="97"/>
        <w:spacing w:before="120" w:line="22" w:lineRule="atLeast"/>
        <w:rPr>
          <w:rFonts w:ascii="宋体" w:hAnsi="宋体" w:eastAsia="宋体"/>
          <w:color w:val="000000" w:themeColor="text1"/>
          <w:szCs w:val="24"/>
          <w14:textFill>
            <w14:solidFill>
              <w14:schemeClr w14:val="tx1"/>
            </w14:solidFill>
          </w14:textFill>
        </w:rPr>
      </w:pPr>
    </w:p>
    <w:p>
      <w:pPr>
        <w:pStyle w:val="97"/>
        <w:spacing w:before="120" w:line="22" w:lineRule="atLeast"/>
        <w:rPr>
          <w:rFonts w:ascii="宋体" w:hAnsi="宋体" w:eastAsia="宋体"/>
          <w:color w:val="000000" w:themeColor="text1"/>
          <w:szCs w:val="24"/>
          <w14:textFill>
            <w14:solidFill>
              <w14:schemeClr w14:val="tx1"/>
            </w14:solidFill>
          </w14:textFill>
        </w:rPr>
      </w:pPr>
    </w:p>
    <w:p>
      <w:pPr>
        <w:rPr>
          <w:rFonts w:ascii="宋体" w:hAnsi="宋体"/>
          <w:color w:val="000000" w:themeColor="text1"/>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签订地：</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签订日期：</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autoSpaceDE w:val="0"/>
        <w:autoSpaceDN w:val="0"/>
        <w:adjustRightInd w:val="0"/>
        <w:spacing w:line="600" w:lineRule="exact"/>
        <w:ind w:firstLine="640"/>
        <w:jc w:val="center"/>
        <w:rPr>
          <w:rFonts w:ascii="宋体" w:hAnsi="宋体"/>
          <w:color w:val="000000" w:themeColor="text1"/>
          <w:sz w:val="2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474" w:right="1814" w:bottom="1474" w:left="1814" w:header="851" w:footer="851" w:gutter="0"/>
          <w:cols w:space="720" w:num="1"/>
          <w:docGrid w:linePitch="462" w:charSpace="0"/>
        </w:sectPr>
      </w:pP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年</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月</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以</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（政府采购方式）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（同前页项目名称）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项目进行了采购。经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（相关评定主体名称）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评定，</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hint="eastAsia" w:ascii="宋体" w:hAnsi="宋体"/>
          <w:color w:val="000000" w:themeColor="text1"/>
          <w:szCs w:val="21"/>
          <w14:textFill>
            <w14:solidFill>
              <w14:schemeClr w14:val="tx1"/>
            </w14:solidFill>
          </w14:textFill>
        </w:rPr>
        <w:t>为该项目成交供应商。现于成交通知书发出之日起三十日内，按照采购文件确定的事项签订本合同。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根据《中华人民共和国合同法》、《中华人民共和国政府采购法》等相关法律法规之规定，按照平等、自愿、公平和诚实信用的原则，经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以下简称：甲方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和</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以下简称：乙方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协商一致，约定以下合同</w:t>
      </w:r>
      <w:r>
        <w:rPr>
          <w:rFonts w:hint="eastAsia" w:ascii="宋体" w:hAnsi="宋体"/>
          <w:color w:val="000000" w:themeColor="text1"/>
          <w:szCs w:val="21"/>
          <w14:textFill>
            <w14:solidFill>
              <w14:schemeClr w14:val="tx1"/>
            </w14:solidFill>
          </w14:textFill>
        </w:rPr>
        <w:t>条款，以兹共同遵守、全面履行。</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3" w:name="_Toc24059"/>
      <w:bookmarkStart w:id="34" w:name="_Toc2232"/>
      <w:bookmarkStart w:id="35" w:name="_Toc3029"/>
      <w:r>
        <w:rPr>
          <w:rFonts w:ascii="宋体" w:hAnsi="宋体"/>
          <w:b/>
          <w:color w:val="000000" w:themeColor="text1"/>
          <w:szCs w:val="21"/>
          <w14:textFill>
            <w14:solidFill>
              <w14:schemeClr w14:val="tx1"/>
            </w14:solidFill>
          </w14:textFill>
        </w:rPr>
        <w:t xml:space="preserve">1.1 </w:t>
      </w:r>
      <w:r>
        <w:rPr>
          <w:rFonts w:hint="eastAsia" w:ascii="宋体" w:hAnsi="宋体"/>
          <w:b/>
          <w:color w:val="000000" w:themeColor="text1"/>
          <w:szCs w:val="21"/>
          <w14:textFill>
            <w14:solidFill>
              <w14:schemeClr w14:val="tx1"/>
            </w14:solidFill>
          </w14:textFill>
        </w:rPr>
        <w:t>合同组成部分</w:t>
      </w:r>
      <w:bookmarkEnd w:id="33"/>
      <w:bookmarkEnd w:id="34"/>
      <w:bookmarkEnd w:id="35"/>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1.1.1 </w:t>
      </w:r>
      <w:r>
        <w:rPr>
          <w:rFonts w:hint="eastAsia" w:ascii="宋体" w:hAnsi="宋体"/>
          <w:color w:val="000000" w:themeColor="text1"/>
          <w:szCs w:val="21"/>
          <w14:textFill>
            <w14:solidFill>
              <w14:schemeClr w14:val="tx1"/>
            </w14:solidFill>
          </w14:textFill>
        </w:rPr>
        <w:t>本合同及其补充合同、变更协议；</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1.1.2 </w:t>
      </w:r>
      <w:r>
        <w:rPr>
          <w:rFonts w:hint="eastAsia" w:ascii="宋体" w:hAnsi="宋体"/>
          <w:color w:val="000000" w:themeColor="text1"/>
          <w:szCs w:val="21"/>
          <w14:textFill>
            <w14:solidFill>
              <w14:schemeClr w14:val="tx1"/>
            </w14:solidFill>
          </w14:textFill>
        </w:rPr>
        <w:t>成交通知书；</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1.1.3 </w:t>
      </w:r>
      <w:r>
        <w:rPr>
          <w:rFonts w:hint="eastAsia" w:ascii="宋体" w:hAnsi="宋体"/>
          <w:color w:val="000000" w:themeColor="text1"/>
          <w:szCs w:val="21"/>
          <w14:textFill>
            <w14:solidFill>
              <w14:schemeClr w14:val="tx1"/>
            </w14:solidFill>
          </w14:textFill>
        </w:rPr>
        <w:t>响应文件（含澄清或者说明文件）；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1.1.4 </w:t>
      </w:r>
      <w:r>
        <w:rPr>
          <w:rFonts w:hint="eastAsia" w:ascii="宋体" w:hAnsi="宋体"/>
          <w:color w:val="000000" w:themeColor="text1"/>
          <w:szCs w:val="21"/>
          <w14:textFill>
            <w14:solidFill>
              <w14:schemeClr w14:val="tx1"/>
            </w14:solidFill>
          </w14:textFill>
        </w:rPr>
        <w:t>采购文件（含澄清或者修改文件）；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1.1.5 </w:t>
      </w:r>
      <w:r>
        <w:rPr>
          <w:rFonts w:hint="eastAsia" w:ascii="宋体" w:hAnsi="宋体"/>
          <w:color w:val="000000" w:themeColor="text1"/>
          <w:szCs w:val="21"/>
          <w14:textFill>
            <w14:solidFill>
              <w14:schemeClr w14:val="tx1"/>
            </w14:solidFill>
          </w14:textFill>
        </w:rPr>
        <w:t>其他相关采购文件。</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6" w:name="_Toc24300"/>
      <w:bookmarkStart w:id="37" w:name="_Toc27126"/>
      <w:bookmarkStart w:id="38" w:name="_Toc21295"/>
      <w:r>
        <w:rPr>
          <w:rFonts w:ascii="宋体" w:hAnsi="宋体"/>
          <w:b/>
          <w:color w:val="000000" w:themeColor="text1"/>
          <w:szCs w:val="21"/>
          <w14:textFill>
            <w14:solidFill>
              <w14:schemeClr w14:val="tx1"/>
            </w14:solidFill>
          </w14:textFill>
        </w:rPr>
        <w:t xml:space="preserve">1.2 </w:t>
      </w:r>
      <w:r>
        <w:rPr>
          <w:rFonts w:hint="eastAsia" w:ascii="宋体" w:hAnsi="宋体"/>
          <w:b/>
          <w:color w:val="000000" w:themeColor="text1"/>
          <w:szCs w:val="21"/>
          <w14:textFill>
            <w14:solidFill>
              <w14:schemeClr w14:val="tx1"/>
            </w14:solidFill>
          </w14:textFill>
        </w:rPr>
        <w:t>货物</w:t>
      </w:r>
      <w:bookmarkEnd w:id="36"/>
      <w:bookmarkEnd w:id="37"/>
      <w:bookmarkEnd w:id="38"/>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1.2.1 </w:t>
      </w:r>
      <w:r>
        <w:rPr>
          <w:rFonts w:hint="eastAsia" w:ascii="宋体" w:hAnsi="宋体"/>
          <w:color w:val="000000" w:themeColor="text1"/>
          <w:szCs w:val="21"/>
          <w14:textFill>
            <w14:solidFill>
              <w14:schemeClr w14:val="tx1"/>
            </w14:solidFill>
          </w14:textFill>
        </w:rPr>
        <w:t>货物名称：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1.2.2 </w:t>
      </w:r>
      <w:r>
        <w:rPr>
          <w:rFonts w:hint="eastAsia" w:ascii="宋体" w:hAnsi="宋体"/>
          <w:color w:val="000000" w:themeColor="text1"/>
          <w:szCs w:val="21"/>
          <w14:textFill>
            <w14:solidFill>
              <w14:schemeClr w14:val="tx1"/>
            </w14:solidFill>
          </w14:textFill>
        </w:rPr>
        <w:t>货物数量：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1.2.3 </w:t>
      </w:r>
      <w:r>
        <w:rPr>
          <w:rFonts w:hint="eastAsia" w:ascii="宋体" w:hAnsi="宋体"/>
          <w:color w:val="000000" w:themeColor="text1"/>
          <w:szCs w:val="21"/>
          <w14:textFill>
            <w14:solidFill>
              <w14:schemeClr w14:val="tx1"/>
            </w14:solidFill>
          </w14:textFill>
        </w:rPr>
        <w:t>货物质量：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9" w:name="_Toc21551"/>
      <w:bookmarkStart w:id="40" w:name="_Toc21631"/>
      <w:bookmarkStart w:id="41" w:name="_Toc23292"/>
      <w:r>
        <w:rPr>
          <w:rFonts w:ascii="宋体" w:hAnsi="宋体"/>
          <w:b/>
          <w:color w:val="000000" w:themeColor="text1"/>
          <w:szCs w:val="21"/>
          <w14:textFill>
            <w14:solidFill>
              <w14:schemeClr w14:val="tx1"/>
            </w14:solidFill>
          </w14:textFill>
        </w:rPr>
        <w:t xml:space="preserve">1.3 </w:t>
      </w:r>
      <w:r>
        <w:rPr>
          <w:rFonts w:hint="eastAsia" w:ascii="宋体" w:hAnsi="宋体"/>
          <w:b/>
          <w:color w:val="000000" w:themeColor="text1"/>
          <w:szCs w:val="21"/>
          <w14:textFill>
            <w14:solidFill>
              <w14:schemeClr w14:val="tx1"/>
            </w14:solidFill>
          </w14:textFill>
        </w:rPr>
        <w:t>价款</w:t>
      </w:r>
      <w:bookmarkEnd w:id="39"/>
      <w:bookmarkEnd w:id="40"/>
      <w:bookmarkEnd w:id="4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本合同总价为：￥</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元（大写：</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元人民币）。</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分项价格：</w:t>
      </w:r>
    </w:p>
    <w:tbl>
      <w:tblPr>
        <w:tblStyle w:val="46"/>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序号</w:t>
            </w:r>
          </w:p>
        </w:tc>
        <w:tc>
          <w:tcPr>
            <w:tcW w:w="340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分项名称</w:t>
            </w:r>
          </w:p>
        </w:tc>
        <w:tc>
          <w:tcPr>
            <w:tcW w:w="2552" w:type="dxa"/>
            <w:vAlign w:val="center"/>
          </w:tcPr>
          <w:p>
            <w:pPr>
              <w:pStyle w:val="136"/>
              <w:spacing w:line="560" w:lineRule="exact"/>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340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255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340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255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r>
    </w:tbl>
    <w:p>
      <w:pPr>
        <w:pStyle w:val="136"/>
        <w:spacing w:line="560" w:lineRule="exact"/>
        <w:ind w:firstLine="200"/>
        <w:jc w:val="center"/>
        <w:rPr>
          <w:rFonts w:hAnsi="宋体"/>
          <w:color w:val="000000" w:themeColor="text1"/>
          <w:kern w:val="2"/>
          <w:sz w:val="21"/>
          <w:szCs w:val="21"/>
          <w14:textFill>
            <w14:solidFill>
              <w14:schemeClr w14:val="tx1"/>
            </w14:solidFill>
          </w14:textFill>
        </w:rPr>
        <w:sectPr>
          <w:headerReference r:id="rId12" w:type="first"/>
          <w:footerReference r:id="rId14" w:type="first"/>
          <w:headerReference r:id="rId11" w:type="default"/>
          <w:footerReference r:id="rId13" w:type="default"/>
          <w:pgSz w:w="11906" w:h="16838"/>
          <w:pgMar w:top="1134" w:right="1134" w:bottom="1134" w:left="1418" w:header="851" w:footer="992" w:gutter="0"/>
          <w:cols w:space="720" w:num="1"/>
          <w:titlePg/>
          <w:docGrid w:type="lines" w:linePitch="333" w:charSpace="0"/>
        </w:sectPr>
      </w:pPr>
    </w:p>
    <w:tbl>
      <w:tblPr>
        <w:tblStyle w:val="46"/>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总价</w:t>
            </w:r>
          </w:p>
        </w:tc>
        <w:tc>
          <w:tcPr>
            <w:tcW w:w="255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r>
    </w:tbl>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2" w:name="_Toc1814"/>
      <w:bookmarkStart w:id="43" w:name="_Toc22618"/>
      <w:bookmarkStart w:id="44" w:name="_Toc10340"/>
      <w:r>
        <w:rPr>
          <w:rFonts w:ascii="宋体" w:hAnsi="宋体"/>
          <w:b/>
          <w:color w:val="000000" w:themeColor="text1"/>
          <w:szCs w:val="21"/>
          <w14:textFill>
            <w14:solidFill>
              <w14:schemeClr w14:val="tx1"/>
            </w14:solidFill>
          </w14:textFill>
        </w:rPr>
        <w:t xml:space="preserve">1.4 </w:t>
      </w:r>
      <w:r>
        <w:rPr>
          <w:rFonts w:hint="eastAsia" w:ascii="宋体" w:hAnsi="宋体"/>
          <w:b/>
          <w:color w:val="000000" w:themeColor="text1"/>
          <w:szCs w:val="21"/>
          <w14:textFill>
            <w14:solidFill>
              <w14:schemeClr w14:val="tx1"/>
            </w14:solidFill>
          </w14:textFill>
        </w:rPr>
        <w:t>付款方式和发票开具方式</w:t>
      </w:r>
      <w:bookmarkEnd w:id="42"/>
      <w:bookmarkEnd w:id="43"/>
      <w:bookmarkEnd w:id="44"/>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1.4.1 </w:t>
      </w:r>
      <w:r>
        <w:rPr>
          <w:rFonts w:hint="eastAsia" w:ascii="宋体" w:hAnsi="宋体"/>
          <w:color w:val="000000" w:themeColor="text1"/>
          <w:szCs w:val="21"/>
          <w14:textFill>
            <w14:solidFill>
              <w14:schemeClr w14:val="tx1"/>
            </w14:solidFill>
          </w14:textFill>
        </w:rPr>
        <w:t>付款方式：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1.4.2 </w:t>
      </w:r>
      <w:r>
        <w:rPr>
          <w:rFonts w:hint="eastAsia" w:ascii="宋体" w:hAnsi="宋体"/>
          <w:color w:val="000000" w:themeColor="text1"/>
          <w:szCs w:val="21"/>
          <w14:textFill>
            <w14:solidFill>
              <w14:schemeClr w14:val="tx1"/>
            </w14:solidFill>
          </w14:textFill>
        </w:rPr>
        <w:t>发票开具方式：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5" w:name="_Toc32071"/>
      <w:bookmarkStart w:id="46" w:name="_Toc19304"/>
      <w:bookmarkStart w:id="47" w:name="_Toc2846"/>
      <w:r>
        <w:rPr>
          <w:rFonts w:ascii="宋体" w:hAnsi="宋体"/>
          <w:b/>
          <w:color w:val="000000" w:themeColor="text1"/>
          <w:szCs w:val="21"/>
          <w14:textFill>
            <w14:solidFill>
              <w14:schemeClr w14:val="tx1"/>
            </w14:solidFill>
          </w14:textFill>
        </w:rPr>
        <w:t xml:space="preserve">1.5 </w:t>
      </w:r>
      <w:r>
        <w:rPr>
          <w:rFonts w:hint="eastAsia" w:ascii="宋体" w:hAnsi="宋体"/>
          <w:b/>
          <w:color w:val="000000" w:themeColor="text1"/>
          <w:szCs w:val="21"/>
          <w14:textFill>
            <w14:solidFill>
              <w14:schemeClr w14:val="tx1"/>
            </w14:solidFill>
          </w14:textFill>
        </w:rPr>
        <w:t>货物交付期限、地点和方式</w:t>
      </w:r>
      <w:bookmarkEnd w:id="45"/>
      <w:bookmarkEnd w:id="46"/>
      <w:bookmarkEnd w:id="47"/>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1.5.1 </w:t>
      </w:r>
      <w:r>
        <w:rPr>
          <w:rFonts w:hint="eastAsia" w:ascii="宋体" w:hAnsi="宋体"/>
          <w:color w:val="000000" w:themeColor="text1"/>
          <w:szCs w:val="21"/>
          <w14:textFill>
            <w14:solidFill>
              <w14:schemeClr w14:val="tx1"/>
            </w14:solidFill>
          </w14:textFill>
        </w:rPr>
        <w:t>交付期限：</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1.5.2 </w:t>
      </w:r>
      <w:r>
        <w:rPr>
          <w:rFonts w:hint="eastAsia" w:ascii="宋体" w:hAnsi="宋体"/>
          <w:color w:val="000000" w:themeColor="text1"/>
          <w:szCs w:val="21"/>
          <w14:textFill>
            <w14:solidFill>
              <w14:schemeClr w14:val="tx1"/>
            </w14:solidFill>
          </w14:textFill>
        </w:rPr>
        <w:t>交付地点：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1.5.3 </w:t>
      </w:r>
      <w:r>
        <w:rPr>
          <w:rFonts w:hint="eastAsia" w:ascii="宋体" w:hAnsi="宋体"/>
          <w:color w:val="000000" w:themeColor="text1"/>
          <w:szCs w:val="21"/>
          <w14:textFill>
            <w14:solidFill>
              <w14:schemeClr w14:val="tx1"/>
            </w14:solidFill>
          </w14:textFill>
        </w:rPr>
        <w:t>交付方式：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8" w:name="_Toc27250"/>
      <w:bookmarkStart w:id="49" w:name="_Toc21423"/>
      <w:bookmarkStart w:id="50" w:name="_Toc19554"/>
      <w:r>
        <w:rPr>
          <w:rFonts w:ascii="宋体" w:hAnsi="宋体"/>
          <w:b/>
          <w:color w:val="000000" w:themeColor="text1"/>
          <w:szCs w:val="21"/>
          <w14:textFill>
            <w14:solidFill>
              <w14:schemeClr w14:val="tx1"/>
            </w14:solidFill>
          </w14:textFill>
        </w:rPr>
        <w:t xml:space="preserve">1.6 </w:t>
      </w:r>
      <w:r>
        <w:rPr>
          <w:rFonts w:hint="eastAsia" w:ascii="宋体" w:hAnsi="宋体"/>
          <w:b/>
          <w:color w:val="000000" w:themeColor="text1"/>
          <w:szCs w:val="21"/>
          <w14:textFill>
            <w14:solidFill>
              <w14:schemeClr w14:val="tx1"/>
            </w14:solidFill>
          </w14:textFill>
        </w:rPr>
        <w:t>违约责任</w:t>
      </w:r>
      <w:bookmarkEnd w:id="48"/>
      <w:bookmarkEnd w:id="49"/>
      <w:bookmarkEnd w:id="50"/>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1.6.1 </w:t>
      </w:r>
      <w:r>
        <w:rPr>
          <w:rFonts w:hint="eastAsia" w:ascii="宋体" w:hAnsi="宋体"/>
          <w:color w:val="000000" w:themeColor="text1"/>
          <w:szCs w:val="21"/>
          <w14:textFill>
            <w14:solidFill>
              <w14:schemeClr w14:val="tx1"/>
            </w14:solidFill>
          </w14:textFill>
        </w:rPr>
        <w:t>除不可抗力外，如果乙方没有按照本合同约定的期限、地点和方式交付货物，那么甲方可要求乙方支付违约金，违约金按每迟延交付货物一日的应交付而未交付货物价格的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；迟延交付货物的违约金计算数额达到前述最高限额之日起，甲方有权在要求乙方支付违约金的同时，书面通知乙方解除本合同；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1.6.2 </w:t>
      </w:r>
      <w:r>
        <w:rPr>
          <w:rFonts w:hint="eastAsia" w:ascii="宋体" w:hAnsi="宋体"/>
          <w:color w:val="000000" w:themeColor="text1"/>
          <w:szCs w:val="21"/>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1.6.3 </w:t>
      </w:r>
      <w:r>
        <w:rPr>
          <w:rFonts w:hint="eastAsia" w:ascii="宋体" w:hAnsi="宋体"/>
          <w:color w:val="000000" w:themeColor="text1"/>
          <w:szCs w:val="21"/>
          <w14:textFill>
            <w14:solidFill>
              <w14:schemeClr w14:val="tx1"/>
            </w14:solidFill>
          </w14:textFill>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1.6.4 </w:t>
      </w:r>
      <w:r>
        <w:rPr>
          <w:rFonts w:hint="eastAsia" w:ascii="宋体" w:hAnsi="宋体"/>
          <w:color w:val="000000" w:themeColor="text1"/>
          <w:szCs w:val="21"/>
          <w14:textFill>
            <w14:solidFill>
              <w14:schemeClr w14:val="tx1"/>
            </w14:solidFill>
          </w14:textFill>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1.6.5 </w:t>
      </w:r>
      <w:r>
        <w:rPr>
          <w:rFonts w:hint="eastAsia" w:ascii="宋体" w:hAnsi="宋体"/>
          <w:color w:val="000000" w:themeColor="text1"/>
          <w:szCs w:val="21"/>
          <w14:textFill>
            <w14:solidFill>
              <w14:schemeClr w14:val="tx1"/>
            </w14:solidFill>
          </w14:textFill>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1.6.6 </w:t>
      </w:r>
      <w:r>
        <w:rPr>
          <w:rFonts w:hint="eastAsia" w:ascii="宋体" w:hAnsi="宋体"/>
          <w:color w:val="000000" w:themeColor="text1"/>
          <w:szCs w:val="21"/>
          <w14:textFill>
            <w14:solidFill>
              <w14:schemeClr w14:val="tx1"/>
            </w14:solidFill>
          </w14:textFill>
        </w:rPr>
        <w:t>如果出现政府采购监督管理部门在处理投诉事项期间，书面通知甲方暂停采购活动的情形，或者询问或质疑事项可能影响成交结果的，导致甲方中止履行合同的情形，均不视为甲方违约。</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1" w:name="_Toc28375"/>
      <w:bookmarkStart w:id="52" w:name="_Toc15583"/>
      <w:bookmarkStart w:id="53" w:name="_Toc16021"/>
      <w:r>
        <w:rPr>
          <w:rFonts w:ascii="宋体" w:hAnsi="宋体"/>
          <w:b/>
          <w:color w:val="000000" w:themeColor="text1"/>
          <w:szCs w:val="21"/>
          <w14:textFill>
            <w14:solidFill>
              <w14:schemeClr w14:val="tx1"/>
            </w14:solidFill>
          </w14:textFill>
        </w:rPr>
        <w:t xml:space="preserve">1.7 </w:t>
      </w:r>
      <w:r>
        <w:rPr>
          <w:rFonts w:hint="eastAsia" w:ascii="宋体" w:hAnsi="宋体"/>
          <w:b/>
          <w:color w:val="000000" w:themeColor="text1"/>
          <w:szCs w:val="21"/>
          <w14:textFill>
            <w14:solidFill>
              <w14:schemeClr w14:val="tx1"/>
            </w14:solidFill>
          </w14:textFill>
        </w:rPr>
        <w:t>合同争议的解决</w:t>
      </w:r>
      <w:bookmarkEnd w:id="51"/>
      <w:bookmarkEnd w:id="52"/>
      <w:bookmarkEnd w:id="5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本合同履行过程中发生的任何争议，双方当事人均可通过和解或者调解解决；不愿和解、调解或者和解、调解不成的，可以选择下列第</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2</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种方式解决：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1.7.1 </w:t>
      </w:r>
      <w:r>
        <w:rPr>
          <w:rFonts w:hint="eastAsia" w:ascii="宋体" w:hAnsi="宋体"/>
          <w:color w:val="000000" w:themeColor="text1"/>
          <w:szCs w:val="21"/>
          <w14:textFill>
            <w14:solidFill>
              <w14:schemeClr w14:val="tx1"/>
            </w14:solidFill>
          </w14:textFill>
        </w:rPr>
        <w:t>将争议提交</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仲裁委员会依申请仲裁时其现行有效的仲裁规则裁决；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1.7.2 </w:t>
      </w:r>
      <w:r>
        <w:rPr>
          <w:rFonts w:hint="eastAsia" w:ascii="宋体" w:hAnsi="宋体"/>
          <w:color w:val="000000" w:themeColor="text1"/>
          <w:szCs w:val="21"/>
          <w14:textFill>
            <w14:solidFill>
              <w14:schemeClr w14:val="tx1"/>
            </w14:solidFill>
          </w14:textFill>
        </w:rPr>
        <w:t>向</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合同履行地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人民法院起诉。</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4" w:name="_Toc11173"/>
      <w:bookmarkStart w:id="55" w:name="_Toc7245"/>
      <w:bookmarkStart w:id="56" w:name="_Toc15322"/>
      <w:r>
        <w:rPr>
          <w:rFonts w:ascii="宋体" w:hAnsi="宋体"/>
          <w:b/>
          <w:color w:val="000000" w:themeColor="text1"/>
          <w:szCs w:val="21"/>
          <w14:textFill>
            <w14:solidFill>
              <w14:schemeClr w14:val="tx1"/>
            </w14:solidFill>
          </w14:textFill>
        </w:rPr>
        <w:t xml:space="preserve">1.8 </w:t>
      </w:r>
      <w:r>
        <w:rPr>
          <w:rFonts w:hint="eastAsia" w:ascii="宋体" w:hAnsi="宋体"/>
          <w:b/>
          <w:color w:val="000000" w:themeColor="text1"/>
          <w:szCs w:val="21"/>
          <w14:textFill>
            <w14:solidFill>
              <w14:schemeClr w14:val="tx1"/>
            </w14:solidFill>
          </w14:textFill>
        </w:rPr>
        <w:t>合同生效</w:t>
      </w:r>
      <w:bookmarkEnd w:id="54"/>
      <w:bookmarkEnd w:id="55"/>
      <w:bookmarkEnd w:id="56"/>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本合同自双方当事人盖章或者签字时生效。</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b/>
          <w:color w:val="000000" w:themeColor="text1"/>
          <w:szCs w:val="21"/>
          <w:lang w:val="zh-CN"/>
          <w14:textFill>
            <w14:solidFill>
              <w14:schemeClr w14:val="tx1"/>
            </w14:solidFill>
          </w14:textFill>
        </w:rPr>
        <w:t>甲方</w:t>
      </w:r>
      <w:r>
        <w:rPr>
          <w:rFonts w:hint="eastAsia" w:ascii="宋体" w:hAnsi="宋体"/>
          <w:color w:val="000000" w:themeColor="text1"/>
          <w:szCs w:val="21"/>
          <w:lang w:val="zh-CN"/>
          <w14:textFill>
            <w14:solidFill>
              <w14:schemeClr w14:val="tx1"/>
            </w14:solidFill>
          </w14:textFill>
        </w:rPr>
        <w:t>：</w:t>
      </w:r>
      <w:r>
        <w:rPr>
          <w:rFonts w:ascii="宋体" w:hAnsi="宋体"/>
          <w:color w:val="000000" w:themeColor="text1"/>
          <w:szCs w:val="21"/>
          <w:lang w:val="zh-CN"/>
          <w14:textFill>
            <w14:solidFill>
              <w14:schemeClr w14:val="tx1"/>
            </w14:solidFill>
          </w14:textFill>
        </w:rPr>
        <w:t xml:space="preserve">                             </w:t>
      </w:r>
      <w:r>
        <w:rPr>
          <w:rFonts w:ascii="宋体" w:hAnsi="宋体"/>
          <w:b/>
          <w:color w:val="000000" w:themeColor="text1"/>
          <w:szCs w:val="21"/>
          <w:lang w:val="zh-CN"/>
          <w14:textFill>
            <w14:solidFill>
              <w14:schemeClr w14:val="tx1"/>
            </w14:solidFill>
          </w14:textFill>
        </w:rPr>
        <w:t xml:space="preserve">      </w:t>
      </w:r>
      <w:r>
        <w:rPr>
          <w:rFonts w:hint="eastAsia" w:ascii="宋体" w:hAnsi="宋体"/>
          <w:b/>
          <w:color w:val="000000" w:themeColor="text1"/>
          <w:szCs w:val="21"/>
          <w:lang w:val="zh-CN"/>
          <w14:textFill>
            <w14:solidFill>
              <w14:schemeClr w14:val="tx1"/>
            </w14:solidFill>
          </w14:textFill>
        </w:rPr>
        <w:t>乙方</w:t>
      </w:r>
      <w:r>
        <w:rPr>
          <w:rFonts w:hint="eastAsia"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统一社会信用代码：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统一社会信用代码或身份证号码：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住所：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住所：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法定代表人或</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法定代表人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授权代表（签字）：</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或授权代表（签字）</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联系人：</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联系人：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约定送达地址：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约定送达地址：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邮政编码：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邮政编码：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电子邮箱：</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电子邮箱：</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开户账号：</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开户账号：</w:t>
      </w:r>
    </w:p>
    <w:p>
      <w:pPr>
        <w:widowControl/>
        <w:spacing w:line="560" w:lineRule="exact"/>
        <w:jc w:val="left"/>
        <w:rPr>
          <w:rFonts w:ascii="宋体" w:hAnsi="宋体"/>
          <w:b/>
          <w:color w:val="000000" w:themeColor="text1"/>
          <w14:textFill>
            <w14:solidFill>
              <w14:schemeClr w14:val="tx1"/>
            </w14:solidFill>
          </w14:textFill>
        </w:rPr>
      </w:pPr>
      <w:bookmarkStart w:id="57" w:name="_Toc331685783"/>
    </w:p>
    <w:p>
      <w:pPr>
        <w:widowControl/>
        <w:spacing w:line="560" w:lineRule="exact"/>
        <w:jc w:val="left"/>
        <w:rPr>
          <w:rFonts w:ascii="宋体" w:hAnsi="宋体"/>
          <w:b/>
          <w:color w:val="000000" w:themeColor="text1"/>
          <w14:textFill>
            <w14:solidFill>
              <w14:schemeClr w14:val="tx1"/>
            </w14:solidFill>
          </w14:textFill>
        </w:rPr>
      </w:pPr>
    </w:p>
    <w:p>
      <w:pPr>
        <w:widowControl/>
        <w:spacing w:line="560" w:lineRule="exact"/>
        <w:jc w:val="left"/>
        <w:rPr>
          <w:rFonts w:ascii="宋体" w:hAnsi="宋体"/>
          <w:b/>
          <w:color w:val="000000" w:themeColor="text1"/>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pStyle w:val="192"/>
        <w:spacing w:line="560" w:lineRule="exact"/>
        <w:ind w:firstLine="200"/>
        <w:jc w:val="center"/>
        <w:rPr>
          <w:rFonts w:hAnsi="宋体" w:eastAsia="宋体" w:cs="宋体"/>
          <w:b/>
          <w:color w:val="000000" w:themeColor="text1"/>
          <w:szCs w:val="24"/>
          <w14:textFill>
            <w14:solidFill>
              <w14:schemeClr w14:val="tx1"/>
            </w14:solidFill>
          </w14:textFill>
        </w:rPr>
      </w:pPr>
      <w:r>
        <w:rPr>
          <w:rFonts w:hint="eastAsia" w:hAnsi="宋体"/>
          <w:b/>
          <w:color w:val="000000" w:themeColor="text1"/>
          <w:szCs w:val="24"/>
          <w14:textFill>
            <w14:solidFill>
              <w14:schemeClr w14:val="tx1"/>
            </w14:solidFill>
          </w14:textFill>
        </w:rPr>
        <w:br w:type="page"/>
      </w:r>
      <w:r>
        <w:rPr>
          <w:rFonts w:hint="eastAsia" w:hAnsi="宋体" w:eastAsia="宋体" w:cs="宋体"/>
          <w:b/>
          <w:color w:val="000000" w:themeColor="text1"/>
          <w:szCs w:val="24"/>
          <w14:textFill>
            <w14:solidFill>
              <w14:schemeClr w14:val="tx1"/>
            </w14:solidFill>
          </w14:textFill>
        </w:rPr>
        <w:t>第二部分 合同一般条款</w:t>
      </w:r>
      <w:bookmarkEnd w:id="57"/>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8" w:name="_Ref467378404"/>
      <w:bookmarkStart w:id="59" w:name="_Toc279701240"/>
      <w:bookmarkStart w:id="60" w:name="_Ref467378463"/>
      <w:bookmarkStart w:id="61" w:name="_Ref467379225"/>
      <w:bookmarkStart w:id="62" w:name="_Ref467379094"/>
      <w:bookmarkStart w:id="63" w:name="_Toc487900349"/>
      <w:bookmarkStart w:id="64" w:name="_Ref467379205"/>
      <w:bookmarkStart w:id="65" w:name="_Toc16917"/>
      <w:bookmarkStart w:id="66" w:name="_Toc28763"/>
      <w:bookmarkStart w:id="67" w:name="_Ref467379195"/>
      <w:bookmarkStart w:id="68" w:name="_Ref467378499"/>
      <w:bookmarkStart w:id="69" w:name="_Ref467379214"/>
      <w:bookmarkStart w:id="70" w:name="_Toc19614"/>
      <w:bookmarkStart w:id="71" w:name="_Ref467379109"/>
      <w:bookmarkStart w:id="72" w:name="_Toc259093669"/>
      <w:bookmarkStart w:id="73" w:name="_Ref467379101"/>
      <w:r>
        <w:rPr>
          <w:rFonts w:ascii="宋体" w:hAnsi="宋体"/>
          <w:b/>
          <w:color w:val="000000" w:themeColor="text1"/>
          <w:szCs w:val="21"/>
          <w14:textFill>
            <w14:solidFill>
              <w14:schemeClr w14:val="tx1"/>
            </w14:solidFill>
          </w14:textFill>
        </w:rPr>
        <w:t xml:space="preserve">2.1 </w:t>
      </w:r>
      <w:r>
        <w:rPr>
          <w:rFonts w:hint="eastAsia" w:ascii="宋体" w:hAnsi="宋体"/>
          <w:b/>
          <w:color w:val="000000" w:themeColor="text1"/>
          <w:szCs w:val="21"/>
          <w14:textFill>
            <w14:solidFill>
              <w14:schemeClr w14:val="tx1"/>
            </w14:solidFill>
          </w14:textFill>
        </w:rPr>
        <w:t>定义</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本合同中的下列词语应按以下内容进行解释：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 </w:t>
      </w:r>
      <w:r>
        <w:rPr>
          <w:rFonts w:hint="eastAsia" w:ascii="宋体" w:hAnsi="宋体"/>
          <w:color w:val="000000" w:themeColor="text1"/>
          <w:szCs w:val="21"/>
          <w14:textFill>
            <w14:solidFill>
              <w14:schemeClr w14:val="tx1"/>
            </w14:solidFill>
          </w14:textFill>
        </w:rPr>
        <w:t>“合同”系指采购人和成交供应商签订的载明双方当事人所达成的协议，并包括所有的附件、附录和构成合同的其他文件。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2.1.2 </w:t>
      </w:r>
      <w:r>
        <w:rPr>
          <w:rFonts w:hint="eastAsia" w:ascii="宋体" w:hAnsi="宋体"/>
          <w:color w:val="000000" w:themeColor="text1"/>
          <w:szCs w:val="21"/>
          <w14:textFill>
            <w14:solidFill>
              <w14:schemeClr w14:val="tx1"/>
            </w14:solidFill>
          </w14:textFill>
        </w:rPr>
        <w:t>“合同价”系指根据合同约定，成交供应商在完全履行合同义务后，采购人应支付给成交供应商的价格。</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 </w:t>
      </w:r>
      <w:r>
        <w:rPr>
          <w:rFonts w:hint="eastAsia" w:ascii="宋体" w:hAnsi="宋体"/>
          <w:color w:val="000000" w:themeColor="text1"/>
          <w:szCs w:val="21"/>
          <w14:textFill>
            <w14:solidFill>
              <w14:schemeClr w14:val="tx1"/>
            </w14:solidFill>
          </w14:textFill>
        </w:rPr>
        <w:t>“货物”系指成交供应商根据合同约定应向采购人交付的一切各种形态和种类的物品，包括原材料、燃料、设备、机械、仪表、备件、计算机软件、产品等，并包括工具、手册等其他相关资料。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ascii="宋体" w:hAnsi="宋体"/>
          <w:color w:val="000000" w:themeColor="text1"/>
          <w:szCs w:val="21"/>
          <w14:textFill>
            <w14:solidFill>
              <w14:schemeClr w14:val="tx1"/>
            </w14:solidFill>
          </w14:textFill>
        </w:rPr>
      </w:pPr>
      <w:bookmarkStart w:id="74" w:name="_Ref467378840"/>
      <w:r>
        <w:rPr>
          <w:rFonts w:ascii="宋体" w:hAnsi="宋体"/>
          <w:color w:val="000000" w:themeColor="text1"/>
          <w:szCs w:val="21"/>
          <w14:textFill>
            <w14:solidFill>
              <w14:schemeClr w14:val="tx1"/>
            </w14:solidFill>
          </w14:textFill>
        </w:rPr>
        <w:t xml:space="preserve">2.1.4 </w:t>
      </w:r>
      <w:r>
        <w:rPr>
          <w:rFonts w:hint="eastAsia" w:ascii="宋体" w:hAnsi="宋体"/>
          <w:color w:val="000000" w:themeColor="text1"/>
          <w:szCs w:val="21"/>
          <w14:textFill>
            <w14:solidFill>
              <w14:schemeClr w14:val="tx1"/>
            </w14:solidFill>
          </w14:textFill>
        </w:rPr>
        <w:t>“甲方”系指与成交供应商签署合同的采购人</w:t>
      </w:r>
      <w:bookmarkEnd w:id="74"/>
      <w:r>
        <w:rPr>
          <w:rFonts w:hint="eastAsia" w:ascii="宋体" w:hAnsi="宋体"/>
          <w:color w:val="000000" w:themeColor="text1"/>
          <w:szCs w:val="21"/>
          <w14:textFill>
            <w14:solidFill>
              <w14:schemeClr w14:val="tx1"/>
            </w14:solidFill>
          </w14:textFill>
        </w:rPr>
        <w:t>；采购人委托采购代理机构代表其与乙方签订合同的，采购人的授权委托书作为合同附件。</w:t>
      </w:r>
    </w:p>
    <w:p>
      <w:pPr>
        <w:spacing w:line="560" w:lineRule="exact"/>
        <w:ind w:firstLine="420" w:firstLineChars="200"/>
        <w:rPr>
          <w:rFonts w:ascii="宋体" w:hAnsi="宋体"/>
          <w:color w:val="000000" w:themeColor="text1"/>
          <w:szCs w:val="21"/>
          <w14:textFill>
            <w14:solidFill>
              <w14:schemeClr w14:val="tx1"/>
            </w14:solidFill>
          </w14:textFill>
        </w:rPr>
      </w:pPr>
      <w:bookmarkStart w:id="75" w:name="_Ref467379400"/>
      <w:r>
        <w:rPr>
          <w:rFonts w:ascii="宋体" w:hAnsi="宋体"/>
          <w:color w:val="000000" w:themeColor="text1"/>
          <w:szCs w:val="21"/>
          <w14:textFill>
            <w14:solidFill>
              <w14:schemeClr w14:val="tx1"/>
            </w14:solidFill>
          </w14:textFill>
        </w:rPr>
        <w:t xml:space="preserve">2.1.5 </w:t>
      </w:r>
      <w:r>
        <w:rPr>
          <w:rFonts w:hint="eastAsia" w:ascii="宋体" w:hAnsi="宋体"/>
          <w:color w:val="000000" w:themeColor="text1"/>
          <w:szCs w:val="21"/>
          <w14:textFill>
            <w14:solidFill>
              <w14:schemeClr w14:val="tx1"/>
            </w14:solidFill>
          </w14:textFill>
        </w:rPr>
        <w:t>“乙方”系指根据合同约定交付货物的成交供应商</w:t>
      </w:r>
      <w:bookmarkEnd w:id="75"/>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20" w:firstLineChars="200"/>
        <w:rPr>
          <w:rFonts w:ascii="宋体" w:hAnsi="宋体"/>
          <w:color w:val="000000" w:themeColor="text1"/>
          <w:szCs w:val="21"/>
          <w14:textFill>
            <w14:solidFill>
              <w14:schemeClr w14:val="tx1"/>
            </w14:solidFill>
          </w14:textFill>
        </w:rPr>
      </w:pPr>
      <w:bookmarkStart w:id="76" w:name="_Ref467379436"/>
      <w:r>
        <w:rPr>
          <w:rFonts w:ascii="宋体" w:hAnsi="宋体"/>
          <w:color w:val="000000" w:themeColor="text1"/>
          <w:szCs w:val="21"/>
          <w14:textFill>
            <w14:solidFill>
              <w14:schemeClr w14:val="tx1"/>
            </w14:solidFill>
          </w14:textFill>
        </w:rPr>
        <w:t xml:space="preserve">2.1.6 </w:t>
      </w:r>
      <w:r>
        <w:rPr>
          <w:rFonts w:hint="eastAsia" w:ascii="宋体" w:hAnsi="宋体"/>
          <w:color w:val="000000" w:themeColor="text1"/>
          <w:szCs w:val="21"/>
          <w14:textFill>
            <w14:solidFill>
              <w14:schemeClr w14:val="tx1"/>
            </w14:solidFill>
          </w14:textFill>
        </w:rPr>
        <w:t>“现场”系指合同约定货物将要运至或者安装的地点。</w:t>
      </w:r>
      <w:bookmarkEnd w:id="76"/>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77" w:name="_Toc487900350"/>
      <w:bookmarkStart w:id="78" w:name="_Toc27635"/>
      <w:bookmarkStart w:id="79" w:name="_Toc13336"/>
      <w:bookmarkStart w:id="80" w:name="_Toc259093670"/>
      <w:bookmarkStart w:id="81" w:name="_Toc279701241"/>
      <w:bookmarkStart w:id="82" w:name="_Toc32504"/>
      <w:r>
        <w:rPr>
          <w:rFonts w:ascii="宋体" w:hAnsi="宋体"/>
          <w:b/>
          <w:color w:val="000000" w:themeColor="text1"/>
          <w:szCs w:val="21"/>
          <w14:textFill>
            <w14:solidFill>
              <w14:schemeClr w14:val="tx1"/>
            </w14:solidFill>
          </w14:textFill>
        </w:rPr>
        <w:t xml:space="preserve">2.2 </w:t>
      </w:r>
      <w:r>
        <w:rPr>
          <w:rFonts w:hint="eastAsia" w:ascii="宋体" w:hAnsi="宋体"/>
          <w:b/>
          <w:color w:val="000000" w:themeColor="text1"/>
          <w:szCs w:val="21"/>
          <w14:textFill>
            <w14:solidFill>
              <w14:schemeClr w14:val="tx1"/>
            </w14:solidFill>
          </w14:textFill>
        </w:rPr>
        <w:t>技术规范</w:t>
      </w:r>
      <w:bookmarkEnd w:id="77"/>
      <w:bookmarkEnd w:id="78"/>
      <w:bookmarkEnd w:id="79"/>
      <w:bookmarkEnd w:id="80"/>
      <w:bookmarkEnd w:id="81"/>
      <w:bookmarkEnd w:id="82"/>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货物所应遵守的技术规范应与采购文件规定的技术规范和技术规范附件</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如果有的话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及其技术规范偏差表</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如果被甲方接受的话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相一致；如果采购文件中没有技术规范的相应说明，那么应以国家有关部门最新颁布的相应标准和规范为准。</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83" w:name="_Toc9829"/>
      <w:bookmarkStart w:id="84" w:name="_Toc259093671"/>
      <w:bookmarkStart w:id="85" w:name="_Toc487900351"/>
      <w:bookmarkStart w:id="86" w:name="_Toc27853"/>
      <w:bookmarkStart w:id="87" w:name="_Toc31634"/>
      <w:bookmarkStart w:id="88" w:name="_Toc279701242"/>
      <w:r>
        <w:rPr>
          <w:rFonts w:ascii="宋体" w:hAnsi="宋体"/>
          <w:b/>
          <w:color w:val="000000" w:themeColor="text1"/>
          <w:szCs w:val="21"/>
          <w14:textFill>
            <w14:solidFill>
              <w14:schemeClr w14:val="tx1"/>
            </w14:solidFill>
          </w14:textFill>
        </w:rPr>
        <w:t xml:space="preserve">2.3 </w:t>
      </w:r>
      <w:r>
        <w:rPr>
          <w:rFonts w:hint="eastAsia" w:ascii="宋体" w:hAnsi="宋体"/>
          <w:b/>
          <w:color w:val="000000" w:themeColor="text1"/>
          <w:szCs w:val="21"/>
          <w14:textFill>
            <w14:solidFill>
              <w14:schemeClr w14:val="tx1"/>
            </w14:solidFill>
          </w14:textFill>
        </w:rPr>
        <w:t>知识产权</w:t>
      </w:r>
      <w:bookmarkEnd w:id="83"/>
      <w:bookmarkEnd w:id="84"/>
      <w:bookmarkEnd w:id="85"/>
      <w:bookmarkEnd w:id="86"/>
      <w:bookmarkEnd w:id="87"/>
      <w:bookmarkEnd w:id="88"/>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2.3.1 </w:t>
      </w:r>
      <w:r>
        <w:rPr>
          <w:rFonts w:hint="eastAsia" w:ascii="宋体" w:hAnsi="宋体"/>
          <w:color w:val="000000" w:themeColor="text1"/>
          <w:szCs w:val="21"/>
          <w14:textFill>
            <w14:solidFill>
              <w14:schemeClr w14:val="tx1"/>
            </w14:solidFill>
          </w14:textFill>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2.3.2</w:t>
      </w:r>
      <w:r>
        <w:rPr>
          <w:rFonts w:hint="eastAsia" w:ascii="宋体" w:hAnsi="宋体"/>
          <w:color w:val="000000" w:themeColor="text1"/>
          <w:szCs w:val="21"/>
          <w14:textFill>
            <w14:solidFill>
              <w14:schemeClr w14:val="tx1"/>
            </w14:solidFill>
          </w14:textFill>
        </w:rPr>
        <w:t>具有知识产权的计算机软件等货物的知识产权归属，详见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89" w:name="_Toc4194"/>
      <w:bookmarkStart w:id="90" w:name="_Toc11932"/>
      <w:bookmarkStart w:id="91" w:name="_Toc29149"/>
      <w:r>
        <w:rPr>
          <w:rFonts w:ascii="宋体" w:hAnsi="宋体"/>
          <w:b/>
          <w:color w:val="000000" w:themeColor="text1"/>
          <w:szCs w:val="21"/>
          <w14:textFill>
            <w14:solidFill>
              <w14:schemeClr w14:val="tx1"/>
            </w14:solidFill>
          </w14:textFill>
        </w:rPr>
        <w:t xml:space="preserve">2.4 </w:t>
      </w:r>
      <w:r>
        <w:rPr>
          <w:rFonts w:hint="eastAsia" w:ascii="宋体" w:hAnsi="宋体"/>
          <w:b/>
          <w:color w:val="000000" w:themeColor="text1"/>
          <w:szCs w:val="21"/>
          <w14:textFill>
            <w14:solidFill>
              <w14:schemeClr w14:val="tx1"/>
            </w14:solidFill>
          </w14:textFill>
        </w:rPr>
        <w:t>包装和装运</w:t>
      </w:r>
      <w:bookmarkEnd w:id="89"/>
      <w:bookmarkEnd w:id="90"/>
      <w:bookmarkEnd w:id="91"/>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2.4.1</w:t>
      </w:r>
      <w:r>
        <w:rPr>
          <w:rFonts w:hint="eastAsia" w:ascii="宋体" w:hAnsi="宋体"/>
          <w:color w:val="000000" w:themeColor="text1"/>
          <w:szCs w:val="21"/>
          <w14:textFill>
            <w14:solidFill>
              <w14:schemeClr w14:val="tx1"/>
            </w14:solidFill>
          </w14:textFill>
        </w:rPr>
        <w:t>除</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另有约定外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乙方交付的全部货物</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2.4.2 </w:t>
      </w:r>
      <w:r>
        <w:rPr>
          <w:rFonts w:hint="eastAsia" w:ascii="宋体" w:hAnsi="宋体"/>
          <w:color w:val="000000" w:themeColor="text1"/>
          <w:szCs w:val="21"/>
          <w14:textFill>
            <w14:solidFill>
              <w14:schemeClr w14:val="tx1"/>
            </w14:solidFill>
          </w14:textFill>
        </w:rPr>
        <w:t>装运货物的要求和通知，详见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92" w:name="_Toc279701245"/>
      <w:bookmarkStart w:id="93" w:name="_Ref467378541"/>
      <w:bookmarkStart w:id="94" w:name="_Ref467378591"/>
      <w:bookmarkStart w:id="95" w:name="_Ref467379536"/>
      <w:bookmarkStart w:id="96" w:name="_Toc259093674"/>
      <w:bookmarkStart w:id="97" w:name="_Ref467379542"/>
      <w:bookmarkStart w:id="98" w:name="_Ref467379527"/>
      <w:bookmarkStart w:id="99" w:name="_Toc487900354"/>
      <w:bookmarkStart w:id="100" w:name="_Toc26182"/>
      <w:bookmarkStart w:id="101" w:name="_Toc30272"/>
      <w:bookmarkStart w:id="102" w:name="_Toc19074"/>
      <w:r>
        <w:rPr>
          <w:rFonts w:ascii="宋体" w:hAnsi="宋体"/>
          <w:b/>
          <w:color w:val="000000" w:themeColor="text1"/>
          <w:szCs w:val="21"/>
          <w14:textFill>
            <w14:solidFill>
              <w14:schemeClr w14:val="tx1"/>
            </w14:solidFill>
          </w14:textFill>
        </w:rPr>
        <w:t>2.</w:t>
      </w:r>
      <w:bookmarkEnd w:id="92"/>
      <w:bookmarkEnd w:id="93"/>
      <w:bookmarkEnd w:id="94"/>
      <w:bookmarkEnd w:id="95"/>
      <w:bookmarkEnd w:id="96"/>
      <w:bookmarkEnd w:id="97"/>
      <w:bookmarkEnd w:id="98"/>
      <w:bookmarkEnd w:id="99"/>
      <w:r>
        <w:rPr>
          <w:rFonts w:ascii="宋体" w:hAnsi="宋体"/>
          <w:b/>
          <w:color w:val="000000" w:themeColor="text1"/>
          <w:szCs w:val="21"/>
          <w14:textFill>
            <w14:solidFill>
              <w14:schemeClr w14:val="tx1"/>
            </w14:solidFill>
          </w14:textFill>
        </w:rPr>
        <w:t xml:space="preserve">5 </w:t>
      </w:r>
      <w:r>
        <w:rPr>
          <w:rFonts w:hint="eastAsia" w:ascii="宋体" w:hAnsi="宋体"/>
          <w:b/>
          <w:color w:val="000000" w:themeColor="text1"/>
          <w:szCs w:val="21"/>
          <w14:textFill>
            <w14:solidFill>
              <w14:schemeClr w14:val="tx1"/>
            </w14:solidFill>
          </w14:textFill>
        </w:rPr>
        <w:t>履约检查和问题反馈</w:t>
      </w:r>
      <w:bookmarkEnd w:id="100"/>
      <w:bookmarkEnd w:id="101"/>
      <w:bookmarkEnd w:id="102"/>
    </w:p>
    <w:p>
      <w:pPr>
        <w:spacing w:line="560" w:lineRule="exact"/>
        <w:ind w:firstLine="420" w:firstLineChars="200"/>
        <w:rPr>
          <w:rFonts w:ascii="宋体" w:hAnsi="宋体"/>
          <w:color w:val="000000" w:themeColor="text1"/>
          <w:szCs w:val="21"/>
          <w14:textFill>
            <w14:solidFill>
              <w14:schemeClr w14:val="tx1"/>
            </w14:solidFill>
          </w14:textFill>
        </w:rPr>
      </w:pPr>
      <w:bookmarkStart w:id="103" w:name="_Ref467379657"/>
      <w:r>
        <w:rPr>
          <w:rFonts w:ascii="宋体" w:hAnsi="宋体"/>
          <w:color w:val="000000" w:themeColor="text1"/>
          <w:szCs w:val="21"/>
          <w14:textFill>
            <w14:solidFill>
              <w14:schemeClr w14:val="tx1"/>
            </w14:solidFill>
          </w14:textFill>
        </w:rPr>
        <w:t>2.5.1</w:t>
      </w:r>
      <w:bookmarkEnd w:id="103"/>
      <w:bookmarkStart w:id="104" w:name="_Toc186431854"/>
      <w:bookmarkStart w:id="105" w:name="_Toc259093676"/>
      <w:bookmarkStart w:id="106" w:name="_Ref467379793"/>
      <w:bookmarkStart w:id="107" w:name="_Toc487900357"/>
      <w:bookmarkStart w:id="108" w:name="_Ref467379807"/>
      <w:bookmarkStart w:id="109" w:name="_Toc279701247"/>
      <w:r>
        <w:rPr>
          <w:rFonts w:hint="eastAsia" w:ascii="宋体" w:hAnsi="宋体"/>
          <w:color w:val="000000" w:themeColor="text1"/>
          <w:szCs w:val="21"/>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2.5.2 </w:t>
      </w:r>
      <w:r>
        <w:rPr>
          <w:rFonts w:hint="eastAsia" w:ascii="宋体" w:hAnsi="宋体"/>
          <w:color w:val="000000" w:themeColor="text1"/>
          <w:szCs w:val="21"/>
          <w14:textFill>
            <w14:solidFill>
              <w14:schemeClr w14:val="tx1"/>
            </w14:solidFill>
          </w14:textFill>
        </w:rPr>
        <w:t>合同履行期间，甲方有权将履行过程中出现的问题反馈给乙方，双方当事人应以书面形式约定需要完善和改进的内容</w:t>
      </w:r>
      <w:bookmarkEnd w:id="104"/>
      <w:bookmarkStart w:id="110" w:name="_Toc186431855"/>
      <w:r>
        <w:rPr>
          <w:rFonts w:hint="eastAsia" w:ascii="宋体" w:hAnsi="宋体"/>
          <w:color w:val="000000" w:themeColor="text1"/>
          <w:szCs w:val="21"/>
          <w14:textFill>
            <w14:solidFill>
              <w14:schemeClr w14:val="tx1"/>
            </w14:solidFill>
          </w14:textFill>
        </w:rPr>
        <w:t>。</w:t>
      </w:r>
    </w:p>
    <w:bookmarkEnd w:id="110"/>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1" w:name="_Toc19219"/>
      <w:bookmarkStart w:id="112" w:name="_Toc28451"/>
      <w:bookmarkStart w:id="113" w:name="_Toc7836"/>
      <w:r>
        <w:rPr>
          <w:rFonts w:ascii="宋体" w:hAnsi="宋体"/>
          <w:b/>
          <w:color w:val="000000" w:themeColor="text1"/>
          <w:szCs w:val="21"/>
          <w14:textFill>
            <w14:solidFill>
              <w14:schemeClr w14:val="tx1"/>
            </w14:solidFill>
          </w14:textFill>
        </w:rPr>
        <w:t xml:space="preserve">2.6 </w:t>
      </w:r>
      <w:r>
        <w:rPr>
          <w:rFonts w:hint="eastAsia" w:ascii="宋体" w:hAnsi="宋体"/>
          <w:b/>
          <w:color w:val="000000" w:themeColor="text1"/>
          <w:szCs w:val="21"/>
          <w14:textFill>
            <w14:solidFill>
              <w14:schemeClr w14:val="tx1"/>
            </w14:solidFill>
          </w14:textFill>
        </w:rPr>
        <w:t>结算方式和付款条件</w:t>
      </w:r>
      <w:bookmarkEnd w:id="105"/>
      <w:bookmarkEnd w:id="106"/>
      <w:bookmarkEnd w:id="107"/>
      <w:bookmarkEnd w:id="108"/>
      <w:bookmarkEnd w:id="109"/>
      <w:bookmarkEnd w:id="111"/>
      <w:bookmarkEnd w:id="112"/>
      <w:bookmarkEnd w:id="11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4" w:name="_Ref467379852"/>
      <w:bookmarkStart w:id="115" w:name="_Toc259093677"/>
      <w:bookmarkStart w:id="116" w:name="_Ref467379923"/>
      <w:bookmarkStart w:id="117" w:name="_Toc279701248"/>
      <w:bookmarkStart w:id="118" w:name="_Ref467379863"/>
      <w:bookmarkStart w:id="119" w:name="_Toc487900358"/>
      <w:bookmarkStart w:id="120" w:name="_Toc774"/>
      <w:bookmarkStart w:id="121" w:name="_Toc3225"/>
      <w:bookmarkStart w:id="122" w:name="_Toc16110"/>
      <w:r>
        <w:rPr>
          <w:rFonts w:ascii="宋体" w:hAnsi="宋体"/>
          <w:b/>
          <w:color w:val="000000" w:themeColor="text1"/>
          <w:szCs w:val="21"/>
          <w14:textFill>
            <w14:solidFill>
              <w14:schemeClr w14:val="tx1"/>
            </w14:solidFill>
          </w14:textFill>
        </w:rPr>
        <w:t xml:space="preserve">2.7 </w:t>
      </w:r>
      <w:r>
        <w:rPr>
          <w:rFonts w:hint="eastAsia" w:ascii="宋体" w:hAnsi="宋体"/>
          <w:b/>
          <w:color w:val="000000" w:themeColor="text1"/>
          <w:szCs w:val="21"/>
          <w14:textFill>
            <w14:solidFill>
              <w14:schemeClr w14:val="tx1"/>
            </w14:solidFill>
          </w14:textFill>
        </w:rPr>
        <w:t>技术资料</w:t>
      </w:r>
      <w:bookmarkEnd w:id="114"/>
      <w:bookmarkEnd w:id="115"/>
      <w:bookmarkEnd w:id="116"/>
      <w:bookmarkEnd w:id="117"/>
      <w:bookmarkEnd w:id="118"/>
      <w:bookmarkEnd w:id="119"/>
      <w:r>
        <w:rPr>
          <w:rFonts w:hint="eastAsia" w:ascii="宋体" w:hAnsi="宋体"/>
          <w:b/>
          <w:color w:val="000000" w:themeColor="text1"/>
          <w:szCs w:val="21"/>
          <w14:textFill>
            <w14:solidFill>
              <w14:schemeClr w14:val="tx1"/>
            </w14:solidFill>
          </w14:textFill>
        </w:rPr>
        <w:t>和保密义务</w:t>
      </w:r>
      <w:bookmarkEnd w:id="120"/>
      <w:bookmarkEnd w:id="121"/>
      <w:bookmarkEnd w:id="12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2.7.1 </w:t>
      </w:r>
      <w:r>
        <w:rPr>
          <w:rFonts w:hint="eastAsia" w:ascii="宋体" w:hAnsi="宋体"/>
          <w:color w:val="000000" w:themeColor="text1"/>
          <w:szCs w:val="21"/>
          <w14:textFill>
            <w14:solidFill>
              <w14:schemeClr w14:val="tx1"/>
            </w14:solidFill>
          </w14:textFill>
        </w:rPr>
        <w:t>乙方有权依据合同约定和项目需要，向甲方了解有关情况，调阅有关资料等，甲方应予积极配合；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2.7.2 </w:t>
      </w:r>
      <w:r>
        <w:rPr>
          <w:rFonts w:hint="eastAsia" w:ascii="宋体" w:hAnsi="宋体"/>
          <w:color w:val="000000" w:themeColor="text1"/>
          <w:szCs w:val="21"/>
          <w14:textFill>
            <w14:solidFill>
              <w14:schemeClr w14:val="tx1"/>
            </w14:solidFill>
          </w14:textFill>
        </w:rPr>
        <w:t>乙方有义务妥善保管和保护由甲方提供的前款信息和资料等；</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2.7.3 </w:t>
      </w:r>
      <w:r>
        <w:rPr>
          <w:rFonts w:hint="eastAsia" w:ascii="宋体" w:hAnsi="宋体"/>
          <w:color w:val="000000" w:themeColor="text1"/>
          <w:szCs w:val="21"/>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3" w:name="_Toc7860"/>
      <w:r>
        <w:rPr>
          <w:rFonts w:ascii="宋体" w:hAnsi="宋体"/>
          <w:b/>
          <w:color w:val="000000" w:themeColor="text1"/>
          <w:szCs w:val="21"/>
          <w14:textFill>
            <w14:solidFill>
              <w14:schemeClr w14:val="tx1"/>
            </w14:solidFill>
          </w14:textFill>
        </w:rPr>
        <w:t xml:space="preserve">2.8 </w:t>
      </w:r>
      <w:r>
        <w:rPr>
          <w:rFonts w:hint="eastAsia" w:ascii="宋体" w:hAnsi="宋体"/>
          <w:b/>
          <w:color w:val="000000" w:themeColor="text1"/>
          <w:szCs w:val="21"/>
          <w14:textFill>
            <w14:solidFill>
              <w14:schemeClr w14:val="tx1"/>
            </w14:solidFill>
          </w14:textFill>
        </w:rPr>
        <w:t>质量保证</w:t>
      </w:r>
      <w:bookmarkEnd w:id="123"/>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2.8.1 </w:t>
      </w:r>
      <w:r>
        <w:rPr>
          <w:rFonts w:hint="eastAsia" w:ascii="宋体" w:hAnsi="宋体"/>
          <w:color w:val="000000" w:themeColor="text1"/>
          <w:szCs w:val="21"/>
          <w14:textFill>
            <w14:solidFill>
              <w14:schemeClr w14:val="tx1"/>
            </w14:solidFill>
          </w14:textFill>
        </w:rPr>
        <w:t>乙方应建立和完善履行合同的内部质量保证体系，并提供相关内部规章制度给甲方，以便甲方进行监督检查；</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2.8.2 </w:t>
      </w:r>
      <w:r>
        <w:rPr>
          <w:rFonts w:hint="eastAsia" w:ascii="宋体" w:hAnsi="宋体"/>
          <w:color w:val="000000" w:themeColor="text1"/>
          <w:szCs w:val="21"/>
          <w14:textFill>
            <w14:solidFill>
              <w14:schemeClr w14:val="tx1"/>
            </w14:solidFill>
          </w14:textFill>
        </w:rPr>
        <w:t>乙方应保证履行合同的人员数量和素质、软件和硬件设备的配置、场地、环境和设施等满足全面履行合同的要求，并应接受甲方的监督检查。</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4" w:name="_Toc17244"/>
      <w:bookmarkStart w:id="125" w:name="_Toc487900362"/>
      <w:bookmarkStart w:id="126" w:name="_Toc259093681"/>
      <w:bookmarkStart w:id="127" w:name="_Toc279701252"/>
      <w:r>
        <w:rPr>
          <w:rFonts w:ascii="宋体" w:hAnsi="宋体"/>
          <w:b/>
          <w:color w:val="000000" w:themeColor="text1"/>
          <w:szCs w:val="21"/>
          <w14:textFill>
            <w14:solidFill>
              <w14:schemeClr w14:val="tx1"/>
            </w14:solidFill>
          </w14:textFill>
        </w:rPr>
        <w:t xml:space="preserve">2.9 </w:t>
      </w:r>
      <w:r>
        <w:rPr>
          <w:rFonts w:hint="eastAsia" w:ascii="宋体" w:hAnsi="宋体"/>
          <w:b/>
          <w:color w:val="000000" w:themeColor="text1"/>
          <w:szCs w:val="21"/>
          <w14:textFill>
            <w14:solidFill>
              <w14:schemeClr w14:val="tx1"/>
            </w14:solidFill>
          </w14:textFill>
        </w:rPr>
        <w:t>货物的风险负担</w:t>
      </w:r>
      <w:bookmarkEnd w:id="124"/>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货物或者在途货物或者交付给第一承运人后的货物毁损、灭失的风险负担详见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8" w:name="_Toc14055"/>
      <w:r>
        <w:rPr>
          <w:rFonts w:ascii="宋体" w:hAnsi="宋体"/>
          <w:b/>
          <w:color w:val="000000" w:themeColor="text1"/>
          <w:szCs w:val="21"/>
          <w14:textFill>
            <w14:solidFill>
              <w14:schemeClr w14:val="tx1"/>
            </w14:solidFill>
          </w14:textFill>
        </w:rPr>
        <w:t xml:space="preserve">2.10 </w:t>
      </w:r>
      <w:r>
        <w:rPr>
          <w:rFonts w:hint="eastAsia" w:ascii="宋体" w:hAnsi="宋体"/>
          <w:b/>
          <w:color w:val="000000" w:themeColor="text1"/>
          <w:szCs w:val="21"/>
          <w14:textFill>
            <w14:solidFill>
              <w14:schemeClr w14:val="tx1"/>
            </w14:solidFill>
          </w14:textFill>
        </w:rPr>
        <w:t>延迟交货</w:t>
      </w:r>
      <w:bookmarkEnd w:id="125"/>
      <w:bookmarkEnd w:id="126"/>
      <w:bookmarkEnd w:id="127"/>
      <w:bookmarkEnd w:id="128"/>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9" w:name="_Toc7502"/>
      <w:bookmarkStart w:id="130" w:name="_Ref467378121"/>
      <w:bookmarkStart w:id="131" w:name="_Toc259093683"/>
      <w:bookmarkStart w:id="132" w:name="_Toc279701254"/>
      <w:bookmarkStart w:id="133" w:name="_Toc487900364"/>
      <w:r>
        <w:rPr>
          <w:rFonts w:ascii="宋体" w:hAnsi="宋体"/>
          <w:b/>
          <w:color w:val="000000" w:themeColor="text1"/>
          <w:szCs w:val="21"/>
          <w14:textFill>
            <w14:solidFill>
              <w14:schemeClr w14:val="tx1"/>
            </w14:solidFill>
          </w14:textFill>
        </w:rPr>
        <w:t xml:space="preserve">2.11 </w:t>
      </w:r>
      <w:r>
        <w:rPr>
          <w:rFonts w:hint="eastAsia" w:ascii="宋体" w:hAnsi="宋体"/>
          <w:b/>
          <w:color w:val="000000" w:themeColor="text1"/>
          <w:szCs w:val="21"/>
          <w14:textFill>
            <w14:solidFill>
              <w14:schemeClr w14:val="tx1"/>
            </w14:solidFill>
          </w14:textFill>
        </w:rPr>
        <w:t>合同变更</w:t>
      </w:r>
      <w:bookmarkEnd w:id="129"/>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2.11.1</w:t>
      </w:r>
      <w:r>
        <w:rPr>
          <w:rFonts w:hint="eastAsia" w:ascii="宋体" w:hAnsi="宋体"/>
          <w:color w:val="000000" w:themeColor="text1"/>
          <w:szCs w:val="21"/>
          <w14:textFill>
            <w14:solidFill>
              <w14:schemeClr w14:val="tx1"/>
            </w14:solidFill>
          </w14:textFill>
        </w:rPr>
        <w:t>双方当事人协商一致，可以签订书面补充合同的形式变更合同，但不得违背采购文件确定的事项，且如果系追加与合同标的相同的货物的，那么所有补充合同的采购金额不得超过原合同价的</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2.11.2 </w:t>
      </w:r>
      <w:r>
        <w:rPr>
          <w:rFonts w:hint="eastAsia" w:ascii="宋体" w:hAnsi="宋体"/>
          <w:color w:val="000000" w:themeColor="text1"/>
          <w:szCs w:val="21"/>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bookmarkStart w:id="134" w:name="_Toc279701259"/>
      <w:bookmarkStart w:id="135" w:name="_Toc259093688"/>
      <w:bookmarkStart w:id="136" w:name="_Toc487900369"/>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7" w:name="_Toc10366"/>
      <w:bookmarkStart w:id="138" w:name="_Toc15237"/>
      <w:bookmarkStart w:id="139" w:name="_Toc22955"/>
      <w:r>
        <w:rPr>
          <w:rFonts w:ascii="宋体" w:hAnsi="宋体"/>
          <w:b/>
          <w:color w:val="000000" w:themeColor="text1"/>
          <w:szCs w:val="21"/>
          <w14:textFill>
            <w14:solidFill>
              <w14:schemeClr w14:val="tx1"/>
            </w14:solidFill>
          </w14:textFill>
        </w:rPr>
        <w:t xml:space="preserve">2.12 </w:t>
      </w:r>
      <w:r>
        <w:rPr>
          <w:rFonts w:hint="eastAsia" w:ascii="宋体" w:hAnsi="宋体"/>
          <w:b/>
          <w:color w:val="000000" w:themeColor="text1"/>
          <w:szCs w:val="21"/>
          <w14:textFill>
            <w14:solidFill>
              <w14:schemeClr w14:val="tx1"/>
            </w14:solidFill>
          </w14:textFill>
        </w:rPr>
        <w:t>合同转让</w:t>
      </w:r>
      <w:bookmarkEnd w:id="134"/>
      <w:bookmarkEnd w:id="135"/>
      <w:bookmarkEnd w:id="136"/>
      <w:r>
        <w:rPr>
          <w:rFonts w:hint="eastAsia" w:ascii="宋体" w:hAnsi="宋体"/>
          <w:b/>
          <w:color w:val="000000" w:themeColor="text1"/>
          <w:szCs w:val="21"/>
          <w14:textFill>
            <w14:solidFill>
              <w14:schemeClr w14:val="tx1"/>
            </w14:solidFill>
          </w14:textFill>
        </w:rPr>
        <w:t>和分包</w:t>
      </w:r>
      <w:bookmarkEnd w:id="137"/>
      <w:bookmarkEnd w:id="138"/>
      <w:bookmarkEnd w:id="139"/>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0" w:name="_Toc14066"/>
      <w:bookmarkStart w:id="141" w:name="_Toc16508"/>
      <w:bookmarkStart w:id="142" w:name="_Toc13566"/>
      <w:r>
        <w:rPr>
          <w:rFonts w:ascii="宋体" w:hAnsi="宋体"/>
          <w:b/>
          <w:color w:val="000000" w:themeColor="text1"/>
          <w:szCs w:val="21"/>
          <w14:textFill>
            <w14:solidFill>
              <w14:schemeClr w14:val="tx1"/>
            </w14:solidFill>
          </w14:textFill>
        </w:rPr>
        <w:t xml:space="preserve">2.13 </w:t>
      </w:r>
      <w:r>
        <w:rPr>
          <w:rFonts w:hint="eastAsia" w:ascii="宋体" w:hAnsi="宋体"/>
          <w:b/>
          <w:color w:val="000000" w:themeColor="text1"/>
          <w:szCs w:val="21"/>
          <w14:textFill>
            <w14:solidFill>
              <w14:schemeClr w14:val="tx1"/>
            </w14:solidFill>
          </w14:textFill>
        </w:rPr>
        <w:t>不可抗力</w:t>
      </w:r>
      <w:bookmarkEnd w:id="140"/>
      <w:bookmarkEnd w:id="141"/>
      <w:bookmarkEnd w:id="14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2.13.1</w:t>
      </w:r>
      <w:r>
        <w:rPr>
          <w:rFonts w:hint="eastAsia" w:ascii="宋体" w:hAnsi="宋体"/>
          <w:color w:val="000000" w:themeColor="text1"/>
          <w:szCs w:val="21"/>
          <w14:textFill>
            <w14:solidFill>
              <w14:schemeClr w14:val="tx1"/>
            </w14:solidFill>
          </w14:textFill>
        </w:rPr>
        <w:t>如果任何一方遭遇法律规定的不可抗力，致使合同履行受阻时，履行合同的期限应予延长，延长的期限应相当于不可抗力所影响的时间；</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2.13.2 </w:t>
      </w:r>
      <w:r>
        <w:rPr>
          <w:rFonts w:hint="eastAsia" w:ascii="宋体" w:hAnsi="宋体"/>
          <w:color w:val="000000" w:themeColor="text1"/>
          <w:szCs w:val="21"/>
          <w14:textFill>
            <w14:solidFill>
              <w14:schemeClr w14:val="tx1"/>
            </w14:solidFill>
          </w14:textFill>
        </w:rPr>
        <w:t>因不可抗力致使不能实现合同目的的，当事人可以解除合同；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2.13.3 </w:t>
      </w:r>
      <w:r>
        <w:rPr>
          <w:rFonts w:hint="eastAsia" w:ascii="宋体" w:hAnsi="宋体"/>
          <w:color w:val="000000" w:themeColor="text1"/>
          <w:szCs w:val="21"/>
          <w14:textFill>
            <w14:solidFill>
              <w14:schemeClr w14:val="tx1"/>
            </w14:solidFill>
          </w14:textFill>
        </w:rPr>
        <w:t>因不可抗力致使合同有变更必要的，双方当事人应在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约定时间内以书面形式变更合同；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2.13.4</w:t>
      </w:r>
      <w:r>
        <w:rPr>
          <w:rFonts w:hint="eastAsia" w:ascii="宋体" w:hAnsi="宋体"/>
          <w:color w:val="000000" w:themeColor="text1"/>
          <w:szCs w:val="21"/>
          <w14:textFill>
            <w14:solidFill>
              <w14:schemeClr w14:val="tx1"/>
            </w14:solidFill>
          </w14:textFill>
        </w:rPr>
        <w:t>受不可抗力影响的一方在不可抗力发生后，应在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约定时间内以书面形式通知对方当事人，并在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约定时间内，将有关部门出具的证明文件送达对方当事人。</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3" w:name="_Toc30676"/>
      <w:bookmarkStart w:id="144" w:name="_Toc689"/>
      <w:bookmarkStart w:id="145" w:name="_Toc279701255"/>
      <w:bookmarkStart w:id="146" w:name="_Toc259093684"/>
      <w:bookmarkStart w:id="147" w:name="_Toc6969"/>
      <w:bookmarkStart w:id="148" w:name="_Toc487900365"/>
      <w:r>
        <w:rPr>
          <w:rFonts w:ascii="宋体" w:hAnsi="宋体"/>
          <w:b/>
          <w:color w:val="000000" w:themeColor="text1"/>
          <w:szCs w:val="21"/>
          <w14:textFill>
            <w14:solidFill>
              <w14:schemeClr w14:val="tx1"/>
            </w14:solidFill>
          </w14:textFill>
        </w:rPr>
        <w:t xml:space="preserve">2.14 </w:t>
      </w:r>
      <w:r>
        <w:rPr>
          <w:rFonts w:hint="eastAsia" w:ascii="宋体" w:hAnsi="宋体"/>
          <w:b/>
          <w:color w:val="000000" w:themeColor="text1"/>
          <w:szCs w:val="21"/>
          <w14:textFill>
            <w14:solidFill>
              <w14:schemeClr w14:val="tx1"/>
            </w14:solidFill>
          </w14:textFill>
        </w:rPr>
        <w:t>税费</w:t>
      </w:r>
      <w:bookmarkEnd w:id="143"/>
      <w:bookmarkEnd w:id="144"/>
      <w:bookmarkEnd w:id="145"/>
      <w:bookmarkEnd w:id="146"/>
      <w:bookmarkEnd w:id="147"/>
      <w:bookmarkEnd w:id="148"/>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与合同有关的一切税费，均按照中华人民共和国法律的相关规定。</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9" w:name="_Toc7102"/>
      <w:bookmarkStart w:id="150" w:name="_Toc259093687"/>
      <w:bookmarkStart w:id="151" w:name="_Toc279701258"/>
      <w:bookmarkStart w:id="152" w:name="_Toc8298"/>
      <w:bookmarkStart w:id="153" w:name="_Toc487900368"/>
      <w:bookmarkStart w:id="154" w:name="_Toc16959"/>
      <w:r>
        <w:rPr>
          <w:rFonts w:ascii="宋体" w:hAnsi="宋体"/>
          <w:b/>
          <w:color w:val="000000" w:themeColor="text1"/>
          <w:szCs w:val="21"/>
          <w14:textFill>
            <w14:solidFill>
              <w14:schemeClr w14:val="tx1"/>
            </w14:solidFill>
          </w14:textFill>
        </w:rPr>
        <w:t xml:space="preserve">2.15 </w:t>
      </w:r>
      <w:r>
        <w:rPr>
          <w:rFonts w:hint="eastAsia" w:ascii="宋体" w:hAnsi="宋体"/>
          <w:b/>
          <w:color w:val="000000" w:themeColor="text1"/>
          <w:szCs w:val="21"/>
          <w14:textFill>
            <w14:solidFill>
              <w14:schemeClr w14:val="tx1"/>
            </w14:solidFill>
          </w14:textFill>
        </w:rPr>
        <w:t>乙方破产</w:t>
      </w:r>
      <w:bookmarkEnd w:id="149"/>
      <w:bookmarkEnd w:id="150"/>
      <w:bookmarkEnd w:id="151"/>
      <w:bookmarkEnd w:id="152"/>
      <w:bookmarkEnd w:id="153"/>
      <w:bookmarkEnd w:id="154"/>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5" w:name="_Toc29333"/>
      <w:bookmarkStart w:id="156" w:name="_Toc6134"/>
      <w:bookmarkStart w:id="157" w:name="_Toc15387"/>
      <w:r>
        <w:rPr>
          <w:rFonts w:ascii="宋体" w:hAnsi="宋体"/>
          <w:b/>
          <w:color w:val="000000" w:themeColor="text1"/>
          <w:szCs w:val="21"/>
          <w14:textFill>
            <w14:solidFill>
              <w14:schemeClr w14:val="tx1"/>
            </w14:solidFill>
          </w14:textFill>
        </w:rPr>
        <w:t xml:space="preserve">2.16 </w:t>
      </w:r>
      <w:r>
        <w:rPr>
          <w:rFonts w:hint="eastAsia" w:ascii="宋体" w:hAnsi="宋体"/>
          <w:b/>
          <w:color w:val="000000" w:themeColor="text1"/>
          <w:szCs w:val="21"/>
          <w14:textFill>
            <w14:solidFill>
              <w14:schemeClr w14:val="tx1"/>
            </w14:solidFill>
          </w14:textFill>
        </w:rPr>
        <w:t>合同中止、终止</w:t>
      </w:r>
      <w:bookmarkEnd w:id="155"/>
      <w:bookmarkEnd w:id="156"/>
      <w:bookmarkEnd w:id="157"/>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2.16.1 </w:t>
      </w:r>
      <w:r>
        <w:rPr>
          <w:rFonts w:hint="eastAsia" w:ascii="宋体" w:hAnsi="宋体"/>
          <w:color w:val="000000" w:themeColor="text1"/>
          <w:szCs w:val="21"/>
          <w14:textFill>
            <w14:solidFill>
              <w14:schemeClr w14:val="tx1"/>
            </w14:solidFill>
          </w14:textFill>
        </w:rPr>
        <w:t>双方当事人不得擅自中止或者终止合同；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2.16.2</w:t>
      </w:r>
      <w:r>
        <w:rPr>
          <w:rFonts w:hint="eastAsia" w:ascii="宋体" w:hAnsi="宋体"/>
          <w:color w:val="000000" w:themeColor="text1"/>
          <w:szCs w:val="21"/>
          <w14:textFill>
            <w14:solidFill>
              <w14:schemeClr w14:val="tx1"/>
            </w14:solidFill>
          </w14:textFill>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8" w:name="_Toc1125"/>
      <w:bookmarkStart w:id="159" w:name="_Toc14563"/>
      <w:bookmarkStart w:id="160" w:name="_Toc6596"/>
      <w:r>
        <w:rPr>
          <w:rFonts w:ascii="宋体" w:hAnsi="宋体"/>
          <w:b/>
          <w:color w:val="000000" w:themeColor="text1"/>
          <w:szCs w:val="21"/>
          <w14:textFill>
            <w14:solidFill>
              <w14:schemeClr w14:val="tx1"/>
            </w14:solidFill>
          </w14:textFill>
        </w:rPr>
        <w:t xml:space="preserve">2.17 </w:t>
      </w:r>
      <w:r>
        <w:rPr>
          <w:rFonts w:hint="eastAsia" w:ascii="宋体" w:hAnsi="宋体"/>
          <w:b/>
          <w:color w:val="000000" w:themeColor="text1"/>
          <w:szCs w:val="21"/>
          <w14:textFill>
            <w14:solidFill>
              <w14:schemeClr w14:val="tx1"/>
            </w14:solidFill>
          </w14:textFill>
        </w:rPr>
        <w:t>检验和验收</w:t>
      </w:r>
      <w:bookmarkEnd w:id="158"/>
      <w:bookmarkEnd w:id="159"/>
      <w:bookmarkEnd w:id="160"/>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2.17.1</w:t>
      </w:r>
      <w:r>
        <w:rPr>
          <w:rFonts w:hint="eastAsia" w:ascii="宋体" w:hAnsi="宋体"/>
          <w:color w:val="000000" w:themeColor="text1"/>
          <w:szCs w:val="21"/>
          <w14:textFill>
            <w14:solidFill>
              <w14:schemeClr w14:val="tx1"/>
            </w14:solidFill>
          </w14:textFill>
        </w:rPr>
        <w:t>货物交付前，乙方应对货物的质量、数量等方面进行详细、全面的检验，并向甲方出具证明货物符合合同约定的文件；货物交付时，乙方在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2.17.2</w:t>
      </w:r>
      <w:r>
        <w:rPr>
          <w:rFonts w:hint="eastAsia" w:ascii="宋体" w:hAnsi="宋体"/>
          <w:color w:val="000000" w:themeColor="text1"/>
          <w:szCs w:val="21"/>
          <w14:textFill>
            <w14:solidFill>
              <w14:schemeClr w14:val="tx1"/>
            </w14:solidFill>
          </w14:textFill>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2.17.3 </w:t>
      </w:r>
      <w:r>
        <w:rPr>
          <w:rFonts w:hint="eastAsia" w:ascii="宋体" w:hAnsi="宋体"/>
          <w:color w:val="000000" w:themeColor="text1"/>
          <w:szCs w:val="21"/>
          <w14:textFill>
            <w14:solidFill>
              <w14:schemeClr w14:val="tx1"/>
            </w14:solidFill>
          </w14:textFill>
        </w:rPr>
        <w:t>检验和验收标准、程序等具体内容以及前述验收书的效力详见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i/>
          <w:color w:val="000000" w:themeColor="text1"/>
          <w:szCs w:val="21"/>
          <w14:textFill>
            <w14:solidFill>
              <w14:schemeClr w14:val="tx1"/>
            </w14:solidFill>
          </w14:textFill>
        </w:rPr>
        <w:t>。</w:t>
      </w:r>
    </w:p>
    <w:bookmarkEnd w:id="130"/>
    <w:bookmarkEnd w:id="131"/>
    <w:bookmarkEnd w:id="132"/>
    <w:bookmarkEnd w:id="133"/>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61" w:name="_Toc259093690"/>
      <w:bookmarkStart w:id="162" w:name="_Toc487900371"/>
      <w:bookmarkStart w:id="163" w:name="_Toc279701261"/>
      <w:bookmarkStart w:id="164" w:name="_Toc19604"/>
      <w:bookmarkStart w:id="165" w:name="_Toc25182"/>
      <w:bookmarkStart w:id="166" w:name="_Toc11284"/>
      <w:r>
        <w:rPr>
          <w:rFonts w:ascii="宋体" w:hAnsi="宋体"/>
          <w:b/>
          <w:color w:val="000000" w:themeColor="text1"/>
          <w:szCs w:val="21"/>
          <w14:textFill>
            <w14:solidFill>
              <w14:schemeClr w14:val="tx1"/>
            </w14:solidFill>
          </w14:textFill>
        </w:rPr>
        <w:t xml:space="preserve">2.18 </w:t>
      </w:r>
      <w:r>
        <w:rPr>
          <w:rFonts w:hint="eastAsia" w:ascii="宋体" w:hAnsi="宋体"/>
          <w:b/>
          <w:color w:val="000000" w:themeColor="text1"/>
          <w:szCs w:val="21"/>
          <w14:textFill>
            <w14:solidFill>
              <w14:schemeClr w14:val="tx1"/>
            </w14:solidFill>
          </w14:textFill>
        </w:rPr>
        <w:t>通知</w:t>
      </w:r>
      <w:bookmarkEnd w:id="161"/>
      <w:bookmarkEnd w:id="162"/>
      <w:bookmarkEnd w:id="163"/>
      <w:r>
        <w:rPr>
          <w:rFonts w:hint="eastAsia" w:ascii="宋体" w:hAnsi="宋体"/>
          <w:b/>
          <w:color w:val="000000" w:themeColor="text1"/>
          <w:szCs w:val="21"/>
          <w14:textFill>
            <w14:solidFill>
              <w14:schemeClr w14:val="tx1"/>
            </w14:solidFill>
          </w14:textFill>
        </w:rPr>
        <w:t>和送达</w:t>
      </w:r>
      <w:bookmarkEnd w:id="164"/>
      <w:bookmarkEnd w:id="165"/>
      <w:bookmarkEnd w:id="166"/>
    </w:p>
    <w:p>
      <w:pPr>
        <w:spacing w:line="560" w:lineRule="exact"/>
        <w:ind w:firstLine="420" w:firstLineChars="200"/>
        <w:rPr>
          <w:rFonts w:ascii="宋体" w:hAnsi="宋体"/>
          <w:color w:val="000000" w:themeColor="text1"/>
          <w:szCs w:val="21"/>
          <w14:textFill>
            <w14:solidFill>
              <w14:schemeClr w14:val="tx1"/>
            </w14:solidFill>
          </w14:textFill>
        </w:rPr>
      </w:pPr>
      <w:bookmarkStart w:id="167" w:name="_Toc3135"/>
      <w:bookmarkStart w:id="168" w:name="_Toc6698"/>
      <w:bookmarkStart w:id="169" w:name="_Toc259093691"/>
      <w:bookmarkStart w:id="170" w:name="_Toc279701262"/>
      <w:bookmarkStart w:id="171" w:name="_Toc487900372"/>
      <w:r>
        <w:rPr>
          <w:rFonts w:ascii="宋体" w:hAnsi="宋体"/>
          <w:color w:val="000000" w:themeColor="text1"/>
          <w:szCs w:val="21"/>
          <w14:textFill>
            <w14:solidFill>
              <w14:schemeClr w14:val="tx1"/>
            </w14:solidFill>
          </w14:textFill>
        </w:rPr>
        <w:t xml:space="preserve">2.18.1 </w:t>
      </w:r>
      <w:r>
        <w:rPr>
          <w:rFonts w:hint="eastAsia" w:ascii="宋体" w:hAnsi="宋体"/>
          <w:color w:val="000000" w:themeColor="text1"/>
          <w:szCs w:val="21"/>
          <w14:textFill>
            <w14:solidFill>
              <w14:schemeClr w14:val="tx1"/>
            </w14:solidFill>
          </w14:textFill>
        </w:rPr>
        <w:t>任何一方因履行合同而以合同第一部分尾部所列明的</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个工作日内书面通知对方当事人，在对方当事人收到有关变更通知之前，变更前的约定送达方式或者地址仍视为有效。</w:t>
      </w:r>
      <w:bookmarkEnd w:id="167"/>
      <w:bookmarkEnd w:id="168"/>
    </w:p>
    <w:p>
      <w:pPr>
        <w:spacing w:line="560" w:lineRule="exact"/>
        <w:ind w:firstLine="420" w:firstLineChars="200"/>
        <w:rPr>
          <w:rFonts w:ascii="宋体" w:hAnsi="宋体"/>
          <w:color w:val="000000" w:themeColor="text1"/>
          <w:szCs w:val="21"/>
          <w14:textFill>
            <w14:solidFill>
              <w14:schemeClr w14:val="tx1"/>
            </w14:solidFill>
          </w14:textFill>
        </w:rPr>
      </w:pPr>
      <w:bookmarkStart w:id="172" w:name="_Toc23294"/>
      <w:bookmarkStart w:id="173" w:name="_Toc23128"/>
      <w:r>
        <w:rPr>
          <w:rFonts w:ascii="宋体" w:hAnsi="宋体"/>
          <w:color w:val="000000" w:themeColor="text1"/>
          <w:szCs w:val="21"/>
          <w14:textFill>
            <w14:solidFill>
              <w14:schemeClr w14:val="tx1"/>
            </w14:solidFill>
          </w14:textFill>
        </w:rPr>
        <w:t>2.18.2</w:t>
      </w:r>
      <w:r>
        <w:rPr>
          <w:rFonts w:hint="eastAsia" w:ascii="宋体" w:hAnsi="宋体"/>
          <w:color w:val="000000" w:themeColor="text1"/>
          <w:szCs w:val="21"/>
          <w14:textFill>
            <w14:solidFill>
              <w14:schemeClr w14:val="tx1"/>
            </w14:solidFill>
          </w14:textFill>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172"/>
      <w:bookmarkEnd w:id="173"/>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74" w:name="_Toc30599"/>
      <w:bookmarkStart w:id="175" w:name="_Toc4355"/>
      <w:bookmarkStart w:id="176" w:name="_Toc18540"/>
      <w:r>
        <w:rPr>
          <w:rFonts w:ascii="宋体" w:hAnsi="宋体"/>
          <w:b/>
          <w:color w:val="000000" w:themeColor="text1"/>
          <w:szCs w:val="21"/>
          <w14:textFill>
            <w14:solidFill>
              <w14:schemeClr w14:val="tx1"/>
            </w14:solidFill>
          </w14:textFill>
        </w:rPr>
        <w:t xml:space="preserve">2.19 </w:t>
      </w:r>
      <w:r>
        <w:rPr>
          <w:rFonts w:hint="eastAsia" w:ascii="宋体" w:hAnsi="宋体"/>
          <w:b/>
          <w:color w:val="000000" w:themeColor="text1"/>
          <w:szCs w:val="21"/>
          <w14:textFill>
            <w14:solidFill>
              <w14:schemeClr w14:val="tx1"/>
            </w14:solidFill>
          </w14:textFill>
        </w:rPr>
        <w:t>计量单位</w:t>
      </w:r>
      <w:bookmarkEnd w:id="169"/>
      <w:bookmarkEnd w:id="170"/>
      <w:bookmarkEnd w:id="171"/>
      <w:bookmarkEnd w:id="174"/>
      <w:bookmarkEnd w:id="175"/>
      <w:bookmarkEnd w:id="176"/>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除技术规范中另有规定外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合同的计量单位均使用国家法定计量单位。</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77" w:name="_Toc487900373"/>
      <w:bookmarkStart w:id="178" w:name="_Toc10330"/>
      <w:bookmarkStart w:id="179" w:name="_Toc12773"/>
      <w:bookmarkStart w:id="180" w:name="_Toc259093692"/>
      <w:bookmarkStart w:id="181" w:name="_Toc18567"/>
      <w:bookmarkStart w:id="182" w:name="_Toc279701263"/>
      <w:r>
        <w:rPr>
          <w:rFonts w:ascii="宋体" w:hAnsi="宋体"/>
          <w:b/>
          <w:color w:val="000000" w:themeColor="text1"/>
          <w:szCs w:val="21"/>
          <w14:textFill>
            <w14:solidFill>
              <w14:schemeClr w14:val="tx1"/>
            </w14:solidFill>
          </w14:textFill>
        </w:rPr>
        <w:t xml:space="preserve">2.20 </w:t>
      </w:r>
      <w:r>
        <w:rPr>
          <w:rFonts w:hint="eastAsia" w:ascii="宋体" w:hAnsi="宋体"/>
          <w:b/>
          <w:color w:val="000000" w:themeColor="text1"/>
          <w:szCs w:val="21"/>
          <w14:textFill>
            <w14:solidFill>
              <w14:schemeClr w14:val="tx1"/>
            </w14:solidFill>
          </w14:textFill>
        </w:rPr>
        <w:t>合同使用的文字和适用的法律</w:t>
      </w:r>
      <w:bookmarkEnd w:id="177"/>
      <w:bookmarkEnd w:id="178"/>
      <w:bookmarkEnd w:id="179"/>
      <w:bookmarkEnd w:id="180"/>
      <w:bookmarkEnd w:id="181"/>
      <w:bookmarkEnd w:id="18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2.20.1 </w:t>
      </w:r>
      <w:r>
        <w:rPr>
          <w:rFonts w:hint="eastAsia" w:ascii="宋体" w:hAnsi="宋体"/>
          <w:color w:val="000000" w:themeColor="text1"/>
          <w:szCs w:val="21"/>
          <w14:textFill>
            <w14:solidFill>
              <w14:schemeClr w14:val="tx1"/>
            </w14:solidFill>
          </w14:textFill>
        </w:rPr>
        <w:t>合同使用汉语书就、变更和解释；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2.20.2 </w:t>
      </w:r>
      <w:r>
        <w:rPr>
          <w:rFonts w:hint="eastAsia" w:ascii="宋体" w:hAnsi="宋体"/>
          <w:color w:val="000000" w:themeColor="text1"/>
          <w:szCs w:val="21"/>
          <w14:textFill>
            <w14:solidFill>
              <w14:schemeClr w14:val="tx1"/>
            </w14:solidFill>
          </w14:textFill>
        </w:rPr>
        <w:t>合同适用中华人民共和国法律。</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83" w:name="_Toc279701264"/>
      <w:bookmarkStart w:id="184" w:name="_Toc16673"/>
      <w:bookmarkStart w:id="185" w:name="_Toc12004"/>
      <w:bookmarkStart w:id="186" w:name="_Toc259093693"/>
      <w:bookmarkStart w:id="187" w:name="_Toc3148"/>
      <w:bookmarkStart w:id="188" w:name="_Toc487900374"/>
      <w:r>
        <w:rPr>
          <w:rFonts w:ascii="宋体" w:hAnsi="宋体"/>
          <w:b/>
          <w:color w:val="000000" w:themeColor="text1"/>
          <w:szCs w:val="21"/>
          <w14:textFill>
            <w14:solidFill>
              <w14:schemeClr w14:val="tx1"/>
            </w14:solidFill>
          </w14:textFill>
        </w:rPr>
        <w:t xml:space="preserve">2.21 </w:t>
      </w:r>
      <w:r>
        <w:rPr>
          <w:rFonts w:hint="eastAsia" w:ascii="宋体" w:hAnsi="宋体"/>
          <w:b/>
          <w:color w:val="000000" w:themeColor="text1"/>
          <w:szCs w:val="21"/>
          <w14:textFill>
            <w14:solidFill>
              <w14:schemeClr w14:val="tx1"/>
            </w14:solidFill>
          </w14:textFill>
        </w:rPr>
        <w:t>履约保证金</w:t>
      </w:r>
      <w:bookmarkEnd w:id="183"/>
      <w:bookmarkEnd w:id="184"/>
      <w:bookmarkEnd w:id="185"/>
      <w:bookmarkEnd w:id="186"/>
      <w:bookmarkEnd w:id="187"/>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2.21.1 </w:t>
      </w:r>
      <w:r>
        <w:rPr>
          <w:rFonts w:hint="eastAsia" w:ascii="宋体" w:hAnsi="宋体"/>
          <w:color w:val="000000" w:themeColor="text1"/>
          <w:szCs w:val="21"/>
          <w14:textFill>
            <w14:solidFill>
              <w14:schemeClr w14:val="tx1"/>
            </w14:solidFill>
          </w14:textFill>
        </w:rPr>
        <w:t>采购文件要求乙方提交履约保证金的，乙方应按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约定的方式，以支票、汇票、本票或者金融机构、担保机构出具的保函等非现金形式，提交不超过合同价</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的履约保证金；</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2.21.2  </w:t>
      </w:r>
      <w:r>
        <w:rPr>
          <w:rFonts w:hint="eastAsia" w:ascii="宋体" w:hAnsi="宋体"/>
          <w:color w:val="000000" w:themeColor="text1"/>
          <w:szCs w:val="21"/>
          <w14:textFill>
            <w14:solidFill>
              <w14:schemeClr w14:val="tx1"/>
            </w14:solidFill>
          </w14:textFill>
        </w:rPr>
        <w:t>履约保证金在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约定期间内或者货物质量保证期内不予退还或者应完全有效，前述约定期间届满或者货物质量保证期届满之日起</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个工作日内，甲方应将履约保证金退还乙方；</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2.21.3 </w:t>
      </w:r>
      <w:r>
        <w:rPr>
          <w:rFonts w:hint="eastAsia" w:ascii="宋体" w:hAnsi="宋体"/>
          <w:color w:val="000000" w:themeColor="text1"/>
          <w:szCs w:val="21"/>
          <w14:textFill>
            <w14:solidFill>
              <w14:schemeClr w14:val="tx1"/>
            </w14:solidFill>
          </w14:textFill>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8"/>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89" w:name="_Toc6885"/>
      <w:bookmarkStart w:id="190" w:name="_Toc19890"/>
      <w:bookmarkStart w:id="191" w:name="_Toc14001"/>
      <w:r>
        <w:rPr>
          <w:rFonts w:ascii="宋体" w:hAnsi="宋体"/>
          <w:b/>
          <w:color w:val="000000" w:themeColor="text1"/>
          <w:szCs w:val="21"/>
          <w14:textFill>
            <w14:solidFill>
              <w14:schemeClr w14:val="tx1"/>
            </w14:solidFill>
          </w14:textFill>
        </w:rPr>
        <w:t xml:space="preserve">2.22 </w:t>
      </w:r>
      <w:r>
        <w:rPr>
          <w:rFonts w:hint="eastAsia" w:ascii="宋体" w:hAnsi="宋体"/>
          <w:b/>
          <w:color w:val="000000" w:themeColor="text1"/>
          <w:szCs w:val="21"/>
          <w14:textFill>
            <w14:solidFill>
              <w14:schemeClr w14:val="tx1"/>
            </w14:solidFill>
          </w14:textFill>
        </w:rPr>
        <w:t>合同份数</w:t>
      </w:r>
      <w:bookmarkEnd w:id="189"/>
      <w:bookmarkEnd w:id="190"/>
      <w:bookmarkEnd w:id="19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合同份数按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规定，每份均具有同等法律效力。</w:t>
      </w:r>
    </w:p>
    <w:p>
      <w:pPr>
        <w:spacing w:line="560" w:lineRule="exact"/>
        <w:ind w:firstLine="413" w:firstLineChars="196"/>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2.23 本合同未尽事宜，见政府采购合同专用条款。</w:t>
      </w:r>
    </w:p>
    <w:p>
      <w:pPr>
        <w:rPr>
          <w:rFonts w:ascii="宋体" w:hAnsi="宋体"/>
          <w:b/>
          <w:color w:val="000000" w:themeColor="text1"/>
          <w:sz w:val="28"/>
          <w:szCs w:val="28"/>
          <w14:textFill>
            <w14:solidFill>
              <w14:schemeClr w14:val="tx1"/>
            </w14:solidFill>
          </w14:textFill>
        </w:rPr>
      </w:pPr>
      <w:bookmarkStart w:id="192" w:name="_Toc474235953"/>
      <w:r>
        <w:rPr>
          <w:rFonts w:hint="eastAsia" w:ascii="宋体" w:hAnsi="宋体"/>
          <w:b/>
          <w:color w:val="000000" w:themeColor="text1"/>
          <w:sz w:val="28"/>
          <w:szCs w:val="28"/>
          <w14:textFill>
            <w14:solidFill>
              <w14:schemeClr w14:val="tx1"/>
            </w14:solidFill>
          </w14:textFill>
        </w:rPr>
        <w:br w:type="page"/>
      </w:r>
    </w:p>
    <w:p>
      <w:pPr>
        <w:pStyle w:val="19"/>
        <w:snapToGrid w:val="0"/>
        <w:rPr>
          <w:rFonts w:ascii="宋体" w:hAnsi="宋体"/>
          <w:b/>
          <w:b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三、政府采购合同专用条款</w:t>
      </w:r>
      <w:bookmarkEnd w:id="192"/>
    </w:p>
    <w:p>
      <w:pPr>
        <w:pStyle w:val="19"/>
        <w:snapToGrid w:val="0"/>
        <w:ind w:left="105" w:leftChars="50"/>
        <w:rPr>
          <w:rFonts w:ascii="宋体" w:hAnsi="宋体"/>
          <w:b/>
          <w:bCs/>
          <w:color w:val="000000" w:themeColor="text1"/>
          <w:sz w:val="28"/>
          <w:szCs w:val="28"/>
          <w14:textFill>
            <w14:solidFill>
              <w14:schemeClr w14:val="tx1"/>
            </w14:solidFill>
          </w14:textFill>
        </w:rPr>
      </w:pPr>
    </w:p>
    <w:p>
      <w:pPr>
        <w:pStyle w:val="19"/>
        <w:snapToGrid w:val="0"/>
        <w:ind w:left="105" w:leftChars="50"/>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政府采购合同专用条款</w:t>
      </w:r>
    </w:p>
    <w:tbl>
      <w:tblPr>
        <w:tblStyle w:val="4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2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008" w:type="dxa"/>
            <w:vAlign w:val="center"/>
          </w:tcPr>
          <w:p>
            <w:pPr>
              <w:pStyle w:val="19"/>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520" w:type="dxa"/>
            <w:vAlign w:val="center"/>
          </w:tcPr>
          <w:p>
            <w:pPr>
              <w:pStyle w:val="19"/>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条款名称</w:t>
            </w:r>
          </w:p>
        </w:tc>
        <w:tc>
          <w:tcPr>
            <w:tcW w:w="5220" w:type="dxa"/>
            <w:vAlign w:val="center"/>
          </w:tcPr>
          <w:p>
            <w:pPr>
              <w:tabs>
                <w:tab w:val="left" w:pos="2466"/>
                <w:tab w:val="left" w:pos="5464"/>
              </w:tabs>
              <w:adjustRightInd w:val="0"/>
              <w:snapToGrid w:val="0"/>
              <w:spacing w:line="400" w:lineRule="exact"/>
              <w:ind w:left="108"/>
              <w:jc w:val="center"/>
              <w:rPr>
                <w:rFonts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vAlign w:val="center"/>
          </w:tcPr>
          <w:p>
            <w:pPr>
              <w:pStyle w:val="19"/>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520" w:type="dxa"/>
            <w:vAlign w:val="center"/>
          </w:tcPr>
          <w:p>
            <w:pPr>
              <w:pStyle w:val="19"/>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项目现场</w:t>
            </w:r>
          </w:p>
        </w:tc>
        <w:tc>
          <w:tcPr>
            <w:tcW w:w="5220" w:type="dxa"/>
            <w:vAlign w:val="center"/>
          </w:tcPr>
          <w:p>
            <w:pPr>
              <w:pStyle w:val="19"/>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vAlign w:val="center"/>
          </w:tcPr>
          <w:p>
            <w:pPr>
              <w:pStyle w:val="19"/>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520" w:type="dxa"/>
            <w:vAlign w:val="center"/>
          </w:tcPr>
          <w:p>
            <w:pPr>
              <w:adjustRightInd w:val="0"/>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szCs w:val="21"/>
              </w:rPr>
              <w:t>供货期限</w:t>
            </w:r>
          </w:p>
        </w:tc>
        <w:tc>
          <w:tcPr>
            <w:tcW w:w="5220" w:type="dxa"/>
            <w:vAlign w:val="center"/>
          </w:tcPr>
          <w:p>
            <w:pPr>
              <w:adjustRightInd w:val="0"/>
              <w:snapToGrid w:val="0"/>
              <w:spacing w:line="400" w:lineRule="exact"/>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签订合同后</w:t>
            </w:r>
            <w:r>
              <w:rPr>
                <w:rFonts w:ascii="宋体" w:hAnsi="宋体" w:cs="宋体"/>
                <w:kern w:val="0"/>
                <w:szCs w:val="21"/>
                <w:highlight w:val="none"/>
              </w:rPr>
              <w:t>6</w:t>
            </w:r>
            <w:r>
              <w:rPr>
                <w:rFonts w:hint="eastAsia" w:ascii="宋体" w:hAnsi="宋体" w:cs="宋体"/>
                <w:kern w:val="0"/>
                <w:szCs w:val="21"/>
                <w:highlight w:val="none"/>
                <w:lang w:val="en-US" w:eastAsia="zh-CN"/>
              </w:rPr>
              <w:t>0天</w:t>
            </w:r>
            <w:r>
              <w:rPr>
                <w:rFonts w:hint="eastAsia" w:ascii="宋体" w:hAnsi="宋体" w:cs="宋体"/>
                <w:kern w:val="0"/>
                <w:szCs w:val="21"/>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vAlign w:val="center"/>
          </w:tcPr>
          <w:p>
            <w:pPr>
              <w:pStyle w:val="19"/>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520" w:type="dxa"/>
            <w:vAlign w:val="center"/>
          </w:tcPr>
          <w:p>
            <w:pPr>
              <w:pStyle w:val="19"/>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签订合同日期</w:t>
            </w:r>
          </w:p>
        </w:tc>
        <w:tc>
          <w:tcPr>
            <w:tcW w:w="5220" w:type="dxa"/>
            <w:vAlign w:val="center"/>
          </w:tcPr>
          <w:p>
            <w:pPr>
              <w:pStyle w:val="19"/>
              <w:snapToGrid w:val="0"/>
              <w:spacing w:after="0" w:line="360" w:lineRule="exact"/>
              <w:rPr>
                <w:rFonts w:ascii="宋体" w:hAnsi="宋体"/>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自中标通知书发出之日起三十日内签订完毕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520" w:type="dxa"/>
            <w:vAlign w:val="center"/>
          </w:tcPr>
          <w:p>
            <w:pPr>
              <w:pStyle w:val="19"/>
              <w:snapToGrid w:val="0"/>
              <w:spacing w:line="38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响应时间</w:t>
            </w:r>
          </w:p>
        </w:tc>
        <w:tc>
          <w:tcPr>
            <w:tcW w:w="5220" w:type="dxa"/>
            <w:vAlign w:val="center"/>
          </w:tcPr>
          <w:p>
            <w:pPr>
              <w:pStyle w:val="19"/>
              <w:snapToGrid w:val="0"/>
              <w:spacing w:line="360" w:lineRule="exac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exact"/>
        </w:trPr>
        <w:tc>
          <w:tcPr>
            <w:tcW w:w="1008" w:type="dxa"/>
            <w:vAlign w:val="center"/>
          </w:tcPr>
          <w:p>
            <w:pPr>
              <w:pStyle w:val="19"/>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520" w:type="dxa"/>
            <w:vAlign w:val="center"/>
          </w:tcPr>
          <w:p>
            <w:pPr>
              <w:pStyle w:val="19"/>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合同价款支付方式和条件</w:t>
            </w:r>
          </w:p>
        </w:tc>
        <w:tc>
          <w:tcPr>
            <w:tcW w:w="5220" w:type="dxa"/>
            <w:vAlign w:val="center"/>
          </w:tcPr>
          <w:p>
            <w:pPr>
              <w:pStyle w:val="19"/>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经采购人或其它有关部门验收合格后按照合同支付价格。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1008" w:type="dxa"/>
            <w:vAlign w:val="center"/>
          </w:tcPr>
          <w:p>
            <w:pPr>
              <w:pStyle w:val="19"/>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520" w:type="dxa"/>
            <w:vAlign w:val="center"/>
          </w:tcPr>
          <w:p>
            <w:pPr>
              <w:pStyle w:val="19"/>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伴随服务</w:t>
            </w:r>
          </w:p>
        </w:tc>
        <w:tc>
          <w:tcPr>
            <w:tcW w:w="5220" w:type="dxa"/>
            <w:vAlign w:val="center"/>
          </w:tcPr>
          <w:p>
            <w:pPr>
              <w:pStyle w:val="19"/>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按通用条款执行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vAlign w:val="center"/>
          </w:tcPr>
          <w:p>
            <w:pPr>
              <w:pStyle w:val="19"/>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520" w:type="dxa"/>
            <w:vAlign w:val="center"/>
          </w:tcPr>
          <w:p>
            <w:pPr>
              <w:pStyle w:val="19"/>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解决争议的方式</w:t>
            </w:r>
          </w:p>
        </w:tc>
        <w:tc>
          <w:tcPr>
            <w:tcW w:w="5220" w:type="dxa"/>
            <w:vAlign w:val="center"/>
          </w:tcPr>
          <w:p>
            <w:pPr>
              <w:pStyle w:val="19"/>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向甲方所在地人民法院提起诉讼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vAlign w:val="center"/>
          </w:tcPr>
          <w:p>
            <w:pPr>
              <w:pStyle w:val="19"/>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2520" w:type="dxa"/>
            <w:vAlign w:val="center"/>
          </w:tcPr>
          <w:p>
            <w:pPr>
              <w:pStyle w:val="19"/>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合同未尽事项</w:t>
            </w:r>
          </w:p>
        </w:tc>
        <w:tc>
          <w:tcPr>
            <w:tcW w:w="5220" w:type="dxa"/>
            <w:vAlign w:val="center"/>
          </w:tcPr>
          <w:p>
            <w:pPr>
              <w:pStyle w:val="19"/>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双方协商</w:t>
            </w:r>
          </w:p>
        </w:tc>
      </w:tr>
    </w:tbl>
    <w:p>
      <w:pPr>
        <w:pStyle w:val="19"/>
        <w:snapToGrid w:val="0"/>
        <w:ind w:left="105" w:leftChars="50"/>
        <w:jc w:val="center"/>
        <w:rPr>
          <w:rFonts w:ascii="宋体" w:hAnsi="宋体"/>
          <w:b/>
          <w:bCs/>
          <w:color w:val="000000" w:themeColor="text1"/>
          <w:sz w:val="24"/>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ab/>
      </w:r>
    </w:p>
    <w:p>
      <w:pPr>
        <w:spacing w:line="360" w:lineRule="exact"/>
        <w:jc w:val="center"/>
        <w:rPr>
          <w:rFonts w:ascii="宋体" w:hAnsi="宋体"/>
          <w:b/>
          <w:color w:val="000000" w:themeColor="text1"/>
          <w:szCs w:val="21"/>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p>
    <w:p>
      <w:pPr>
        <w:spacing w:after="156" w:line="560" w:lineRule="exact"/>
        <w:ind w:firstLine="480"/>
        <w:rPr>
          <w:color w:val="000000" w:themeColor="text1"/>
          <w14:textFill>
            <w14:solidFill>
              <w14:schemeClr w14:val="tx1"/>
            </w14:solidFill>
          </w14:textFill>
        </w:rPr>
      </w:pPr>
    </w:p>
    <w:p>
      <w:pPr>
        <w:pStyle w:val="2"/>
        <w:spacing w:line="240" w:lineRule="atLeast"/>
        <w:ind w:left="1080" w:leftChars="257" w:hanging="540"/>
        <w:rPr>
          <w:rFonts w:ascii="仿宋_GB2312" w:hAnsi="宋体" w:eastAsia="仿宋_GB2312"/>
          <w:color w:val="000000" w:themeColor="text1"/>
          <w14:textFill>
            <w14:solidFill>
              <w14:schemeClr w14:val="tx1"/>
            </w14:solidFill>
          </w14:textFill>
        </w:rPr>
      </w:pPr>
    </w:p>
    <w:p>
      <w:pPr>
        <w:rPr>
          <w:color w:val="000000" w:themeColor="text1"/>
          <w14:textFill>
            <w14:solidFill>
              <w14:schemeClr w14:val="tx1"/>
            </w14:solidFill>
          </w14:textFill>
        </w:rPr>
      </w:pPr>
    </w:p>
    <w:bookmarkEnd w:id="32"/>
    <w:p>
      <w:pPr>
        <w:pStyle w:val="19"/>
        <w:snapToGrid w:val="0"/>
        <w:jc w:val="left"/>
        <w:rPr>
          <w:rFonts w:ascii="宋体" w:hAnsi="宋体"/>
          <w:b/>
          <w:color w:val="000000" w:themeColor="text1"/>
          <w:sz w:val="28"/>
          <w:szCs w:val="28"/>
          <w14:textFill>
            <w14:solidFill>
              <w14:schemeClr w14:val="tx1"/>
            </w14:solidFill>
          </w14:textFill>
        </w:rPr>
      </w:pPr>
      <w:bookmarkStart w:id="193" w:name="_Toc474235954"/>
      <w:bookmarkStart w:id="194" w:name="_Toc420948021"/>
      <w:r>
        <w:rPr>
          <w:rFonts w:hint="eastAsia"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四、验收书</w:t>
      </w:r>
    </w:p>
    <w:p>
      <w:pPr>
        <w:spacing w:line="720" w:lineRule="auto"/>
        <w:jc w:val="center"/>
        <w:rPr>
          <w:rFonts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政府采购项目验收书</w:t>
      </w:r>
    </w:p>
    <w:p>
      <w:pPr>
        <w:pStyle w:val="3"/>
        <w:spacing w:line="360" w:lineRule="auto"/>
        <w:rPr>
          <w:rFonts w:ascii="宋体" w:hAnsi="宋体"/>
          <w:b w:val="0"/>
          <w:bCs w:val="0"/>
          <w:color w:val="000000" w:themeColor="text1"/>
          <w:sz w:val="21"/>
          <w:szCs w:val="21"/>
          <w14:textFill>
            <w14:solidFill>
              <w14:schemeClr w14:val="tx1"/>
            </w14:solidFill>
          </w14:textFill>
        </w:rPr>
      </w:pPr>
      <w:r>
        <w:rPr>
          <w:rFonts w:hint="eastAsia" w:ascii="宋体" w:hAnsi="宋体"/>
          <w:b w:val="0"/>
          <w:bCs w:val="0"/>
          <w:color w:val="000000" w:themeColor="text1"/>
          <w:sz w:val="21"/>
          <w:szCs w:val="21"/>
          <w14:textFill>
            <w14:solidFill>
              <w14:schemeClr w14:val="tx1"/>
            </w14:solidFill>
          </w14:textFill>
        </w:rPr>
        <w:t>（本验收书为验收书样稿，最终稿由双方协商后确定）</w:t>
      </w:r>
    </w:p>
    <w:tbl>
      <w:tblPr>
        <w:tblStyle w:val="46"/>
        <w:tblW w:w="9330"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908"/>
        <w:gridCol w:w="1837"/>
        <w:gridCol w:w="301"/>
        <w:gridCol w:w="1409"/>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20"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项目名称及编号</w:t>
            </w:r>
          </w:p>
        </w:tc>
        <w:tc>
          <w:tcPr>
            <w:tcW w:w="7410" w:type="dxa"/>
            <w:gridSpan w:val="5"/>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霍尔果斯市                   项目</w:t>
            </w:r>
          </w:p>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HEGSCG-20   -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920"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验收单位</w:t>
            </w:r>
          </w:p>
        </w:tc>
        <w:tc>
          <w:tcPr>
            <w:tcW w:w="3046" w:type="dxa"/>
            <w:gridSpan w:val="3"/>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1409"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交货单位</w:t>
            </w:r>
          </w:p>
        </w:tc>
        <w:tc>
          <w:tcPr>
            <w:tcW w:w="2955"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20"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验收人</w:t>
            </w:r>
          </w:p>
        </w:tc>
        <w:tc>
          <w:tcPr>
            <w:tcW w:w="3046" w:type="dxa"/>
            <w:gridSpan w:val="3"/>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1409"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交货人</w:t>
            </w:r>
          </w:p>
        </w:tc>
        <w:tc>
          <w:tcPr>
            <w:tcW w:w="2955"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20"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3046" w:type="dxa"/>
            <w:gridSpan w:val="3"/>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1409"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2955"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提供服务名称</w:t>
            </w:r>
          </w:p>
        </w:tc>
        <w:tc>
          <w:tcPr>
            <w:tcW w:w="213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数量（单位）</w:t>
            </w:r>
          </w:p>
        </w:tc>
        <w:tc>
          <w:tcPr>
            <w:tcW w:w="4364"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相关服务要求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13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4364"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2828" w:type="dxa"/>
            <w:gridSpan w:val="2"/>
            <w:tcBorders>
              <w:bottom w:val="single" w:color="auto" w:sz="4" w:space="0"/>
            </w:tcBorders>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验收情况</w:t>
            </w:r>
          </w:p>
        </w:tc>
        <w:tc>
          <w:tcPr>
            <w:tcW w:w="6502" w:type="dxa"/>
            <w:gridSpan w:val="4"/>
            <w:tcBorders>
              <w:bottom w:val="single" w:color="auto" w:sz="4" w:space="0"/>
            </w:tcBorders>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4665" w:type="dxa"/>
            <w:gridSpan w:val="3"/>
            <w:tcBorders>
              <w:top w:val="single" w:color="auto" w:sz="4" w:space="0"/>
              <w:left w:val="single" w:color="auto" w:sz="4" w:space="0"/>
              <w:bottom w:val="single" w:color="auto" w:sz="4" w:space="0"/>
              <w:right w:val="single" w:color="auto" w:sz="4" w:space="0"/>
            </w:tcBorders>
            <w:vAlign w:val="center"/>
          </w:tcPr>
          <w:p>
            <w:pPr>
              <w:pStyle w:val="19"/>
              <w:snapToGri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验收单位（盖章）：</w:t>
            </w:r>
          </w:p>
          <w:p>
            <w:pPr>
              <w:pStyle w:val="19"/>
              <w:snapToGrid w:val="0"/>
              <w:spacing w:line="380" w:lineRule="exact"/>
              <w:jc w:val="center"/>
              <w:rPr>
                <w:rFonts w:ascii="宋体" w:hAnsi="宋体"/>
                <w:color w:val="000000" w:themeColor="text1"/>
                <w:szCs w:val="21"/>
                <w14:textFill>
                  <w14:solidFill>
                    <w14:schemeClr w14:val="tx1"/>
                  </w14:solidFill>
                </w14:textFill>
              </w:rPr>
            </w:pPr>
          </w:p>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tc>
        <w:tc>
          <w:tcPr>
            <w:tcW w:w="4665" w:type="dxa"/>
            <w:gridSpan w:val="3"/>
            <w:tcBorders>
              <w:top w:val="single" w:color="auto" w:sz="4" w:space="0"/>
              <w:left w:val="single" w:color="auto" w:sz="4" w:space="0"/>
              <w:bottom w:val="single" w:color="auto" w:sz="4" w:space="0"/>
              <w:right w:val="single" w:color="auto" w:sz="4" w:space="0"/>
            </w:tcBorders>
            <w:vAlign w:val="center"/>
          </w:tcPr>
          <w:p>
            <w:pPr>
              <w:pStyle w:val="19"/>
              <w:snapToGri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交货单位（盖章）：</w:t>
            </w:r>
          </w:p>
          <w:p>
            <w:pPr>
              <w:pStyle w:val="19"/>
              <w:snapToGrid w:val="0"/>
              <w:spacing w:line="380" w:lineRule="exact"/>
              <w:jc w:val="center"/>
              <w:rPr>
                <w:rFonts w:ascii="宋体" w:hAnsi="宋体"/>
                <w:color w:val="000000" w:themeColor="text1"/>
                <w:szCs w:val="21"/>
                <w14:textFill>
                  <w14:solidFill>
                    <w14:schemeClr w14:val="tx1"/>
                  </w14:solidFill>
                </w14:textFill>
              </w:rPr>
            </w:pPr>
          </w:p>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tc>
      </w:tr>
    </w:tbl>
    <w:p>
      <w:pPr>
        <w:ind w:firstLine="630" w:firstLineChars="300"/>
        <w:outlineLvl w:val="0"/>
        <w:rPr>
          <w:rFonts w:ascii="宋体" w:hAnsi="宋体"/>
          <w:color w:val="000000" w:themeColor="text1"/>
          <w:szCs w:val="21"/>
          <w14:textFill>
            <w14:solidFill>
              <w14:schemeClr w14:val="tx1"/>
            </w14:solidFill>
          </w14:textFill>
        </w:rPr>
      </w:pPr>
    </w:p>
    <w:p>
      <w:pPr>
        <w:outlineLvl w:val="0"/>
        <w:rPr>
          <w:rFonts w:ascii="宋体" w:hAnsi="宋体"/>
          <w:color w:val="000000" w:themeColor="text1"/>
          <w:szCs w:val="21"/>
          <w14:textFill>
            <w14:solidFill>
              <w14:schemeClr w14:val="tx1"/>
            </w14:solidFill>
          </w14:textFill>
        </w:rPr>
        <w:sectPr>
          <w:footerReference r:id="rId17" w:type="first"/>
          <w:headerReference r:id="rId15" w:type="default"/>
          <w:footerReference r:id="rId16" w:type="default"/>
          <w:pgSz w:w="11906" w:h="16838"/>
          <w:pgMar w:top="1134" w:right="1134" w:bottom="1134" w:left="1418" w:header="851" w:footer="992" w:gutter="0"/>
          <w:cols w:space="720" w:num="1"/>
          <w:docGrid w:type="lines" w:linePitch="333" w:charSpace="0"/>
        </w:sectPr>
      </w:pPr>
      <w:r>
        <w:rPr>
          <w:rFonts w:hint="eastAsia" w:ascii="宋体" w:hAnsi="宋体"/>
          <w:color w:val="000000" w:themeColor="text1"/>
          <w:szCs w:val="21"/>
          <w14:textFill>
            <w14:solidFill>
              <w14:schemeClr w14:val="tx1"/>
            </w14:solidFill>
          </w14:textFill>
        </w:rPr>
        <w:t>备注：本验收书一式四份，采购单位、中标供应商各一份，并报送采购办、采购中心留档</w:t>
      </w:r>
    </w:p>
    <w:p>
      <w:pPr>
        <w:numPr>
          <w:ilvl w:val="0"/>
          <w:numId w:val="5"/>
        </w:numPr>
        <w:jc w:val="center"/>
        <w:outlineLvl w:val="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采购需求</w:t>
      </w:r>
    </w:p>
    <w:bookmarkEnd w:id="193"/>
    <w:bookmarkEnd w:id="194"/>
    <w:p>
      <w:pPr>
        <w:rPr>
          <w:rFonts w:ascii="宋体" w:hAnsi="宋体"/>
          <w:b/>
          <w:color w:val="FF0000"/>
          <w:szCs w:val="21"/>
        </w:rPr>
      </w:pPr>
      <w:bookmarkStart w:id="195" w:name="_Toc474235955"/>
    </w:p>
    <w:tbl>
      <w:tblPr>
        <w:tblStyle w:val="46"/>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649"/>
        <w:gridCol w:w="1765"/>
        <w:gridCol w:w="7654"/>
        <w:gridCol w:w="635"/>
        <w:gridCol w:w="623"/>
        <w:gridCol w:w="10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7"/>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rPr>
              <w:t>霍尔果斯国家物流枢纽综合信息服务平台建设项目（霍尔果斯跨境电商综试区平台）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序号</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标的物名称</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标的物所属行业</w:t>
            </w:r>
          </w:p>
        </w:tc>
        <w:tc>
          <w:tcPr>
            <w:tcW w:w="2702"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sz w:val="20"/>
                <w:szCs w:val="20"/>
              </w:rPr>
              <w:t>技术参数要求</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单位</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数量</w:t>
            </w:r>
          </w:p>
        </w:tc>
        <w:tc>
          <w:tcPr>
            <w:tcW w:w="375"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7"/>
            <w:tcBorders>
              <w:tl2br w:val="nil"/>
              <w:tr2bl w:val="nil"/>
            </w:tcBorders>
            <w:shd w:val="clear" w:color="auto" w:fill="FFFF00"/>
            <w:noWrap/>
            <w:vAlign w:val="center"/>
          </w:tcPr>
          <w:p>
            <w:pPr>
              <w:widowControl/>
              <w:textAlignment w:val="center"/>
              <w:rPr>
                <w:rFonts w:eastAsia="黑体"/>
                <w:color w:val="000000"/>
                <w:sz w:val="20"/>
                <w:szCs w:val="20"/>
              </w:rPr>
            </w:pPr>
            <w:r>
              <w:rPr>
                <w:rFonts w:eastAsia="黑体"/>
                <w:color w:val="000000"/>
                <w:kern w:val="0"/>
                <w:sz w:val="20"/>
                <w:szCs w:val="20"/>
                <w:lang w:bidi="ar"/>
              </w:rPr>
              <w:t>一、无线网络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室外无线接入点</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无线，双频、双模，2.4G和5G室外增强型AP。整机≥ 1.17Gbps，802.11a/b/g/n/ac，内置高增益定向天线，MIMO2*2:2，500mW，POE+受电方式。室外IP67防护等级</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室内无线接入点</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无线接入点、双频双模，放装吸顶式AP。支持802.11 ax标准，整机吞吐1.8Gbps，支持本地供电和PoE供电</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3</w:t>
            </w:r>
          </w:p>
        </w:tc>
        <w:tc>
          <w:tcPr>
            <w:tcW w:w="375" w:type="pct"/>
            <w:tcBorders>
              <w:tl2br w:val="nil"/>
              <w:tr2bl w:val="nil"/>
            </w:tcBorders>
            <w:shd w:val="clear" w:color="auto" w:fill="auto"/>
            <w:noWrap/>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3</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收发器</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光纤端口传输距离</w:t>
            </w:r>
            <w:r>
              <w:rPr>
                <w:rFonts w:eastAsia="黑体"/>
                <w:color w:val="000000"/>
                <w:kern w:val="0"/>
                <w:sz w:val="20"/>
                <w:szCs w:val="20"/>
                <w:lang w:bidi="ar"/>
              </w:rPr>
              <w:br w:type="textWrapping"/>
            </w:r>
            <w:r>
              <w:rPr>
                <w:rFonts w:eastAsia="黑体"/>
                <w:color w:val="000000"/>
                <w:kern w:val="0"/>
                <w:sz w:val="20"/>
                <w:szCs w:val="20"/>
                <w:lang w:bidi="ar"/>
              </w:rPr>
              <w:t>标配≥20km（单模单纤），可定制到100km</w:t>
            </w:r>
            <w:r>
              <w:rPr>
                <w:rFonts w:eastAsia="黑体"/>
                <w:color w:val="000000"/>
                <w:kern w:val="0"/>
                <w:sz w:val="20"/>
                <w:szCs w:val="20"/>
                <w:lang w:bidi="ar"/>
              </w:rPr>
              <w:br w:type="textWrapping"/>
            </w:r>
            <w:r>
              <w:rPr>
                <w:rFonts w:eastAsia="黑体"/>
                <w:color w:val="000000"/>
                <w:kern w:val="0"/>
                <w:sz w:val="20"/>
                <w:szCs w:val="20"/>
                <w:lang w:bidi="ar"/>
              </w:rPr>
              <w:t>光纤波长</w:t>
            </w:r>
            <w:r>
              <w:rPr>
                <w:rFonts w:eastAsia="黑体"/>
                <w:color w:val="000000"/>
                <w:kern w:val="0"/>
                <w:sz w:val="20"/>
                <w:szCs w:val="20"/>
                <w:lang w:bidi="ar"/>
              </w:rPr>
              <w:br w:type="textWrapping"/>
            </w:r>
            <w:r>
              <w:rPr>
                <w:rFonts w:eastAsia="黑体"/>
                <w:color w:val="000000"/>
                <w:kern w:val="0"/>
                <w:sz w:val="20"/>
                <w:szCs w:val="20"/>
                <w:lang w:bidi="ar"/>
              </w:rPr>
              <w:t>1310nm/1550nm（单模单纤），外电</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对</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4</w:t>
            </w:r>
          </w:p>
        </w:tc>
        <w:tc>
          <w:tcPr>
            <w:tcW w:w="582" w:type="pct"/>
            <w:tcBorders>
              <w:tl2br w:val="nil"/>
              <w:tr2bl w:val="nil"/>
            </w:tcBorders>
            <w:shd w:val="clear" w:color="auto" w:fill="auto"/>
            <w:vAlign w:val="center"/>
          </w:tcPr>
          <w:p>
            <w:pPr>
              <w:widowControl/>
              <w:jc w:val="center"/>
              <w:textAlignment w:val="center"/>
              <w:rPr>
                <w:rFonts w:hint="default" w:eastAsia="黑体"/>
                <w:color w:val="000000"/>
                <w:kern w:val="0"/>
                <w:sz w:val="20"/>
                <w:szCs w:val="20"/>
                <w:lang w:val="en-US" w:eastAsia="zh-CN" w:bidi="ar"/>
              </w:rPr>
            </w:pPr>
            <w:r>
              <w:rPr>
                <w:rFonts w:eastAsia="黑体"/>
                <w:color w:val="000000"/>
                <w:kern w:val="0"/>
                <w:sz w:val="20"/>
                <w:szCs w:val="20"/>
                <w:lang w:bidi="ar"/>
              </w:rPr>
              <w:t>无线</w:t>
            </w:r>
            <w:r>
              <w:rPr>
                <w:rFonts w:hint="eastAsia" w:eastAsia="黑体"/>
                <w:color w:val="000000"/>
                <w:kern w:val="0"/>
                <w:sz w:val="20"/>
                <w:szCs w:val="20"/>
                <w:lang w:val="en-US" w:eastAsia="zh-CN" w:bidi="ar"/>
              </w:rPr>
              <w:t>AP许可授权管理软件</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b/>
                <w:bCs/>
                <w:color w:val="FF0000"/>
                <w:sz w:val="20"/>
                <w:szCs w:val="20"/>
              </w:rPr>
              <w:t>此项内容</w:t>
            </w:r>
            <w:r>
              <w:rPr>
                <w:rFonts w:eastAsia="黑体"/>
                <w:b/>
                <w:bCs/>
                <w:color w:val="FF0000"/>
                <w:sz w:val="20"/>
                <w:szCs w:val="20"/>
              </w:rPr>
              <w:t>不纳入中小企业声明函内，中小企业声明函内无需填写此项。</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无线，AP管理许可，无线控制器16个AP管理许可</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5</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无线控制器</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auto"/>
                <w:kern w:val="0"/>
                <w:sz w:val="20"/>
                <w:szCs w:val="20"/>
                <w:lang w:bidi="ar"/>
              </w:rPr>
            </w:pPr>
            <w:r>
              <w:rPr>
                <w:rFonts w:eastAsia="黑体"/>
                <w:color w:val="000000"/>
                <w:kern w:val="0"/>
                <w:sz w:val="20"/>
                <w:szCs w:val="20"/>
                <w:lang w:bidi="ar"/>
              </w:rPr>
              <w:t>业务端口：≥2个千兆Combo口，≥24个百兆电口，≥8个POE供电端口，≥1个RJ45 Console管理接口；根据网络规划要求，提供同品牌配套8口硬件bypass分流器（支持断电导通）</w:t>
            </w:r>
            <w:r>
              <w:rPr>
                <w:rFonts w:eastAsia="黑体"/>
                <w:color w:val="000000"/>
                <w:kern w:val="0"/>
                <w:sz w:val="20"/>
                <w:szCs w:val="20"/>
                <w:lang w:bidi="ar"/>
              </w:rPr>
              <w:br w:type="textWrapping"/>
            </w:r>
            <w:r>
              <w:rPr>
                <w:rFonts w:eastAsia="黑体"/>
                <w:color w:val="000000"/>
                <w:kern w:val="0"/>
                <w:sz w:val="20"/>
                <w:szCs w:val="20"/>
                <w:lang w:bidi="ar"/>
              </w:rPr>
              <w:t>默认管理AP数量≥8个，最大实际可管理AP数量≥32个；</w:t>
            </w:r>
            <w:r>
              <w:rPr>
                <w:rFonts w:eastAsia="黑体"/>
                <w:color w:val="000000"/>
                <w:kern w:val="0"/>
                <w:sz w:val="20"/>
                <w:szCs w:val="20"/>
                <w:lang w:bidi="ar"/>
              </w:rPr>
              <w:br w:type="textWrapping"/>
            </w:r>
            <w:r>
              <w:rPr>
                <w:rFonts w:eastAsia="黑体"/>
                <w:color w:val="000000"/>
                <w:kern w:val="0"/>
                <w:sz w:val="20"/>
                <w:szCs w:val="20"/>
                <w:lang w:bidi="ar"/>
              </w:rPr>
              <w:t>转发功能:支持本地转发和集中式CAPWAP隧道转发，支持有线以太端口线速转发；</w:t>
            </w:r>
            <w:r>
              <w:rPr>
                <w:rFonts w:eastAsia="黑体"/>
                <w:color w:val="000000"/>
                <w:kern w:val="0"/>
                <w:sz w:val="20"/>
                <w:szCs w:val="20"/>
                <w:lang w:bidi="ar"/>
              </w:rPr>
              <w:br w:type="textWrapping"/>
            </w:r>
            <w:r>
              <w:rPr>
                <w:rFonts w:eastAsia="黑体"/>
                <w:color w:val="000000"/>
                <w:kern w:val="0"/>
                <w:sz w:val="20"/>
                <w:szCs w:val="20"/>
                <w:lang w:bidi="ar"/>
              </w:rPr>
              <w:t>高可靠性:1+1、N+1、N+N备份机制；</w:t>
            </w:r>
            <w:r>
              <w:rPr>
                <w:rFonts w:eastAsia="黑体"/>
                <w:color w:val="000000"/>
                <w:kern w:val="0"/>
                <w:sz w:val="20"/>
                <w:szCs w:val="20"/>
                <w:lang w:bidi="ar"/>
              </w:rPr>
              <w:br w:type="textWrapping"/>
            </w:r>
            <w:r>
              <w:rPr>
                <w:rFonts w:eastAsia="黑体"/>
                <w:color w:val="000000"/>
                <w:kern w:val="0"/>
                <w:sz w:val="20"/>
                <w:szCs w:val="20"/>
                <w:lang w:bidi="ar"/>
              </w:rPr>
              <w:t>支持漫游、Portal快速无感知认证，CAPWAP协议；支持IEEE802.3、静态路由、RIPv1/v2、OSP</w:t>
            </w:r>
            <w:r>
              <w:rPr>
                <w:rFonts w:eastAsia="黑体"/>
                <w:color w:val="auto"/>
                <w:kern w:val="0"/>
                <w:sz w:val="20"/>
                <w:szCs w:val="20"/>
                <w:lang w:bidi="ar"/>
              </w:rPr>
              <w:t>F等协议；</w:t>
            </w:r>
          </w:p>
          <w:p>
            <w:pPr>
              <w:widowControl/>
              <w:jc w:val="left"/>
              <w:textAlignment w:val="center"/>
              <w:rPr>
                <w:rFonts w:hint="default" w:eastAsia="黑体"/>
                <w:color w:val="auto"/>
                <w:kern w:val="0"/>
                <w:sz w:val="20"/>
                <w:szCs w:val="20"/>
                <w:lang w:val="en-US" w:eastAsia="zh-CN" w:bidi="ar"/>
              </w:rPr>
            </w:pPr>
            <w:r>
              <w:rPr>
                <w:rFonts w:hint="eastAsia" w:eastAsia="黑体"/>
                <w:color w:val="auto"/>
                <w:kern w:val="0"/>
                <w:sz w:val="20"/>
                <w:szCs w:val="20"/>
                <w:lang w:val="en-US" w:eastAsia="zh-CN" w:bidi="ar"/>
              </w:rPr>
              <w:t>设备可接入霍尔果斯综保区园区原有无线网络控制设备。</w:t>
            </w:r>
          </w:p>
          <w:p>
            <w:pPr>
              <w:widowControl/>
              <w:jc w:val="left"/>
              <w:textAlignment w:val="center"/>
              <w:rPr>
                <w:rFonts w:hint="eastAsia" w:eastAsia="宋体"/>
                <w:lang w:eastAsia="zh-CN"/>
              </w:rPr>
            </w:pPr>
            <w:r>
              <w:rPr>
                <w:rFonts w:hint="eastAsia" w:eastAsia="黑体"/>
                <w:color w:val="auto"/>
                <w:kern w:val="0"/>
                <w:sz w:val="20"/>
                <w:szCs w:val="20"/>
                <w:lang w:bidi="ar"/>
              </w:rPr>
              <w:t>产品资质：提供入网许可证</w:t>
            </w:r>
            <w:r>
              <w:rPr>
                <w:rFonts w:hint="eastAsia"/>
                <w:color w:val="auto"/>
                <w:lang w:eastAsia="zh-CN"/>
              </w:rPr>
              <w:t>。</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6</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交换机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交换容量：336Gbps，包转发率：18Mpps，8个10/100/1000/BASE-T以太网端口，4个千兆SFP，网络标准 IEEE 802.3，IEEE 802.3u，IEEE 802.3ab，IEEE 802.3z，IEEE 802.3x，IEEE 802.1Q，IEEE 802.1d，IEEE 802.1X</w:t>
            </w:r>
            <w:r>
              <w:rPr>
                <w:rFonts w:eastAsia="黑体"/>
                <w:color w:val="000000"/>
                <w:kern w:val="0"/>
                <w:sz w:val="20"/>
                <w:szCs w:val="20"/>
                <w:lang w:bidi="ar"/>
              </w:rPr>
              <w:br w:type="textWrapping"/>
            </w:r>
            <w:r>
              <w:rPr>
                <w:rFonts w:eastAsia="黑体"/>
                <w:color w:val="000000"/>
                <w:kern w:val="0"/>
                <w:sz w:val="20"/>
                <w:szCs w:val="20"/>
                <w:lang w:bidi="ar"/>
              </w:rPr>
              <w:t>堆叠功能 可堆叠</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7</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线缆</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线缆RVV2*1.5mm2 300/500V</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米</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400</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8</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六类室外防水网线</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六类室外防水网线</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箱</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4</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7"/>
            <w:tcBorders>
              <w:tl2br w:val="nil"/>
              <w:tr2bl w:val="nil"/>
            </w:tcBorders>
            <w:shd w:val="clear" w:color="auto" w:fill="FFFF00"/>
            <w:noWrap/>
            <w:vAlign w:val="center"/>
          </w:tcPr>
          <w:p>
            <w:pPr>
              <w:widowControl/>
              <w:textAlignment w:val="center"/>
              <w:rPr>
                <w:rFonts w:eastAsia="黑体"/>
                <w:color w:val="000000"/>
                <w:sz w:val="20"/>
                <w:szCs w:val="20"/>
              </w:rPr>
            </w:pPr>
            <w:r>
              <w:rPr>
                <w:rFonts w:eastAsia="黑体"/>
                <w:color w:val="000000"/>
                <w:kern w:val="0"/>
                <w:sz w:val="20"/>
                <w:szCs w:val="20"/>
                <w:lang w:bidi="ar"/>
              </w:rPr>
              <w:t>二、视频监控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10</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网络摄像机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numPr>
                <w:ilvl w:val="0"/>
                <w:numId w:val="6"/>
              </w:numPr>
              <w:jc w:val="left"/>
              <w:textAlignment w:val="center"/>
              <w:rPr>
                <w:rFonts w:hint="eastAsia" w:eastAsia="黑体"/>
                <w:color w:val="auto"/>
                <w:kern w:val="0"/>
                <w:sz w:val="20"/>
                <w:szCs w:val="20"/>
                <w:lang w:bidi="ar"/>
              </w:rPr>
            </w:pPr>
            <w:r>
              <w:rPr>
                <w:rFonts w:hint="eastAsia" w:eastAsia="黑体"/>
                <w:color w:val="auto"/>
                <w:kern w:val="0"/>
                <w:sz w:val="20"/>
                <w:szCs w:val="20"/>
                <w:lang w:bidi="ar"/>
              </w:rPr>
              <w:t>智能彩色网络枪型摄像机，传感器尺寸≥1/2.7英寸,镜头光圈≥F1.0；</w:t>
            </w:r>
            <w:r>
              <w:rPr>
                <w:rFonts w:hint="eastAsia" w:eastAsia="黑体"/>
                <w:color w:val="auto"/>
                <w:kern w:val="0"/>
                <w:sz w:val="20"/>
                <w:szCs w:val="20"/>
                <w:lang w:val="en-US" w:eastAsia="zh-CN" w:bidi="ar"/>
              </w:rPr>
              <w:t>配</w:t>
            </w:r>
            <w:r>
              <w:rPr>
                <w:rFonts w:hint="eastAsia" w:eastAsia="黑体"/>
                <w:color w:val="auto"/>
                <w:kern w:val="0"/>
                <w:sz w:val="20"/>
                <w:szCs w:val="20"/>
                <w:lang w:bidi="ar"/>
              </w:rPr>
              <w:t>枪机支架；摄像机电源</w:t>
            </w:r>
          </w:p>
          <w:p>
            <w:pPr>
              <w:widowControl/>
              <w:numPr>
                <w:ilvl w:val="0"/>
                <w:numId w:val="0"/>
              </w:numPr>
              <w:jc w:val="left"/>
              <w:textAlignment w:val="center"/>
              <w:rPr>
                <w:rFonts w:hint="eastAsia" w:eastAsia="黑体"/>
                <w:color w:val="auto"/>
                <w:kern w:val="0"/>
                <w:sz w:val="20"/>
                <w:szCs w:val="20"/>
                <w:lang w:bidi="ar"/>
              </w:rPr>
            </w:pPr>
            <w:r>
              <w:rPr>
                <w:rFonts w:hint="eastAsia" w:eastAsia="黑体"/>
                <w:color w:val="auto"/>
                <w:kern w:val="0"/>
                <w:sz w:val="20"/>
                <w:szCs w:val="20"/>
                <w:lang w:bidi="ar"/>
              </w:rPr>
              <w:t xml:space="preserve">2. </w:t>
            </w:r>
            <w:r>
              <w:rPr>
                <w:rFonts w:hint="eastAsia" w:eastAsia="黑体"/>
                <w:color w:val="auto"/>
                <w:kern w:val="0"/>
                <w:sz w:val="20"/>
                <w:szCs w:val="20"/>
                <w:u w:val="none"/>
                <w:lang w:bidi="ar"/>
              </w:rPr>
              <w:t>最大分辨率和帧率达1920×1080@25fps，视频压缩标准支持H.265、H.264；</w:t>
            </w:r>
          </w:p>
          <w:p>
            <w:pPr>
              <w:widowControl/>
              <w:numPr>
                <w:ilvl w:val="0"/>
                <w:numId w:val="0"/>
              </w:numPr>
              <w:jc w:val="left"/>
              <w:textAlignment w:val="center"/>
              <w:rPr>
                <w:rFonts w:hint="eastAsia" w:eastAsia="黑体"/>
                <w:color w:val="auto"/>
                <w:kern w:val="0"/>
                <w:sz w:val="20"/>
                <w:szCs w:val="20"/>
                <w:lang w:bidi="ar"/>
              </w:rPr>
            </w:pPr>
            <w:r>
              <w:rPr>
                <w:rFonts w:hint="eastAsia" w:eastAsia="黑体"/>
                <w:color w:val="auto"/>
                <w:kern w:val="0"/>
                <w:sz w:val="20"/>
                <w:szCs w:val="20"/>
                <w:lang w:bidi="ar"/>
              </w:rPr>
              <w:t>3. 最低照度需满足彩色≤0.0005 lx、黑白≤0.0001 lx；在彩色模式下，当照度降低至一定佳时，摄像机可自动开启白光灯补光，在白天、夜晚均可输出彩色视频图像；</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4. 支持智能报警功能；</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5. 支持智能分析防干扰功能，报警检测目标设置为人体或车辆时，光线明暗变化、篮球滚动、狗行走、树摇晃等情况下，不会触发报警；</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6. 支持快捷配置功能，可在预览画面开启/关闭快捷配置页面，支持配置常用图像参数、OSD配置、视音频参数等，并支持恢复默认操作；</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7. 支持像素数显示功能，可实时显示监控画面上选定区域的水平像素和垂直像素数；</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8. 内置暖色白光补光灯，补光距离≥30米；</w:t>
            </w:r>
          </w:p>
          <w:p>
            <w:pPr>
              <w:pStyle w:val="2"/>
              <w:numPr>
                <w:ilvl w:val="0"/>
                <w:numId w:val="0"/>
              </w:numPr>
              <w:rPr>
                <w:color w:val="auto"/>
              </w:rPr>
            </w:pPr>
            <w:r>
              <w:rPr>
                <w:rFonts w:hint="eastAsia" w:eastAsia="黑体"/>
                <w:b w:val="0"/>
                <w:bCs w:val="0"/>
                <w:color w:val="auto"/>
                <w:kern w:val="0"/>
                <w:sz w:val="20"/>
                <w:szCs w:val="20"/>
                <w:lang w:bidi="ar"/>
              </w:rPr>
              <w:t>9. 工作温度: -30℃~60℃，防护等级≥IP67。</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20</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11</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网络高清球型摄像机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numPr>
                <w:ilvl w:val="0"/>
                <w:numId w:val="7"/>
              </w:numPr>
              <w:jc w:val="left"/>
              <w:textAlignment w:val="center"/>
              <w:rPr>
                <w:rFonts w:hint="eastAsia" w:eastAsia="黑体"/>
                <w:color w:val="auto"/>
                <w:kern w:val="0"/>
                <w:sz w:val="20"/>
                <w:szCs w:val="20"/>
                <w:lang w:val="en-US" w:eastAsia="zh-CN" w:bidi="ar"/>
              </w:rPr>
            </w:pPr>
            <w:r>
              <w:rPr>
                <w:rFonts w:hint="eastAsia" w:eastAsia="黑体"/>
                <w:color w:val="auto"/>
                <w:kern w:val="0"/>
                <w:sz w:val="20"/>
                <w:szCs w:val="20"/>
                <w:lang w:bidi="ar"/>
              </w:rPr>
              <w:t>网络高清球型摄像机，</w:t>
            </w:r>
            <w:r>
              <w:rPr>
                <w:rFonts w:hint="eastAsia" w:eastAsia="黑体"/>
                <w:color w:val="auto"/>
                <w:kern w:val="0"/>
                <w:sz w:val="20"/>
                <w:szCs w:val="20"/>
                <w:lang w:val="en-US" w:eastAsia="zh-CN" w:bidi="ar"/>
              </w:rPr>
              <w:t>配球机支架。</w:t>
            </w:r>
          </w:p>
          <w:p>
            <w:pPr>
              <w:widowControl/>
              <w:numPr>
                <w:ilvl w:val="0"/>
                <w:numId w:val="7"/>
              </w:numPr>
              <w:jc w:val="left"/>
              <w:textAlignment w:val="center"/>
              <w:rPr>
                <w:rFonts w:hint="eastAsia" w:eastAsia="黑体"/>
                <w:color w:val="auto"/>
                <w:kern w:val="0"/>
                <w:sz w:val="20"/>
                <w:szCs w:val="20"/>
                <w:lang w:bidi="ar"/>
              </w:rPr>
            </w:pPr>
            <w:r>
              <w:rPr>
                <w:rFonts w:hint="eastAsia" w:eastAsia="黑体"/>
                <w:color w:val="auto"/>
                <w:kern w:val="0"/>
                <w:sz w:val="20"/>
                <w:szCs w:val="20"/>
                <w:lang w:bidi="ar"/>
              </w:rPr>
              <w:t>最大分辨率和帧率≥1920×1080@25fps，支持H.265、H.264编码；最低照度需满足彩色≤0.005lx，黑白≤0.001lx；需支持≥22倍光学变倍，最大焦距≥110mm；</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val="en-US" w:eastAsia="zh-CN" w:bidi="ar"/>
              </w:rPr>
              <w:t>3</w:t>
            </w:r>
            <w:r>
              <w:rPr>
                <w:rFonts w:hint="eastAsia" w:eastAsia="黑体"/>
                <w:color w:val="auto"/>
                <w:kern w:val="0"/>
                <w:sz w:val="20"/>
                <w:szCs w:val="20"/>
                <w:lang w:bidi="ar"/>
              </w:rPr>
              <w:t>. 支持水平360°连续旋转，垂直旋转范围≥-15°-90°，支持≥300个预置位，支持定时任务、一键守望、一键巡航功能；水平键控速度≥0.1°-160°/s，垂直键控速度≥0.1°-120°/s，速度可设；</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val="en-US" w:eastAsia="zh-CN" w:bidi="ar"/>
              </w:rPr>
              <w:t>4</w:t>
            </w:r>
            <w:r>
              <w:rPr>
                <w:rFonts w:hint="eastAsia" w:eastAsia="黑体"/>
                <w:color w:val="auto"/>
                <w:kern w:val="0"/>
                <w:sz w:val="20"/>
                <w:szCs w:val="20"/>
                <w:lang w:bidi="ar"/>
              </w:rPr>
              <w:t>. 支持行为分析触发后联动聚焦、联动目标跟踪、报警上传，上传FTP ，发送邮件，联动录像，辅助输出等多种报警触发方式；</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val="en-US" w:eastAsia="zh-CN" w:bidi="ar"/>
              </w:rPr>
              <w:t>5</w:t>
            </w:r>
            <w:r>
              <w:rPr>
                <w:rFonts w:hint="eastAsia" w:eastAsia="黑体"/>
                <w:color w:val="auto"/>
                <w:kern w:val="0"/>
                <w:sz w:val="20"/>
                <w:szCs w:val="20"/>
                <w:lang w:bidi="ar"/>
              </w:rPr>
              <w:t>. 具有账号隔离功能，在Web 端登录和在关键业务入口登录可使用不同的账号和密码；支持码流加密，具有KMC 密钥和AES256 加密设置选项；</w:t>
            </w:r>
          </w:p>
          <w:p>
            <w:pPr>
              <w:widowControl/>
              <w:jc w:val="left"/>
              <w:textAlignment w:val="center"/>
              <w:rPr>
                <w:rFonts w:eastAsia="黑体"/>
                <w:color w:val="auto"/>
                <w:sz w:val="20"/>
                <w:szCs w:val="20"/>
              </w:rPr>
            </w:pPr>
            <w:r>
              <w:rPr>
                <w:rFonts w:hint="eastAsia" w:eastAsia="黑体"/>
                <w:color w:val="auto"/>
                <w:kern w:val="0"/>
                <w:sz w:val="20"/>
                <w:szCs w:val="20"/>
                <w:lang w:bidi="ar"/>
              </w:rPr>
              <w:t>5. 需具有≥1个RJ4510M/100M自适应以太网口、≥1对音频输入/输出接口、≥2路报警输入、≥1路报警输出，支持≥150m红外补光，工作温度≥-30℃-65℃，防护等级≥IP66。</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4</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default" w:eastAsia="黑体"/>
                <w:color w:val="000000"/>
                <w:kern w:val="0"/>
                <w:sz w:val="20"/>
                <w:szCs w:val="20"/>
                <w:lang w:val="en-US" w:eastAsia="zh-CN" w:bidi="ar"/>
              </w:rPr>
            </w:pPr>
            <w:r>
              <w:rPr>
                <w:rFonts w:hint="eastAsia" w:eastAsia="黑体"/>
                <w:color w:val="000000"/>
                <w:kern w:val="0"/>
                <w:sz w:val="20"/>
                <w:szCs w:val="20"/>
                <w:lang w:val="en-US" w:eastAsia="zh-CN" w:bidi="ar"/>
              </w:rPr>
              <w:t>12</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全彩警戒小球</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2Mp倍率拼接，1/1.8＂progressive scan CMOS</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内置全彩双镜头</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采用深度学习硬件及算法，提供精准的人车分类报警及人脸抓拍功能</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智能警戒：支持越界侦测，区域入侵侦测，进入/离开区域侦测</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支持人脸抓拍模式，自动筛选输出最优人脸图，最大同时抓拍5张人脸</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支持三种智能资源切换：人脸抓拍、Smart事件（警戒）、普通监控（默认）</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支持联动声光报警</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 xml:space="preserve">最低照度: 彩色：0.0005 Lux@（F1.0，AGC ON），0 Lux with Light </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宽动态: 数字宽动态</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焦距: 4~12 mm</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视场角: 水平视场角：89~26.8°（广角~望远）; 垂直视场角：45~14.9°（广角~望远）; 对角视场角：107~30.1°（广角~望远）</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水平范围: 水平350°</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 xml:space="preserve">垂直范围: 垂直0°~90°  </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水平速度: 水平键控速度：0.1°~60°/s，速度可设；水平预置点速度：60°/s</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 xml:space="preserve">垂直速度: 垂直键控速度：0.1°~50°/s，速度可设；垂直预置点速度：50°/s </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主码流帧率分辨率: 50 Hz：25 fps（1920 × 1080）；60 Hz：20 fps（1920 × 1080）</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视频压缩标准: H.265，H.264，MJPEG</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网络存储: NAS（NFS，SMB/CIFS）</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电源输出: DC12 V；电流小于60 mA</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网络接口: RJ45网口，自适应10 M/100 M网络数据</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SD卡扩展: 内置MicroSD卡插槽，支持MicroSD(即TF卡)/MicroSDHC/MicroSDXC卡（最大支持256 GB）</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报警输入: 1路报警输入</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 xml:space="preserve">报警输出: 1路报警输出 </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音频输入: 内置麦克风，1路音频输入</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音频输出: 内置扬声器，1路音频输出</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 xml:space="preserve">支持RS485接口 </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白光照射距离: 30 m</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 xml:space="preserve">供电方式: DC12 V，PoE（802.3at） </w:t>
            </w:r>
          </w:p>
          <w:p>
            <w:pPr>
              <w:widowControl/>
              <w:jc w:val="left"/>
              <w:textAlignment w:val="center"/>
              <w:rPr>
                <w:rFonts w:hint="eastAsia" w:eastAsia="黑体"/>
                <w:color w:val="auto"/>
                <w:kern w:val="0"/>
                <w:sz w:val="20"/>
                <w:szCs w:val="20"/>
                <w:lang w:bidi="ar"/>
              </w:rPr>
            </w:pPr>
            <w:r>
              <w:rPr>
                <w:rFonts w:hint="eastAsia" w:eastAsia="黑体"/>
                <w:color w:val="auto"/>
                <w:kern w:val="0"/>
                <w:sz w:val="20"/>
                <w:szCs w:val="20"/>
                <w:lang w:bidi="ar"/>
              </w:rPr>
              <w:t xml:space="preserve">工作温湿度: -30℃~65℃；湿度小于90% </w:t>
            </w:r>
          </w:p>
          <w:p>
            <w:pPr>
              <w:widowControl/>
              <w:jc w:val="left"/>
              <w:textAlignment w:val="center"/>
              <w:rPr>
                <w:rFonts w:eastAsia="黑体"/>
                <w:color w:val="77933C" w:themeColor="accent3" w:themeShade="BF"/>
                <w:kern w:val="0"/>
                <w:sz w:val="20"/>
                <w:szCs w:val="20"/>
                <w:lang w:bidi="ar"/>
              </w:rPr>
            </w:pPr>
            <w:r>
              <w:rPr>
                <w:rFonts w:hint="eastAsia" w:eastAsia="黑体"/>
                <w:color w:val="auto"/>
                <w:kern w:val="0"/>
                <w:sz w:val="20"/>
                <w:szCs w:val="20"/>
                <w:lang w:bidi="ar"/>
              </w:rPr>
              <w:t>防护: IP66</w:t>
            </w:r>
          </w:p>
        </w:tc>
        <w:tc>
          <w:tcPr>
            <w:tcW w:w="635" w:type="dxa"/>
            <w:tcBorders>
              <w:tl2br w:val="nil"/>
              <w:tr2bl w:val="nil"/>
            </w:tcBorders>
            <w:shd w:val="clear" w:color="auto" w:fill="auto"/>
            <w:noWrap/>
            <w:vAlign w:val="center"/>
          </w:tcPr>
          <w:p>
            <w:pPr>
              <w:widowControl/>
              <w:jc w:val="center"/>
              <w:textAlignment w:val="center"/>
              <w:rPr>
                <w:rFonts w:eastAsia="黑体"/>
                <w:color w:val="77933C" w:themeColor="accent3" w:themeShade="BF"/>
                <w:kern w:val="0"/>
                <w:sz w:val="20"/>
                <w:szCs w:val="20"/>
                <w:lang w:bidi="ar"/>
              </w:rPr>
            </w:pPr>
            <w:r>
              <w:rPr>
                <w:rFonts w:eastAsia="黑体"/>
                <w:color w:val="77933C" w:themeColor="accent3" w:themeShade="BF"/>
                <w:kern w:val="0"/>
                <w:sz w:val="20"/>
                <w:szCs w:val="20"/>
                <w:lang w:bidi="ar"/>
              </w:rPr>
              <w:t>套</w:t>
            </w:r>
          </w:p>
        </w:tc>
        <w:tc>
          <w:tcPr>
            <w:tcW w:w="623" w:type="dxa"/>
            <w:tcBorders>
              <w:tl2br w:val="nil"/>
              <w:tr2bl w:val="nil"/>
            </w:tcBorders>
            <w:shd w:val="clear" w:color="auto" w:fill="auto"/>
            <w:noWrap/>
            <w:vAlign w:val="center"/>
          </w:tcPr>
          <w:p>
            <w:pPr>
              <w:widowControl/>
              <w:jc w:val="center"/>
              <w:textAlignment w:val="center"/>
              <w:rPr>
                <w:rFonts w:eastAsia="黑体"/>
                <w:color w:val="77933C" w:themeColor="accent3" w:themeShade="BF"/>
                <w:kern w:val="0"/>
                <w:sz w:val="20"/>
                <w:szCs w:val="20"/>
                <w:lang w:bidi="ar"/>
              </w:rPr>
            </w:pPr>
            <w:r>
              <w:rPr>
                <w:rFonts w:eastAsia="黑体"/>
                <w:color w:val="77933C" w:themeColor="accent3" w:themeShade="BF"/>
                <w:kern w:val="0"/>
                <w:sz w:val="20"/>
                <w:szCs w:val="20"/>
                <w:lang w:bidi="ar"/>
              </w:rPr>
              <w:t>4</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13</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交换机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交换容量：336Gbps，包转发率：18Mpps，8个10/100/1000/BASE-T以太网端口，4个千兆SFP，网络标准 IEEE 802.3，IEEE 802.3u，IEEE 802.3ab，IEEE 802.3z，IEEE 802.3x，IEEE 802.1Q，IEEE 802.1d，IEEE 802.1X</w:t>
            </w:r>
            <w:r>
              <w:rPr>
                <w:rFonts w:eastAsia="黑体"/>
                <w:color w:val="000000"/>
                <w:kern w:val="0"/>
                <w:sz w:val="20"/>
                <w:szCs w:val="20"/>
                <w:lang w:bidi="ar"/>
              </w:rPr>
              <w:br w:type="textWrapping"/>
            </w:r>
            <w:r>
              <w:rPr>
                <w:rFonts w:eastAsia="黑体"/>
                <w:color w:val="000000"/>
                <w:kern w:val="0"/>
                <w:sz w:val="20"/>
                <w:szCs w:val="20"/>
                <w:lang w:bidi="ar"/>
              </w:rPr>
              <w:t>堆叠功能 可堆叠</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14</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交换机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交换容量：336Gbps，包转发率：42Mpps，24个10/100/1000/BASE-T以太网端口，4个千兆SFP，网络标准 IEEE 802.3，IEEE 802.3u，IEEE 802.3ab，IEEE 802.3z，IEEE 802.3x，IEEE 802.1Q，IEEE 802.1d，IEEE 802.1X</w:t>
            </w:r>
            <w:r>
              <w:rPr>
                <w:rFonts w:eastAsia="黑体"/>
                <w:color w:val="000000"/>
                <w:kern w:val="0"/>
                <w:sz w:val="20"/>
                <w:szCs w:val="20"/>
                <w:lang w:bidi="ar"/>
              </w:rPr>
              <w:br w:type="textWrapping"/>
            </w:r>
            <w:r>
              <w:rPr>
                <w:rFonts w:eastAsia="黑体"/>
                <w:color w:val="000000"/>
                <w:kern w:val="0"/>
                <w:sz w:val="20"/>
                <w:szCs w:val="20"/>
                <w:lang w:bidi="ar"/>
              </w:rPr>
              <w:t>堆叠功能 可堆叠</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15</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收发器</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1光4电  光纤端口传输距离标配20km（单模单纤）</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对</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4</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16</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ascii="宋体" w:hAnsi="宋体" w:cs="宋体"/>
                <w:szCs w:val="21"/>
                <w:lang w:bidi="ar"/>
              </w:rPr>
              <w:t>■</w:t>
            </w:r>
            <w:r>
              <w:rPr>
                <w:rFonts w:eastAsia="黑体"/>
                <w:color w:val="000000"/>
                <w:kern w:val="0"/>
                <w:sz w:val="20"/>
                <w:szCs w:val="20"/>
                <w:lang w:bidi="ar"/>
              </w:rPr>
              <w:t>显示设备</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65寸高清数字电视，HDMI线，I5 16GB 1T+256G硬盘 2G独显电脑，27英寸显示器</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17</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交换机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背板带宽 ≥336Gbps/3.36Tbps，包转发率 ≥108Mpps/126Mpps支持≥24个100/1000BASE-X SFP端口,支持8个10/100/1000BASE-T Combo 口,支持4个10G BASE-X SFP+端口.端口结构 非模块化，端口数量 ≥28个</w:t>
            </w:r>
            <w:r>
              <w:rPr>
                <w:rFonts w:eastAsia="黑体"/>
                <w:color w:val="000000"/>
                <w:kern w:val="0"/>
                <w:sz w:val="20"/>
                <w:szCs w:val="20"/>
                <w:lang w:bidi="ar"/>
              </w:rPr>
              <w:br w:type="textWrapping"/>
            </w:r>
            <w:r>
              <w:rPr>
                <w:rFonts w:eastAsia="黑体"/>
                <w:color w:val="000000"/>
                <w:kern w:val="0"/>
                <w:sz w:val="20"/>
                <w:szCs w:val="20"/>
                <w:lang w:bidi="ar"/>
              </w:rPr>
              <w:t>端口描述 ≥24个100/1000Base-X 千兆光口（8*Combo口）</w:t>
            </w:r>
            <w:r>
              <w:rPr>
                <w:rFonts w:eastAsia="黑体"/>
                <w:color w:val="000000"/>
                <w:kern w:val="0"/>
                <w:sz w:val="20"/>
                <w:szCs w:val="20"/>
                <w:lang w:bidi="ar"/>
              </w:rPr>
              <w:br w:type="textWrapping"/>
            </w:r>
            <w:r>
              <w:rPr>
                <w:rFonts w:eastAsia="黑体"/>
                <w:color w:val="000000"/>
                <w:kern w:val="0"/>
                <w:sz w:val="20"/>
                <w:szCs w:val="20"/>
                <w:lang w:bidi="ar"/>
              </w:rPr>
              <w:t>4个10G BASE-X SFP+万兆光口，传输模式 全双工/半双工自适应功能特性</w:t>
            </w:r>
            <w:r>
              <w:rPr>
                <w:rFonts w:eastAsia="黑体"/>
                <w:color w:val="000000"/>
                <w:kern w:val="0"/>
                <w:sz w:val="20"/>
                <w:szCs w:val="20"/>
                <w:lang w:bidi="ar"/>
              </w:rPr>
              <w:br w:type="textWrapping"/>
            </w:r>
            <w:r>
              <w:rPr>
                <w:rFonts w:eastAsia="黑体"/>
                <w:color w:val="000000"/>
                <w:kern w:val="0"/>
                <w:sz w:val="20"/>
                <w:szCs w:val="20"/>
                <w:lang w:bidi="ar"/>
              </w:rPr>
              <w:t>堆叠功能 可堆叠</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2" w:type="dxa"/>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18</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机柜</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42U服务器机柜（2*1.0*0.6米）带4托盘</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19</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ascii="宋体" w:hAnsi="宋体" w:cs="宋体"/>
                <w:szCs w:val="21"/>
                <w:highlight w:val="none"/>
                <w:lang w:bidi="ar"/>
              </w:rPr>
              <w:t>■</w:t>
            </w:r>
            <w:r>
              <w:rPr>
                <w:rFonts w:eastAsia="黑体"/>
                <w:color w:val="000000"/>
                <w:kern w:val="0"/>
                <w:sz w:val="20"/>
                <w:szCs w:val="20"/>
                <w:highlight w:val="none"/>
                <w:lang w:bidi="ar"/>
              </w:rPr>
              <w:t>壁挂空调</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pStyle w:val="16"/>
              <w:rPr>
                <w:color w:val="auto"/>
              </w:rPr>
            </w:pPr>
            <w:r>
              <w:rPr>
                <w:rFonts w:eastAsia="黑体"/>
                <w:color w:val="000000"/>
                <w:kern w:val="0"/>
                <w:sz w:val="20"/>
                <w:szCs w:val="20"/>
                <w:lang w:bidi="ar"/>
              </w:rPr>
              <w:t>2</w:t>
            </w:r>
            <w:r>
              <w:rPr>
                <w:rFonts w:eastAsia="黑体"/>
                <w:color w:val="auto"/>
                <w:kern w:val="0"/>
                <w:sz w:val="20"/>
                <w:szCs w:val="20"/>
                <w:lang w:bidi="ar"/>
              </w:rPr>
              <w:t>匹 挂式空调</w:t>
            </w:r>
            <w:r>
              <w:rPr>
                <w:rFonts w:hint="eastAsia" w:eastAsia="黑体"/>
                <w:color w:val="auto"/>
                <w:kern w:val="0"/>
                <w:sz w:val="20"/>
                <w:szCs w:val="20"/>
                <w:lang w:val="en-US" w:eastAsia="zh-CN" w:bidi="ar"/>
              </w:rPr>
              <w:t xml:space="preserve"> </w:t>
            </w:r>
            <w:r>
              <w:rPr>
                <w:rFonts w:hint="eastAsia" w:eastAsia="黑体"/>
                <w:color w:val="auto"/>
                <w:kern w:val="0"/>
                <w:sz w:val="20"/>
                <w:szCs w:val="20"/>
                <w:lang w:bidi="ar"/>
              </w:rPr>
              <w:t>2</w:t>
            </w:r>
            <w:r>
              <w:rPr>
                <w:rFonts w:eastAsia="黑体"/>
                <w:color w:val="auto"/>
                <w:kern w:val="0"/>
                <w:sz w:val="20"/>
                <w:szCs w:val="20"/>
                <w:lang w:bidi="ar"/>
              </w:rPr>
              <w:t>4</w:t>
            </w:r>
            <w:r>
              <w:rPr>
                <w:rFonts w:hint="eastAsia" w:eastAsia="黑体"/>
                <w:color w:val="auto"/>
                <w:kern w:val="0"/>
                <w:sz w:val="20"/>
                <w:szCs w:val="20"/>
                <w:lang w:bidi="ar"/>
              </w:rPr>
              <w:t>小时开机，使用性能较好的空调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Calibri" w:hAnsi="Calibri" w:eastAsia="黑体" w:cs="Times New Roman"/>
                <w:color w:val="auto"/>
                <w:kern w:val="0"/>
                <w:sz w:val="20"/>
                <w:szCs w:val="20"/>
                <w:lang w:val="en-US" w:eastAsia="zh-CN" w:bidi="ar"/>
              </w:rPr>
            </w:pPr>
            <w:r>
              <w:rPr>
                <w:rFonts w:hint="eastAsia" w:ascii="Calibri" w:hAnsi="Calibri" w:eastAsia="黑体" w:cs="Times New Roman"/>
                <w:color w:val="auto"/>
                <w:kern w:val="0"/>
                <w:sz w:val="20"/>
                <w:szCs w:val="20"/>
                <w:lang w:val="en-US" w:eastAsia="zh-CN" w:bidi="ar"/>
              </w:rPr>
              <w:t>制冷功率≥1200W</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Calibri" w:hAnsi="Calibri" w:eastAsia="黑体" w:cs="Times New Roman"/>
                <w:color w:val="auto"/>
                <w:kern w:val="0"/>
                <w:sz w:val="20"/>
                <w:szCs w:val="20"/>
                <w:lang w:val="en-US" w:eastAsia="zh-CN" w:bidi="ar"/>
              </w:rPr>
            </w:pPr>
            <w:r>
              <w:rPr>
                <w:rFonts w:hint="eastAsia" w:ascii="Calibri" w:hAnsi="Calibri" w:eastAsia="黑体" w:cs="Times New Roman"/>
                <w:color w:val="auto"/>
                <w:kern w:val="0"/>
                <w:sz w:val="20"/>
                <w:szCs w:val="20"/>
                <w:lang w:val="en-US" w:eastAsia="zh-CN" w:bidi="ar"/>
              </w:rPr>
              <w:t>自动清洁 内外机自动清洁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Calibri" w:hAnsi="Calibri" w:eastAsia="黑体" w:cs="Times New Roman"/>
                <w:color w:val="auto"/>
                <w:kern w:val="0"/>
                <w:sz w:val="20"/>
                <w:szCs w:val="20"/>
                <w:lang w:val="en-US" w:eastAsia="zh-CN" w:bidi="ar"/>
              </w:rPr>
            </w:pPr>
            <w:r>
              <w:rPr>
                <w:rFonts w:hint="eastAsia" w:ascii="Calibri" w:hAnsi="Calibri" w:eastAsia="黑体" w:cs="Times New Roman"/>
                <w:color w:val="auto"/>
                <w:kern w:val="0"/>
                <w:sz w:val="20"/>
                <w:szCs w:val="20"/>
                <w:lang w:val="en-US" w:eastAsia="zh-CN" w:bidi="ar"/>
              </w:rPr>
              <w:t>扫风方式 上下/左右扫风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Calibri" w:hAnsi="Calibri" w:eastAsia="黑体" w:cs="Times New Roman"/>
                <w:color w:val="auto"/>
                <w:kern w:val="0"/>
                <w:sz w:val="20"/>
                <w:szCs w:val="20"/>
                <w:lang w:val="en-US" w:eastAsia="zh-CN" w:bidi="ar"/>
              </w:rPr>
            </w:pPr>
            <w:r>
              <w:rPr>
                <w:rFonts w:hint="eastAsia" w:ascii="Calibri" w:hAnsi="Calibri" w:eastAsia="黑体" w:cs="Times New Roman"/>
                <w:color w:val="auto"/>
                <w:kern w:val="0"/>
                <w:sz w:val="20"/>
                <w:szCs w:val="20"/>
                <w:lang w:val="en-US" w:eastAsia="zh-CN" w:bidi="ar"/>
              </w:rPr>
              <w:t>外机最大噪音≤60dB(A)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Calibri" w:hAnsi="Calibri" w:eastAsia="黑体" w:cs="Times New Roman"/>
                <w:color w:val="auto"/>
                <w:kern w:val="0"/>
                <w:sz w:val="20"/>
                <w:szCs w:val="20"/>
                <w:lang w:val="en-US" w:eastAsia="zh-CN" w:bidi="ar"/>
              </w:rPr>
            </w:pPr>
            <w:r>
              <w:rPr>
                <w:rFonts w:hint="eastAsia" w:ascii="Calibri" w:hAnsi="Calibri" w:eastAsia="黑体" w:cs="Times New Roman"/>
                <w:color w:val="auto"/>
                <w:kern w:val="0"/>
                <w:sz w:val="20"/>
                <w:szCs w:val="20"/>
                <w:lang w:val="en-US" w:eastAsia="zh-CN" w:bidi="ar"/>
              </w:rPr>
              <w:t>内机噪音（静音/低风）≤30dB(A)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Calibri" w:hAnsi="Calibri" w:eastAsia="黑体" w:cs="Times New Roman"/>
                <w:color w:val="auto"/>
                <w:kern w:val="0"/>
                <w:sz w:val="20"/>
                <w:szCs w:val="20"/>
                <w:lang w:val="en-US" w:eastAsia="zh-CN" w:bidi="ar"/>
              </w:rPr>
            </w:pPr>
            <w:r>
              <w:rPr>
                <w:rFonts w:hint="eastAsia" w:ascii="Calibri" w:hAnsi="Calibri" w:eastAsia="黑体" w:cs="Times New Roman"/>
                <w:color w:val="auto"/>
                <w:kern w:val="0"/>
                <w:sz w:val="20"/>
                <w:szCs w:val="20"/>
                <w:lang w:val="en-US" w:eastAsia="zh-CN" w:bidi="ar"/>
              </w:rPr>
              <w:t>高温制冷 支持高温制冷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eastAsia="黑体" w:cs="Times New Roman"/>
                <w:color w:val="auto"/>
                <w:kern w:val="0"/>
                <w:sz w:val="20"/>
                <w:szCs w:val="20"/>
                <w:lang w:val="en-US" w:eastAsia="zh-CN" w:bidi="ar"/>
              </w:rPr>
              <w:t>制冷量≥4500W</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20</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无线光电键鼠套装</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无线光电键鼠套装</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21</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硬盘录像机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numPr>
                <w:ilvl w:val="0"/>
                <w:numId w:val="8"/>
              </w:numPr>
              <w:jc w:val="left"/>
              <w:textAlignment w:val="center"/>
              <w:rPr>
                <w:color w:val="auto"/>
              </w:rPr>
            </w:pPr>
            <w:r>
              <w:t>需支持≥64路H.264、H.265混合接入，输入带宽≥320M；</w:t>
            </w:r>
            <w:r>
              <w:br w:type="textWrapping"/>
            </w:r>
            <w:r>
              <w:t>2. 内置≥16个硬盘槽位，可满配≥10TB硬盘，支持RAID0、1、5、10，支持全局热备盘，配置</w:t>
            </w:r>
            <w:r>
              <w:rPr>
                <w:color w:val="auto"/>
              </w:rPr>
              <w:t>≥16块8T 7200RPM监控级硬盘；</w:t>
            </w:r>
            <w:r>
              <w:rPr>
                <w:color w:val="auto"/>
              </w:rPr>
              <w:br w:type="textWrapping"/>
            </w:r>
            <w:r>
              <w:rPr>
                <w:color w:val="auto"/>
              </w:rPr>
              <w:t>3. 支持≥16路1080P解码，支持1/8、1/4、1/2、1、2、4、8、16、32、64、128、256等倍速回放录像，支持录像回放的剪辑和回放截图功能；</w:t>
            </w:r>
          </w:p>
          <w:p>
            <w:pPr>
              <w:widowControl/>
              <w:jc w:val="left"/>
              <w:textAlignment w:val="center"/>
              <w:rPr>
                <w:rFonts w:hint="eastAsia" w:eastAsia="黑体"/>
                <w:b w:val="0"/>
                <w:bCs w:val="0"/>
                <w:color w:val="auto"/>
                <w:kern w:val="0"/>
                <w:sz w:val="20"/>
                <w:szCs w:val="20"/>
                <w:lang w:bidi="ar"/>
              </w:rPr>
            </w:pPr>
            <w:r>
              <w:rPr>
                <w:rFonts w:hint="eastAsia" w:eastAsia="黑体"/>
                <w:b w:val="0"/>
                <w:bCs w:val="0"/>
                <w:color w:val="auto"/>
                <w:kern w:val="0"/>
                <w:sz w:val="20"/>
                <w:szCs w:val="20"/>
                <w:lang w:bidi="ar"/>
              </w:rPr>
              <w:t>4. 支持接入云台，并可以通过本地图形用户界面或者客户端软件实现云台的8个方向的转动、变倍、聚焦、巡航功能、预置点的设置与调用等功能；</w:t>
            </w:r>
          </w:p>
          <w:p>
            <w:pPr>
              <w:widowControl/>
              <w:jc w:val="left"/>
              <w:textAlignment w:val="center"/>
              <w:rPr>
                <w:rFonts w:hint="eastAsia" w:eastAsia="黑体"/>
                <w:b w:val="0"/>
                <w:bCs w:val="0"/>
                <w:color w:val="auto"/>
                <w:kern w:val="0"/>
                <w:sz w:val="20"/>
                <w:szCs w:val="20"/>
                <w:lang w:bidi="ar"/>
              </w:rPr>
            </w:pPr>
            <w:r>
              <w:rPr>
                <w:rFonts w:hint="eastAsia" w:eastAsia="黑体"/>
                <w:b w:val="0"/>
                <w:bCs w:val="0"/>
                <w:color w:val="auto"/>
                <w:kern w:val="0"/>
                <w:sz w:val="20"/>
                <w:szCs w:val="20"/>
                <w:lang w:bidi="ar"/>
              </w:rPr>
              <w:t>5. 支持秒级检索查看硬盘中录像文件，秒级检索录像文件中的人员、车辆、人体等活动目标，并以弹窗形式来展示活动目标关联的录像片段；</w:t>
            </w:r>
          </w:p>
          <w:p>
            <w:pPr>
              <w:widowControl/>
              <w:jc w:val="left"/>
              <w:textAlignment w:val="center"/>
              <w:rPr>
                <w:rFonts w:hint="eastAsia" w:eastAsia="黑体"/>
                <w:b w:val="0"/>
                <w:bCs w:val="0"/>
                <w:color w:val="auto"/>
                <w:kern w:val="0"/>
                <w:sz w:val="20"/>
                <w:szCs w:val="20"/>
                <w:lang w:bidi="ar"/>
              </w:rPr>
            </w:pPr>
            <w:r>
              <w:rPr>
                <w:rFonts w:hint="eastAsia" w:eastAsia="黑体"/>
                <w:b w:val="0"/>
                <w:bCs w:val="0"/>
                <w:color w:val="auto"/>
                <w:kern w:val="0"/>
                <w:sz w:val="20"/>
                <w:szCs w:val="20"/>
                <w:lang w:bidi="ar"/>
              </w:rPr>
              <w:t>6. 支持组合报警模式，可设置将NVR的报警输入口关联IPC的报警事件，只有当两个报警事件同时触发才能产生报警，组合报警模式支持遮挡报警、移动侦测、人脸抓拍、人脸侦测、车辆检测、越界侦测、区域入侵侦测、进入/离开区域侦测、人员聚集侦测、快速移动侦测、物品遗留侦测、物品拿取侦测、停车侦测、徘徊侦测、场景变更侦测、虚焦侦测、音频异常侦测报警事件；</w:t>
            </w:r>
          </w:p>
          <w:p>
            <w:pPr>
              <w:widowControl/>
              <w:jc w:val="left"/>
              <w:textAlignment w:val="center"/>
              <w:rPr>
                <w:rFonts w:hint="eastAsia" w:eastAsia="黑体"/>
                <w:b w:val="0"/>
                <w:bCs w:val="0"/>
                <w:color w:val="auto"/>
                <w:kern w:val="0"/>
                <w:sz w:val="20"/>
                <w:szCs w:val="20"/>
                <w:lang w:bidi="ar"/>
              </w:rPr>
            </w:pPr>
            <w:r>
              <w:rPr>
                <w:rFonts w:hint="eastAsia" w:eastAsia="黑体"/>
                <w:b w:val="0"/>
                <w:bCs w:val="0"/>
                <w:color w:val="auto"/>
                <w:kern w:val="0"/>
                <w:sz w:val="20"/>
                <w:szCs w:val="20"/>
                <w:lang w:bidi="ar"/>
              </w:rPr>
              <w:t>7. 支持设备级联，NVR接入NVR、DVR设备，选择通道添加；</w:t>
            </w:r>
          </w:p>
          <w:p>
            <w:pPr>
              <w:widowControl/>
              <w:jc w:val="left"/>
              <w:textAlignment w:val="center"/>
              <w:rPr>
                <w:rFonts w:hint="eastAsia" w:eastAsia="黑体"/>
                <w:b w:val="0"/>
                <w:bCs w:val="0"/>
                <w:color w:val="auto"/>
                <w:kern w:val="0"/>
                <w:sz w:val="20"/>
                <w:szCs w:val="20"/>
                <w:lang w:bidi="ar"/>
              </w:rPr>
            </w:pPr>
            <w:r>
              <w:rPr>
                <w:rFonts w:hint="eastAsia" w:eastAsia="黑体"/>
                <w:b w:val="0"/>
                <w:bCs w:val="0"/>
                <w:color w:val="auto"/>
                <w:kern w:val="0"/>
                <w:sz w:val="20"/>
                <w:szCs w:val="20"/>
                <w:lang w:bidi="ar"/>
              </w:rPr>
              <w:t>8. 支持本地预览权限的配置，设置权限后的通道只有登录后才会出现预览画面；需支持远程预览加密，只有输入密钥才能解开视频。需支持码流加密；WEB界面远程登录设备，30分钟无操作，设备需支持自动退出登录；需支持设置远程访问IP地址和MAC地址黑白名单；WEB端需支持设置开启HTTPS安全链接、SSH；</w:t>
            </w:r>
          </w:p>
          <w:p>
            <w:pPr>
              <w:widowControl/>
              <w:jc w:val="left"/>
              <w:textAlignment w:val="center"/>
              <w:rPr>
                <w:rFonts w:hint="eastAsia" w:eastAsia="黑体"/>
                <w:b w:val="0"/>
                <w:bCs w:val="0"/>
                <w:color w:val="auto"/>
                <w:kern w:val="0"/>
                <w:sz w:val="20"/>
                <w:szCs w:val="20"/>
                <w:lang w:bidi="ar"/>
              </w:rPr>
            </w:pPr>
            <w:r>
              <w:rPr>
                <w:rFonts w:hint="eastAsia" w:eastAsia="黑体"/>
                <w:b w:val="0"/>
                <w:bCs w:val="0"/>
                <w:color w:val="auto"/>
                <w:kern w:val="0"/>
                <w:sz w:val="20"/>
                <w:szCs w:val="20"/>
                <w:lang w:bidi="ar"/>
              </w:rPr>
              <w:t>9. 支持报警事件、异常事件实时计数提醒，并以图标形式在监控界面上提醒用户。用户可以点击报警图标，查看报警详情列表，可在列表中快速查看报警关联的录像。当有新事件发生时计数自动累加，当用户查看后计数自动清零；</w:t>
            </w:r>
          </w:p>
          <w:p>
            <w:pPr>
              <w:widowControl/>
              <w:jc w:val="left"/>
              <w:textAlignment w:val="center"/>
              <w:rPr>
                <w:rFonts w:hint="eastAsia" w:eastAsia="黑体"/>
                <w:b w:val="0"/>
                <w:bCs w:val="0"/>
                <w:color w:val="auto"/>
                <w:kern w:val="0"/>
                <w:sz w:val="20"/>
                <w:szCs w:val="20"/>
                <w:lang w:bidi="ar"/>
              </w:rPr>
            </w:pPr>
            <w:r>
              <w:rPr>
                <w:rFonts w:hint="eastAsia" w:eastAsia="黑体"/>
                <w:b w:val="0"/>
                <w:bCs w:val="0"/>
                <w:color w:val="auto"/>
                <w:kern w:val="0"/>
                <w:sz w:val="20"/>
                <w:szCs w:val="20"/>
                <w:lang w:bidi="ar"/>
              </w:rPr>
              <w:t>10. 具有≥2个HDMI输出接口、≥2个VGA输出接口，支持多屏输出功能，可设置≥4屏显示输出视频图像，其中HDMI和VGA接口可同源输出视频图像，不同HDMI或VGA接口之间可异源输出视频图像；</w:t>
            </w:r>
          </w:p>
          <w:p>
            <w:pPr>
              <w:widowControl/>
              <w:jc w:val="left"/>
              <w:textAlignment w:val="center"/>
              <w:rPr>
                <w:rFonts w:hint="eastAsia" w:eastAsia="黑体"/>
                <w:b w:val="0"/>
                <w:bCs w:val="0"/>
                <w:color w:val="auto"/>
                <w:kern w:val="0"/>
                <w:sz w:val="20"/>
                <w:szCs w:val="20"/>
                <w:lang w:bidi="ar"/>
              </w:rPr>
            </w:pPr>
            <w:r>
              <w:rPr>
                <w:rFonts w:hint="eastAsia" w:eastAsia="黑体"/>
                <w:b w:val="0"/>
                <w:bCs w:val="0"/>
                <w:color w:val="auto"/>
                <w:kern w:val="0"/>
                <w:sz w:val="20"/>
                <w:szCs w:val="20"/>
                <w:lang w:bidi="ar"/>
              </w:rPr>
              <w:t>11. 具有≥2个千兆网口、≥3个USB接口（其中≥1个USB3.0）、≥1个eSATA接口、≥16路报警输入、≥4路报警输出；；</w:t>
            </w:r>
          </w:p>
          <w:p>
            <w:pPr>
              <w:pStyle w:val="2"/>
              <w:numPr>
                <w:ilvl w:val="0"/>
                <w:numId w:val="0"/>
              </w:numPr>
              <w:rPr>
                <w:rFonts w:hint="eastAsia" w:eastAsia="黑体"/>
                <w:b w:val="0"/>
                <w:bCs w:val="0"/>
                <w:color w:val="auto"/>
                <w:kern w:val="0"/>
                <w:sz w:val="20"/>
                <w:szCs w:val="20"/>
                <w:lang w:bidi="ar"/>
              </w:rPr>
            </w:pPr>
            <w:r>
              <w:rPr>
                <w:rFonts w:hint="eastAsia" w:eastAsia="黑体"/>
                <w:b w:val="0"/>
                <w:bCs w:val="0"/>
                <w:color w:val="auto"/>
                <w:kern w:val="0"/>
                <w:sz w:val="20"/>
                <w:szCs w:val="20"/>
                <w:lang w:bidi="ar"/>
              </w:rPr>
              <w:t>12</w:t>
            </w:r>
            <w:r>
              <w:rPr>
                <w:rFonts w:hint="eastAsia" w:eastAsia="黑体"/>
                <w:b w:val="0"/>
                <w:bCs w:val="0"/>
                <w:color w:val="auto"/>
                <w:kern w:val="0"/>
                <w:sz w:val="20"/>
                <w:szCs w:val="20"/>
                <w:lang w:eastAsia="zh-CN" w:bidi="ar"/>
              </w:rPr>
              <w:t>.</w:t>
            </w:r>
            <w:r>
              <w:rPr>
                <w:rFonts w:hint="eastAsia" w:eastAsia="黑体"/>
                <w:b w:val="0"/>
                <w:bCs w:val="0"/>
                <w:color w:val="auto"/>
                <w:kern w:val="0"/>
                <w:sz w:val="20"/>
                <w:szCs w:val="20"/>
                <w:lang w:bidi="ar"/>
              </w:rPr>
              <w:t>支持标准机架式安装，安装高度≤3U，</w:t>
            </w:r>
          </w:p>
          <w:p>
            <w:pPr>
              <w:pStyle w:val="2"/>
              <w:numPr>
                <w:ilvl w:val="0"/>
                <w:numId w:val="0"/>
              </w:numPr>
            </w:pPr>
            <w:r>
              <w:rPr>
                <w:rFonts w:hint="eastAsia" w:eastAsia="黑体"/>
                <w:b w:val="0"/>
                <w:bCs w:val="0"/>
                <w:color w:val="auto"/>
                <w:kern w:val="0"/>
                <w:sz w:val="20"/>
                <w:szCs w:val="20"/>
                <w:lang w:val="en-US" w:eastAsia="zh-CN" w:bidi="ar"/>
              </w:rPr>
              <w:t>13.本项目</w:t>
            </w:r>
            <w:r>
              <w:rPr>
                <w:rFonts w:hint="eastAsia" w:eastAsia="黑体" w:cs="Times New Roman"/>
                <w:b w:val="0"/>
                <w:bCs w:val="0"/>
                <w:color w:val="auto"/>
                <w:kern w:val="0"/>
                <w:sz w:val="20"/>
                <w:szCs w:val="20"/>
                <w:lang w:val="en-US" w:eastAsia="zh-CN" w:bidi="ar"/>
              </w:rPr>
              <w:t xml:space="preserve">视频监控设备及系统应与霍尔果斯综保区视频监控系统联网，同时与海关联网，并且接入霍尔果斯海关三级监控指挥中心平台。. </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widowControl/>
              <w:jc w:val="center"/>
              <w:textAlignment w:val="center"/>
              <w:rPr>
                <w:rFonts w:hint="default" w:eastAsia="黑体"/>
                <w:color w:val="000000"/>
                <w:sz w:val="20"/>
                <w:szCs w:val="20"/>
                <w:lang w:val="en-US" w:eastAsia="zh-CN"/>
              </w:rPr>
            </w:pPr>
            <w:r>
              <w:rPr>
                <w:rFonts w:hint="eastAsia" w:eastAsia="黑体"/>
                <w:color w:val="000000"/>
                <w:kern w:val="0"/>
                <w:sz w:val="20"/>
                <w:szCs w:val="20"/>
                <w:lang w:val="en-US" w:eastAsia="zh-CN" w:bidi="ar"/>
              </w:rPr>
              <w:t>22</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线缆及辅材</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b/>
                <w:bCs/>
                <w:color w:val="FF0000"/>
                <w:sz w:val="20"/>
                <w:szCs w:val="20"/>
              </w:rPr>
              <w:t>此项内容</w:t>
            </w:r>
            <w:r>
              <w:rPr>
                <w:rFonts w:eastAsia="黑体"/>
                <w:b/>
                <w:bCs/>
                <w:color w:val="FF0000"/>
                <w:sz w:val="20"/>
                <w:szCs w:val="20"/>
              </w:rPr>
              <w:t>不纳入中小企业声明函内，中小企业声明函内无需填写此项。</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室外</w:t>
            </w:r>
            <w:r>
              <w:rPr>
                <w:rFonts w:hint="eastAsia" w:eastAsia="黑体"/>
                <w:color w:val="000000"/>
                <w:kern w:val="0"/>
                <w:sz w:val="20"/>
                <w:szCs w:val="20"/>
                <w:lang w:val="en-US" w:eastAsia="zh-CN" w:bidi="ar"/>
              </w:rPr>
              <w:t>设备箱</w:t>
            </w:r>
            <w:r>
              <w:rPr>
                <w:rFonts w:eastAsia="黑体"/>
                <w:color w:val="000000"/>
                <w:kern w:val="0"/>
                <w:sz w:val="20"/>
                <w:szCs w:val="20"/>
                <w:lang w:bidi="ar"/>
              </w:rPr>
              <w:t>，线缆，跳线，水晶头，终端盒</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7"/>
            <w:tcBorders>
              <w:tl2br w:val="nil"/>
              <w:tr2bl w:val="nil"/>
            </w:tcBorders>
            <w:shd w:val="clear" w:color="auto" w:fill="FFFF00"/>
            <w:noWrap/>
            <w:vAlign w:val="center"/>
          </w:tcPr>
          <w:p>
            <w:pPr>
              <w:widowControl/>
              <w:textAlignment w:val="center"/>
              <w:rPr>
                <w:rFonts w:eastAsia="黑体"/>
                <w:color w:val="000000"/>
                <w:sz w:val="20"/>
                <w:szCs w:val="20"/>
              </w:rPr>
            </w:pPr>
            <w:r>
              <w:rPr>
                <w:rFonts w:eastAsia="黑体"/>
                <w:color w:val="000000"/>
                <w:kern w:val="0"/>
                <w:sz w:val="20"/>
                <w:szCs w:val="20"/>
                <w:lang w:bidi="ar"/>
              </w:rPr>
              <w:t>三、x光机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23</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X光机远程判图系统软件</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软件和信息技术服务业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X光机远程判图系统软件，基本功能应满足但不限于以下：</w:t>
            </w:r>
            <w:r>
              <w:rPr>
                <w:rFonts w:eastAsia="黑体"/>
                <w:color w:val="000000"/>
                <w:kern w:val="0"/>
                <w:sz w:val="20"/>
                <w:szCs w:val="20"/>
                <w:lang w:bidi="ar"/>
              </w:rPr>
              <w:br w:type="textWrapping"/>
            </w:r>
            <w:r>
              <w:rPr>
                <w:rFonts w:eastAsia="黑体"/>
                <w:color w:val="000000"/>
                <w:kern w:val="0"/>
                <w:sz w:val="20"/>
                <w:szCs w:val="20"/>
                <w:lang w:bidi="ar"/>
              </w:rPr>
              <w:t>a) 系统通过获取海关数据信息，将与货物X光图像进行一一对应，形成海关的同屏比对。</w:t>
            </w:r>
            <w:r>
              <w:rPr>
                <w:rFonts w:eastAsia="黑体"/>
                <w:color w:val="000000"/>
                <w:kern w:val="0"/>
                <w:sz w:val="20"/>
                <w:szCs w:val="20"/>
                <w:lang w:bidi="ar"/>
              </w:rPr>
              <w:br w:type="textWrapping"/>
            </w:r>
            <w:r>
              <w:rPr>
                <w:rFonts w:eastAsia="黑体"/>
                <w:color w:val="000000"/>
                <w:kern w:val="0"/>
                <w:sz w:val="20"/>
                <w:szCs w:val="20"/>
                <w:lang w:bidi="ar"/>
              </w:rPr>
              <w:t>b) 海关的正常判图时间为 6s，如果海关员在 6秒内没有做出判断，此快件将按海关物流信息指令处理。</w:t>
            </w:r>
            <w:r>
              <w:rPr>
                <w:rFonts w:eastAsia="黑体"/>
                <w:color w:val="000000"/>
                <w:kern w:val="0"/>
                <w:sz w:val="20"/>
                <w:szCs w:val="20"/>
                <w:lang w:bidi="ar"/>
              </w:rPr>
              <w:br w:type="textWrapping"/>
            </w:r>
            <w:r>
              <w:rPr>
                <w:rFonts w:eastAsia="黑体"/>
                <w:color w:val="000000"/>
                <w:kern w:val="0"/>
                <w:sz w:val="20"/>
                <w:szCs w:val="20"/>
                <w:lang w:bidi="ar"/>
              </w:rPr>
              <w:t>c) 无EDI信息货物进入理货区，海关查验系统具备自动分拣该类货物去往离线安检查验区的功能。</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24</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判图工作站软件</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软件和信息技术服务业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1) 图像集中判图功能</w:t>
            </w:r>
            <w:r>
              <w:rPr>
                <w:rFonts w:eastAsia="黑体"/>
                <w:color w:val="000000"/>
                <w:kern w:val="0"/>
                <w:sz w:val="20"/>
                <w:szCs w:val="20"/>
                <w:lang w:bidi="ar"/>
              </w:rPr>
              <w:br w:type="textWrapping"/>
            </w:r>
            <w:r>
              <w:rPr>
                <w:rFonts w:eastAsia="黑体"/>
                <w:color w:val="000000"/>
                <w:kern w:val="0"/>
                <w:sz w:val="20"/>
                <w:szCs w:val="20"/>
                <w:lang w:bidi="ar"/>
              </w:rPr>
              <w:t>图像可以彩色和黑白方式显示在屏幕上，判图员对 X光机原始图像进行图像处理，并发送即决式布控或放行指令。</w:t>
            </w:r>
            <w:r>
              <w:rPr>
                <w:rFonts w:eastAsia="黑体"/>
                <w:color w:val="000000"/>
                <w:kern w:val="0"/>
                <w:sz w:val="20"/>
                <w:szCs w:val="20"/>
                <w:lang w:bidi="ar"/>
              </w:rPr>
              <w:br w:type="textWrapping"/>
            </w:r>
            <w:r>
              <w:rPr>
                <w:rFonts w:eastAsia="黑体"/>
                <w:color w:val="000000"/>
                <w:kern w:val="0"/>
                <w:sz w:val="20"/>
                <w:szCs w:val="20"/>
                <w:lang w:bidi="ar"/>
              </w:rPr>
              <w:t>2) 图像处理功能</w:t>
            </w:r>
            <w:r>
              <w:rPr>
                <w:rFonts w:eastAsia="黑体"/>
                <w:color w:val="000000"/>
                <w:kern w:val="0"/>
                <w:sz w:val="20"/>
                <w:szCs w:val="20"/>
                <w:lang w:bidi="ar"/>
              </w:rPr>
              <w:br w:type="textWrapping"/>
            </w:r>
            <w:r>
              <w:rPr>
                <w:rFonts w:eastAsia="黑体"/>
                <w:color w:val="000000"/>
                <w:kern w:val="0"/>
                <w:sz w:val="20"/>
                <w:szCs w:val="20"/>
                <w:lang w:bidi="ar"/>
              </w:rPr>
              <w:t>a) 显示颜色设置：可提供多种配置方案供用户选择。</w:t>
            </w:r>
            <w:r>
              <w:rPr>
                <w:rFonts w:eastAsia="黑体"/>
                <w:color w:val="000000"/>
                <w:kern w:val="0"/>
                <w:sz w:val="20"/>
                <w:szCs w:val="20"/>
                <w:lang w:bidi="ar"/>
              </w:rPr>
              <w:br w:type="textWrapping"/>
            </w:r>
            <w:r>
              <w:rPr>
                <w:rFonts w:eastAsia="黑体"/>
                <w:color w:val="000000"/>
                <w:kern w:val="0"/>
                <w:sz w:val="20"/>
                <w:szCs w:val="20"/>
                <w:lang w:bidi="ar"/>
              </w:rPr>
              <w:t>b) 图像显示方式：黑白、多能量、伪彩色。</w:t>
            </w:r>
            <w:r>
              <w:rPr>
                <w:rFonts w:eastAsia="黑体"/>
                <w:color w:val="000000"/>
                <w:kern w:val="0"/>
                <w:sz w:val="20"/>
                <w:szCs w:val="20"/>
                <w:lang w:bidi="ar"/>
              </w:rPr>
              <w:br w:type="textWrapping"/>
            </w:r>
            <w:r>
              <w:rPr>
                <w:rFonts w:eastAsia="黑体"/>
                <w:color w:val="000000"/>
                <w:kern w:val="0"/>
                <w:sz w:val="20"/>
                <w:szCs w:val="20"/>
                <w:lang w:bidi="ar"/>
              </w:rPr>
              <w:t>c) 基本图像处理：亮 /暗增强、图像反转、 边缘增强、无机物剔除、有机物剔除、色饱和度扫描、灰度扫描、黑白图像、高密度报警等。</w:t>
            </w:r>
            <w:r>
              <w:rPr>
                <w:rFonts w:eastAsia="黑体"/>
                <w:color w:val="000000"/>
                <w:kern w:val="0"/>
                <w:sz w:val="20"/>
                <w:szCs w:val="20"/>
                <w:lang w:bidi="ar"/>
              </w:rPr>
              <w:br w:type="textWrapping"/>
            </w:r>
            <w:r>
              <w:rPr>
                <w:rFonts w:eastAsia="黑体"/>
                <w:color w:val="000000"/>
                <w:kern w:val="0"/>
                <w:sz w:val="20"/>
                <w:szCs w:val="20"/>
                <w:lang w:bidi="ar"/>
              </w:rPr>
              <w:t>3) 用户管理功能：系统具备登录控制功能（登录和退出），用户需通过输入用户名密码方式进行系统登录。</w:t>
            </w:r>
            <w:r>
              <w:rPr>
                <w:rFonts w:eastAsia="黑体"/>
                <w:color w:val="000000"/>
                <w:kern w:val="0"/>
                <w:sz w:val="20"/>
                <w:szCs w:val="20"/>
                <w:lang w:bidi="ar"/>
              </w:rPr>
              <w:br w:type="textWrapping"/>
            </w:r>
            <w:r>
              <w:rPr>
                <w:rFonts w:eastAsia="黑体"/>
                <w:color w:val="000000"/>
                <w:kern w:val="0"/>
                <w:sz w:val="20"/>
                <w:szCs w:val="20"/>
                <w:lang w:bidi="ar"/>
              </w:rPr>
              <w:t>4) 同屏比对功能：判图界面应能同步显示日期 /时间、被检物品自动计数、操作员ID号、分运号、重量、价格、数量、物品名称等内容。</w:t>
            </w:r>
            <w:r>
              <w:rPr>
                <w:rFonts w:eastAsia="黑体"/>
                <w:color w:val="000000"/>
                <w:kern w:val="0"/>
                <w:sz w:val="20"/>
                <w:szCs w:val="20"/>
                <w:lang w:bidi="ar"/>
              </w:rPr>
              <w:br w:type="textWrapping"/>
            </w:r>
            <w:r>
              <w:rPr>
                <w:rFonts w:eastAsia="黑体"/>
                <w:color w:val="000000"/>
                <w:kern w:val="0"/>
                <w:sz w:val="20"/>
                <w:szCs w:val="20"/>
                <w:lang w:bidi="ar"/>
              </w:rPr>
              <w:t>5) 图像回查功能：判图工作站应支持当前操员的图像回查功能。</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25</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开包工作站软件</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软件和信息技术服务业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 xml:space="preserve">支持 X光机过包裹统一集中查验。 </w:t>
            </w:r>
            <w:r>
              <w:rPr>
                <w:rFonts w:eastAsia="黑体"/>
                <w:color w:val="000000"/>
                <w:kern w:val="0"/>
                <w:sz w:val="20"/>
                <w:szCs w:val="20"/>
                <w:lang w:bidi="ar"/>
              </w:rPr>
              <w:br w:type="textWrapping"/>
            </w:r>
            <w:r>
              <w:rPr>
                <w:rFonts w:eastAsia="黑体"/>
                <w:color w:val="000000"/>
                <w:kern w:val="0"/>
                <w:sz w:val="20"/>
                <w:szCs w:val="20"/>
                <w:lang w:bidi="ar"/>
              </w:rPr>
              <w:t xml:space="preserve">通过条码枪扫描包裹单号，自动关联包裹图像、包裹条码和包裹EDI信息同时显示在查验页面。具有调取待开包查验货物的机检图像，报关单EDI信息、智能审图报警信息同屏比对功能。关员通过操作二维像进行开拆查验，易于查获伪装藏匿的违禁品。 </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26</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管理工作站软件</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软件和信息技术服务业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具有对同屏比对查验作业系统管理和监控功能，可管理和分配判图员，设置判图员与设备对应关系，监控设备及判图员工作情况，并可进行统计和导出。支持用户对X光扫描图像的查询、检索和管理。软件界面具有友好的人机交互设计，便于操作人员的日常业务使用</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27</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工作站（判图站2台、管理站1台、开包站1台）</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sz w:val="20"/>
                <w:szCs w:val="20"/>
              </w:rPr>
              <w:t>i5-12500,16G内存，500G硬盘，包含显示屏23.8英寸（分辨率：1920*1080）、鼠标键盘、</w:t>
            </w:r>
            <w:r>
              <w:rPr>
                <w:rFonts w:hint="eastAsia" w:eastAsia="黑体"/>
                <w:color w:val="000000"/>
                <w:sz w:val="20"/>
                <w:szCs w:val="20"/>
              </w:rPr>
              <w:t>工作站是微软操作系统</w:t>
            </w:r>
            <w:r>
              <w:rPr>
                <w:rFonts w:hint="eastAsia" w:eastAsia="黑体"/>
                <w:color w:val="000000"/>
                <w:sz w:val="20"/>
                <w:szCs w:val="20"/>
                <w:lang w:eastAsia="zh-CN"/>
              </w:rPr>
              <w:t>（</w:t>
            </w:r>
            <w:r>
              <w:rPr>
                <w:rFonts w:hint="eastAsia" w:eastAsia="黑体"/>
                <w:color w:val="000000"/>
                <w:sz w:val="20"/>
                <w:szCs w:val="20"/>
                <w:lang w:val="en-US" w:eastAsia="zh-CN"/>
              </w:rPr>
              <w:t>windows7以上</w:t>
            </w:r>
            <w:r>
              <w:rPr>
                <w:rFonts w:hint="eastAsia" w:eastAsia="黑体"/>
                <w:color w:val="000000"/>
                <w:sz w:val="20"/>
                <w:szCs w:val="20"/>
                <w:lang w:eastAsia="zh-CN"/>
              </w:rPr>
              <w:t>）</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4</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28</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同屏比对服务器</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 xml:space="preserve">双路2U机架式， sr588， 铜牌1*3204，64G内存，单颗6核6线 1.9GHz 2*4TB 硬盘 </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29</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操作系统软件</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软件和信息技术服务业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Server 2012 R2/中文标准版 五用户</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30</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数据库软件</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软件和信息技术服务业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SQL Server 2012/中文标准版 五用户</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31</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ascii="宋体" w:hAnsi="宋体"/>
                <w:sz w:val="24"/>
              </w:rPr>
              <w:t>▲</w:t>
            </w:r>
            <w:r>
              <w:rPr>
                <w:rFonts w:hint="eastAsia" w:ascii="宋体" w:hAnsi="宋体"/>
                <w:sz w:val="24"/>
                <w:lang w:val="en-US" w:eastAsia="zh-CN"/>
              </w:rPr>
              <w:t xml:space="preserve"> </w:t>
            </w:r>
            <w:r>
              <w:rPr>
                <w:rFonts w:eastAsia="黑体"/>
                <w:color w:val="000000"/>
                <w:kern w:val="0"/>
                <w:sz w:val="20"/>
                <w:szCs w:val="20"/>
                <w:lang w:bidi="ar"/>
              </w:rPr>
              <w:t>X光机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含硬件、软件</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1.通道尺寸：不低于1000（宽）×1000（高）毫米；</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2.输送带带速：0.2m/s；</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3.输送带距地面高度：≥300毫米，高度可调；</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4.最大负载：≥200kg（均匀负载）；</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5.X射线源数量：2；</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6.X射线投照方向：垂直视角为顶视角，水平视角为侧视角；</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7.线分辨力：顶视角及侧视角均应能分辨标称直径≤0.102mm的单根实芯铜线；</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8.空间分辨力：顶视角及侧视角均应能分辨直径≤Φ1.0mm的线对；</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9.穿透分辨力：顶视角及侧视角均应能分辨厚度为9.5mm、15.9mm和22.2mm铝阶梯下标称直径≤0.254mm的单根实芯铜线；</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10.穿透力：顶视角及侧视角均应能穿透≥38mm厚钢板；</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11.单次检查剂量：≤5μGy；</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12.距设备表面0.1米处周围剂量当量率：≤1μSv/h、工作人员位置周围剂量当量率应≤0.5μSv/h；</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13.X射线发生器：管电压160kV；</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14.L形状阵列探测器灰度级：4096（12比特）；</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15.冷却方式：密封油冷、工作周期：100%（不需要预热周期）；</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16.设备应自动保存全部被检物品扫描图像（不低于1280×1024像素、每个像素不小于12比特），大于等于100000幅。保存的图像应包含图像生成时间、用户ID等信息。当图像数据量达到设定的磁盘空间限值时，系统应能按照“先入先出”原则自动删除自动保存的图像。图像保存至少保留30天。</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17.具有图像回拉功能：设备应能够回拉重放不少于50幅图像；</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18.具有连续扫描功能：对于光障检测不到的薄形物体，提供X射线连续扫描功能；</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19.设备应能够将图像转化为BMP、JPG、GIF等通用图像格式；</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20.具有行李计数功能：记录设备投入使用后被检行李物品累计计数，应不能够被清零复位；</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21.用户界面登陆权限等级应至少分为操作人员、管理人员和维修人员三级权限进行管理；</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22.设备工作噪声：在距设备外表面1m的任意处，噪声应不大于65dB(A)；</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23.设备须具备速度调整功能，设备的输送速度应能在0.2 m/s -0.5m/s之间连续可调；</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24.设备应具备远程控制功能，可通过网络系统对设备进行远程诊断和控制；</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25.设备应具备双向扫描功能；</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26.设备应具有软件自动修复功能。通过增加部分软硬件，可通过自动修复功能在设备硬盘未损坏的前提下解决文件丢失造成的系统崩溃问题。</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27.至少设置二台不小于17英寸的LCD显示器，两个显示器分别显示X射线顶照和侧照两个方向的扫描图像，各显示器能随意切换顶照和侧照的扫描图像；</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28须提供所投设备制造商的省部级环保部门出具的辐射安全许可证。</w:t>
            </w:r>
          </w:p>
          <w:p>
            <w:pPr>
              <w:widowControl/>
              <w:jc w:val="left"/>
              <w:textAlignment w:val="center"/>
              <w:rPr>
                <w:rFonts w:hint="eastAsia" w:eastAsia="黑体"/>
                <w:color w:val="000000"/>
                <w:kern w:val="0"/>
                <w:sz w:val="20"/>
                <w:szCs w:val="20"/>
                <w:lang w:bidi="ar"/>
              </w:rPr>
            </w:pPr>
            <w:r>
              <w:rPr>
                <w:rFonts w:hint="eastAsia" w:eastAsia="黑体"/>
                <w:color w:val="000000"/>
                <w:kern w:val="0"/>
                <w:sz w:val="20"/>
                <w:szCs w:val="20"/>
                <w:lang w:bidi="ar"/>
              </w:rPr>
              <w:t>29.须提供所投设备由国家安全防范报警系统产品质量监督检验中心出具的合格检验报告。</w:t>
            </w:r>
          </w:p>
          <w:p>
            <w:pPr>
              <w:widowControl/>
              <w:jc w:val="left"/>
              <w:textAlignment w:val="center"/>
              <w:rPr>
                <w:rFonts w:eastAsia="黑体"/>
                <w:color w:val="000000"/>
                <w:sz w:val="20"/>
                <w:szCs w:val="20"/>
              </w:rPr>
            </w:pPr>
            <w:r>
              <w:rPr>
                <w:rFonts w:hint="eastAsia" w:eastAsia="黑体"/>
                <w:color w:val="000000"/>
                <w:kern w:val="0"/>
                <w:sz w:val="20"/>
                <w:szCs w:val="20"/>
                <w:lang w:bidi="ar"/>
              </w:rPr>
              <w:t>30.所投设备可接入海关管理网，并能在海关管理网内正常运行。</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32</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X光机支架</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X光机支架</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33</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智能分析仪</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kern w:val="0"/>
                <w:sz w:val="20"/>
                <w:szCs w:val="20"/>
                <w:lang w:bidi="ar"/>
              </w:rPr>
            </w:pPr>
            <w:r>
              <w:rPr>
                <w:rFonts w:eastAsia="黑体"/>
                <w:color w:val="000000"/>
                <w:kern w:val="0"/>
                <w:sz w:val="20"/>
                <w:szCs w:val="20"/>
                <w:lang w:bidi="ar"/>
              </w:rPr>
              <w:t>含硬件、软件</w:t>
            </w:r>
          </w:p>
          <w:p>
            <w:pPr>
              <w:widowControl/>
              <w:jc w:val="left"/>
              <w:textAlignment w:val="center"/>
              <w:rPr>
                <w:rFonts w:eastAsia="黑体"/>
                <w:color w:val="000000"/>
                <w:kern w:val="0"/>
                <w:sz w:val="20"/>
                <w:szCs w:val="20"/>
                <w:lang w:bidi="ar"/>
              </w:rPr>
            </w:pPr>
            <w:r>
              <w:rPr>
                <w:rFonts w:eastAsia="黑体"/>
                <w:color w:val="000000"/>
                <w:kern w:val="0"/>
                <w:sz w:val="20"/>
                <w:szCs w:val="20"/>
                <w:lang w:bidi="ar"/>
              </w:rPr>
              <w:t>1、识别种类：能自动识别包括管制刀具、枪械、象牙及制品、红酒、奶粉罐、笔记本电脑、平板电脑、手机、高价值手表、单反相机及镜头、手雷、子弹等多种违禁品</w:t>
            </w:r>
          </w:p>
          <w:p>
            <w:pPr>
              <w:widowControl/>
              <w:jc w:val="left"/>
              <w:textAlignment w:val="center"/>
              <w:rPr>
                <w:rFonts w:eastAsia="黑体"/>
                <w:color w:val="000000"/>
                <w:kern w:val="0"/>
                <w:sz w:val="20"/>
                <w:szCs w:val="20"/>
                <w:lang w:bidi="ar"/>
              </w:rPr>
            </w:pPr>
            <w:r>
              <w:rPr>
                <w:rFonts w:eastAsia="黑体"/>
                <w:color w:val="000000"/>
                <w:kern w:val="0"/>
                <w:sz w:val="20"/>
                <w:szCs w:val="20"/>
                <w:lang w:bidi="ar"/>
              </w:rPr>
              <w:t>2、适配类型：单、双视角X光安检机</w:t>
            </w:r>
          </w:p>
          <w:p>
            <w:pPr>
              <w:widowControl/>
              <w:jc w:val="left"/>
              <w:textAlignment w:val="center"/>
              <w:rPr>
                <w:rFonts w:eastAsia="黑体"/>
                <w:color w:val="000000"/>
                <w:kern w:val="0"/>
                <w:sz w:val="20"/>
                <w:szCs w:val="20"/>
                <w:lang w:bidi="ar"/>
              </w:rPr>
            </w:pPr>
            <w:r>
              <w:rPr>
                <w:rFonts w:eastAsia="黑体"/>
                <w:color w:val="000000"/>
                <w:kern w:val="0"/>
                <w:sz w:val="20"/>
                <w:szCs w:val="20"/>
                <w:lang w:bidi="ar"/>
              </w:rPr>
              <w:t>3、识别速度：单张图＜1秒</w:t>
            </w:r>
          </w:p>
          <w:p>
            <w:pPr>
              <w:widowControl/>
              <w:jc w:val="left"/>
              <w:textAlignment w:val="center"/>
              <w:rPr>
                <w:rFonts w:eastAsia="黑体"/>
                <w:color w:val="000000"/>
                <w:kern w:val="0"/>
                <w:sz w:val="20"/>
                <w:szCs w:val="20"/>
                <w:lang w:bidi="ar"/>
              </w:rPr>
            </w:pPr>
            <w:r>
              <w:rPr>
                <w:rFonts w:eastAsia="黑体"/>
                <w:color w:val="000000"/>
                <w:kern w:val="0"/>
                <w:sz w:val="20"/>
                <w:szCs w:val="20"/>
                <w:lang w:bidi="ar"/>
              </w:rPr>
              <w:t xml:space="preserve">4、系统功能：行包统计、报警计数、权限控制、日志管理、算法升级、智能识别参数设置等 </w:t>
            </w:r>
          </w:p>
          <w:p>
            <w:pPr>
              <w:widowControl/>
              <w:jc w:val="left"/>
              <w:textAlignment w:val="center"/>
              <w:rPr>
                <w:rFonts w:eastAsia="黑体"/>
                <w:color w:val="000000"/>
                <w:kern w:val="0"/>
                <w:sz w:val="20"/>
                <w:szCs w:val="20"/>
                <w:lang w:bidi="ar"/>
              </w:rPr>
            </w:pPr>
            <w:r>
              <w:rPr>
                <w:rFonts w:eastAsia="黑体"/>
                <w:color w:val="000000"/>
                <w:kern w:val="0"/>
                <w:sz w:val="20"/>
                <w:szCs w:val="20"/>
                <w:lang w:bidi="ar"/>
              </w:rPr>
              <w:t xml:space="preserve">5、运行温度：-25℃～+60℃ </w:t>
            </w:r>
          </w:p>
          <w:p>
            <w:pPr>
              <w:widowControl/>
              <w:jc w:val="left"/>
              <w:textAlignment w:val="center"/>
              <w:rPr>
                <w:rFonts w:eastAsia="黑体"/>
                <w:color w:val="000000"/>
                <w:kern w:val="0"/>
                <w:sz w:val="20"/>
                <w:szCs w:val="20"/>
                <w:lang w:bidi="ar"/>
              </w:rPr>
            </w:pPr>
            <w:r>
              <w:rPr>
                <w:rFonts w:eastAsia="黑体"/>
                <w:color w:val="000000"/>
                <w:kern w:val="0"/>
                <w:sz w:val="20"/>
                <w:szCs w:val="20"/>
                <w:lang w:bidi="ar"/>
              </w:rPr>
              <w:t xml:space="preserve">6、贮存温度：-40℃～+85℃ </w:t>
            </w:r>
          </w:p>
          <w:p>
            <w:pPr>
              <w:widowControl/>
              <w:jc w:val="left"/>
              <w:textAlignment w:val="center"/>
              <w:rPr>
                <w:rFonts w:eastAsia="黑体"/>
                <w:color w:val="000000"/>
                <w:kern w:val="0"/>
                <w:sz w:val="20"/>
                <w:szCs w:val="20"/>
                <w:lang w:bidi="ar"/>
              </w:rPr>
            </w:pPr>
            <w:r>
              <w:rPr>
                <w:rFonts w:eastAsia="黑体"/>
                <w:color w:val="000000"/>
                <w:kern w:val="0"/>
                <w:sz w:val="20"/>
                <w:szCs w:val="20"/>
                <w:lang w:bidi="ar"/>
              </w:rPr>
              <w:t xml:space="preserve">7、相对湿度：5%~95% (不结露) </w:t>
            </w:r>
          </w:p>
          <w:p>
            <w:pPr>
              <w:widowControl/>
              <w:jc w:val="left"/>
              <w:textAlignment w:val="center"/>
              <w:rPr>
                <w:rFonts w:eastAsia="黑体"/>
                <w:color w:val="000000"/>
                <w:kern w:val="0"/>
                <w:sz w:val="20"/>
                <w:szCs w:val="20"/>
                <w:lang w:bidi="ar"/>
              </w:rPr>
            </w:pPr>
            <w:r>
              <w:rPr>
                <w:rFonts w:eastAsia="黑体"/>
                <w:color w:val="000000"/>
                <w:kern w:val="0"/>
                <w:sz w:val="20"/>
                <w:szCs w:val="20"/>
                <w:lang w:bidi="ar"/>
              </w:rPr>
              <w:t xml:space="preserve">8、供电电源：24 VDC </w:t>
            </w:r>
          </w:p>
          <w:p>
            <w:pPr>
              <w:widowControl/>
              <w:jc w:val="left"/>
              <w:textAlignment w:val="center"/>
              <w:rPr>
                <w:rFonts w:eastAsia="黑体"/>
                <w:color w:val="000000"/>
                <w:sz w:val="20"/>
                <w:szCs w:val="20"/>
              </w:rPr>
            </w:pPr>
            <w:r>
              <w:rPr>
                <w:rFonts w:eastAsia="黑体"/>
                <w:color w:val="000000"/>
                <w:kern w:val="0"/>
                <w:sz w:val="20"/>
                <w:szCs w:val="20"/>
                <w:lang w:bidi="ar"/>
              </w:rPr>
              <w:t>9、功耗:250 W～300 W</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34</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交换机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kern w:val="0"/>
                <w:sz w:val="20"/>
                <w:szCs w:val="20"/>
                <w:lang w:bidi="ar"/>
              </w:rPr>
            </w:pPr>
            <w:r>
              <w:rPr>
                <w:rFonts w:eastAsia="黑体"/>
                <w:color w:val="000000"/>
                <w:kern w:val="0"/>
                <w:sz w:val="20"/>
                <w:szCs w:val="20"/>
                <w:lang w:bidi="ar"/>
              </w:rPr>
              <w:t>端口描述：48个10/100/1000/BASE-T以太网端口</w:t>
            </w:r>
          </w:p>
          <w:p>
            <w:pPr>
              <w:widowControl/>
              <w:jc w:val="left"/>
              <w:textAlignment w:val="center"/>
              <w:rPr>
                <w:rFonts w:eastAsia="黑体"/>
                <w:color w:val="000000"/>
                <w:sz w:val="20"/>
                <w:szCs w:val="20"/>
              </w:rPr>
            </w:pPr>
            <w:r>
              <w:rPr>
                <w:rFonts w:eastAsia="黑体"/>
                <w:color w:val="000000"/>
                <w:kern w:val="0"/>
                <w:sz w:val="20"/>
                <w:szCs w:val="20"/>
                <w:lang w:bidi="ar"/>
              </w:rPr>
              <w:t>4个千兆SFP；额定电压： 100-240V AC，50/60Hz；最大电压：90V AC-264V AC；47Hz-63Hz；端口类型：电口&amp;光口；1U；</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35</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网络机柜</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600*1000*1200  含2*8口PDU;包含KVM，KVM参数为8口17英寸折叠，液晶标准机架式</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37</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X光机（落地查验）</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kern w:val="0"/>
                <w:sz w:val="20"/>
                <w:szCs w:val="20"/>
                <w:lang w:bidi="ar"/>
              </w:rPr>
            </w:pPr>
            <w:r>
              <w:rPr>
                <w:rFonts w:eastAsia="黑体"/>
                <w:color w:val="000000"/>
                <w:kern w:val="0"/>
                <w:sz w:val="20"/>
                <w:szCs w:val="20"/>
                <w:lang w:bidi="ar"/>
              </w:rPr>
              <w:t>含硬件、软件</w:t>
            </w:r>
          </w:p>
          <w:p>
            <w:pPr>
              <w:widowControl/>
              <w:numPr>
                <w:ilvl w:val="0"/>
                <w:numId w:val="9"/>
              </w:numPr>
              <w:jc w:val="left"/>
              <w:textAlignment w:val="center"/>
              <w:rPr>
                <w:rFonts w:eastAsia="黑体"/>
                <w:color w:val="auto"/>
                <w:kern w:val="0"/>
                <w:sz w:val="20"/>
                <w:szCs w:val="20"/>
                <w:highlight w:val="none"/>
                <w:lang w:bidi="ar"/>
              </w:rPr>
            </w:pPr>
            <w:r>
              <w:rPr>
                <w:rFonts w:eastAsia="黑体"/>
                <w:color w:val="000000"/>
                <w:kern w:val="0"/>
                <w:sz w:val="20"/>
                <w:szCs w:val="20"/>
                <w:lang w:bidi="ar"/>
              </w:rPr>
              <w:t>（1）通道尺寸：≥1500mm（宽）×1800mm（高）；</w:t>
            </w:r>
            <w:r>
              <w:rPr>
                <w:rFonts w:eastAsia="黑体"/>
                <w:color w:val="000000"/>
                <w:kern w:val="0"/>
                <w:sz w:val="20"/>
                <w:szCs w:val="20"/>
                <w:lang w:bidi="ar"/>
              </w:rPr>
              <w:br w:type="textWrapping"/>
            </w:r>
            <w:r>
              <w:rPr>
                <w:rFonts w:eastAsia="黑体"/>
                <w:color w:val="000000"/>
                <w:kern w:val="0"/>
                <w:sz w:val="20"/>
                <w:szCs w:val="20"/>
                <w:lang w:bidi="ar"/>
              </w:rPr>
              <w:t>（2）输送带带速：≥0.2m/s；</w:t>
            </w:r>
            <w:r>
              <w:rPr>
                <w:rFonts w:eastAsia="黑体"/>
                <w:color w:val="000000"/>
                <w:kern w:val="0"/>
                <w:sz w:val="20"/>
                <w:szCs w:val="20"/>
                <w:lang w:bidi="ar"/>
              </w:rPr>
              <w:br w:type="textWrapping"/>
            </w:r>
            <w:r>
              <w:rPr>
                <w:rFonts w:eastAsia="黑体"/>
                <w:color w:val="000000"/>
                <w:kern w:val="0"/>
                <w:sz w:val="20"/>
                <w:szCs w:val="20"/>
                <w:lang w:bidi="ar"/>
              </w:rPr>
              <w:t>（3）输送带距地面高度：不高于350mm，高度可调；</w:t>
            </w:r>
            <w:r>
              <w:rPr>
                <w:rFonts w:eastAsia="黑体"/>
                <w:color w:val="000000"/>
                <w:kern w:val="0"/>
                <w:sz w:val="20"/>
                <w:szCs w:val="20"/>
                <w:lang w:bidi="ar"/>
              </w:rPr>
              <w:br w:type="textWrapping"/>
            </w:r>
            <w:r>
              <w:rPr>
                <w:rFonts w:eastAsia="黑体"/>
                <w:color w:val="000000"/>
                <w:kern w:val="0"/>
                <w:sz w:val="20"/>
                <w:szCs w:val="20"/>
                <w:lang w:bidi="ar"/>
              </w:rPr>
              <w:t>（4）最大负载：≥2000kg（均匀负载）；</w:t>
            </w:r>
            <w:r>
              <w:rPr>
                <w:rFonts w:eastAsia="黑体"/>
                <w:color w:val="000000"/>
                <w:kern w:val="0"/>
                <w:sz w:val="20"/>
                <w:szCs w:val="20"/>
                <w:lang w:bidi="ar"/>
              </w:rPr>
              <w:br w:type="textWrapping"/>
            </w:r>
            <w:r>
              <w:rPr>
                <w:rFonts w:eastAsia="黑体"/>
                <w:color w:val="000000"/>
                <w:kern w:val="0"/>
                <w:sz w:val="20"/>
                <w:szCs w:val="20"/>
                <w:lang w:bidi="ar"/>
              </w:rPr>
              <w:t>（5）X射线源数量：2；</w:t>
            </w:r>
            <w:r>
              <w:rPr>
                <w:rFonts w:eastAsia="黑体"/>
                <w:color w:val="000000"/>
                <w:kern w:val="0"/>
                <w:sz w:val="20"/>
                <w:szCs w:val="20"/>
                <w:lang w:bidi="ar"/>
              </w:rPr>
              <w:br w:type="textWrapping"/>
            </w:r>
            <w:r>
              <w:rPr>
                <w:rFonts w:eastAsia="黑体"/>
                <w:color w:val="000000"/>
                <w:kern w:val="0"/>
                <w:sz w:val="20"/>
                <w:szCs w:val="20"/>
                <w:lang w:bidi="ar"/>
              </w:rPr>
              <w:t>（6</w:t>
            </w:r>
            <w:r>
              <w:rPr>
                <w:rFonts w:eastAsia="黑体"/>
                <w:color w:val="000000"/>
                <w:kern w:val="0"/>
                <w:sz w:val="20"/>
                <w:szCs w:val="20"/>
                <w:highlight w:val="none"/>
                <w:lang w:bidi="ar"/>
              </w:rPr>
              <w:t>）X射线投照方向：垂直视角为顶视角，水平视角为侧视角；</w:t>
            </w:r>
            <w:r>
              <w:rPr>
                <w:rFonts w:eastAsia="黑体"/>
                <w:color w:val="000000"/>
                <w:kern w:val="0"/>
                <w:sz w:val="20"/>
                <w:szCs w:val="20"/>
                <w:highlight w:val="none"/>
                <w:lang w:bidi="ar"/>
              </w:rPr>
              <w:br w:type="textWrapping"/>
            </w:r>
            <w:r>
              <w:rPr>
                <w:rFonts w:eastAsia="黑体"/>
                <w:color w:val="000000"/>
                <w:kern w:val="0"/>
                <w:sz w:val="20"/>
                <w:szCs w:val="20"/>
                <w:highlight w:val="none"/>
                <w:lang w:bidi="ar"/>
              </w:rPr>
              <w:t>（7）线分辨力：顶视角及侧视角均应能分辨标称直径≤0.</w:t>
            </w:r>
            <w:r>
              <w:rPr>
                <w:rFonts w:hint="eastAsia" w:eastAsia="黑体"/>
                <w:color w:val="000000"/>
                <w:kern w:val="0"/>
                <w:sz w:val="20"/>
                <w:szCs w:val="20"/>
                <w:highlight w:val="none"/>
                <w:lang w:val="en-US" w:eastAsia="zh-CN" w:bidi="ar"/>
              </w:rPr>
              <w:t>511</w:t>
            </w:r>
            <w:r>
              <w:rPr>
                <w:rFonts w:eastAsia="黑体"/>
                <w:color w:val="000000"/>
                <w:kern w:val="0"/>
                <w:sz w:val="20"/>
                <w:szCs w:val="20"/>
                <w:highlight w:val="none"/>
                <w:lang w:bidi="ar"/>
              </w:rPr>
              <w:t>mm的单根实芯铜线；</w:t>
            </w:r>
            <w:r>
              <w:rPr>
                <w:rFonts w:eastAsia="黑体"/>
                <w:color w:val="000000"/>
                <w:kern w:val="0"/>
                <w:sz w:val="20"/>
                <w:szCs w:val="20"/>
                <w:highlight w:val="none"/>
                <w:lang w:bidi="ar"/>
              </w:rPr>
              <w:br w:type="textWrapping"/>
            </w:r>
            <w:r>
              <w:rPr>
                <w:rFonts w:eastAsia="黑体"/>
                <w:color w:val="000000"/>
                <w:kern w:val="0"/>
                <w:sz w:val="20"/>
                <w:szCs w:val="20"/>
                <w:highlight w:val="none"/>
                <w:lang w:bidi="ar"/>
              </w:rPr>
              <w:t>（8）空间分辨力：顶视角及侧视角均应能分辨直径≤Φ</w:t>
            </w:r>
            <w:r>
              <w:rPr>
                <w:rFonts w:hint="eastAsia" w:eastAsia="黑体"/>
                <w:color w:val="000000"/>
                <w:kern w:val="0"/>
                <w:sz w:val="20"/>
                <w:szCs w:val="20"/>
                <w:highlight w:val="none"/>
                <w:lang w:val="en-US" w:eastAsia="zh-CN" w:bidi="ar"/>
              </w:rPr>
              <w:t>2.0</w:t>
            </w:r>
            <w:r>
              <w:rPr>
                <w:rFonts w:eastAsia="黑体"/>
                <w:color w:val="000000"/>
                <w:kern w:val="0"/>
                <w:sz w:val="20"/>
                <w:szCs w:val="20"/>
                <w:highlight w:val="none"/>
                <w:lang w:bidi="ar"/>
              </w:rPr>
              <w:t>mm的线对；</w:t>
            </w:r>
            <w:r>
              <w:rPr>
                <w:rFonts w:eastAsia="黑体"/>
                <w:color w:val="000000"/>
                <w:kern w:val="0"/>
                <w:sz w:val="20"/>
                <w:szCs w:val="20"/>
                <w:highlight w:val="none"/>
                <w:lang w:bidi="ar"/>
              </w:rPr>
              <w:br w:type="textWrapping"/>
            </w:r>
            <w:r>
              <w:rPr>
                <w:rFonts w:eastAsia="黑体"/>
                <w:color w:val="000000"/>
                <w:kern w:val="0"/>
                <w:sz w:val="20"/>
                <w:szCs w:val="20"/>
                <w:highlight w:val="none"/>
                <w:lang w:bidi="ar"/>
              </w:rPr>
              <w:t>（9）穿透分辨力：顶视角及侧视角均应能分辨厚度为9.5mm、15.9mm、22.2mm和27.1mm合金铝阶梯下标称直径≤0.</w:t>
            </w:r>
            <w:r>
              <w:rPr>
                <w:rFonts w:hint="eastAsia" w:eastAsia="黑体"/>
                <w:color w:val="000000"/>
                <w:kern w:val="0"/>
                <w:sz w:val="20"/>
                <w:szCs w:val="20"/>
                <w:highlight w:val="none"/>
                <w:lang w:val="en-US" w:eastAsia="zh-CN" w:bidi="ar"/>
              </w:rPr>
              <w:t>511</w:t>
            </w:r>
            <w:r>
              <w:rPr>
                <w:rFonts w:eastAsia="黑体"/>
                <w:color w:val="000000"/>
                <w:kern w:val="0"/>
                <w:sz w:val="20"/>
                <w:szCs w:val="20"/>
                <w:highlight w:val="none"/>
                <w:lang w:bidi="ar"/>
              </w:rPr>
              <w:t>mm的单根实芯铜线；</w:t>
            </w:r>
            <w:r>
              <w:rPr>
                <w:rFonts w:eastAsia="黑体"/>
                <w:color w:val="000000"/>
                <w:kern w:val="0"/>
                <w:sz w:val="20"/>
                <w:szCs w:val="20"/>
                <w:highlight w:val="none"/>
                <w:lang w:bidi="ar"/>
              </w:rPr>
              <w:br w:type="textWrapping"/>
            </w:r>
            <w:r>
              <w:rPr>
                <w:rFonts w:eastAsia="黑体"/>
                <w:color w:val="000000"/>
                <w:kern w:val="0"/>
                <w:sz w:val="20"/>
                <w:szCs w:val="20"/>
                <w:highlight w:val="none"/>
                <w:lang w:bidi="ar"/>
              </w:rPr>
              <w:t>（10）穿透力：顶视角及侧视角均应能穿透≥</w:t>
            </w:r>
            <w:r>
              <w:rPr>
                <w:rFonts w:hint="eastAsia" w:eastAsia="黑体"/>
                <w:color w:val="000000"/>
                <w:kern w:val="0"/>
                <w:sz w:val="20"/>
                <w:szCs w:val="20"/>
                <w:highlight w:val="none"/>
                <w:lang w:val="en-US" w:eastAsia="zh-CN" w:bidi="ar"/>
              </w:rPr>
              <w:t>5</w:t>
            </w:r>
            <w:r>
              <w:rPr>
                <w:rFonts w:eastAsia="黑体"/>
                <w:color w:val="000000"/>
                <w:kern w:val="0"/>
                <w:sz w:val="20"/>
                <w:szCs w:val="20"/>
                <w:highlight w:val="none"/>
                <w:lang w:bidi="ar"/>
              </w:rPr>
              <w:t>0mm厚钢板；</w:t>
            </w:r>
            <w:r>
              <w:rPr>
                <w:rFonts w:eastAsia="黑体"/>
                <w:color w:val="00B0F0"/>
                <w:kern w:val="0"/>
                <w:sz w:val="20"/>
                <w:szCs w:val="20"/>
                <w:highlight w:val="none"/>
                <w:lang w:bidi="ar"/>
              </w:rPr>
              <w:br w:type="textWrapping"/>
            </w:r>
            <w:r>
              <w:rPr>
                <w:rFonts w:eastAsia="黑体"/>
                <w:color w:val="000000"/>
                <w:kern w:val="0"/>
                <w:sz w:val="20"/>
                <w:szCs w:val="20"/>
                <w:highlight w:val="none"/>
                <w:lang w:bidi="ar"/>
              </w:rPr>
              <w:t>（11）单次检查剂量：≤5μGy；</w:t>
            </w:r>
            <w:r>
              <w:rPr>
                <w:rFonts w:eastAsia="黑体"/>
                <w:color w:val="000000"/>
                <w:kern w:val="0"/>
                <w:sz w:val="20"/>
                <w:szCs w:val="20"/>
                <w:highlight w:val="none"/>
                <w:lang w:bidi="ar"/>
              </w:rPr>
              <w:br w:type="textWrapping"/>
            </w:r>
            <w:r>
              <w:rPr>
                <w:rFonts w:eastAsia="黑体"/>
                <w:color w:val="000000"/>
                <w:kern w:val="0"/>
                <w:sz w:val="20"/>
                <w:szCs w:val="20"/>
                <w:highlight w:val="none"/>
                <w:lang w:bidi="ar"/>
              </w:rPr>
              <w:t>（12）距设备表面</w:t>
            </w:r>
            <w:r>
              <w:rPr>
                <w:rFonts w:hint="eastAsia" w:eastAsia="黑体"/>
                <w:color w:val="000000"/>
                <w:kern w:val="0"/>
                <w:sz w:val="20"/>
                <w:szCs w:val="20"/>
                <w:highlight w:val="none"/>
                <w:lang w:val="en-US" w:eastAsia="zh-CN" w:bidi="ar"/>
              </w:rPr>
              <w:t>0.1</w:t>
            </w:r>
            <w:r>
              <w:rPr>
                <w:rFonts w:eastAsia="黑体"/>
                <w:color w:val="000000"/>
                <w:kern w:val="0"/>
                <w:sz w:val="20"/>
                <w:szCs w:val="20"/>
                <w:highlight w:val="none"/>
                <w:lang w:bidi="ar"/>
              </w:rPr>
              <w:t>米处周围剂量当量率：≤</w:t>
            </w:r>
            <w:r>
              <w:rPr>
                <w:rFonts w:hint="eastAsia" w:eastAsia="黑体"/>
                <w:color w:val="000000"/>
                <w:kern w:val="0"/>
                <w:sz w:val="20"/>
                <w:szCs w:val="20"/>
                <w:highlight w:val="none"/>
                <w:lang w:val="en-US" w:eastAsia="zh-CN" w:bidi="ar"/>
              </w:rPr>
              <w:t>1</w:t>
            </w:r>
            <w:r>
              <w:rPr>
                <w:rFonts w:eastAsia="黑体"/>
                <w:color w:val="000000"/>
                <w:kern w:val="0"/>
                <w:sz w:val="20"/>
                <w:szCs w:val="20"/>
                <w:highlight w:val="none"/>
                <w:lang w:bidi="ar"/>
              </w:rPr>
              <w:t>μSv/h、工作人员位置周围剂量当量率</w:t>
            </w:r>
            <w:r>
              <w:rPr>
                <w:rFonts w:hint="eastAsia" w:eastAsia="黑体"/>
                <w:color w:val="000000"/>
                <w:kern w:val="0"/>
                <w:sz w:val="20"/>
                <w:szCs w:val="20"/>
                <w:highlight w:val="none"/>
                <w:lang w:val="en-US" w:eastAsia="zh-CN" w:bidi="ar"/>
              </w:rPr>
              <w:t>应</w:t>
            </w:r>
            <w:r>
              <w:rPr>
                <w:rFonts w:eastAsia="黑体"/>
                <w:color w:val="000000"/>
                <w:kern w:val="0"/>
                <w:sz w:val="20"/>
                <w:szCs w:val="20"/>
                <w:highlight w:val="none"/>
                <w:lang w:bidi="ar"/>
              </w:rPr>
              <w:t>≤0.5μSv/h；</w:t>
            </w:r>
            <w:r>
              <w:rPr>
                <w:rFonts w:eastAsia="黑体"/>
                <w:color w:val="000000"/>
                <w:kern w:val="0"/>
                <w:sz w:val="20"/>
                <w:szCs w:val="20"/>
                <w:highlight w:val="none"/>
                <w:lang w:bidi="ar"/>
              </w:rPr>
              <w:br w:type="textWrapping"/>
            </w:r>
            <w:r>
              <w:rPr>
                <w:rFonts w:eastAsia="黑体"/>
                <w:color w:val="000000"/>
                <w:kern w:val="0"/>
                <w:sz w:val="20"/>
                <w:szCs w:val="20"/>
                <w:highlight w:val="none"/>
                <w:lang w:bidi="ar"/>
              </w:rPr>
              <w:t>（13）X射线发生器：管电压≥200kV；</w:t>
            </w:r>
            <w:r>
              <w:rPr>
                <w:rFonts w:eastAsia="黑体"/>
                <w:color w:val="000000"/>
                <w:kern w:val="0"/>
                <w:sz w:val="20"/>
                <w:szCs w:val="20"/>
                <w:highlight w:val="none"/>
                <w:lang w:bidi="ar"/>
              </w:rPr>
              <w:br w:type="textWrapping"/>
            </w:r>
            <w:r>
              <w:rPr>
                <w:rFonts w:eastAsia="黑体"/>
                <w:color w:val="000000"/>
                <w:kern w:val="0"/>
                <w:sz w:val="20"/>
                <w:szCs w:val="20"/>
                <w:highlight w:val="none"/>
                <w:lang w:bidi="ar"/>
              </w:rPr>
              <w:t>（14）L形状阵列探测器灰度级：4096（12比特）；</w:t>
            </w:r>
            <w:r>
              <w:rPr>
                <w:rFonts w:eastAsia="黑体"/>
                <w:color w:val="000000"/>
                <w:kern w:val="0"/>
                <w:sz w:val="20"/>
                <w:szCs w:val="20"/>
                <w:highlight w:val="none"/>
                <w:lang w:bidi="ar"/>
              </w:rPr>
              <w:br w:type="textWrapping"/>
            </w:r>
            <w:r>
              <w:rPr>
                <w:rFonts w:eastAsia="黑体"/>
                <w:color w:val="000000"/>
                <w:kern w:val="0"/>
                <w:sz w:val="20"/>
                <w:szCs w:val="20"/>
                <w:highlight w:val="none"/>
                <w:lang w:bidi="ar"/>
              </w:rPr>
              <w:t>（15）冷却方式：密封油冷、工作周期：100%（不需要预热周期）；</w:t>
            </w:r>
            <w:r>
              <w:rPr>
                <w:rFonts w:eastAsia="黑体"/>
                <w:color w:val="000000"/>
                <w:kern w:val="0"/>
                <w:sz w:val="20"/>
                <w:szCs w:val="20"/>
                <w:highlight w:val="none"/>
                <w:lang w:bidi="ar"/>
              </w:rPr>
              <w:br w:type="textWrapping"/>
            </w:r>
            <w:r>
              <w:rPr>
                <w:rFonts w:eastAsia="黑体"/>
                <w:color w:val="000000"/>
                <w:kern w:val="0"/>
                <w:sz w:val="20"/>
                <w:szCs w:val="20"/>
                <w:highlight w:val="none"/>
                <w:lang w:bidi="ar"/>
              </w:rPr>
              <w:t>（16）图像处理功能：设备应具备黑白、反色、高能穿透、低能穿透、有机物剔除、无机物剔除、超级增强、可变吸收率、伪彩色等图像处理功能，便于判图；</w:t>
            </w:r>
            <w:r>
              <w:rPr>
                <w:rFonts w:eastAsia="黑体"/>
                <w:color w:val="000000"/>
                <w:kern w:val="0"/>
                <w:sz w:val="20"/>
                <w:szCs w:val="20"/>
                <w:highlight w:val="none"/>
                <w:lang w:bidi="ar"/>
              </w:rPr>
              <w:br w:type="textWrapping"/>
            </w:r>
            <w:r>
              <w:rPr>
                <w:rFonts w:eastAsia="黑体"/>
                <w:color w:val="000000"/>
                <w:kern w:val="0"/>
                <w:sz w:val="20"/>
                <w:szCs w:val="20"/>
                <w:highlight w:val="none"/>
                <w:lang w:bidi="ar"/>
              </w:rPr>
              <w:t>（17）具有图像放大功能：设备应可放大显示所选中区域的物体图像，任意区域放大应不小于64倍；</w:t>
            </w:r>
            <w:r>
              <w:rPr>
                <w:rFonts w:eastAsia="黑体"/>
                <w:color w:val="000000"/>
                <w:kern w:val="0"/>
                <w:sz w:val="20"/>
                <w:szCs w:val="20"/>
                <w:highlight w:val="none"/>
                <w:lang w:bidi="ar"/>
              </w:rPr>
              <w:br w:type="textWrapping"/>
            </w:r>
            <w:r>
              <w:rPr>
                <w:rFonts w:eastAsia="黑体"/>
                <w:color w:val="000000"/>
                <w:kern w:val="0"/>
                <w:sz w:val="20"/>
                <w:szCs w:val="20"/>
                <w:highlight w:val="none"/>
                <w:lang w:bidi="ar"/>
              </w:rPr>
              <w:t>（18）具有图像回拉功能：设备应能够回拉重放不少于100幅图像；</w:t>
            </w:r>
            <w:r>
              <w:rPr>
                <w:rFonts w:eastAsia="黑体"/>
                <w:color w:val="000000"/>
                <w:kern w:val="0"/>
                <w:sz w:val="20"/>
                <w:szCs w:val="20"/>
                <w:highlight w:val="none"/>
                <w:lang w:bidi="ar"/>
              </w:rPr>
              <w:br w:type="textWrapping"/>
            </w:r>
            <w:r>
              <w:rPr>
                <w:rFonts w:eastAsia="黑体"/>
                <w:color w:val="000000"/>
                <w:kern w:val="0"/>
                <w:sz w:val="20"/>
                <w:szCs w:val="20"/>
                <w:highlight w:val="none"/>
                <w:lang w:bidi="ar"/>
              </w:rPr>
              <w:t>（19）具有连续扫描功能：对于光障检测不到的薄形物体，提供X射线连续扫描功能；</w:t>
            </w:r>
            <w:r>
              <w:rPr>
                <w:rFonts w:eastAsia="黑体"/>
                <w:color w:val="000000"/>
                <w:kern w:val="0"/>
                <w:sz w:val="20"/>
                <w:szCs w:val="20"/>
                <w:highlight w:val="none"/>
                <w:lang w:bidi="ar"/>
              </w:rPr>
              <w:br w:type="textWrapping"/>
            </w:r>
            <w:r>
              <w:rPr>
                <w:rFonts w:eastAsia="黑体"/>
                <w:color w:val="000000"/>
                <w:kern w:val="0"/>
                <w:sz w:val="20"/>
                <w:szCs w:val="20"/>
                <w:highlight w:val="none"/>
                <w:lang w:bidi="ar"/>
              </w:rPr>
              <w:t>（20）设备应自动保存全部被检货物扫描图像（不低于1280×1024像素、每个像素不小于12比特），大于等于100000幅。保存的图像应包含图像生成时间、用户ID等信息。当图像数据量达到设定的磁盘空间限值时，系统应能按照“先入先出”原则自动删除较早保存的图像。同时应提供手动选择存储功能，可将选定的图像存储到指定文件夹；</w:t>
            </w:r>
            <w:r>
              <w:rPr>
                <w:rFonts w:eastAsia="黑体"/>
                <w:color w:val="000000"/>
                <w:kern w:val="0"/>
                <w:sz w:val="20"/>
                <w:szCs w:val="20"/>
                <w:highlight w:val="none"/>
                <w:lang w:bidi="ar"/>
              </w:rPr>
              <w:br w:type="textWrapping"/>
            </w:r>
            <w:r>
              <w:rPr>
                <w:rFonts w:eastAsia="黑体"/>
                <w:color w:val="000000"/>
                <w:kern w:val="0"/>
                <w:sz w:val="20"/>
                <w:szCs w:val="20"/>
                <w:highlight w:val="none"/>
                <w:lang w:bidi="ar"/>
              </w:rPr>
              <w:t>（21）设备应能够将图像转化</w:t>
            </w:r>
            <w:r>
              <w:rPr>
                <w:rFonts w:eastAsia="黑体"/>
                <w:color w:val="auto"/>
                <w:kern w:val="0"/>
                <w:sz w:val="20"/>
                <w:szCs w:val="20"/>
                <w:highlight w:val="none"/>
                <w:lang w:bidi="ar"/>
              </w:rPr>
              <w:t>为BMP、JPEG、GIF、TIFF、PNG等通用图像格式；</w:t>
            </w:r>
            <w:r>
              <w:rPr>
                <w:rFonts w:eastAsia="黑体"/>
                <w:color w:val="auto"/>
                <w:kern w:val="0"/>
                <w:sz w:val="20"/>
                <w:szCs w:val="20"/>
                <w:highlight w:val="none"/>
                <w:lang w:bidi="ar"/>
              </w:rPr>
              <w:br w:type="textWrapping"/>
            </w:r>
            <w:r>
              <w:rPr>
                <w:rFonts w:eastAsia="黑体"/>
                <w:color w:val="auto"/>
                <w:kern w:val="0"/>
                <w:sz w:val="20"/>
                <w:szCs w:val="20"/>
                <w:highlight w:val="none"/>
                <w:lang w:bidi="ar"/>
              </w:rPr>
              <w:t>X光机配套</w:t>
            </w:r>
          </w:p>
          <w:p>
            <w:pPr>
              <w:widowControl/>
              <w:numPr>
                <w:ilvl w:val="0"/>
                <w:numId w:val="0"/>
              </w:numPr>
              <w:jc w:val="left"/>
              <w:textAlignment w:val="center"/>
              <w:rPr>
                <w:rFonts w:eastAsia="黑体"/>
                <w:color w:val="auto"/>
                <w:kern w:val="0"/>
                <w:sz w:val="20"/>
                <w:szCs w:val="20"/>
                <w:lang w:bidi="ar"/>
              </w:rPr>
            </w:pPr>
            <w:r>
              <w:rPr>
                <w:rFonts w:eastAsia="黑体"/>
                <w:color w:val="auto"/>
                <w:kern w:val="0"/>
                <w:sz w:val="20"/>
                <w:szCs w:val="20"/>
                <w:highlight w:val="none"/>
                <w:lang w:bidi="ar"/>
              </w:rPr>
              <w:t>（2</w:t>
            </w:r>
            <w:r>
              <w:rPr>
                <w:rFonts w:hint="eastAsia" w:eastAsia="黑体"/>
                <w:color w:val="auto"/>
                <w:kern w:val="0"/>
                <w:sz w:val="20"/>
                <w:szCs w:val="20"/>
                <w:highlight w:val="none"/>
                <w:lang w:val="en-US" w:eastAsia="zh-CN" w:bidi="ar"/>
              </w:rPr>
              <w:t>2</w:t>
            </w:r>
            <w:r>
              <w:rPr>
                <w:rFonts w:eastAsia="黑体"/>
                <w:color w:val="auto"/>
                <w:kern w:val="0"/>
                <w:sz w:val="20"/>
                <w:szCs w:val="20"/>
                <w:highlight w:val="none"/>
                <w:lang w:bidi="ar"/>
              </w:rPr>
              <w:t>）设备工作噪声：在距设备外表面1m的任意处，噪声应不大于</w:t>
            </w:r>
            <w:r>
              <w:rPr>
                <w:rFonts w:hint="eastAsia" w:eastAsia="黑体"/>
                <w:color w:val="auto"/>
                <w:kern w:val="0"/>
                <w:sz w:val="20"/>
                <w:szCs w:val="20"/>
                <w:highlight w:val="none"/>
                <w:lang w:val="en-US" w:eastAsia="zh-CN" w:bidi="ar"/>
              </w:rPr>
              <w:t>6</w:t>
            </w:r>
            <w:r>
              <w:rPr>
                <w:rFonts w:eastAsia="黑体"/>
                <w:color w:val="auto"/>
                <w:kern w:val="0"/>
                <w:sz w:val="20"/>
                <w:szCs w:val="20"/>
                <w:highlight w:val="none"/>
                <w:lang w:bidi="ar"/>
              </w:rPr>
              <w:t>5dB(A)</w:t>
            </w:r>
            <w:r>
              <w:rPr>
                <w:rFonts w:eastAsia="黑体"/>
                <w:color w:val="auto"/>
                <w:kern w:val="0"/>
                <w:sz w:val="20"/>
                <w:szCs w:val="20"/>
                <w:lang w:bidi="ar"/>
              </w:rPr>
              <w:t>；</w:t>
            </w:r>
            <w:r>
              <w:rPr>
                <w:rFonts w:eastAsia="黑体"/>
                <w:color w:val="auto"/>
                <w:kern w:val="0"/>
                <w:sz w:val="20"/>
                <w:szCs w:val="20"/>
                <w:lang w:bidi="ar"/>
              </w:rPr>
              <w:br w:type="textWrapping"/>
            </w:r>
            <w:r>
              <w:rPr>
                <w:rFonts w:eastAsia="黑体"/>
                <w:color w:val="auto"/>
                <w:kern w:val="0"/>
                <w:sz w:val="20"/>
                <w:szCs w:val="20"/>
                <w:lang w:bidi="ar"/>
              </w:rPr>
              <w:t>（2</w:t>
            </w:r>
            <w:r>
              <w:rPr>
                <w:rFonts w:hint="eastAsia" w:eastAsia="黑体"/>
                <w:color w:val="auto"/>
                <w:kern w:val="0"/>
                <w:sz w:val="20"/>
                <w:szCs w:val="20"/>
                <w:lang w:val="en-US" w:eastAsia="zh-CN" w:bidi="ar"/>
              </w:rPr>
              <w:t>3</w:t>
            </w:r>
            <w:r>
              <w:rPr>
                <w:rFonts w:eastAsia="黑体"/>
                <w:color w:val="auto"/>
                <w:kern w:val="0"/>
                <w:sz w:val="20"/>
                <w:szCs w:val="20"/>
                <w:lang w:bidi="ar"/>
              </w:rPr>
              <w:t>）须提供所投设备制造商的省部级环保部门出具的辐射安全许可证。</w:t>
            </w:r>
          </w:p>
          <w:p>
            <w:pPr>
              <w:widowControl/>
              <w:jc w:val="left"/>
              <w:textAlignment w:val="center"/>
              <w:rPr>
                <w:rFonts w:eastAsia="黑体"/>
                <w:color w:val="000000"/>
                <w:sz w:val="20"/>
                <w:szCs w:val="20"/>
              </w:rPr>
            </w:pPr>
            <w:r>
              <w:rPr>
                <w:rFonts w:eastAsia="黑体"/>
                <w:color w:val="auto"/>
                <w:kern w:val="0"/>
                <w:sz w:val="20"/>
                <w:szCs w:val="20"/>
                <w:lang w:bidi="ar"/>
              </w:rPr>
              <w:t>（2</w:t>
            </w:r>
            <w:r>
              <w:rPr>
                <w:rFonts w:hint="eastAsia" w:eastAsia="黑体"/>
                <w:color w:val="auto"/>
                <w:kern w:val="0"/>
                <w:sz w:val="20"/>
                <w:szCs w:val="20"/>
                <w:lang w:val="en-US" w:eastAsia="zh-CN" w:bidi="ar"/>
              </w:rPr>
              <w:t>4</w:t>
            </w:r>
            <w:r>
              <w:rPr>
                <w:rFonts w:eastAsia="黑体"/>
                <w:color w:val="auto"/>
                <w:kern w:val="0"/>
                <w:sz w:val="20"/>
                <w:szCs w:val="20"/>
                <w:lang w:bidi="ar"/>
              </w:rPr>
              <w:t>）须提供所投设备由国家安全防范报警系统产品质量监督检验中心出具的合格检验报告。</w:t>
            </w:r>
            <w:r>
              <w:rPr>
                <w:rFonts w:eastAsia="黑体"/>
                <w:color w:val="auto"/>
                <w:kern w:val="0"/>
                <w:sz w:val="20"/>
                <w:szCs w:val="20"/>
                <w:lang w:bidi="ar"/>
              </w:rPr>
              <w:br w:type="textWrapping"/>
            </w:r>
            <w:r>
              <w:rPr>
                <w:rFonts w:eastAsia="黑体"/>
                <w:color w:val="auto"/>
                <w:kern w:val="0"/>
                <w:sz w:val="20"/>
                <w:szCs w:val="20"/>
                <w:lang w:bidi="ar"/>
              </w:rPr>
              <w:t>（2</w:t>
            </w:r>
            <w:r>
              <w:rPr>
                <w:rFonts w:hint="eastAsia" w:eastAsia="黑体"/>
                <w:color w:val="auto"/>
                <w:kern w:val="0"/>
                <w:sz w:val="20"/>
                <w:szCs w:val="20"/>
                <w:lang w:val="en-US" w:eastAsia="zh-CN" w:bidi="ar"/>
              </w:rPr>
              <w:t>5</w:t>
            </w:r>
            <w:r>
              <w:rPr>
                <w:rFonts w:eastAsia="黑体"/>
                <w:color w:val="auto"/>
                <w:kern w:val="0"/>
                <w:sz w:val="20"/>
                <w:szCs w:val="20"/>
                <w:lang w:bidi="ar"/>
              </w:rPr>
              <w:t>）</w:t>
            </w:r>
            <w:r>
              <w:rPr>
                <w:rFonts w:hint="eastAsia" w:eastAsia="黑体"/>
                <w:color w:val="auto"/>
                <w:kern w:val="0"/>
                <w:sz w:val="20"/>
                <w:szCs w:val="20"/>
                <w:lang w:val="en-US" w:eastAsia="zh-CN" w:bidi="ar"/>
              </w:rPr>
              <w:t>所投设备可接入海关管理网，并能在海关管理网内正常运行。</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7"/>
            <w:tcBorders>
              <w:tl2br w:val="nil"/>
              <w:tr2bl w:val="nil"/>
            </w:tcBorders>
            <w:shd w:val="clear" w:color="auto" w:fill="FFFF00"/>
            <w:noWrap/>
            <w:vAlign w:val="center"/>
          </w:tcPr>
          <w:p>
            <w:pPr>
              <w:widowControl/>
              <w:textAlignment w:val="center"/>
              <w:rPr>
                <w:rFonts w:eastAsia="黑体"/>
                <w:color w:val="000000"/>
                <w:sz w:val="20"/>
                <w:szCs w:val="20"/>
              </w:rPr>
            </w:pPr>
            <w:r>
              <w:rPr>
                <w:rFonts w:eastAsia="黑体"/>
                <w:color w:val="000000"/>
                <w:kern w:val="0"/>
                <w:sz w:val="20"/>
                <w:szCs w:val="20"/>
                <w:lang w:bidi="ar"/>
              </w:rPr>
              <w:t>四、1210分拣线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39</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万向球平台</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长1000mm，宽1000mm，高800mm，铝材机身、碳钢脚架，不锈钢滚珠</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40</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皮带输送机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长1200mm，宽1000mm，高800mm，速度30--45m/min，SEW马达 0.55KW ，铝材机身、碳钢脚架，两侧H120挡板，工业3.0PVC皮带</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41</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称重皮带机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长1200mm，宽1000mm，高800mm，速度30--45m/min，SEW马达 0.55KW ，碳钢机身、脚架，工业3.0PVC皮带、传感器</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42</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顶部扫描仪</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顶部拍照式扫码双镜头（包含扫描支架）</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43</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皮带输送机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长1200mm，宽1000mm，高800mm，速度30--45m/min，SEW马达 0.55KW ，铝材机身、碳钢脚架，两侧H120挡板，工业3.0PVC皮带</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44</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移载机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长1500mm，宽1000mm，高800mm，速度30--45m/min，SEW马达 0.75+0.75KW ，碳钢机身、碳钢脚架，单侧H120挡板</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45</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滑槽</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长1200mm，宽1000mm，高800/250mm，碳钢脚架、镀锌滑槽</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46</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皮带输送机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长2000mm，宽1000mm，高800/800mm，速度30--45m/min，SEW马达 0.55KW ，铝材机身、碳钢脚架，两侧H120挡板，工业3.0PVC皮带</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47</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移载机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长1500mm，宽1000mm，高800mm，速度30--45m/min，SEW马达 0.75+0.75KW ，碳钢机身、碳钢脚架，单侧H120挡板</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48</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无动力滚筒滑槽</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长2200mm，宽1000mm，高780/350mm，碳钢脚架、无动力滚筒</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49</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开拆台</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采用光电及接近开关</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50</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信号采集装置</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hint="eastAsia" w:eastAsia="黑体"/>
                <w:color w:val="000000"/>
                <w:kern w:val="0"/>
                <w:sz w:val="20"/>
                <w:szCs w:val="20"/>
                <w:lang w:bidi="ar"/>
              </w:rPr>
              <w:t>采用光电及接近开关</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51</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触摸屏</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hint="eastAsia" w:eastAsia="黑体"/>
                <w:color w:val="000000"/>
                <w:sz w:val="20"/>
                <w:szCs w:val="20"/>
              </w:rPr>
              <w:t>采用10寸触摸屏</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52</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电源/控制柜</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hint="eastAsia" w:eastAsia="黑体"/>
                <w:color w:val="000000"/>
                <w:sz w:val="20"/>
                <w:szCs w:val="20"/>
              </w:rPr>
            </w:pPr>
            <w:r>
              <w:rPr>
                <w:rFonts w:hint="eastAsia" w:eastAsia="黑体"/>
                <w:color w:val="000000"/>
                <w:sz w:val="20"/>
                <w:szCs w:val="20"/>
              </w:rPr>
              <w:t>1、采用电柜，800*1800*450控制柜1套</w:t>
            </w:r>
          </w:p>
          <w:p>
            <w:pPr>
              <w:widowControl/>
              <w:jc w:val="left"/>
              <w:textAlignment w:val="center"/>
              <w:rPr>
                <w:rFonts w:hint="eastAsia" w:eastAsia="黑体"/>
                <w:color w:val="000000"/>
                <w:sz w:val="20"/>
                <w:szCs w:val="20"/>
              </w:rPr>
            </w:pPr>
            <w:r>
              <w:rPr>
                <w:rFonts w:hint="eastAsia" w:eastAsia="黑体"/>
                <w:color w:val="000000"/>
                <w:sz w:val="20"/>
                <w:szCs w:val="20"/>
              </w:rPr>
              <w:t>2、按钮:不低于 3 百万次操作</w:t>
            </w:r>
          </w:p>
          <w:p>
            <w:pPr>
              <w:widowControl/>
              <w:jc w:val="left"/>
              <w:textAlignment w:val="center"/>
              <w:rPr>
                <w:rFonts w:hint="eastAsia" w:eastAsia="黑体"/>
                <w:color w:val="000000"/>
                <w:sz w:val="20"/>
                <w:szCs w:val="20"/>
              </w:rPr>
            </w:pPr>
            <w:r>
              <w:rPr>
                <w:rFonts w:hint="eastAsia" w:eastAsia="黑体"/>
                <w:color w:val="000000"/>
                <w:sz w:val="20"/>
                <w:szCs w:val="20"/>
              </w:rPr>
              <w:t>3、“紧急停止”按钮: 不低于30万次操作</w:t>
            </w:r>
          </w:p>
          <w:p>
            <w:pPr>
              <w:widowControl/>
              <w:jc w:val="left"/>
              <w:textAlignment w:val="center"/>
              <w:rPr>
                <w:rFonts w:hint="eastAsia" w:eastAsia="黑体"/>
                <w:color w:val="000000"/>
                <w:sz w:val="20"/>
                <w:szCs w:val="20"/>
              </w:rPr>
            </w:pPr>
            <w:r>
              <w:rPr>
                <w:rFonts w:hint="eastAsia" w:eastAsia="黑体"/>
                <w:color w:val="000000"/>
                <w:sz w:val="20"/>
                <w:szCs w:val="20"/>
              </w:rPr>
              <w:t>4、机械寿命: 不低于20000次</w:t>
            </w:r>
          </w:p>
          <w:p>
            <w:pPr>
              <w:widowControl/>
              <w:jc w:val="left"/>
              <w:textAlignment w:val="center"/>
              <w:rPr>
                <w:rFonts w:hint="eastAsia" w:eastAsia="黑体"/>
                <w:color w:val="000000"/>
                <w:sz w:val="20"/>
                <w:szCs w:val="20"/>
              </w:rPr>
            </w:pPr>
            <w:r>
              <w:rPr>
                <w:rFonts w:hint="eastAsia" w:eastAsia="黑体"/>
                <w:color w:val="000000"/>
                <w:sz w:val="20"/>
                <w:szCs w:val="20"/>
              </w:rPr>
              <w:t>5、使用环境温度: -30°C至+70°C</w:t>
            </w:r>
          </w:p>
          <w:p>
            <w:pPr>
              <w:widowControl/>
              <w:jc w:val="left"/>
              <w:textAlignment w:val="center"/>
              <w:rPr>
                <w:rFonts w:hint="eastAsia" w:eastAsia="黑体"/>
                <w:color w:val="000000"/>
                <w:sz w:val="20"/>
                <w:szCs w:val="20"/>
              </w:rPr>
            </w:pPr>
            <w:r>
              <w:rPr>
                <w:rFonts w:hint="eastAsia" w:eastAsia="黑体"/>
                <w:color w:val="000000"/>
                <w:sz w:val="20"/>
                <w:szCs w:val="20"/>
              </w:rPr>
              <w:t>6、存储环境温度: -40°C至+80°C</w:t>
            </w:r>
          </w:p>
          <w:p>
            <w:pPr>
              <w:widowControl/>
              <w:jc w:val="left"/>
              <w:textAlignment w:val="center"/>
              <w:rPr>
                <w:rFonts w:hint="eastAsia" w:eastAsia="黑体"/>
                <w:color w:val="000000"/>
                <w:sz w:val="20"/>
                <w:szCs w:val="20"/>
              </w:rPr>
            </w:pPr>
            <w:r>
              <w:rPr>
                <w:rFonts w:hint="eastAsia" w:eastAsia="黑体"/>
                <w:color w:val="000000"/>
                <w:sz w:val="20"/>
                <w:szCs w:val="20"/>
              </w:rPr>
              <w:t>7、额定电压: 230/400 V AC</w:t>
            </w:r>
          </w:p>
          <w:p>
            <w:pPr>
              <w:widowControl/>
              <w:jc w:val="left"/>
              <w:textAlignment w:val="center"/>
              <w:rPr>
                <w:rFonts w:hint="eastAsia" w:eastAsia="黑体"/>
                <w:color w:val="000000"/>
                <w:sz w:val="20"/>
                <w:szCs w:val="20"/>
              </w:rPr>
            </w:pPr>
            <w:r>
              <w:rPr>
                <w:rFonts w:hint="eastAsia" w:eastAsia="黑体"/>
                <w:color w:val="000000"/>
                <w:sz w:val="20"/>
                <w:szCs w:val="20"/>
              </w:rPr>
              <w:t>8、额定电流: 63-125 A</w:t>
            </w:r>
          </w:p>
          <w:p>
            <w:pPr>
              <w:widowControl/>
              <w:jc w:val="left"/>
              <w:textAlignment w:val="center"/>
              <w:rPr>
                <w:rFonts w:hint="eastAsia" w:eastAsia="黑体"/>
                <w:color w:val="000000"/>
                <w:sz w:val="20"/>
                <w:szCs w:val="20"/>
              </w:rPr>
            </w:pPr>
            <w:r>
              <w:rPr>
                <w:rFonts w:hint="eastAsia" w:eastAsia="黑体"/>
                <w:color w:val="000000"/>
                <w:sz w:val="20"/>
                <w:szCs w:val="20"/>
              </w:rPr>
              <w:t>9、分断能力: 10000A</w:t>
            </w:r>
          </w:p>
          <w:p>
            <w:pPr>
              <w:widowControl/>
              <w:jc w:val="left"/>
              <w:textAlignment w:val="center"/>
              <w:rPr>
                <w:rFonts w:hint="eastAsia" w:eastAsia="黑体"/>
                <w:color w:val="000000"/>
                <w:sz w:val="20"/>
                <w:szCs w:val="20"/>
              </w:rPr>
            </w:pPr>
            <w:r>
              <w:rPr>
                <w:rFonts w:hint="eastAsia" w:eastAsia="黑体"/>
                <w:color w:val="000000"/>
                <w:sz w:val="20"/>
                <w:szCs w:val="20"/>
              </w:rPr>
              <w:t>10、脱扣特性: C (5-10)In, D (10-14)In</w:t>
            </w:r>
          </w:p>
          <w:p>
            <w:pPr>
              <w:widowControl/>
              <w:jc w:val="left"/>
              <w:textAlignment w:val="center"/>
              <w:rPr>
                <w:rFonts w:hint="eastAsia" w:eastAsia="黑体"/>
                <w:color w:val="000000"/>
                <w:sz w:val="20"/>
                <w:szCs w:val="20"/>
              </w:rPr>
            </w:pPr>
            <w:r>
              <w:rPr>
                <w:rFonts w:hint="eastAsia" w:eastAsia="黑体"/>
                <w:color w:val="000000"/>
                <w:sz w:val="20"/>
                <w:szCs w:val="20"/>
              </w:rPr>
              <w:t xml:space="preserve">12、继电器IP 保护等级 不低于IP40 </w:t>
            </w:r>
          </w:p>
          <w:p>
            <w:pPr>
              <w:widowControl/>
              <w:jc w:val="left"/>
              <w:textAlignment w:val="center"/>
              <w:rPr>
                <w:rFonts w:hint="eastAsia" w:eastAsia="黑体"/>
                <w:color w:val="000000"/>
                <w:sz w:val="20"/>
                <w:szCs w:val="20"/>
              </w:rPr>
            </w:pPr>
            <w:r>
              <w:rPr>
                <w:rFonts w:hint="eastAsia" w:eastAsia="黑体"/>
                <w:color w:val="000000"/>
                <w:sz w:val="20"/>
                <w:szCs w:val="20"/>
              </w:rPr>
              <w:t>13、绝缘性能 1300VAC</w:t>
            </w:r>
          </w:p>
          <w:p>
            <w:pPr>
              <w:widowControl/>
              <w:jc w:val="left"/>
              <w:textAlignment w:val="center"/>
              <w:rPr>
                <w:rFonts w:hint="eastAsia" w:eastAsia="黑体"/>
                <w:color w:val="000000"/>
                <w:sz w:val="20"/>
                <w:szCs w:val="20"/>
              </w:rPr>
            </w:pPr>
            <w:r>
              <w:rPr>
                <w:rFonts w:hint="eastAsia" w:eastAsia="黑体"/>
                <w:color w:val="000000"/>
                <w:sz w:val="20"/>
                <w:szCs w:val="20"/>
              </w:rPr>
              <w:t xml:space="preserve">14、贮存环境温度 -40--85 ℃ </w:t>
            </w:r>
          </w:p>
          <w:p>
            <w:pPr>
              <w:widowControl/>
              <w:jc w:val="left"/>
              <w:textAlignment w:val="center"/>
              <w:rPr>
                <w:rFonts w:hint="eastAsia" w:eastAsia="黑体"/>
                <w:color w:val="000000"/>
                <w:sz w:val="20"/>
                <w:szCs w:val="20"/>
              </w:rPr>
            </w:pPr>
            <w:r>
              <w:rPr>
                <w:rFonts w:hint="eastAsia" w:eastAsia="黑体"/>
                <w:color w:val="000000"/>
                <w:sz w:val="20"/>
                <w:szCs w:val="20"/>
              </w:rPr>
              <w:t>15、环境温度 -40—55℃；</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53</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电线及线槽</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hint="eastAsia" w:eastAsia="黑体"/>
                <w:color w:val="000000"/>
                <w:kern w:val="0"/>
                <w:sz w:val="20"/>
                <w:szCs w:val="20"/>
                <w:lang w:bidi="ar"/>
              </w:rPr>
              <w:t>采用国标电线及线槽</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54</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ascii="宋体" w:hAnsi="宋体" w:cs="宋体"/>
                <w:szCs w:val="21"/>
                <w:lang w:bidi="ar"/>
              </w:rPr>
              <w:t>■</w:t>
            </w:r>
            <w:r>
              <w:rPr>
                <w:rFonts w:eastAsia="黑体"/>
                <w:color w:val="000000"/>
                <w:kern w:val="0"/>
                <w:sz w:val="20"/>
                <w:szCs w:val="20"/>
                <w:highlight w:val="none"/>
                <w:lang w:bidi="ar"/>
              </w:rPr>
              <w:t>输送控制系统工作站</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hint="eastAsia" w:eastAsia="黑体"/>
                <w:color w:val="000000"/>
                <w:sz w:val="20"/>
                <w:szCs w:val="20"/>
              </w:rPr>
              <w:t>I7-6500U主频2.5G，睿频3.1G;16G</w:t>
            </w:r>
            <w:r>
              <w:rPr>
                <w:rFonts w:hint="eastAsia" w:eastAsia="黑体"/>
                <w:color w:val="auto"/>
                <w:sz w:val="20"/>
                <w:szCs w:val="20"/>
              </w:rPr>
              <w:t>内存（双网卡）,硬盘1TB机械硬盘系统；</w:t>
            </w:r>
            <w:r>
              <w:rPr>
                <w:rFonts w:hint="eastAsia" w:ascii="Times New Roman" w:hAnsi="Times New Roman" w:eastAsia="黑体" w:cs="Times New Roman"/>
                <w:color w:val="auto"/>
                <w:sz w:val="20"/>
                <w:szCs w:val="20"/>
                <w:lang w:val="en-US" w:eastAsia="zh-CN"/>
              </w:rPr>
              <w:t>一体机，操作系统：windows7及以上</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55</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可编程控制器（PLC）</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1. 输入：≥6个高速计数器，其中≥3个输入为100kHz，≥3个输入为30kHz，用于计数和测量；</w:t>
            </w:r>
            <w:r>
              <w:rPr>
                <w:rFonts w:eastAsia="黑体"/>
                <w:color w:val="000000"/>
                <w:kern w:val="0"/>
                <w:sz w:val="20"/>
                <w:szCs w:val="20"/>
                <w:lang w:bidi="ar"/>
              </w:rPr>
              <w:br w:type="textWrapping"/>
            </w:r>
            <w:r>
              <w:rPr>
                <w:rFonts w:eastAsia="黑体"/>
                <w:color w:val="000000"/>
                <w:kern w:val="0"/>
                <w:sz w:val="20"/>
                <w:szCs w:val="20"/>
                <w:lang w:bidi="ar"/>
              </w:rPr>
              <w:t>2. 输出：≥2个100kHz的高速脉冲输出；</w:t>
            </w:r>
            <w:r>
              <w:rPr>
                <w:rFonts w:eastAsia="黑体"/>
                <w:color w:val="000000"/>
                <w:kern w:val="0"/>
                <w:sz w:val="20"/>
                <w:szCs w:val="20"/>
                <w:lang w:bidi="ar"/>
              </w:rPr>
              <w:br w:type="textWrapping"/>
            </w:r>
            <w:r>
              <w:rPr>
                <w:rFonts w:eastAsia="黑体"/>
                <w:color w:val="000000"/>
                <w:kern w:val="0"/>
                <w:sz w:val="20"/>
                <w:szCs w:val="20"/>
                <w:lang w:bidi="ar"/>
              </w:rPr>
              <w:t>3. 存储器：工作内存≥50DB，装载内存≥2MB，掉电保持内存≥2KB;</w:t>
            </w:r>
            <w:r>
              <w:rPr>
                <w:rFonts w:eastAsia="黑体"/>
                <w:color w:val="000000"/>
                <w:kern w:val="0"/>
                <w:sz w:val="20"/>
                <w:szCs w:val="20"/>
                <w:lang w:bidi="ar"/>
              </w:rPr>
              <w:br w:type="textWrapping"/>
            </w:r>
            <w:r>
              <w:rPr>
                <w:rFonts w:eastAsia="黑体"/>
                <w:color w:val="000000"/>
                <w:kern w:val="0"/>
                <w:sz w:val="20"/>
                <w:szCs w:val="20"/>
                <w:lang w:bidi="ar"/>
              </w:rPr>
              <w:t>4. 扩展性：支持模拟量和数字量输入输出，≥8个信号模块；</w:t>
            </w:r>
            <w:r>
              <w:rPr>
                <w:rFonts w:eastAsia="黑体"/>
                <w:color w:val="000000"/>
                <w:kern w:val="0"/>
                <w:sz w:val="20"/>
                <w:szCs w:val="20"/>
                <w:lang w:bidi="ar"/>
              </w:rPr>
              <w:br w:type="textWrapping"/>
            </w:r>
            <w:r>
              <w:rPr>
                <w:rFonts w:eastAsia="黑体"/>
                <w:color w:val="000000"/>
                <w:kern w:val="0"/>
                <w:sz w:val="20"/>
                <w:szCs w:val="20"/>
                <w:lang w:bidi="ar"/>
              </w:rPr>
              <w:t>5. 安装方式：支持35 mmDIN 导轨安装；</w:t>
            </w:r>
            <w:r>
              <w:rPr>
                <w:rFonts w:eastAsia="黑体"/>
                <w:color w:val="000000"/>
                <w:kern w:val="0"/>
                <w:sz w:val="20"/>
                <w:szCs w:val="20"/>
                <w:lang w:bidi="ar"/>
              </w:rPr>
              <w:br w:type="textWrapping"/>
            </w:r>
            <w:r>
              <w:rPr>
                <w:rFonts w:eastAsia="黑体"/>
                <w:color w:val="000000"/>
                <w:kern w:val="0"/>
                <w:sz w:val="20"/>
                <w:szCs w:val="20"/>
                <w:lang w:bidi="ar"/>
              </w:rPr>
              <w:t>6. 支持通过TCP/IPnative、ISO-on-TCP 和 S7与第三方设备的通讯；</w:t>
            </w:r>
            <w:r>
              <w:rPr>
                <w:rFonts w:eastAsia="黑体"/>
                <w:color w:val="000000"/>
                <w:kern w:val="0"/>
                <w:sz w:val="20"/>
                <w:szCs w:val="20"/>
                <w:lang w:bidi="ar"/>
              </w:rPr>
              <w:br w:type="textWrapping"/>
            </w:r>
            <w:r>
              <w:rPr>
                <w:rFonts w:eastAsia="黑体"/>
                <w:color w:val="000000"/>
                <w:kern w:val="0"/>
                <w:sz w:val="20"/>
                <w:szCs w:val="20"/>
                <w:lang w:bidi="ar"/>
              </w:rPr>
              <w:t>7. 支持PROFINET 接口，可使用PROFINET 接口用于编程、HMI 通讯和 PLC 间的通讯；</w:t>
            </w:r>
            <w:r>
              <w:rPr>
                <w:rFonts w:eastAsia="黑体"/>
                <w:color w:val="000000"/>
                <w:kern w:val="0"/>
                <w:sz w:val="20"/>
                <w:szCs w:val="20"/>
                <w:lang w:bidi="ar"/>
              </w:rPr>
              <w:br w:type="textWrapping"/>
            </w:r>
            <w:r>
              <w:rPr>
                <w:rFonts w:eastAsia="黑体"/>
                <w:color w:val="000000"/>
                <w:kern w:val="0"/>
                <w:sz w:val="20"/>
                <w:szCs w:val="20"/>
                <w:lang w:bidi="ar"/>
              </w:rPr>
              <w:t>8. 支持RS485和 RS232 通讯，工程组态系统支持扩展指令或库功能、USS 驱动协议、Modbus RTU 主站和从站协议；</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56</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触摸屏系统软件模块</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软件和信息技术服务业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hint="eastAsia" w:eastAsia="黑体"/>
                <w:color w:val="000000"/>
                <w:kern w:val="0"/>
                <w:sz w:val="20"/>
                <w:szCs w:val="20"/>
                <w:lang w:bidi="ar"/>
              </w:rPr>
              <w:t>主要是对控制系统的CPU及其各个子单元模块进行相关组态，实现对控制系统中各个子单元的逻辑控制、读取和写入CPU的相关数据、实时监控当前设备的运行状态、数据读取及实时监控，提供可视化界面。</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57</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称重系统软件模块</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软件和信息技术服务业</w:t>
            </w:r>
          </w:p>
        </w:tc>
        <w:tc>
          <w:tcPr>
            <w:tcW w:w="2702" w:type="pct"/>
            <w:tcBorders>
              <w:tl2br w:val="nil"/>
              <w:tr2bl w:val="nil"/>
            </w:tcBorders>
            <w:shd w:val="clear" w:color="auto" w:fill="auto"/>
            <w:vAlign w:val="center"/>
          </w:tcPr>
          <w:p>
            <w:pPr>
              <w:widowControl/>
              <w:jc w:val="left"/>
              <w:textAlignment w:val="center"/>
              <w:rPr>
                <w:rFonts w:hint="eastAsia" w:eastAsia="黑体"/>
                <w:color w:val="000000"/>
                <w:sz w:val="20"/>
                <w:szCs w:val="20"/>
              </w:rPr>
            </w:pPr>
            <w:r>
              <w:rPr>
                <w:rFonts w:hint="eastAsia" w:eastAsia="黑体"/>
                <w:color w:val="000000"/>
                <w:sz w:val="20"/>
                <w:szCs w:val="20"/>
              </w:rPr>
              <w:t>在线自动获取产品重量</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58</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在线查验上位机控制系统</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软件和信息技术服务业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hint="eastAsia" w:eastAsia="黑体"/>
                <w:color w:val="000000"/>
                <w:kern w:val="0"/>
                <w:sz w:val="20"/>
                <w:szCs w:val="20"/>
                <w:lang w:bidi="ar"/>
              </w:rPr>
              <w:t>实时获取线体货物数据信息以及位置信息，从上层系统获取相关数据实现自动化分拣功能，同时有下位机配合实现容错功能，定制开发</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59</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在线查验下位机控制系统</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软件和信息技术服务业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hint="eastAsia" w:eastAsia="黑体"/>
                <w:color w:val="000000"/>
                <w:kern w:val="0"/>
                <w:sz w:val="20"/>
                <w:szCs w:val="20"/>
                <w:lang w:bidi="ar"/>
              </w:rPr>
              <w:t>PLC控制软件模块，实现软件系统与机械部分运行、控制自如为目的功能设计定制开发</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60</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数据采集与传输系统</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软件和信息技术服务业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hint="eastAsia" w:eastAsia="黑体"/>
                <w:color w:val="000000"/>
                <w:kern w:val="0"/>
                <w:sz w:val="20"/>
                <w:szCs w:val="20"/>
                <w:lang w:bidi="ar"/>
              </w:rPr>
              <w:t>对查验包裹进行状态和位置跟踪，并对包裹进行排序，确保包裹不出现遗漏、重叠、错位等异常。</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61</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智能容错系统系统</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软件和信息技术服务业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系统具备自动恢复功能：当出现人为推拉、光电器件误判、快件被阻挡、快件叠加等情况下，不允许连续出现快件 EDI 信息和 X 光图像不对应的情况。系统检测到以上情况发生时，应该能够自动进行恢复，保证后续快件的 EDI 信息和 X 光图像不错位。定制开发</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62</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流水线状态监控系统</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软件和信息技术服务业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实时监测整条查验线的设备情况，如有机械问题时进行相应的提示，保证系统正常运转；定制开发</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63</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扫码站软件</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软件和信息技术服务业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扫码员应用软件，实现货物上线的业务提示，将获取的条码信息发送至图像与业务数据集成分发软件，最终实现货物与数据的联动。</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64</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海关数据交换系统</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软件和信息技术服务业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系统必须满足接收海关 EDI 数据，实现申报业务数据的读取，完成与本地海关系统的对接开发。</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65</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图像与业务数据集成分发软件</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软件和信息技术服务业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打通同屏比对系统与后端数据的匹配关联，实现对业务数据的提取处理工作，将现场业务数据集中整合并精确分发，完成对前端扫码软件的联动工作。</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66</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数据服务器</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单路2U机架式，铜牌2*3204，32G内存，双颗6核6线 1.9GHz ，2*4T</w:t>
            </w:r>
            <w:r>
              <w:rPr>
                <w:rFonts w:eastAsia="黑体"/>
                <w:color w:val="auto"/>
                <w:kern w:val="0"/>
                <w:sz w:val="20"/>
                <w:szCs w:val="20"/>
                <w:lang w:bidi="ar"/>
              </w:rPr>
              <w:t>B硬盘，</w:t>
            </w:r>
            <w:r>
              <w:rPr>
                <w:rFonts w:eastAsia="黑体"/>
                <w:b w:val="0"/>
                <w:bCs w:val="0"/>
                <w:color w:val="auto"/>
                <w:kern w:val="0"/>
                <w:sz w:val="20"/>
                <w:szCs w:val="20"/>
                <w:highlight w:val="none"/>
                <w:lang w:bidi="ar"/>
              </w:rPr>
              <w:t>SQL Server 2012/中文标准版</w:t>
            </w:r>
            <w:r>
              <w:rPr>
                <w:rFonts w:hint="eastAsia" w:eastAsia="黑体"/>
                <w:b w:val="0"/>
                <w:bCs w:val="0"/>
                <w:color w:val="auto"/>
                <w:kern w:val="0"/>
                <w:sz w:val="20"/>
                <w:szCs w:val="20"/>
                <w:highlight w:val="none"/>
                <w:lang w:val="en-US" w:eastAsia="zh-CN" w:bidi="ar"/>
              </w:rPr>
              <w:t>及以上</w:t>
            </w:r>
            <w:r>
              <w:rPr>
                <w:rFonts w:eastAsia="黑体"/>
                <w:b w:val="0"/>
                <w:bCs w:val="0"/>
                <w:color w:val="auto"/>
                <w:kern w:val="0"/>
                <w:sz w:val="20"/>
                <w:szCs w:val="20"/>
                <w:highlight w:val="none"/>
                <w:lang w:bidi="ar"/>
              </w:rPr>
              <w:t xml:space="preserve"> 五用户</w:t>
            </w:r>
            <w:r>
              <w:rPr>
                <w:rFonts w:hint="eastAsia" w:eastAsia="黑体"/>
                <w:b w:val="0"/>
                <w:bCs w:val="0"/>
                <w:color w:val="auto"/>
                <w:kern w:val="0"/>
                <w:sz w:val="20"/>
                <w:szCs w:val="20"/>
                <w:highlight w:val="none"/>
                <w:lang w:eastAsia="zh-CN" w:bidi="ar"/>
              </w:rPr>
              <w:t>，</w:t>
            </w:r>
            <w:r>
              <w:rPr>
                <w:rFonts w:eastAsia="黑体"/>
                <w:b w:val="0"/>
                <w:bCs w:val="0"/>
                <w:color w:val="auto"/>
                <w:kern w:val="0"/>
                <w:sz w:val="20"/>
                <w:szCs w:val="20"/>
                <w:highlight w:val="none"/>
                <w:lang w:bidi="ar"/>
              </w:rPr>
              <w:t>Server 2012 R2/中文标准版</w:t>
            </w:r>
            <w:r>
              <w:rPr>
                <w:rFonts w:hint="eastAsia" w:eastAsia="黑体"/>
                <w:b w:val="0"/>
                <w:bCs w:val="0"/>
                <w:color w:val="auto"/>
                <w:kern w:val="0"/>
                <w:sz w:val="20"/>
                <w:szCs w:val="20"/>
                <w:highlight w:val="none"/>
                <w:lang w:val="en-US" w:eastAsia="zh-CN" w:bidi="ar"/>
              </w:rPr>
              <w:t>及以上</w:t>
            </w:r>
            <w:r>
              <w:rPr>
                <w:rFonts w:eastAsia="黑体"/>
                <w:b w:val="0"/>
                <w:bCs w:val="0"/>
                <w:color w:val="auto"/>
                <w:kern w:val="0"/>
                <w:sz w:val="20"/>
                <w:szCs w:val="20"/>
                <w:highlight w:val="none"/>
                <w:lang w:bidi="ar"/>
              </w:rPr>
              <w:t xml:space="preserve"> 五用户</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67</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手持扫码枪</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蓝牙 v2.1 二类无线连接，使用投射式通讯座配置，无线通讯范围330 ft./100 m（视线），  左右摆动公差±65°,前后摆动公差±65°，旋转公差±45°，扫描角度：水平 35°，扫描速度：每秒扫描 547 次，解码范围（标准工作范围）3 mil：分辨率下限，4 mil：4-10 in./10.2-25.4 cm，5 mil：3-13 in./7.6-33 cm，,7.5 mil：1.5-19 in./ 3.8-48.3 cm，13 mil：1-31 in./2.5-78.7 cm，20 mil：1-42 in./2.5-106.7 cm；</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68</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交换机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端口描述：48个10/100/1000/BASE-T以太网端口</w:t>
            </w:r>
            <w:r>
              <w:rPr>
                <w:rFonts w:eastAsia="黑体"/>
                <w:color w:val="000000"/>
                <w:kern w:val="0"/>
                <w:sz w:val="20"/>
                <w:szCs w:val="20"/>
                <w:lang w:bidi="ar"/>
              </w:rPr>
              <w:br w:type="textWrapping"/>
            </w:r>
            <w:r>
              <w:rPr>
                <w:rFonts w:eastAsia="黑体"/>
                <w:color w:val="000000"/>
                <w:kern w:val="0"/>
                <w:sz w:val="20"/>
                <w:szCs w:val="20"/>
                <w:lang w:bidi="ar"/>
              </w:rPr>
              <w:t>4个千兆SFP；额定电压： 100-240V AC，50/60Hz；最大电压：90V AC-264V AC；47Hz-63Hz；端口类型：电口&amp;光口；1U；</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69</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附件材料</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b/>
                <w:bCs/>
                <w:color w:val="FF0000"/>
                <w:sz w:val="20"/>
                <w:szCs w:val="20"/>
              </w:rPr>
              <w:t>此项内容</w:t>
            </w:r>
            <w:r>
              <w:rPr>
                <w:rFonts w:eastAsia="黑体"/>
                <w:b/>
                <w:bCs/>
                <w:color w:val="FF0000"/>
                <w:sz w:val="20"/>
                <w:szCs w:val="20"/>
              </w:rPr>
              <w:t>不纳入中小企业声明函内，中小企业声明函内无需填写此项。</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电源开关、接线头、反光板、波纹管、扎带、工具、插排等</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7"/>
            <w:tcBorders>
              <w:tl2br w:val="nil"/>
              <w:tr2bl w:val="nil"/>
            </w:tcBorders>
            <w:shd w:val="clear" w:color="auto" w:fill="FFFF00"/>
            <w:noWrap/>
            <w:vAlign w:val="center"/>
          </w:tcPr>
          <w:p>
            <w:pPr>
              <w:widowControl/>
              <w:textAlignment w:val="center"/>
              <w:rPr>
                <w:rFonts w:eastAsia="黑体"/>
                <w:color w:val="000000"/>
                <w:sz w:val="20"/>
                <w:szCs w:val="20"/>
              </w:rPr>
            </w:pPr>
            <w:r>
              <w:rPr>
                <w:rFonts w:eastAsia="黑体"/>
                <w:color w:val="000000"/>
                <w:kern w:val="0"/>
                <w:sz w:val="20"/>
                <w:szCs w:val="20"/>
                <w:lang w:bidi="ar"/>
              </w:rPr>
              <w:t>五、业务用房综合布线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71</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交换机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背板带宽 ≥336Gbps/3.36Tbps，包转发率 ≥108Mpps/126Mpps支持≥24个100/1000BASE-X SFP端口,支持8个10/100/1000BASE-T Combo 口,支持4个10G BASE-X SFP+端口.端口结构 非模块化</w:t>
            </w:r>
            <w:r>
              <w:rPr>
                <w:rFonts w:eastAsia="黑体"/>
                <w:color w:val="000000"/>
                <w:kern w:val="0"/>
                <w:sz w:val="20"/>
                <w:szCs w:val="20"/>
                <w:lang w:bidi="ar"/>
              </w:rPr>
              <w:br w:type="textWrapping"/>
            </w:r>
            <w:r>
              <w:rPr>
                <w:rFonts w:eastAsia="黑体"/>
                <w:color w:val="000000"/>
                <w:kern w:val="0"/>
                <w:sz w:val="20"/>
                <w:szCs w:val="20"/>
                <w:lang w:bidi="ar"/>
              </w:rPr>
              <w:t>端口数量 ≥28个</w:t>
            </w:r>
            <w:r>
              <w:rPr>
                <w:rFonts w:eastAsia="黑体"/>
                <w:color w:val="000000"/>
                <w:kern w:val="0"/>
                <w:sz w:val="20"/>
                <w:szCs w:val="20"/>
                <w:lang w:bidi="ar"/>
              </w:rPr>
              <w:br w:type="textWrapping"/>
            </w:r>
            <w:r>
              <w:rPr>
                <w:rFonts w:eastAsia="黑体"/>
                <w:color w:val="000000"/>
                <w:kern w:val="0"/>
                <w:sz w:val="20"/>
                <w:szCs w:val="20"/>
                <w:lang w:bidi="ar"/>
              </w:rPr>
              <w:t>端口描述 ≥24个100/1000Base-X 千兆光口（8*Combo口）</w:t>
            </w:r>
            <w:r>
              <w:rPr>
                <w:rFonts w:eastAsia="黑体"/>
                <w:color w:val="000000"/>
                <w:kern w:val="0"/>
                <w:sz w:val="20"/>
                <w:szCs w:val="20"/>
                <w:lang w:bidi="ar"/>
              </w:rPr>
              <w:br w:type="textWrapping"/>
            </w:r>
            <w:r>
              <w:rPr>
                <w:rFonts w:eastAsia="黑体"/>
                <w:color w:val="000000"/>
                <w:kern w:val="0"/>
                <w:sz w:val="20"/>
                <w:szCs w:val="20"/>
                <w:lang w:bidi="ar"/>
              </w:rPr>
              <w:t>4个10G BASE-X SFP+万兆光口</w:t>
            </w:r>
            <w:r>
              <w:rPr>
                <w:rFonts w:eastAsia="黑体"/>
                <w:color w:val="000000"/>
                <w:kern w:val="0"/>
                <w:sz w:val="20"/>
                <w:szCs w:val="20"/>
                <w:lang w:bidi="ar"/>
              </w:rPr>
              <w:br w:type="textWrapping"/>
            </w:r>
            <w:r>
              <w:rPr>
                <w:rFonts w:eastAsia="黑体"/>
                <w:color w:val="000000"/>
                <w:kern w:val="0"/>
                <w:sz w:val="20"/>
                <w:szCs w:val="20"/>
                <w:lang w:bidi="ar"/>
              </w:rPr>
              <w:t>传输模式 全双工/半双工自适应</w:t>
            </w:r>
            <w:r>
              <w:rPr>
                <w:rFonts w:eastAsia="黑体"/>
                <w:color w:val="000000"/>
                <w:kern w:val="0"/>
                <w:sz w:val="20"/>
                <w:szCs w:val="20"/>
                <w:lang w:bidi="ar"/>
              </w:rPr>
              <w:br w:type="textWrapping"/>
            </w:r>
            <w:r>
              <w:rPr>
                <w:rFonts w:eastAsia="黑体"/>
                <w:color w:val="000000"/>
                <w:kern w:val="0"/>
                <w:sz w:val="20"/>
                <w:szCs w:val="20"/>
                <w:lang w:bidi="ar"/>
              </w:rPr>
              <w:t>功能特性</w:t>
            </w:r>
            <w:r>
              <w:rPr>
                <w:rFonts w:eastAsia="黑体"/>
                <w:color w:val="000000"/>
                <w:kern w:val="0"/>
                <w:sz w:val="20"/>
                <w:szCs w:val="20"/>
                <w:lang w:bidi="ar"/>
              </w:rPr>
              <w:br w:type="textWrapping"/>
            </w:r>
            <w:r>
              <w:rPr>
                <w:rFonts w:eastAsia="黑体"/>
                <w:color w:val="000000"/>
                <w:kern w:val="0"/>
                <w:sz w:val="20"/>
                <w:szCs w:val="20"/>
                <w:lang w:bidi="ar"/>
              </w:rPr>
              <w:t>堆叠功能 可堆叠</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3</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72</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收发器</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光纤端口传输距离：标配20km（单模单纤），可定制到100km</w:t>
            </w:r>
            <w:r>
              <w:rPr>
                <w:rFonts w:eastAsia="黑体"/>
                <w:color w:val="000000"/>
                <w:kern w:val="0"/>
                <w:sz w:val="20"/>
                <w:szCs w:val="20"/>
                <w:lang w:bidi="ar"/>
              </w:rPr>
              <w:br w:type="textWrapping"/>
            </w:r>
            <w:r>
              <w:rPr>
                <w:rFonts w:eastAsia="黑体"/>
                <w:color w:val="000000"/>
                <w:kern w:val="0"/>
                <w:sz w:val="20"/>
                <w:szCs w:val="20"/>
                <w:lang w:bidi="ar"/>
              </w:rPr>
              <w:t>光纤波长：1310nm/1550nm（单模单纤）</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对</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6</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73</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PDU插座</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10A/16A通用</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个</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74</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配线架</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24口满配</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个</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75</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理线器</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全金属，加厚型机柜网络理线架24口</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个</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76</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网络模块</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五类，千兆网络信息模块，国标</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个</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40</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77</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双口面板</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五类，双RJ-45接口 网络面板，国标</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个</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20</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78</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线缆</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RVV2*4.0mm2</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米</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200</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79</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线缆</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室内六类网线，国标</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箱</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4</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80</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终端盒</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24口满配法兰、尾纤</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个</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81</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跳线</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电信级</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根</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60</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82</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水晶头</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RJ-45，六类</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盒</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4</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7"/>
            <w:tcBorders>
              <w:tl2br w:val="nil"/>
              <w:tr2bl w:val="nil"/>
            </w:tcBorders>
            <w:shd w:val="clear" w:color="auto" w:fill="FFFF00"/>
            <w:noWrap/>
            <w:vAlign w:val="center"/>
          </w:tcPr>
          <w:p>
            <w:pPr>
              <w:widowControl/>
              <w:textAlignment w:val="center"/>
              <w:rPr>
                <w:rFonts w:eastAsia="黑体"/>
                <w:color w:val="000000"/>
                <w:sz w:val="20"/>
                <w:szCs w:val="20"/>
              </w:rPr>
            </w:pPr>
            <w:r>
              <w:rPr>
                <w:rFonts w:eastAsia="黑体"/>
                <w:color w:val="000000"/>
                <w:kern w:val="0"/>
                <w:sz w:val="20"/>
                <w:szCs w:val="20"/>
                <w:lang w:bidi="ar"/>
              </w:rPr>
              <w:t>六、网络安全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84</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防火墙</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2U,内外端机双侧液晶屏； 内端机6个10/100/1000Base-T接口，1个扩展槽位，含1个MGMT口； 外端机6个10/100/1000Base-T接口，1个扩展槽位，含1个HA口；,单电源,网络吞吐量：450Mbps； 并发连接数：8万；内外端机各1TB硬盘。</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FFFFFF"/>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right"/>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85</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网闸</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1U机箱，6个千兆电口，单电源；防火墙吞吐2.2G，并发连接70万，每秒新建连接1.4万，IPSEC VPN吞吐40M，SSL VPN吞吐100M；默认含IPSEC VPN模块，可扩展SSL VPN模块；支持扩展AI应用识别、IPS入侵防御及AV防病毒功能；</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FFFFFF"/>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right"/>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86</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服务器</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1、规格：≥4U机架式，可支持导轨及理线架；</w:t>
            </w:r>
            <w:r>
              <w:rPr>
                <w:rFonts w:eastAsia="黑体"/>
                <w:color w:val="000000"/>
                <w:kern w:val="0"/>
                <w:sz w:val="20"/>
                <w:szCs w:val="20"/>
                <w:lang w:bidi="ar"/>
              </w:rPr>
              <w:br w:type="textWrapping"/>
            </w:r>
            <w:r>
              <w:rPr>
                <w:rFonts w:eastAsia="黑体"/>
                <w:color w:val="000000"/>
                <w:kern w:val="0"/>
                <w:sz w:val="20"/>
                <w:szCs w:val="20"/>
                <w:lang w:bidi="ar"/>
              </w:rPr>
              <w:t>2、采用fullmesh架构；</w:t>
            </w:r>
            <w:r>
              <w:rPr>
                <w:rFonts w:eastAsia="黑体"/>
                <w:color w:val="000000"/>
                <w:kern w:val="0"/>
                <w:sz w:val="20"/>
                <w:szCs w:val="20"/>
                <w:lang w:bidi="ar"/>
              </w:rPr>
              <w:br w:type="textWrapping"/>
            </w:r>
            <w:r>
              <w:rPr>
                <w:rFonts w:eastAsia="黑体"/>
                <w:color w:val="000000"/>
                <w:kern w:val="0"/>
                <w:sz w:val="20"/>
                <w:szCs w:val="20"/>
                <w:lang w:bidi="ar"/>
              </w:rPr>
              <w:t>3、处理器：4颗 CPU≥2.6GHz/18-Core/24.75MB/150W) ；</w:t>
            </w:r>
            <w:r>
              <w:rPr>
                <w:rFonts w:eastAsia="黑体"/>
                <w:color w:val="000000"/>
                <w:kern w:val="0"/>
                <w:sz w:val="20"/>
                <w:szCs w:val="20"/>
                <w:lang w:bidi="ar"/>
              </w:rPr>
              <w:br w:type="textWrapping"/>
            </w:r>
            <w:r>
              <w:rPr>
                <w:rFonts w:eastAsia="黑体"/>
                <w:color w:val="000000"/>
                <w:kern w:val="0"/>
                <w:sz w:val="20"/>
                <w:szCs w:val="20"/>
                <w:lang w:bidi="ar"/>
              </w:rPr>
              <w:t>4、内存：配置≥4条32GB DDR4 2933MHz; 支持48个内存插槽；支持ECC、Mirrored Channel Mode、SDDC、Rank Sparing Mode、Lockstep、Failed DIMM Isolation、Memory Demand and Patrol Scrubbing、Memory Address Parity Protection、Memory Mirroring、Data Scrambling等内存保护技术，并提供官网证明材料。</w:t>
            </w:r>
            <w:r>
              <w:rPr>
                <w:rFonts w:eastAsia="黑体"/>
                <w:color w:val="000000"/>
                <w:kern w:val="0"/>
                <w:sz w:val="20"/>
                <w:szCs w:val="20"/>
                <w:lang w:bidi="ar"/>
              </w:rPr>
              <w:br w:type="textWrapping"/>
            </w:r>
            <w:r>
              <w:rPr>
                <w:rFonts w:eastAsia="黑体"/>
                <w:color w:val="000000"/>
                <w:kern w:val="0"/>
                <w:sz w:val="20"/>
                <w:szCs w:val="20"/>
                <w:lang w:bidi="ar"/>
              </w:rPr>
              <w:t xml:space="preserve">5、板载2*GE+2*10GE以太网卡（含模块），配置1*4GE电口(Intel I350芯片），配置2*Emulex -FC HBA卡-16Gb(LPe16002B)-双端口-SFP+(含2个多模光模块) </w:t>
            </w:r>
            <w:r>
              <w:rPr>
                <w:rFonts w:eastAsia="黑体"/>
                <w:color w:val="000000"/>
                <w:kern w:val="0"/>
                <w:sz w:val="20"/>
                <w:szCs w:val="20"/>
                <w:lang w:bidi="ar"/>
              </w:rPr>
              <w:br w:type="textWrapping"/>
            </w:r>
            <w:r>
              <w:rPr>
                <w:rFonts w:eastAsia="黑体"/>
                <w:color w:val="000000"/>
                <w:kern w:val="0"/>
                <w:sz w:val="20"/>
                <w:szCs w:val="20"/>
                <w:lang w:bidi="ar"/>
              </w:rPr>
              <w:t>6、配置1张RAID卡，支持RAID0,1,10,5,50,6,60, 2Gb Cache,含超级电容;</w:t>
            </w:r>
            <w:r>
              <w:rPr>
                <w:rFonts w:eastAsia="黑体"/>
                <w:color w:val="000000"/>
                <w:kern w:val="0"/>
                <w:sz w:val="20"/>
                <w:szCs w:val="20"/>
                <w:lang w:bidi="ar"/>
              </w:rPr>
              <w:br w:type="textWrapping"/>
            </w:r>
            <w:r>
              <w:rPr>
                <w:rFonts w:eastAsia="黑体"/>
                <w:color w:val="000000"/>
                <w:kern w:val="0"/>
                <w:sz w:val="20"/>
                <w:szCs w:val="20"/>
                <w:lang w:bidi="ar"/>
              </w:rPr>
              <w:t>7、硬盘：4*固态硬盘-1920GB  SATA SSD</w:t>
            </w:r>
            <w:r>
              <w:rPr>
                <w:rFonts w:eastAsia="黑体"/>
                <w:color w:val="000000"/>
                <w:kern w:val="0"/>
                <w:sz w:val="20"/>
                <w:szCs w:val="20"/>
                <w:lang w:bidi="ar"/>
              </w:rPr>
              <w:br w:type="textWrapping"/>
            </w:r>
            <w:r>
              <w:rPr>
                <w:rFonts w:eastAsia="黑体"/>
                <w:color w:val="000000"/>
                <w:kern w:val="0"/>
                <w:sz w:val="20"/>
                <w:szCs w:val="20"/>
                <w:lang w:bidi="ar"/>
              </w:rPr>
              <w:t>8、显存：缓存≥32MB,分辨率可达1600*1200；</w:t>
            </w:r>
            <w:r>
              <w:rPr>
                <w:rFonts w:eastAsia="黑体"/>
                <w:color w:val="000000"/>
                <w:kern w:val="0"/>
                <w:sz w:val="20"/>
                <w:szCs w:val="20"/>
                <w:lang w:bidi="ar"/>
              </w:rPr>
              <w:br w:type="textWrapping"/>
            </w:r>
            <w:r>
              <w:rPr>
                <w:rFonts w:eastAsia="黑体"/>
                <w:color w:val="000000"/>
                <w:kern w:val="0"/>
                <w:sz w:val="20"/>
                <w:szCs w:val="20"/>
                <w:lang w:bidi="ar"/>
              </w:rPr>
              <w:t>9、电源：4个1500W交流电源</w:t>
            </w:r>
            <w:r>
              <w:rPr>
                <w:rFonts w:eastAsia="黑体"/>
                <w:color w:val="000000"/>
                <w:kern w:val="0"/>
                <w:sz w:val="20"/>
                <w:szCs w:val="20"/>
                <w:lang w:bidi="ar"/>
              </w:rPr>
              <w:br w:type="textWrapping"/>
            </w:r>
            <w:r>
              <w:rPr>
                <w:rFonts w:eastAsia="黑体"/>
                <w:color w:val="000000"/>
                <w:kern w:val="0"/>
                <w:sz w:val="20"/>
                <w:szCs w:val="20"/>
                <w:lang w:bidi="ar"/>
              </w:rPr>
              <w:t>10、投标产品BIOS支持Secure boot启动，支持第三方证书的导入/导出。</w:t>
            </w:r>
            <w:r>
              <w:rPr>
                <w:rFonts w:eastAsia="黑体"/>
                <w:color w:val="000000"/>
                <w:kern w:val="0"/>
                <w:sz w:val="20"/>
                <w:szCs w:val="20"/>
                <w:lang w:bidi="ar"/>
              </w:rPr>
              <w:br w:type="textWrapping"/>
            </w:r>
            <w:r>
              <w:rPr>
                <w:rFonts w:eastAsia="黑体"/>
                <w:color w:val="000000"/>
                <w:kern w:val="0"/>
                <w:sz w:val="20"/>
                <w:szCs w:val="20"/>
                <w:lang w:bidi="ar"/>
              </w:rPr>
              <w:t>11、投标产品支持基于Redfish的命令行工具，支持Kerberos认证</w:t>
            </w:r>
            <w:r>
              <w:rPr>
                <w:rFonts w:eastAsia="黑体"/>
                <w:color w:val="000000"/>
                <w:kern w:val="0"/>
                <w:sz w:val="20"/>
                <w:szCs w:val="20"/>
                <w:lang w:bidi="ar"/>
              </w:rPr>
              <w:br w:type="textWrapping"/>
            </w:r>
            <w:r>
              <w:rPr>
                <w:rFonts w:eastAsia="黑体"/>
                <w:color w:val="000000"/>
                <w:kern w:val="0"/>
                <w:sz w:val="20"/>
                <w:szCs w:val="20"/>
                <w:lang w:bidi="ar"/>
              </w:rPr>
              <w:t>12、投标产品支持SSDP自动发现协议，支持黑匣子功能</w:t>
            </w:r>
            <w:r>
              <w:rPr>
                <w:rFonts w:eastAsia="黑体"/>
                <w:color w:val="000000"/>
                <w:kern w:val="0"/>
                <w:sz w:val="20"/>
                <w:szCs w:val="20"/>
                <w:lang w:bidi="ar"/>
              </w:rPr>
              <w:br w:type="textWrapping"/>
            </w:r>
            <w:r>
              <w:rPr>
                <w:rFonts w:eastAsia="黑体"/>
                <w:color w:val="000000"/>
                <w:kern w:val="0"/>
                <w:sz w:val="20"/>
                <w:szCs w:val="20"/>
                <w:lang w:bidi="ar"/>
              </w:rPr>
              <w:t>13、支持中文BIOS界面，提供中文界面截图</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FFFFFF"/>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right"/>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7"/>
            <w:tcBorders>
              <w:tl2br w:val="nil"/>
              <w:tr2bl w:val="nil"/>
            </w:tcBorders>
            <w:shd w:val="clear" w:color="auto" w:fill="FFFF00"/>
            <w:noWrap/>
            <w:vAlign w:val="center"/>
          </w:tcPr>
          <w:p>
            <w:pPr>
              <w:widowControl/>
              <w:textAlignment w:val="center"/>
              <w:rPr>
                <w:rFonts w:eastAsia="黑体"/>
                <w:color w:val="000000"/>
                <w:sz w:val="20"/>
                <w:szCs w:val="20"/>
              </w:rPr>
            </w:pPr>
            <w:r>
              <w:rPr>
                <w:rFonts w:eastAsia="黑体"/>
                <w:color w:val="000000"/>
                <w:kern w:val="0"/>
                <w:sz w:val="20"/>
                <w:szCs w:val="20"/>
                <w:lang w:bidi="ar"/>
              </w:rPr>
              <w:t>七、1210软件系统及服务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88</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跨境电商与硬件设备相关系统对接服务</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软件和信息技术服务业</w:t>
            </w:r>
          </w:p>
        </w:tc>
        <w:tc>
          <w:tcPr>
            <w:tcW w:w="2702" w:type="pct"/>
            <w:tcBorders>
              <w:tl2br w:val="nil"/>
              <w:tr2bl w:val="nil"/>
            </w:tcBorders>
            <w:shd w:val="clear" w:color="auto" w:fill="auto"/>
            <w:vAlign w:val="center"/>
          </w:tcPr>
          <w:p>
            <w:pPr>
              <w:widowControl/>
              <w:jc w:val="left"/>
              <w:textAlignment w:val="center"/>
            </w:pPr>
            <w:r>
              <w:rPr>
                <w:rFonts w:hint="eastAsia" w:eastAsia="黑体"/>
                <w:color w:val="000000"/>
                <w:kern w:val="0"/>
                <w:sz w:val="20"/>
                <w:szCs w:val="20"/>
                <w:lang w:val="en-US" w:eastAsia="zh-CN" w:bidi="ar"/>
              </w:rPr>
              <w:t>与海关数据进行对接对接，实现</w:t>
            </w:r>
            <w:r>
              <w:rPr>
                <w:rFonts w:eastAsia="黑体"/>
                <w:color w:val="000000"/>
                <w:kern w:val="0"/>
                <w:sz w:val="20"/>
                <w:szCs w:val="20"/>
                <w:lang w:bidi="ar"/>
              </w:rPr>
              <w:t>霍尔果斯综保区</w:t>
            </w:r>
            <w:r>
              <w:rPr>
                <w:rFonts w:hint="eastAsia" w:eastAsia="黑体"/>
                <w:color w:val="000000"/>
                <w:kern w:val="0"/>
                <w:sz w:val="20"/>
                <w:szCs w:val="20"/>
                <w:lang w:val="en-US" w:eastAsia="zh-CN" w:bidi="ar"/>
              </w:rPr>
              <w:t>1210</w:t>
            </w:r>
            <w:r>
              <w:rPr>
                <w:rFonts w:eastAsia="黑体"/>
                <w:color w:val="000000"/>
                <w:kern w:val="0"/>
                <w:sz w:val="20"/>
                <w:szCs w:val="20"/>
                <w:lang w:bidi="ar"/>
              </w:rPr>
              <w:t>跨境电商物流库数据下发；完成数据抽取，实现与查验分拣线系统对接，</w:t>
            </w:r>
            <w:r>
              <w:rPr>
                <w:rFonts w:hint="eastAsia" w:eastAsia="黑体"/>
                <w:color w:val="000000"/>
                <w:kern w:val="0"/>
                <w:sz w:val="20"/>
                <w:szCs w:val="20"/>
                <w:lang w:val="en-US" w:eastAsia="zh-CN" w:bidi="ar"/>
              </w:rPr>
              <w:t>实现与霍尔果斯综保区现有卡口系统，物流监控系统对接，</w:t>
            </w:r>
            <w:r>
              <w:rPr>
                <w:rFonts w:eastAsia="黑体"/>
                <w:color w:val="000000"/>
                <w:kern w:val="0"/>
                <w:sz w:val="20"/>
                <w:szCs w:val="20"/>
                <w:lang w:bidi="ar"/>
              </w:rPr>
              <w:t>实现</w:t>
            </w:r>
            <w:r>
              <w:rPr>
                <w:rFonts w:hint="eastAsia" w:eastAsia="黑体"/>
                <w:color w:val="000000"/>
                <w:kern w:val="0"/>
                <w:sz w:val="20"/>
                <w:szCs w:val="20"/>
                <w:lang w:val="en-US" w:eastAsia="zh-CN" w:bidi="ar"/>
              </w:rPr>
              <w:t>1210跨境电商货物的</w:t>
            </w:r>
            <w:r>
              <w:rPr>
                <w:rFonts w:eastAsia="黑体"/>
                <w:color w:val="000000"/>
                <w:kern w:val="0"/>
                <w:sz w:val="20"/>
                <w:szCs w:val="20"/>
                <w:lang w:bidi="ar"/>
              </w:rPr>
              <w:t>查验与放行；实现已放行跨境电商</w:t>
            </w:r>
            <w:r>
              <w:rPr>
                <w:rFonts w:hint="eastAsia" w:eastAsia="黑体"/>
                <w:color w:val="000000"/>
                <w:kern w:val="0"/>
                <w:sz w:val="20"/>
                <w:szCs w:val="20"/>
                <w:lang w:val="en-US" w:eastAsia="zh-CN" w:bidi="ar"/>
              </w:rPr>
              <w:t>货物</w:t>
            </w:r>
            <w:r>
              <w:rPr>
                <w:rFonts w:eastAsia="黑体"/>
                <w:color w:val="000000"/>
                <w:kern w:val="0"/>
                <w:sz w:val="20"/>
                <w:szCs w:val="20"/>
                <w:lang w:bidi="ar"/>
              </w:rPr>
              <w:t>核放功能，根据提运单生成核放单，并与口岸</w:t>
            </w:r>
            <w:r>
              <w:rPr>
                <w:rFonts w:hint="eastAsia" w:eastAsia="黑体"/>
                <w:color w:val="000000"/>
                <w:kern w:val="0"/>
                <w:sz w:val="20"/>
                <w:szCs w:val="20"/>
                <w:lang w:val="en-US" w:eastAsia="zh-CN" w:bidi="ar"/>
              </w:rPr>
              <w:t>其他监管场所、智能卡口系统</w:t>
            </w:r>
            <w:r>
              <w:rPr>
                <w:rFonts w:eastAsia="黑体"/>
                <w:color w:val="000000"/>
                <w:kern w:val="0"/>
                <w:sz w:val="20"/>
                <w:szCs w:val="20"/>
                <w:lang w:bidi="ar"/>
              </w:rPr>
              <w:t>联动。</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项</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89</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1210保税辅助管理系统</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软件和信息技术服务业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跨境通关辅助管理系统、物流监控系统为海关人员提供以下功能：</w:t>
            </w:r>
            <w:r>
              <w:rPr>
                <w:rFonts w:eastAsia="黑体"/>
                <w:color w:val="000000"/>
                <w:kern w:val="0"/>
                <w:sz w:val="20"/>
                <w:szCs w:val="20"/>
                <w:lang w:bidi="ar"/>
              </w:rPr>
              <w:br w:type="textWrapping"/>
            </w:r>
            <w:r>
              <w:rPr>
                <w:rFonts w:eastAsia="黑体"/>
                <w:color w:val="000000"/>
                <w:kern w:val="0"/>
                <w:sz w:val="20"/>
                <w:szCs w:val="20"/>
                <w:lang w:bidi="ar"/>
              </w:rPr>
              <w:t>企业备案管理：海关可对参与跨境电商的相关主体包括跨境电商企业、跨境电商平台、物流企业、支付企业等的企业备案数据进行审批和管理。</w:t>
            </w:r>
            <w:r>
              <w:rPr>
                <w:rFonts w:eastAsia="黑体"/>
                <w:color w:val="000000"/>
                <w:kern w:val="0"/>
                <w:sz w:val="20"/>
                <w:szCs w:val="20"/>
                <w:lang w:bidi="ar"/>
              </w:rPr>
              <w:br w:type="textWrapping"/>
            </w:r>
            <w:r>
              <w:rPr>
                <w:rFonts w:eastAsia="黑体"/>
                <w:color w:val="000000"/>
                <w:kern w:val="0"/>
                <w:sz w:val="20"/>
                <w:szCs w:val="20"/>
                <w:lang w:bidi="ar"/>
              </w:rPr>
              <w:t>交易单据管理：提供交易单据查询相关功能。支持海关用户查询用户申报的订单、运单、支付单等单据的查询。</w:t>
            </w:r>
            <w:r>
              <w:rPr>
                <w:rFonts w:eastAsia="黑体"/>
                <w:color w:val="000000"/>
                <w:kern w:val="0"/>
                <w:sz w:val="20"/>
                <w:szCs w:val="20"/>
                <w:lang w:bidi="ar"/>
              </w:rPr>
              <w:br w:type="textWrapping"/>
            </w:r>
            <w:r>
              <w:rPr>
                <w:rFonts w:eastAsia="黑体"/>
                <w:color w:val="000000"/>
                <w:kern w:val="0"/>
                <w:sz w:val="20"/>
                <w:szCs w:val="20"/>
                <w:lang w:bidi="ar"/>
              </w:rPr>
              <w:t>核放单审批管理：提供1210模式下，跨境电商入出区核放单的审批功能。</w:t>
            </w:r>
            <w:r>
              <w:rPr>
                <w:rFonts w:eastAsia="黑体"/>
                <w:color w:val="000000"/>
                <w:kern w:val="0"/>
                <w:sz w:val="20"/>
                <w:szCs w:val="20"/>
                <w:lang w:bidi="ar"/>
              </w:rPr>
              <w:br w:type="textWrapping"/>
            </w:r>
            <w:r>
              <w:rPr>
                <w:rFonts w:eastAsia="黑体"/>
                <w:color w:val="000000"/>
                <w:kern w:val="0"/>
                <w:sz w:val="20"/>
                <w:szCs w:val="20"/>
                <w:lang w:bidi="ar"/>
              </w:rPr>
              <w:t>运输工具审批管理：提供1210模式下，运输工具备案审批功能。</w:t>
            </w:r>
            <w:r>
              <w:rPr>
                <w:rFonts w:eastAsia="黑体"/>
                <w:color w:val="000000"/>
                <w:kern w:val="0"/>
                <w:sz w:val="20"/>
                <w:szCs w:val="20"/>
                <w:lang w:bidi="ar"/>
              </w:rPr>
              <w:br w:type="textWrapping"/>
            </w:r>
            <w:r>
              <w:rPr>
                <w:rFonts w:eastAsia="黑体"/>
                <w:color w:val="000000"/>
                <w:kern w:val="0"/>
                <w:sz w:val="20"/>
                <w:szCs w:val="20"/>
                <w:lang w:bidi="ar"/>
              </w:rPr>
              <w:t>卡口管理：支持对接卡口前置机或卡口系统，可对入出区卡口抬杆进行管理。</w:t>
            </w:r>
            <w:r>
              <w:rPr>
                <w:rFonts w:eastAsia="黑体"/>
                <w:color w:val="000000"/>
                <w:kern w:val="0"/>
                <w:sz w:val="20"/>
                <w:szCs w:val="20"/>
                <w:lang w:bidi="ar"/>
              </w:rPr>
              <w:br w:type="textWrapping"/>
            </w:r>
            <w:r>
              <w:rPr>
                <w:rFonts w:eastAsia="黑体"/>
                <w:color w:val="000000"/>
                <w:kern w:val="0"/>
                <w:sz w:val="20"/>
                <w:szCs w:val="20"/>
                <w:lang w:bidi="ar"/>
              </w:rPr>
              <w:t>综合查询：提供海关关员综合查询功能。海关关员可查询企业提交的进口或出口清单等单证数据。</w:t>
            </w:r>
            <w:r>
              <w:rPr>
                <w:rFonts w:eastAsia="黑体"/>
                <w:color w:val="000000"/>
                <w:kern w:val="0"/>
                <w:sz w:val="20"/>
                <w:szCs w:val="20"/>
                <w:lang w:bidi="ar"/>
              </w:rPr>
              <w:br w:type="textWrapping"/>
            </w:r>
            <w:r>
              <w:rPr>
                <w:rFonts w:hint="eastAsia" w:eastAsia="黑体"/>
                <w:color w:val="000000"/>
                <w:kern w:val="0"/>
                <w:sz w:val="20"/>
                <w:szCs w:val="20"/>
                <w:lang w:val="en-US" w:eastAsia="zh-CN" w:bidi="ar"/>
              </w:rPr>
              <w:t>实现海关</w:t>
            </w:r>
            <w:r>
              <w:rPr>
                <w:rFonts w:eastAsia="黑体"/>
                <w:color w:val="000000"/>
                <w:kern w:val="0"/>
                <w:sz w:val="20"/>
                <w:szCs w:val="20"/>
                <w:lang w:bidi="ar"/>
              </w:rPr>
              <w:t>三统一平台对接：系统集成三统一平台用户身份认证体系，海关关员可采用三统一账号信息登录访问系统。</w:t>
            </w:r>
            <w:r>
              <w:rPr>
                <w:rFonts w:eastAsia="黑体"/>
                <w:color w:val="000000"/>
                <w:kern w:val="0"/>
                <w:sz w:val="20"/>
                <w:szCs w:val="20"/>
                <w:lang w:bidi="ar"/>
              </w:rPr>
              <w:br w:type="textWrapping"/>
            </w:r>
            <w:r>
              <w:rPr>
                <w:rFonts w:eastAsia="黑体"/>
                <w:color w:val="000000"/>
                <w:kern w:val="0"/>
                <w:sz w:val="20"/>
                <w:szCs w:val="20"/>
                <w:lang w:bidi="ar"/>
              </w:rPr>
              <w:t>海关数据预定：通过物流库预定系统</w:t>
            </w:r>
            <w:r>
              <w:rPr>
                <w:rFonts w:hint="eastAsia" w:eastAsia="黑体"/>
                <w:color w:val="000000"/>
                <w:kern w:val="0"/>
                <w:sz w:val="20"/>
                <w:szCs w:val="20"/>
                <w:lang w:eastAsia="zh-CN" w:bidi="ar"/>
              </w:rPr>
              <w:t>，</w:t>
            </w:r>
            <w:r>
              <w:rPr>
                <w:rFonts w:eastAsia="黑体"/>
                <w:color w:val="000000"/>
                <w:kern w:val="0"/>
                <w:sz w:val="20"/>
                <w:szCs w:val="20"/>
                <w:lang w:bidi="ar"/>
              </w:rPr>
              <w:t>从地方海关物流库预定总署审批的清单数据。</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项</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90</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服务器</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至强 Intel Xeon 6140(18C,140W,2.3GHz) 处理器； 3.内存：配置4*32G DDR4 RDIMM内存;支持最大配置48条DDR4内存; 4.硬盘：本次配置3*600G 10K SAS 硬盘,支持2个内置基于SATA总线的M.2 SSD硬盘，支持2个内置SD存储器； 5.阵列卡：配置八通道高性能 SAS RAID卡 RS8204(2G缓存)，可支持RAID0，1，5，6，10，50，60； 6.板载网卡：板载4个千兆网口+1*双口16GB HBA 7.IO扩展：最大支持16个PCle 内置插槽，支持14个PCle*8后置插槽，其中4个半高半长，10个全高全长，支持2个PCle*8内置插槽，支持1个OCP 扩展，支持2个全高全长GPU，提供电源接口卡； 8.电源及外设：配置4个1300W冗余电源，最大支持2个1600W电源模块，冗余散热风扇，机架安装导轨； 9.管理：简体中文版服务器管理软件，维护：模块化免工具拆卸</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7"/>
            <w:tcBorders>
              <w:tl2br w:val="nil"/>
              <w:tr2bl w:val="nil"/>
            </w:tcBorders>
            <w:shd w:val="clear" w:color="auto" w:fill="FFFF00"/>
            <w:noWrap/>
            <w:vAlign w:val="center"/>
          </w:tcPr>
          <w:p>
            <w:pPr>
              <w:widowControl/>
              <w:textAlignment w:val="center"/>
              <w:rPr>
                <w:rFonts w:eastAsia="黑体"/>
                <w:color w:val="000000"/>
                <w:sz w:val="20"/>
                <w:szCs w:val="20"/>
              </w:rPr>
            </w:pPr>
            <w:r>
              <w:rPr>
                <w:rFonts w:eastAsia="黑体"/>
                <w:color w:val="000000"/>
                <w:kern w:val="0"/>
                <w:sz w:val="20"/>
                <w:szCs w:val="20"/>
                <w:shd w:val="clear" w:color="auto" w:fill="FFFF00"/>
                <w:lang w:bidi="ar"/>
              </w:rPr>
              <w:t>八、9610分拣线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FFFFFF" w:themeFill="background1"/>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91</w:t>
            </w:r>
          </w:p>
        </w:tc>
        <w:tc>
          <w:tcPr>
            <w:tcW w:w="582" w:type="pct"/>
            <w:tcBorders>
              <w:tl2br w:val="nil"/>
              <w:tr2bl w:val="nil"/>
            </w:tcBorders>
            <w:shd w:val="clear" w:color="auto" w:fill="FFFFFF" w:themeFill="background1"/>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万向球</w:t>
            </w:r>
          </w:p>
        </w:tc>
        <w:tc>
          <w:tcPr>
            <w:tcW w:w="623" w:type="pct"/>
            <w:tcBorders>
              <w:tl2br w:val="nil"/>
              <w:tr2bl w:val="nil"/>
            </w:tcBorders>
            <w:shd w:val="clear" w:color="auto" w:fill="FFFFFF" w:themeFill="background1"/>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FFFFFF" w:themeFill="background1"/>
            <w:vAlign w:val="center"/>
          </w:tcPr>
          <w:p>
            <w:pPr>
              <w:widowControl/>
              <w:jc w:val="left"/>
              <w:textAlignment w:val="center"/>
              <w:rPr>
                <w:rFonts w:eastAsia="黑体"/>
                <w:color w:val="000000"/>
                <w:sz w:val="20"/>
                <w:szCs w:val="20"/>
              </w:rPr>
            </w:pPr>
            <w:r>
              <w:rPr>
                <w:rFonts w:eastAsia="黑体"/>
                <w:color w:val="000000"/>
                <w:kern w:val="0"/>
                <w:sz w:val="20"/>
                <w:szCs w:val="20"/>
                <w:lang w:bidi="ar"/>
              </w:rPr>
              <w:t>平台尺寸（长*宽*高）：1000*1000*750</w:t>
            </w:r>
            <w:r>
              <w:rPr>
                <w:rFonts w:eastAsia="黑体"/>
                <w:color w:val="000000"/>
                <w:kern w:val="0"/>
                <w:sz w:val="20"/>
                <w:szCs w:val="20"/>
                <w:lang w:bidi="ar"/>
              </w:rPr>
              <w:br w:type="textWrapping"/>
            </w:r>
            <w:r>
              <w:rPr>
                <w:rFonts w:eastAsia="黑体"/>
                <w:color w:val="000000"/>
                <w:kern w:val="0"/>
                <w:sz w:val="20"/>
                <w:szCs w:val="20"/>
                <w:lang w:bidi="ar"/>
              </w:rPr>
              <w:t>万向球采用蝶形万向球，滚珠直径25.4mm，滚珠和球壳材质全是SUS304，万向球球中心间隔≤80m。</w:t>
            </w:r>
            <w:r>
              <w:rPr>
                <w:rFonts w:eastAsia="黑体"/>
                <w:color w:val="000000"/>
                <w:kern w:val="0"/>
                <w:sz w:val="20"/>
                <w:szCs w:val="20"/>
                <w:lang w:bidi="ar"/>
              </w:rPr>
              <w:br w:type="textWrapping"/>
            </w:r>
            <w:r>
              <w:rPr>
                <w:rFonts w:eastAsia="黑体"/>
                <w:color w:val="000000"/>
                <w:kern w:val="0"/>
                <w:sz w:val="20"/>
                <w:szCs w:val="20"/>
                <w:lang w:bidi="ar"/>
              </w:rPr>
              <w:t>承载板≥3mm，材质SUS304。</w:t>
            </w:r>
            <w:r>
              <w:rPr>
                <w:rFonts w:eastAsia="黑体"/>
                <w:color w:val="000000"/>
                <w:kern w:val="0"/>
                <w:sz w:val="20"/>
                <w:szCs w:val="20"/>
                <w:lang w:bidi="ar"/>
              </w:rPr>
              <w:br w:type="textWrapping"/>
            </w:r>
            <w:r>
              <w:rPr>
                <w:rFonts w:eastAsia="黑体"/>
                <w:color w:val="000000"/>
                <w:kern w:val="0"/>
                <w:sz w:val="20"/>
                <w:szCs w:val="20"/>
                <w:lang w:bidi="ar"/>
              </w:rPr>
              <w:t>碳钢支腿机架，机架厚度≥3mm，支腿高度可调±50mm。</w:t>
            </w:r>
          </w:p>
        </w:tc>
        <w:tc>
          <w:tcPr>
            <w:tcW w:w="224" w:type="pct"/>
            <w:tcBorders>
              <w:tl2br w:val="nil"/>
              <w:tr2bl w:val="nil"/>
            </w:tcBorders>
            <w:shd w:val="clear" w:color="auto" w:fill="FFFFFF" w:themeFill="background1"/>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FFFFFF" w:themeFill="background1"/>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FFFFFF" w:themeFill="background1"/>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92</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皮带输送机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尺寸（长*宽*高）：2500*1000*750，</w:t>
            </w:r>
            <w:r>
              <w:rPr>
                <w:rFonts w:eastAsia="黑体"/>
                <w:color w:val="000000"/>
                <w:kern w:val="0"/>
                <w:sz w:val="20"/>
                <w:szCs w:val="20"/>
                <w:lang w:bidi="ar"/>
              </w:rPr>
              <w:br w:type="textWrapping"/>
            </w:r>
            <w:r>
              <w:rPr>
                <w:rFonts w:eastAsia="黑体"/>
                <w:color w:val="000000"/>
                <w:kern w:val="0"/>
                <w:sz w:val="20"/>
                <w:szCs w:val="20"/>
                <w:lang w:bidi="ar"/>
              </w:rPr>
              <w:t>输送速度： 0.5m/s</w:t>
            </w:r>
            <w:r>
              <w:rPr>
                <w:rFonts w:eastAsia="黑体"/>
                <w:color w:val="000000"/>
                <w:kern w:val="0"/>
                <w:sz w:val="20"/>
                <w:szCs w:val="20"/>
                <w:lang w:bidi="ar"/>
              </w:rPr>
              <w:br w:type="textWrapping"/>
            </w:r>
            <w:r>
              <w:rPr>
                <w:rFonts w:eastAsia="黑体"/>
                <w:color w:val="000000"/>
                <w:kern w:val="0"/>
                <w:sz w:val="20"/>
                <w:szCs w:val="20"/>
                <w:lang w:bidi="ar"/>
              </w:rPr>
              <w:t>承载能力： 60kg/m</w:t>
            </w:r>
            <w:r>
              <w:rPr>
                <w:rFonts w:eastAsia="黑体"/>
                <w:color w:val="000000"/>
                <w:kern w:val="0"/>
                <w:sz w:val="20"/>
                <w:szCs w:val="20"/>
                <w:lang w:bidi="ar"/>
              </w:rPr>
              <w:br w:type="textWrapping"/>
            </w:r>
            <w:r>
              <w:rPr>
                <w:rFonts w:eastAsia="黑体"/>
                <w:color w:val="000000"/>
                <w:kern w:val="0"/>
                <w:sz w:val="20"/>
                <w:szCs w:val="20"/>
                <w:lang w:bidi="ar"/>
              </w:rPr>
              <w:t>电机功率： 0.37-1.5Kw</w:t>
            </w:r>
            <w:r>
              <w:rPr>
                <w:rFonts w:eastAsia="黑体"/>
                <w:color w:val="000000"/>
                <w:kern w:val="0"/>
                <w:sz w:val="20"/>
                <w:szCs w:val="20"/>
                <w:lang w:bidi="ar"/>
              </w:rPr>
              <w:br w:type="textWrapping"/>
            </w:r>
            <w:r>
              <w:rPr>
                <w:rFonts w:eastAsia="黑体"/>
                <w:color w:val="000000"/>
                <w:kern w:val="0"/>
                <w:sz w:val="20"/>
                <w:szCs w:val="20"/>
                <w:lang w:bidi="ar"/>
              </w:rPr>
              <w:t>皮带厚度： 3mm，延伸率ε≤1％（拉力为12N/mm时）</w:t>
            </w:r>
            <w:r>
              <w:rPr>
                <w:rFonts w:eastAsia="黑体"/>
                <w:color w:val="000000"/>
                <w:kern w:val="0"/>
                <w:sz w:val="20"/>
                <w:szCs w:val="20"/>
                <w:lang w:bidi="ar"/>
              </w:rPr>
              <w:br w:type="textWrapping"/>
            </w:r>
            <w:r>
              <w:rPr>
                <w:rFonts w:eastAsia="黑体"/>
                <w:color w:val="000000"/>
                <w:kern w:val="0"/>
                <w:sz w:val="20"/>
                <w:szCs w:val="20"/>
                <w:lang w:bidi="ar"/>
              </w:rPr>
              <w:t>主要部件：电机、皮带、轴承</w:t>
            </w:r>
            <w:r>
              <w:rPr>
                <w:rFonts w:eastAsia="黑体"/>
                <w:color w:val="000000"/>
                <w:kern w:val="0"/>
                <w:sz w:val="20"/>
                <w:szCs w:val="20"/>
                <w:lang w:bidi="ar"/>
              </w:rPr>
              <w:br w:type="textWrapping"/>
            </w:r>
            <w:r>
              <w:rPr>
                <w:rFonts w:eastAsia="黑体"/>
                <w:color w:val="000000"/>
                <w:kern w:val="0"/>
                <w:sz w:val="20"/>
                <w:szCs w:val="20"/>
                <w:lang w:bidi="ar"/>
              </w:rPr>
              <w:t>皮带:黑色3mm PVC带，防霉、抗阻燃、防静电</w:t>
            </w:r>
            <w:r>
              <w:rPr>
                <w:rFonts w:eastAsia="黑体"/>
                <w:color w:val="000000"/>
                <w:kern w:val="0"/>
                <w:sz w:val="20"/>
                <w:szCs w:val="20"/>
                <w:lang w:bidi="ar"/>
              </w:rPr>
              <w:br w:type="textWrapping"/>
            </w:r>
            <w:r>
              <w:rPr>
                <w:rFonts w:eastAsia="黑体"/>
                <w:color w:val="000000"/>
                <w:kern w:val="0"/>
                <w:sz w:val="20"/>
                <w:szCs w:val="20"/>
                <w:lang w:bidi="ar"/>
              </w:rPr>
              <w:t>拉紧装置：有张紧装置，可调跑偏</w:t>
            </w:r>
            <w:r>
              <w:rPr>
                <w:rFonts w:eastAsia="黑体"/>
                <w:color w:val="000000"/>
                <w:kern w:val="0"/>
                <w:sz w:val="20"/>
                <w:szCs w:val="20"/>
                <w:lang w:bidi="ar"/>
              </w:rPr>
              <w:br w:type="textWrapping"/>
            </w:r>
            <w:r>
              <w:rPr>
                <w:rFonts w:eastAsia="黑体"/>
                <w:color w:val="000000"/>
                <w:kern w:val="0"/>
                <w:sz w:val="20"/>
                <w:szCs w:val="20"/>
                <w:lang w:bidi="ar"/>
              </w:rPr>
              <w:t>整机噪音：≤65 dB</w:t>
            </w:r>
            <w:r>
              <w:rPr>
                <w:rFonts w:eastAsia="黑体"/>
                <w:color w:val="000000"/>
                <w:kern w:val="0"/>
                <w:sz w:val="20"/>
                <w:szCs w:val="20"/>
                <w:lang w:bidi="ar"/>
              </w:rPr>
              <w:br w:type="textWrapping"/>
            </w:r>
            <w:r>
              <w:rPr>
                <w:rFonts w:eastAsia="黑体"/>
                <w:color w:val="000000"/>
                <w:kern w:val="0"/>
                <w:sz w:val="20"/>
                <w:szCs w:val="20"/>
                <w:lang w:bidi="ar"/>
              </w:rPr>
              <w:t>碳钢支腿机架，机架厚度≥3mm，支腿高度可调±50mm。</w:t>
            </w:r>
            <w:r>
              <w:rPr>
                <w:rFonts w:eastAsia="黑体"/>
                <w:color w:val="000000"/>
                <w:kern w:val="0"/>
                <w:sz w:val="20"/>
                <w:szCs w:val="20"/>
                <w:lang w:bidi="ar"/>
              </w:rPr>
              <w:br w:type="textWrapping"/>
            </w:r>
            <w:r>
              <w:rPr>
                <w:rFonts w:eastAsia="黑体"/>
                <w:color w:val="000000"/>
                <w:kern w:val="0"/>
                <w:sz w:val="20"/>
                <w:szCs w:val="20"/>
                <w:lang w:bidi="ar"/>
              </w:rPr>
              <w:t>机架和护栏两侧配封板。</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93</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顶置扫描仪</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物流读码中文3000系列600万GigE黑白面阵工业相机（A3600MG18-01001）；2/3英寸800W像素25mm工业定焦镜头-MH2520M；智能频闪灯HR-SL2400B-A；标准外部线-(超五类网络线,屏蔽,带固定螺钉)-黑色-5000mm；工业相机专用线-（6芯航空公头，一头半剥线）-黑色-235mm；</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94</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移栽机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尺寸（长*宽*高）：1500 *1000 *750</w:t>
            </w:r>
            <w:r>
              <w:rPr>
                <w:rFonts w:eastAsia="黑体"/>
                <w:color w:val="000000"/>
                <w:kern w:val="0"/>
                <w:sz w:val="20"/>
                <w:szCs w:val="20"/>
                <w:lang w:bidi="ar"/>
              </w:rPr>
              <w:br w:type="textWrapping"/>
            </w:r>
            <w:r>
              <w:rPr>
                <w:rFonts w:eastAsia="黑体"/>
                <w:color w:val="000000"/>
                <w:kern w:val="0"/>
                <w:sz w:val="20"/>
                <w:szCs w:val="20"/>
                <w:lang w:bidi="ar"/>
              </w:rPr>
              <w:t>电机：三相电机  380V</w:t>
            </w:r>
            <w:r>
              <w:rPr>
                <w:rFonts w:eastAsia="黑体"/>
                <w:color w:val="000000"/>
                <w:kern w:val="0"/>
                <w:sz w:val="20"/>
                <w:szCs w:val="20"/>
                <w:lang w:bidi="ar"/>
              </w:rPr>
              <w:br w:type="textWrapping"/>
            </w:r>
            <w:r>
              <w:rPr>
                <w:rFonts w:eastAsia="黑体"/>
                <w:color w:val="000000"/>
                <w:kern w:val="0"/>
                <w:sz w:val="20"/>
                <w:szCs w:val="20"/>
                <w:lang w:bidi="ar"/>
              </w:rPr>
              <w:t>直行速度：30米/分钟</w:t>
            </w:r>
            <w:r>
              <w:rPr>
                <w:rFonts w:eastAsia="黑体"/>
                <w:color w:val="000000"/>
                <w:kern w:val="0"/>
                <w:sz w:val="20"/>
                <w:szCs w:val="20"/>
                <w:lang w:bidi="ar"/>
              </w:rPr>
              <w:br w:type="textWrapping"/>
            </w:r>
            <w:r>
              <w:rPr>
                <w:rFonts w:eastAsia="黑体"/>
                <w:color w:val="000000"/>
                <w:kern w:val="0"/>
                <w:sz w:val="20"/>
                <w:szCs w:val="20"/>
                <w:lang w:bidi="ar"/>
              </w:rPr>
              <w:t>分拣速度：54米/分钟以上</w:t>
            </w:r>
            <w:r>
              <w:rPr>
                <w:rFonts w:eastAsia="黑体"/>
                <w:color w:val="000000"/>
                <w:kern w:val="0"/>
                <w:sz w:val="20"/>
                <w:szCs w:val="20"/>
                <w:lang w:bidi="ar"/>
              </w:rPr>
              <w:br w:type="textWrapping"/>
            </w:r>
            <w:r>
              <w:rPr>
                <w:rFonts w:eastAsia="黑体"/>
                <w:color w:val="000000"/>
                <w:kern w:val="0"/>
                <w:sz w:val="20"/>
                <w:szCs w:val="20"/>
                <w:lang w:bidi="ar"/>
              </w:rPr>
              <w:t>承载能力：60kg/m</w:t>
            </w:r>
            <w:r>
              <w:rPr>
                <w:rFonts w:eastAsia="黑体"/>
                <w:color w:val="000000"/>
                <w:kern w:val="0"/>
                <w:sz w:val="20"/>
                <w:szCs w:val="20"/>
                <w:lang w:bidi="ar"/>
              </w:rPr>
              <w:br w:type="textWrapping"/>
            </w:r>
            <w:r>
              <w:rPr>
                <w:rFonts w:eastAsia="黑体"/>
                <w:color w:val="000000"/>
                <w:kern w:val="0"/>
                <w:sz w:val="20"/>
                <w:szCs w:val="20"/>
                <w:lang w:bidi="ar"/>
              </w:rPr>
              <w:t>移载机：碳钢链条，镀锌加厚滚筒。</w:t>
            </w:r>
            <w:r>
              <w:rPr>
                <w:rFonts w:eastAsia="黑体"/>
                <w:color w:val="000000"/>
                <w:kern w:val="0"/>
                <w:sz w:val="20"/>
                <w:szCs w:val="20"/>
                <w:lang w:bidi="ar"/>
              </w:rPr>
              <w:br w:type="textWrapping"/>
            </w:r>
            <w:r>
              <w:rPr>
                <w:rFonts w:eastAsia="黑体"/>
                <w:color w:val="000000"/>
                <w:kern w:val="0"/>
                <w:sz w:val="20"/>
                <w:szCs w:val="20"/>
                <w:lang w:bidi="ar"/>
              </w:rPr>
              <w:t>直行滚筒机头尾段下面没有移栽机的相邻滚筒间距≤75mm。</w:t>
            </w:r>
            <w:r>
              <w:rPr>
                <w:rFonts w:eastAsia="黑体"/>
                <w:color w:val="000000"/>
                <w:kern w:val="0"/>
                <w:sz w:val="20"/>
                <w:szCs w:val="20"/>
                <w:lang w:bidi="ar"/>
              </w:rPr>
              <w:br w:type="textWrapping"/>
            </w:r>
            <w:r>
              <w:rPr>
                <w:rFonts w:eastAsia="黑体"/>
                <w:color w:val="000000"/>
                <w:kern w:val="0"/>
                <w:sz w:val="20"/>
                <w:szCs w:val="20"/>
                <w:lang w:bidi="ar"/>
              </w:rPr>
              <w:t>配备2个限位开关(24VDC，NPN)及安装支架。</w:t>
            </w:r>
            <w:r>
              <w:rPr>
                <w:rFonts w:eastAsia="黑体"/>
                <w:color w:val="000000"/>
                <w:kern w:val="0"/>
                <w:sz w:val="20"/>
                <w:szCs w:val="20"/>
                <w:lang w:bidi="ar"/>
              </w:rPr>
              <w:br w:type="textWrapping"/>
            </w:r>
            <w:r>
              <w:rPr>
                <w:rFonts w:eastAsia="黑体"/>
                <w:color w:val="000000"/>
                <w:kern w:val="0"/>
                <w:sz w:val="20"/>
                <w:szCs w:val="20"/>
                <w:lang w:bidi="ar"/>
              </w:rPr>
              <w:t>碳钢机架/支腿，带护栏，支腿高度可调±50mm。</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95</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动力滚筒</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尺寸（长*宽*高）：860 *1000 *750</w:t>
            </w:r>
            <w:r>
              <w:rPr>
                <w:rFonts w:eastAsia="黑体"/>
                <w:color w:val="000000"/>
                <w:kern w:val="0"/>
                <w:sz w:val="20"/>
                <w:szCs w:val="20"/>
                <w:lang w:bidi="ar"/>
              </w:rPr>
              <w:br w:type="textWrapping"/>
            </w:r>
            <w:r>
              <w:rPr>
                <w:rFonts w:eastAsia="黑体"/>
                <w:color w:val="000000"/>
                <w:kern w:val="0"/>
                <w:sz w:val="20"/>
                <w:szCs w:val="20"/>
                <w:lang w:bidi="ar"/>
              </w:rPr>
              <w:t>电机：三相电机  380V</w:t>
            </w:r>
            <w:r>
              <w:rPr>
                <w:rFonts w:eastAsia="黑体"/>
                <w:color w:val="000000"/>
                <w:kern w:val="0"/>
                <w:sz w:val="20"/>
                <w:szCs w:val="20"/>
                <w:lang w:bidi="ar"/>
              </w:rPr>
              <w:br w:type="textWrapping"/>
            </w:r>
            <w:r>
              <w:rPr>
                <w:rFonts w:eastAsia="黑体"/>
                <w:color w:val="000000"/>
                <w:kern w:val="0"/>
                <w:sz w:val="20"/>
                <w:szCs w:val="20"/>
                <w:lang w:bidi="ar"/>
              </w:rPr>
              <w:t>承载能力：50kg/m</w:t>
            </w:r>
            <w:r>
              <w:rPr>
                <w:rFonts w:eastAsia="黑体"/>
                <w:color w:val="000000"/>
                <w:kern w:val="0"/>
                <w:sz w:val="20"/>
                <w:szCs w:val="20"/>
                <w:lang w:bidi="ar"/>
              </w:rPr>
              <w:br w:type="textWrapping"/>
            </w:r>
            <w:r>
              <w:rPr>
                <w:rFonts w:eastAsia="黑体"/>
                <w:color w:val="000000"/>
                <w:kern w:val="0"/>
                <w:sz w:val="20"/>
                <w:szCs w:val="20"/>
                <w:lang w:bidi="ar"/>
              </w:rPr>
              <w:t>宽度980mm。</w:t>
            </w:r>
            <w:r>
              <w:rPr>
                <w:rFonts w:eastAsia="黑体"/>
                <w:color w:val="000000"/>
                <w:kern w:val="0"/>
                <w:sz w:val="20"/>
                <w:szCs w:val="20"/>
                <w:lang w:bidi="ar"/>
              </w:rPr>
              <w:br w:type="textWrapping"/>
            </w:r>
            <w:r>
              <w:rPr>
                <w:rFonts w:eastAsia="黑体"/>
                <w:color w:val="000000"/>
                <w:kern w:val="0"/>
                <w:sz w:val="20"/>
                <w:szCs w:val="20"/>
                <w:lang w:bidi="ar"/>
              </w:rPr>
              <w:t>滚筒采用加厚镀锌滚筒；相邻滚筒中心间距≤60mm；尾部配不锈钢台板。</w:t>
            </w:r>
            <w:r>
              <w:rPr>
                <w:rFonts w:eastAsia="黑体"/>
                <w:color w:val="000000"/>
                <w:kern w:val="0"/>
                <w:sz w:val="20"/>
                <w:szCs w:val="20"/>
                <w:lang w:bidi="ar"/>
              </w:rPr>
              <w:br w:type="textWrapping"/>
            </w:r>
            <w:r>
              <w:rPr>
                <w:rFonts w:eastAsia="黑体"/>
                <w:color w:val="000000"/>
                <w:kern w:val="0"/>
                <w:sz w:val="20"/>
                <w:szCs w:val="20"/>
                <w:lang w:bidi="ar"/>
              </w:rPr>
              <w:t>碳钢机架/支腿，带护栏，支腿高度可调±50mm。</w:t>
            </w:r>
            <w:r>
              <w:rPr>
                <w:rFonts w:eastAsia="黑体"/>
                <w:color w:val="000000"/>
                <w:kern w:val="0"/>
                <w:sz w:val="20"/>
                <w:szCs w:val="20"/>
                <w:lang w:bidi="ar"/>
              </w:rPr>
              <w:br w:type="textWrapping"/>
            </w:r>
            <w:r>
              <w:rPr>
                <w:rFonts w:eastAsia="黑体"/>
                <w:color w:val="000000"/>
                <w:kern w:val="0"/>
                <w:sz w:val="20"/>
                <w:szCs w:val="20"/>
                <w:lang w:bidi="ar"/>
              </w:rPr>
              <w:t>机架和护栏两侧配封板。</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96</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皮带输送机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尺寸（长*宽*高）：1500*1000*750，</w:t>
            </w:r>
            <w:r>
              <w:rPr>
                <w:rFonts w:eastAsia="黑体"/>
                <w:color w:val="000000"/>
                <w:kern w:val="0"/>
                <w:sz w:val="20"/>
                <w:szCs w:val="20"/>
                <w:lang w:bidi="ar"/>
              </w:rPr>
              <w:br w:type="textWrapping"/>
            </w:r>
            <w:r>
              <w:rPr>
                <w:rFonts w:eastAsia="黑体"/>
                <w:color w:val="000000"/>
                <w:kern w:val="0"/>
                <w:sz w:val="20"/>
                <w:szCs w:val="20"/>
                <w:lang w:bidi="ar"/>
              </w:rPr>
              <w:t>输送速度： 0.5m/s</w:t>
            </w:r>
            <w:r>
              <w:rPr>
                <w:rFonts w:eastAsia="黑体"/>
                <w:color w:val="000000"/>
                <w:kern w:val="0"/>
                <w:sz w:val="20"/>
                <w:szCs w:val="20"/>
                <w:lang w:bidi="ar"/>
              </w:rPr>
              <w:br w:type="textWrapping"/>
            </w:r>
            <w:r>
              <w:rPr>
                <w:rFonts w:eastAsia="黑体"/>
                <w:color w:val="000000"/>
                <w:kern w:val="0"/>
                <w:sz w:val="20"/>
                <w:szCs w:val="20"/>
                <w:lang w:bidi="ar"/>
              </w:rPr>
              <w:t>承载能力： 60kg/m</w:t>
            </w:r>
            <w:r>
              <w:rPr>
                <w:rFonts w:eastAsia="黑体"/>
                <w:color w:val="000000"/>
                <w:kern w:val="0"/>
                <w:sz w:val="20"/>
                <w:szCs w:val="20"/>
                <w:lang w:bidi="ar"/>
              </w:rPr>
              <w:br w:type="textWrapping"/>
            </w:r>
            <w:r>
              <w:rPr>
                <w:rFonts w:eastAsia="黑体"/>
                <w:color w:val="000000"/>
                <w:kern w:val="0"/>
                <w:sz w:val="20"/>
                <w:szCs w:val="20"/>
                <w:lang w:bidi="ar"/>
              </w:rPr>
              <w:t>电机功率： 0.37-1.5Kw</w:t>
            </w:r>
            <w:r>
              <w:rPr>
                <w:rFonts w:eastAsia="黑体"/>
                <w:color w:val="000000"/>
                <w:kern w:val="0"/>
                <w:sz w:val="20"/>
                <w:szCs w:val="20"/>
                <w:lang w:bidi="ar"/>
              </w:rPr>
              <w:br w:type="textWrapping"/>
            </w:r>
            <w:r>
              <w:rPr>
                <w:rFonts w:eastAsia="黑体"/>
                <w:color w:val="000000"/>
                <w:kern w:val="0"/>
                <w:sz w:val="20"/>
                <w:szCs w:val="20"/>
                <w:lang w:bidi="ar"/>
              </w:rPr>
              <w:t>皮带厚度： 3mm，延伸率ε≤1％（拉力为12N/mm时）</w:t>
            </w:r>
            <w:r>
              <w:rPr>
                <w:rFonts w:eastAsia="黑体"/>
                <w:color w:val="000000"/>
                <w:kern w:val="0"/>
                <w:sz w:val="20"/>
                <w:szCs w:val="20"/>
                <w:lang w:bidi="ar"/>
              </w:rPr>
              <w:br w:type="textWrapping"/>
            </w:r>
            <w:r>
              <w:rPr>
                <w:rFonts w:eastAsia="黑体"/>
                <w:color w:val="000000"/>
                <w:kern w:val="0"/>
                <w:sz w:val="20"/>
                <w:szCs w:val="20"/>
                <w:lang w:bidi="ar"/>
              </w:rPr>
              <w:t>主要部件：电机、皮带、轴承</w:t>
            </w:r>
            <w:r>
              <w:rPr>
                <w:rFonts w:eastAsia="黑体"/>
                <w:color w:val="000000"/>
                <w:kern w:val="0"/>
                <w:sz w:val="20"/>
                <w:szCs w:val="20"/>
                <w:lang w:bidi="ar"/>
              </w:rPr>
              <w:br w:type="textWrapping"/>
            </w:r>
            <w:r>
              <w:rPr>
                <w:rFonts w:eastAsia="黑体"/>
                <w:color w:val="000000"/>
                <w:kern w:val="0"/>
                <w:sz w:val="20"/>
                <w:szCs w:val="20"/>
                <w:lang w:bidi="ar"/>
              </w:rPr>
              <w:t>皮带:黑色3mm PVC带，防霉、抗阻燃、防静电</w:t>
            </w:r>
            <w:r>
              <w:rPr>
                <w:rFonts w:eastAsia="黑体"/>
                <w:color w:val="000000"/>
                <w:kern w:val="0"/>
                <w:sz w:val="20"/>
                <w:szCs w:val="20"/>
                <w:lang w:bidi="ar"/>
              </w:rPr>
              <w:br w:type="textWrapping"/>
            </w:r>
            <w:r>
              <w:rPr>
                <w:rFonts w:eastAsia="黑体"/>
                <w:color w:val="000000"/>
                <w:kern w:val="0"/>
                <w:sz w:val="20"/>
                <w:szCs w:val="20"/>
                <w:lang w:bidi="ar"/>
              </w:rPr>
              <w:t>拉紧装置：有张紧装置，可调跑偏</w:t>
            </w:r>
            <w:r>
              <w:rPr>
                <w:rFonts w:eastAsia="黑体"/>
                <w:color w:val="000000"/>
                <w:kern w:val="0"/>
                <w:sz w:val="20"/>
                <w:szCs w:val="20"/>
                <w:lang w:bidi="ar"/>
              </w:rPr>
              <w:br w:type="textWrapping"/>
            </w:r>
            <w:r>
              <w:rPr>
                <w:rFonts w:eastAsia="黑体"/>
                <w:color w:val="000000"/>
                <w:kern w:val="0"/>
                <w:sz w:val="20"/>
                <w:szCs w:val="20"/>
                <w:lang w:bidi="ar"/>
              </w:rPr>
              <w:t xml:space="preserve">整机噪音：≤65 dB </w:t>
            </w:r>
            <w:r>
              <w:rPr>
                <w:rFonts w:eastAsia="黑体"/>
                <w:color w:val="000000"/>
                <w:kern w:val="0"/>
                <w:sz w:val="20"/>
                <w:szCs w:val="20"/>
                <w:lang w:bidi="ar"/>
              </w:rPr>
              <w:br w:type="textWrapping"/>
            </w:r>
            <w:r>
              <w:rPr>
                <w:rFonts w:eastAsia="黑体"/>
                <w:color w:val="000000"/>
                <w:kern w:val="0"/>
                <w:sz w:val="20"/>
                <w:szCs w:val="20"/>
                <w:lang w:bidi="ar"/>
              </w:rPr>
              <w:t>碳钢支腿机架，机架厚度≥3mm，支腿高度可调±50mm。</w:t>
            </w:r>
            <w:r>
              <w:rPr>
                <w:rFonts w:eastAsia="黑体"/>
                <w:color w:val="000000"/>
                <w:kern w:val="0"/>
                <w:sz w:val="20"/>
                <w:szCs w:val="20"/>
                <w:lang w:bidi="ar"/>
              </w:rPr>
              <w:br w:type="textWrapping"/>
            </w:r>
            <w:r>
              <w:rPr>
                <w:rFonts w:eastAsia="黑体"/>
                <w:color w:val="000000"/>
                <w:kern w:val="0"/>
                <w:sz w:val="20"/>
                <w:szCs w:val="20"/>
                <w:lang w:bidi="ar"/>
              </w:rPr>
              <w:t>机架和护栏两侧配封板。</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97</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不锈钢滑槽</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hint="default" w:eastAsia="黑体"/>
                <w:color w:val="000000"/>
                <w:sz w:val="20"/>
                <w:szCs w:val="20"/>
                <w:lang w:val="en-US" w:eastAsia="zh-CN"/>
              </w:rPr>
            </w:pPr>
            <w:r>
              <w:rPr>
                <w:rFonts w:eastAsia="黑体"/>
                <w:color w:val="000000"/>
                <w:kern w:val="0"/>
                <w:sz w:val="20"/>
                <w:szCs w:val="20"/>
                <w:lang w:bidi="ar"/>
              </w:rPr>
              <w:t>1500*1000*750~20</w:t>
            </w:r>
            <w:r>
              <w:rPr>
                <w:rFonts w:hint="eastAsia" w:eastAsia="黑体"/>
                <w:color w:val="000000"/>
                <w:kern w:val="0"/>
                <w:sz w:val="20"/>
                <w:szCs w:val="20"/>
                <w:lang w:eastAsia="zh-CN" w:bidi="ar"/>
              </w:rPr>
              <w:t>（</w:t>
            </w:r>
            <w:r>
              <w:rPr>
                <w:rFonts w:hint="eastAsia" w:eastAsia="黑体"/>
                <w:color w:val="000000"/>
                <w:kern w:val="0"/>
                <w:sz w:val="20"/>
                <w:szCs w:val="20"/>
                <w:lang w:val="en-US" w:eastAsia="zh-CN" w:bidi="ar"/>
              </w:rPr>
              <w:t>mm)</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98</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电子秤皮带机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尺寸（长*宽*高）：1200 *1000 *750</w:t>
            </w:r>
            <w:r>
              <w:rPr>
                <w:rFonts w:hint="eastAsia" w:eastAsia="黑体"/>
                <w:color w:val="000000"/>
                <w:kern w:val="0"/>
                <w:sz w:val="20"/>
                <w:szCs w:val="20"/>
                <w:lang w:val="en-US" w:eastAsia="zh-CN" w:bidi="ar"/>
              </w:rPr>
              <w:t>(mm)</w:t>
            </w:r>
            <w:r>
              <w:rPr>
                <w:rFonts w:eastAsia="黑体"/>
                <w:color w:val="000000"/>
                <w:kern w:val="0"/>
                <w:sz w:val="20"/>
                <w:szCs w:val="20"/>
                <w:lang w:bidi="ar"/>
              </w:rPr>
              <w:br w:type="textWrapping"/>
            </w:r>
            <w:r>
              <w:rPr>
                <w:rFonts w:eastAsia="黑体"/>
                <w:color w:val="000000"/>
                <w:kern w:val="0"/>
                <w:sz w:val="20"/>
                <w:szCs w:val="20"/>
                <w:lang w:bidi="ar"/>
              </w:rPr>
              <w:t>输送速度： 0.5m/s</w:t>
            </w:r>
            <w:r>
              <w:rPr>
                <w:rFonts w:eastAsia="黑体"/>
                <w:color w:val="000000"/>
                <w:kern w:val="0"/>
                <w:sz w:val="20"/>
                <w:szCs w:val="20"/>
                <w:lang w:bidi="ar"/>
              </w:rPr>
              <w:br w:type="textWrapping"/>
            </w:r>
            <w:r>
              <w:rPr>
                <w:rFonts w:eastAsia="黑体"/>
                <w:color w:val="000000"/>
                <w:kern w:val="0"/>
                <w:sz w:val="20"/>
                <w:szCs w:val="20"/>
                <w:lang w:bidi="ar"/>
              </w:rPr>
              <w:t>承载能力： 60kg/m</w:t>
            </w:r>
            <w:r>
              <w:rPr>
                <w:rFonts w:eastAsia="黑体"/>
                <w:color w:val="000000"/>
                <w:kern w:val="0"/>
                <w:sz w:val="20"/>
                <w:szCs w:val="20"/>
                <w:lang w:bidi="ar"/>
              </w:rPr>
              <w:br w:type="textWrapping"/>
            </w:r>
            <w:r>
              <w:rPr>
                <w:rFonts w:eastAsia="黑体"/>
                <w:color w:val="000000"/>
                <w:kern w:val="0"/>
                <w:sz w:val="20"/>
                <w:szCs w:val="20"/>
                <w:lang w:bidi="ar"/>
              </w:rPr>
              <w:t>电机功率： 0.37-1.5Kw</w:t>
            </w:r>
            <w:r>
              <w:rPr>
                <w:rFonts w:eastAsia="黑体"/>
                <w:color w:val="000000"/>
                <w:kern w:val="0"/>
                <w:sz w:val="20"/>
                <w:szCs w:val="20"/>
                <w:lang w:bidi="ar"/>
              </w:rPr>
              <w:br w:type="textWrapping"/>
            </w:r>
            <w:r>
              <w:rPr>
                <w:rFonts w:eastAsia="黑体"/>
                <w:color w:val="000000"/>
                <w:kern w:val="0"/>
                <w:sz w:val="20"/>
                <w:szCs w:val="20"/>
                <w:lang w:bidi="ar"/>
              </w:rPr>
              <w:t>皮带厚度： 3mm，延伸率ε≤1％（拉力为12N/mm时）</w:t>
            </w:r>
            <w:r>
              <w:rPr>
                <w:rFonts w:eastAsia="黑体"/>
                <w:color w:val="000000"/>
                <w:kern w:val="0"/>
                <w:sz w:val="20"/>
                <w:szCs w:val="20"/>
                <w:lang w:bidi="ar"/>
              </w:rPr>
              <w:br w:type="textWrapping"/>
            </w:r>
            <w:r>
              <w:rPr>
                <w:rFonts w:eastAsia="黑体"/>
                <w:color w:val="000000"/>
                <w:kern w:val="0"/>
                <w:sz w:val="20"/>
                <w:szCs w:val="20"/>
                <w:lang w:bidi="ar"/>
              </w:rPr>
              <w:t>主要部件：电机、皮带、轴承</w:t>
            </w:r>
            <w:r>
              <w:rPr>
                <w:rFonts w:eastAsia="黑体"/>
                <w:color w:val="000000"/>
                <w:kern w:val="0"/>
                <w:sz w:val="20"/>
                <w:szCs w:val="20"/>
                <w:lang w:bidi="ar"/>
              </w:rPr>
              <w:br w:type="textWrapping"/>
            </w:r>
            <w:r>
              <w:rPr>
                <w:rFonts w:eastAsia="黑体"/>
                <w:color w:val="000000"/>
                <w:kern w:val="0"/>
                <w:sz w:val="20"/>
                <w:szCs w:val="20"/>
                <w:lang w:bidi="ar"/>
              </w:rPr>
              <w:t>皮带:黑色3mm PVC带，防霉、抗阻燃、防静电</w:t>
            </w:r>
            <w:r>
              <w:rPr>
                <w:rFonts w:eastAsia="黑体"/>
                <w:color w:val="000000"/>
                <w:kern w:val="0"/>
                <w:sz w:val="20"/>
                <w:szCs w:val="20"/>
                <w:lang w:bidi="ar"/>
              </w:rPr>
              <w:br w:type="textWrapping"/>
            </w:r>
            <w:r>
              <w:rPr>
                <w:rFonts w:eastAsia="黑体"/>
                <w:color w:val="000000"/>
                <w:kern w:val="0"/>
                <w:sz w:val="20"/>
                <w:szCs w:val="20"/>
                <w:lang w:bidi="ar"/>
              </w:rPr>
              <w:t>拉紧装置：有张紧装置，可调跑偏</w:t>
            </w:r>
            <w:r>
              <w:rPr>
                <w:rFonts w:eastAsia="黑体"/>
                <w:color w:val="000000"/>
                <w:kern w:val="0"/>
                <w:sz w:val="20"/>
                <w:szCs w:val="20"/>
                <w:lang w:bidi="ar"/>
              </w:rPr>
              <w:br w:type="textWrapping"/>
            </w:r>
            <w:r>
              <w:rPr>
                <w:rFonts w:eastAsia="黑体"/>
                <w:color w:val="000000"/>
                <w:kern w:val="0"/>
                <w:sz w:val="20"/>
                <w:szCs w:val="20"/>
                <w:lang w:bidi="ar"/>
              </w:rPr>
              <w:t xml:space="preserve">整机噪音：≤65 dB </w:t>
            </w:r>
            <w:r>
              <w:rPr>
                <w:rFonts w:eastAsia="黑体"/>
                <w:color w:val="000000"/>
                <w:kern w:val="0"/>
                <w:sz w:val="20"/>
                <w:szCs w:val="20"/>
                <w:lang w:bidi="ar"/>
              </w:rPr>
              <w:br w:type="textWrapping"/>
            </w:r>
            <w:r>
              <w:rPr>
                <w:rFonts w:eastAsia="黑体"/>
                <w:color w:val="000000"/>
                <w:kern w:val="0"/>
                <w:sz w:val="20"/>
                <w:szCs w:val="20"/>
                <w:lang w:bidi="ar"/>
              </w:rPr>
              <w:t>碳钢支腿机架，机架厚度≥3mm，支腿高度可调±50mm。</w:t>
            </w:r>
            <w:r>
              <w:rPr>
                <w:rFonts w:eastAsia="黑体"/>
                <w:color w:val="000000"/>
                <w:kern w:val="0"/>
                <w:sz w:val="20"/>
                <w:szCs w:val="20"/>
                <w:lang w:bidi="ar"/>
              </w:rPr>
              <w:br w:type="textWrapping"/>
            </w:r>
            <w:r>
              <w:rPr>
                <w:rFonts w:eastAsia="黑体"/>
                <w:color w:val="000000"/>
                <w:kern w:val="0"/>
                <w:sz w:val="20"/>
                <w:szCs w:val="20"/>
                <w:lang w:bidi="ar"/>
              </w:rPr>
              <w:t>机架和护栏两侧配封板。</w:t>
            </w:r>
            <w:r>
              <w:rPr>
                <w:rFonts w:eastAsia="黑体"/>
                <w:color w:val="000000"/>
                <w:kern w:val="0"/>
                <w:sz w:val="20"/>
                <w:szCs w:val="20"/>
                <w:lang w:bidi="ar"/>
              </w:rPr>
              <w:br w:type="textWrapping"/>
            </w:r>
            <w:r>
              <w:rPr>
                <w:rFonts w:eastAsia="黑体"/>
                <w:color w:val="000000"/>
                <w:kern w:val="0"/>
                <w:sz w:val="20"/>
                <w:szCs w:val="20"/>
                <w:lang w:bidi="ar"/>
              </w:rPr>
              <w:t>称重模块：最大称重100KG，精度0.1%。</w:t>
            </w:r>
            <w:r>
              <w:rPr>
                <w:rFonts w:eastAsia="黑体"/>
                <w:color w:val="000000"/>
                <w:kern w:val="0"/>
                <w:sz w:val="20"/>
                <w:szCs w:val="20"/>
                <w:lang w:bidi="ar"/>
              </w:rPr>
              <w:br w:type="textWrapping"/>
            </w:r>
            <w:r>
              <w:rPr>
                <w:rFonts w:eastAsia="黑体"/>
                <w:color w:val="000000"/>
                <w:kern w:val="0"/>
                <w:sz w:val="20"/>
                <w:szCs w:val="20"/>
                <w:lang w:bidi="ar"/>
              </w:rPr>
              <w:t>（包含不锈钢传感器四只；安装套件碳钢四套；RS232，RS485，4~20mA，0~10V接口；不锈钢接线盒 ）</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99</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皮带输送机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尺寸（长*宽*高）：3000*1000*750，</w:t>
            </w:r>
            <w:r>
              <w:rPr>
                <w:rFonts w:eastAsia="黑体"/>
                <w:color w:val="000000"/>
                <w:kern w:val="0"/>
                <w:sz w:val="20"/>
                <w:szCs w:val="20"/>
                <w:lang w:bidi="ar"/>
              </w:rPr>
              <w:br w:type="textWrapping"/>
            </w:r>
            <w:r>
              <w:rPr>
                <w:rFonts w:eastAsia="黑体"/>
                <w:color w:val="000000"/>
                <w:kern w:val="0"/>
                <w:sz w:val="20"/>
                <w:szCs w:val="20"/>
                <w:lang w:bidi="ar"/>
              </w:rPr>
              <w:t>输送速度： 0.5m/s</w:t>
            </w:r>
            <w:r>
              <w:rPr>
                <w:rFonts w:eastAsia="黑体"/>
                <w:color w:val="000000"/>
                <w:kern w:val="0"/>
                <w:sz w:val="20"/>
                <w:szCs w:val="20"/>
                <w:lang w:bidi="ar"/>
              </w:rPr>
              <w:br w:type="textWrapping"/>
            </w:r>
            <w:r>
              <w:rPr>
                <w:rFonts w:eastAsia="黑体"/>
                <w:color w:val="000000"/>
                <w:kern w:val="0"/>
                <w:sz w:val="20"/>
                <w:szCs w:val="20"/>
                <w:lang w:bidi="ar"/>
              </w:rPr>
              <w:t>承载能力： 60kg/m</w:t>
            </w:r>
            <w:r>
              <w:rPr>
                <w:rFonts w:eastAsia="黑体"/>
                <w:color w:val="000000"/>
                <w:kern w:val="0"/>
                <w:sz w:val="20"/>
                <w:szCs w:val="20"/>
                <w:lang w:bidi="ar"/>
              </w:rPr>
              <w:br w:type="textWrapping"/>
            </w:r>
            <w:r>
              <w:rPr>
                <w:rFonts w:eastAsia="黑体"/>
                <w:color w:val="000000"/>
                <w:kern w:val="0"/>
                <w:sz w:val="20"/>
                <w:szCs w:val="20"/>
                <w:lang w:bidi="ar"/>
              </w:rPr>
              <w:t>电机功率： 0.37-1.5Kw</w:t>
            </w:r>
            <w:r>
              <w:rPr>
                <w:rFonts w:eastAsia="黑体"/>
                <w:color w:val="000000"/>
                <w:kern w:val="0"/>
                <w:sz w:val="20"/>
                <w:szCs w:val="20"/>
                <w:lang w:bidi="ar"/>
              </w:rPr>
              <w:br w:type="textWrapping"/>
            </w:r>
            <w:r>
              <w:rPr>
                <w:rFonts w:eastAsia="黑体"/>
                <w:color w:val="000000"/>
                <w:kern w:val="0"/>
                <w:sz w:val="20"/>
                <w:szCs w:val="20"/>
                <w:lang w:bidi="ar"/>
              </w:rPr>
              <w:t>皮带厚度： 3mm，延伸率ε≤1％（拉力为12N/mm时）</w:t>
            </w:r>
            <w:r>
              <w:rPr>
                <w:rFonts w:eastAsia="黑体"/>
                <w:color w:val="000000"/>
                <w:kern w:val="0"/>
                <w:sz w:val="20"/>
                <w:szCs w:val="20"/>
                <w:lang w:bidi="ar"/>
              </w:rPr>
              <w:br w:type="textWrapping"/>
            </w:r>
            <w:r>
              <w:rPr>
                <w:rFonts w:eastAsia="黑体"/>
                <w:color w:val="000000"/>
                <w:kern w:val="0"/>
                <w:sz w:val="20"/>
                <w:szCs w:val="20"/>
                <w:lang w:bidi="ar"/>
              </w:rPr>
              <w:t>主要部件：电机、皮带、轴承</w:t>
            </w:r>
            <w:r>
              <w:rPr>
                <w:rFonts w:eastAsia="黑体"/>
                <w:color w:val="000000"/>
                <w:kern w:val="0"/>
                <w:sz w:val="20"/>
                <w:szCs w:val="20"/>
                <w:lang w:bidi="ar"/>
              </w:rPr>
              <w:br w:type="textWrapping"/>
            </w:r>
            <w:r>
              <w:rPr>
                <w:rFonts w:eastAsia="黑体"/>
                <w:color w:val="000000"/>
                <w:kern w:val="0"/>
                <w:sz w:val="20"/>
                <w:szCs w:val="20"/>
                <w:lang w:bidi="ar"/>
              </w:rPr>
              <w:t>电机:SEW</w:t>
            </w:r>
            <w:r>
              <w:rPr>
                <w:rFonts w:eastAsia="黑体"/>
                <w:color w:val="000000"/>
                <w:kern w:val="0"/>
                <w:sz w:val="20"/>
                <w:szCs w:val="20"/>
                <w:lang w:bidi="ar"/>
              </w:rPr>
              <w:br w:type="textWrapping"/>
            </w:r>
            <w:r>
              <w:rPr>
                <w:rFonts w:eastAsia="黑体"/>
                <w:color w:val="000000"/>
                <w:kern w:val="0"/>
                <w:sz w:val="20"/>
                <w:szCs w:val="20"/>
                <w:lang w:bidi="ar"/>
              </w:rPr>
              <w:t>皮带:西格林黑色3mm PVC带，防霉、抗阻燃、防静电</w:t>
            </w:r>
            <w:r>
              <w:rPr>
                <w:rFonts w:eastAsia="黑体"/>
                <w:color w:val="000000"/>
                <w:kern w:val="0"/>
                <w:sz w:val="20"/>
                <w:szCs w:val="20"/>
                <w:lang w:bidi="ar"/>
              </w:rPr>
              <w:br w:type="textWrapping"/>
            </w:r>
            <w:r>
              <w:rPr>
                <w:rFonts w:eastAsia="黑体"/>
                <w:color w:val="000000"/>
                <w:kern w:val="0"/>
                <w:sz w:val="20"/>
                <w:szCs w:val="20"/>
                <w:lang w:bidi="ar"/>
              </w:rPr>
              <w:t>拉紧装置：有张紧装置，可调跑偏</w:t>
            </w:r>
            <w:r>
              <w:rPr>
                <w:rFonts w:eastAsia="黑体"/>
                <w:color w:val="000000"/>
                <w:kern w:val="0"/>
                <w:sz w:val="20"/>
                <w:szCs w:val="20"/>
                <w:lang w:bidi="ar"/>
              </w:rPr>
              <w:br w:type="textWrapping"/>
            </w:r>
            <w:r>
              <w:rPr>
                <w:rFonts w:eastAsia="黑体"/>
                <w:color w:val="000000"/>
                <w:kern w:val="0"/>
                <w:sz w:val="20"/>
                <w:szCs w:val="20"/>
                <w:lang w:bidi="ar"/>
              </w:rPr>
              <w:t>整机噪音：≤65 dB</w:t>
            </w:r>
            <w:r>
              <w:rPr>
                <w:rFonts w:eastAsia="黑体"/>
                <w:color w:val="000000"/>
                <w:kern w:val="0"/>
                <w:sz w:val="20"/>
                <w:szCs w:val="20"/>
                <w:lang w:bidi="ar"/>
              </w:rPr>
              <w:br w:type="textWrapping"/>
            </w:r>
            <w:r>
              <w:rPr>
                <w:rFonts w:eastAsia="黑体"/>
                <w:color w:val="000000"/>
                <w:kern w:val="0"/>
                <w:sz w:val="20"/>
                <w:szCs w:val="20"/>
                <w:lang w:bidi="ar"/>
              </w:rPr>
              <w:t>碳钢支腿机架，机架厚度≥3mm，支腿高度可调±50mm。</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79200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100</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皮带输送机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kern w:val="0"/>
                <w:sz w:val="20"/>
                <w:szCs w:val="20"/>
                <w:lang w:bidi="ar"/>
              </w:rPr>
            </w:pPr>
            <w:r>
              <w:rPr>
                <w:rFonts w:eastAsia="黑体"/>
                <w:color w:val="000000"/>
                <w:kern w:val="0"/>
                <w:sz w:val="20"/>
                <w:szCs w:val="20"/>
                <w:lang w:bidi="ar"/>
              </w:rPr>
              <w:t>尺寸（长*宽*高）：1200*1000*750，</w:t>
            </w:r>
            <w:r>
              <w:rPr>
                <w:rFonts w:eastAsia="黑体"/>
                <w:color w:val="000000"/>
                <w:kern w:val="0"/>
                <w:sz w:val="20"/>
                <w:szCs w:val="20"/>
                <w:lang w:bidi="ar"/>
              </w:rPr>
              <w:br w:type="textWrapping"/>
            </w:r>
            <w:r>
              <w:rPr>
                <w:rFonts w:eastAsia="黑体"/>
                <w:color w:val="000000"/>
                <w:kern w:val="0"/>
                <w:sz w:val="20"/>
                <w:szCs w:val="20"/>
                <w:lang w:bidi="ar"/>
              </w:rPr>
              <w:t>输送速度： 0.5m/s</w:t>
            </w:r>
            <w:r>
              <w:rPr>
                <w:rFonts w:eastAsia="黑体"/>
                <w:color w:val="000000"/>
                <w:kern w:val="0"/>
                <w:sz w:val="20"/>
                <w:szCs w:val="20"/>
                <w:lang w:bidi="ar"/>
              </w:rPr>
              <w:br w:type="textWrapping"/>
            </w:r>
            <w:r>
              <w:rPr>
                <w:rFonts w:eastAsia="黑体"/>
                <w:color w:val="000000"/>
                <w:kern w:val="0"/>
                <w:sz w:val="20"/>
                <w:szCs w:val="20"/>
                <w:lang w:bidi="ar"/>
              </w:rPr>
              <w:t>承载能力： 60kg/m</w:t>
            </w:r>
            <w:r>
              <w:rPr>
                <w:rFonts w:eastAsia="黑体"/>
                <w:color w:val="000000"/>
                <w:kern w:val="0"/>
                <w:sz w:val="20"/>
                <w:szCs w:val="20"/>
                <w:lang w:bidi="ar"/>
              </w:rPr>
              <w:br w:type="textWrapping"/>
            </w:r>
            <w:r>
              <w:rPr>
                <w:rFonts w:eastAsia="黑体"/>
                <w:color w:val="000000"/>
                <w:kern w:val="0"/>
                <w:sz w:val="20"/>
                <w:szCs w:val="20"/>
                <w:lang w:bidi="ar"/>
              </w:rPr>
              <w:t>电机功率： 0.37-1.5Kw</w:t>
            </w:r>
            <w:r>
              <w:rPr>
                <w:rFonts w:eastAsia="黑体"/>
                <w:color w:val="000000"/>
                <w:kern w:val="0"/>
                <w:sz w:val="20"/>
                <w:szCs w:val="20"/>
                <w:lang w:bidi="ar"/>
              </w:rPr>
              <w:br w:type="textWrapping"/>
            </w:r>
            <w:r>
              <w:rPr>
                <w:rFonts w:eastAsia="黑体"/>
                <w:color w:val="000000"/>
                <w:kern w:val="0"/>
                <w:sz w:val="20"/>
                <w:szCs w:val="20"/>
                <w:lang w:bidi="ar"/>
              </w:rPr>
              <w:t>皮带厚度： 3mm，延伸率ε≤1％（拉力为12N/mm时）</w:t>
            </w:r>
            <w:r>
              <w:rPr>
                <w:rFonts w:eastAsia="黑体"/>
                <w:color w:val="000000"/>
                <w:kern w:val="0"/>
                <w:sz w:val="20"/>
                <w:szCs w:val="20"/>
                <w:lang w:bidi="ar"/>
              </w:rPr>
              <w:br w:type="textWrapping"/>
            </w:r>
            <w:r>
              <w:rPr>
                <w:rFonts w:eastAsia="黑体"/>
                <w:color w:val="000000"/>
                <w:kern w:val="0"/>
                <w:sz w:val="20"/>
                <w:szCs w:val="20"/>
                <w:lang w:bidi="ar"/>
              </w:rPr>
              <w:t>主要部件：电机、皮带、轴承</w:t>
            </w:r>
            <w:r>
              <w:rPr>
                <w:rFonts w:eastAsia="黑体"/>
                <w:color w:val="000000"/>
                <w:kern w:val="0"/>
                <w:sz w:val="20"/>
                <w:szCs w:val="20"/>
                <w:lang w:bidi="ar"/>
              </w:rPr>
              <w:br w:type="textWrapping"/>
            </w:r>
            <w:r>
              <w:rPr>
                <w:rFonts w:eastAsia="黑体"/>
                <w:color w:val="000000"/>
                <w:kern w:val="0"/>
                <w:sz w:val="20"/>
                <w:szCs w:val="20"/>
                <w:lang w:bidi="ar"/>
              </w:rPr>
              <w:t>电机:SEW</w:t>
            </w:r>
            <w:r>
              <w:rPr>
                <w:rFonts w:eastAsia="黑体"/>
                <w:color w:val="000000"/>
                <w:kern w:val="0"/>
                <w:sz w:val="20"/>
                <w:szCs w:val="20"/>
                <w:lang w:bidi="ar"/>
              </w:rPr>
              <w:br w:type="textWrapping"/>
            </w:r>
            <w:r>
              <w:rPr>
                <w:rFonts w:eastAsia="黑体"/>
                <w:color w:val="000000"/>
                <w:kern w:val="0"/>
                <w:sz w:val="20"/>
                <w:szCs w:val="20"/>
                <w:lang w:bidi="ar"/>
              </w:rPr>
              <w:t>皮带:西格林黑色3mm PVC带，防霉、抗阻燃、防静电</w:t>
            </w:r>
            <w:r>
              <w:rPr>
                <w:rFonts w:eastAsia="黑体"/>
                <w:color w:val="000000"/>
                <w:kern w:val="0"/>
                <w:sz w:val="20"/>
                <w:szCs w:val="20"/>
                <w:lang w:bidi="ar"/>
              </w:rPr>
              <w:br w:type="textWrapping"/>
            </w:r>
            <w:r>
              <w:rPr>
                <w:rFonts w:eastAsia="黑体"/>
                <w:color w:val="000000"/>
                <w:kern w:val="0"/>
                <w:sz w:val="20"/>
                <w:szCs w:val="20"/>
                <w:lang w:bidi="ar"/>
              </w:rPr>
              <w:t>拉紧装置：有张紧装置，可调跑偏</w:t>
            </w:r>
            <w:r>
              <w:rPr>
                <w:rFonts w:eastAsia="黑体"/>
                <w:color w:val="000000"/>
                <w:kern w:val="0"/>
                <w:sz w:val="20"/>
                <w:szCs w:val="20"/>
                <w:lang w:bidi="ar"/>
              </w:rPr>
              <w:br w:type="textWrapping"/>
            </w:r>
            <w:r>
              <w:rPr>
                <w:rFonts w:eastAsia="黑体"/>
                <w:color w:val="000000"/>
                <w:kern w:val="0"/>
                <w:sz w:val="20"/>
                <w:szCs w:val="20"/>
                <w:lang w:bidi="ar"/>
              </w:rPr>
              <w:t xml:space="preserve">整机噪音：≤65 dB                                   </w:t>
            </w:r>
          </w:p>
          <w:p>
            <w:pPr>
              <w:widowControl/>
              <w:jc w:val="left"/>
              <w:textAlignment w:val="center"/>
              <w:rPr>
                <w:rFonts w:eastAsia="黑体"/>
                <w:color w:val="000000"/>
                <w:sz w:val="20"/>
                <w:szCs w:val="20"/>
              </w:rPr>
            </w:pPr>
            <w:r>
              <w:rPr>
                <w:rFonts w:eastAsia="黑体"/>
                <w:color w:val="000000"/>
                <w:kern w:val="0"/>
                <w:sz w:val="20"/>
                <w:szCs w:val="20"/>
                <w:lang w:bidi="ar"/>
              </w:rPr>
              <w:t>碳钢支腿机架，机架厚度≥3mm，支腿高度可调±50mm。</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101</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移载机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尺寸（长*宽*高）：1500 *1000 *750</w:t>
            </w:r>
            <w:r>
              <w:rPr>
                <w:rFonts w:eastAsia="黑体"/>
                <w:color w:val="000000"/>
                <w:kern w:val="0"/>
                <w:sz w:val="20"/>
                <w:szCs w:val="20"/>
                <w:lang w:bidi="ar"/>
              </w:rPr>
              <w:br w:type="textWrapping"/>
            </w:r>
            <w:r>
              <w:rPr>
                <w:rFonts w:eastAsia="黑体"/>
                <w:color w:val="000000"/>
                <w:kern w:val="0"/>
                <w:sz w:val="20"/>
                <w:szCs w:val="20"/>
                <w:lang w:bidi="ar"/>
              </w:rPr>
              <w:t>电机：三相电机  380V</w:t>
            </w:r>
            <w:r>
              <w:rPr>
                <w:rFonts w:eastAsia="黑体"/>
                <w:color w:val="000000"/>
                <w:kern w:val="0"/>
                <w:sz w:val="20"/>
                <w:szCs w:val="20"/>
                <w:lang w:bidi="ar"/>
              </w:rPr>
              <w:br w:type="textWrapping"/>
            </w:r>
            <w:r>
              <w:rPr>
                <w:rFonts w:eastAsia="黑体"/>
                <w:color w:val="000000"/>
                <w:kern w:val="0"/>
                <w:sz w:val="20"/>
                <w:szCs w:val="20"/>
                <w:lang w:bidi="ar"/>
              </w:rPr>
              <w:t>直行速度：30米/分钟</w:t>
            </w:r>
            <w:r>
              <w:rPr>
                <w:rFonts w:eastAsia="黑体"/>
                <w:color w:val="000000"/>
                <w:kern w:val="0"/>
                <w:sz w:val="20"/>
                <w:szCs w:val="20"/>
                <w:lang w:bidi="ar"/>
              </w:rPr>
              <w:br w:type="textWrapping"/>
            </w:r>
            <w:r>
              <w:rPr>
                <w:rFonts w:eastAsia="黑体"/>
                <w:color w:val="000000"/>
                <w:kern w:val="0"/>
                <w:sz w:val="20"/>
                <w:szCs w:val="20"/>
                <w:lang w:bidi="ar"/>
              </w:rPr>
              <w:t>分拣速度：54米/分钟以上</w:t>
            </w:r>
            <w:r>
              <w:rPr>
                <w:rFonts w:eastAsia="黑体"/>
                <w:color w:val="000000"/>
                <w:kern w:val="0"/>
                <w:sz w:val="20"/>
                <w:szCs w:val="20"/>
                <w:lang w:bidi="ar"/>
              </w:rPr>
              <w:br w:type="textWrapping"/>
            </w:r>
            <w:r>
              <w:rPr>
                <w:rFonts w:eastAsia="黑体"/>
                <w:color w:val="000000"/>
                <w:kern w:val="0"/>
                <w:sz w:val="20"/>
                <w:szCs w:val="20"/>
                <w:lang w:bidi="ar"/>
              </w:rPr>
              <w:t>承载能力：60kg/m</w:t>
            </w:r>
            <w:r>
              <w:rPr>
                <w:rFonts w:eastAsia="黑体"/>
                <w:color w:val="000000"/>
                <w:kern w:val="0"/>
                <w:sz w:val="20"/>
                <w:szCs w:val="20"/>
                <w:lang w:bidi="ar"/>
              </w:rPr>
              <w:br w:type="textWrapping"/>
            </w:r>
            <w:r>
              <w:rPr>
                <w:rFonts w:eastAsia="黑体"/>
                <w:color w:val="000000"/>
                <w:kern w:val="0"/>
                <w:sz w:val="20"/>
                <w:szCs w:val="20"/>
                <w:lang w:bidi="ar"/>
              </w:rPr>
              <w:t>移载机：碳钢链条，镀锌加厚滚筒。</w:t>
            </w:r>
            <w:r>
              <w:rPr>
                <w:rFonts w:eastAsia="黑体"/>
                <w:color w:val="000000"/>
                <w:kern w:val="0"/>
                <w:sz w:val="20"/>
                <w:szCs w:val="20"/>
                <w:lang w:bidi="ar"/>
              </w:rPr>
              <w:br w:type="textWrapping"/>
            </w:r>
            <w:r>
              <w:rPr>
                <w:rFonts w:eastAsia="黑体"/>
                <w:color w:val="000000"/>
                <w:kern w:val="0"/>
                <w:sz w:val="20"/>
                <w:szCs w:val="20"/>
                <w:lang w:bidi="ar"/>
              </w:rPr>
              <w:t>直行滚筒机头尾段下面没有移栽机的相邻滚筒间距≤75mm。</w:t>
            </w:r>
            <w:r>
              <w:rPr>
                <w:rFonts w:eastAsia="黑体"/>
                <w:color w:val="000000"/>
                <w:kern w:val="0"/>
                <w:sz w:val="20"/>
                <w:szCs w:val="20"/>
                <w:lang w:bidi="ar"/>
              </w:rPr>
              <w:br w:type="textWrapping"/>
            </w:r>
            <w:r>
              <w:rPr>
                <w:rFonts w:eastAsia="黑体"/>
                <w:color w:val="000000"/>
                <w:kern w:val="0"/>
                <w:sz w:val="20"/>
                <w:szCs w:val="20"/>
                <w:lang w:bidi="ar"/>
              </w:rPr>
              <w:t>配备2个限位开关(24VDC，NPN)及安装支架。</w:t>
            </w:r>
            <w:r>
              <w:rPr>
                <w:rFonts w:eastAsia="黑体"/>
                <w:color w:val="000000"/>
                <w:kern w:val="0"/>
                <w:sz w:val="20"/>
                <w:szCs w:val="20"/>
                <w:lang w:bidi="ar"/>
              </w:rPr>
              <w:br w:type="textWrapping"/>
            </w:r>
            <w:r>
              <w:rPr>
                <w:rFonts w:eastAsia="黑体"/>
                <w:color w:val="000000"/>
                <w:kern w:val="0"/>
                <w:sz w:val="20"/>
                <w:szCs w:val="20"/>
                <w:lang w:bidi="ar"/>
              </w:rPr>
              <w:t>碳钢机架/支腿，带护栏，支腿高度可调±50mm。</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102</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皮带输送机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尺寸（长*宽*高）：4800*1000*750，</w:t>
            </w:r>
            <w:r>
              <w:rPr>
                <w:rFonts w:eastAsia="黑体"/>
                <w:color w:val="000000"/>
                <w:kern w:val="0"/>
                <w:sz w:val="20"/>
                <w:szCs w:val="20"/>
                <w:lang w:bidi="ar"/>
              </w:rPr>
              <w:br w:type="textWrapping"/>
            </w:r>
            <w:r>
              <w:rPr>
                <w:rFonts w:eastAsia="黑体"/>
                <w:color w:val="000000"/>
                <w:kern w:val="0"/>
                <w:sz w:val="20"/>
                <w:szCs w:val="20"/>
                <w:lang w:bidi="ar"/>
              </w:rPr>
              <w:t>输送速度： 0.5m/s</w:t>
            </w:r>
            <w:r>
              <w:rPr>
                <w:rFonts w:eastAsia="黑体"/>
                <w:color w:val="000000"/>
                <w:kern w:val="0"/>
                <w:sz w:val="20"/>
                <w:szCs w:val="20"/>
                <w:lang w:bidi="ar"/>
              </w:rPr>
              <w:br w:type="textWrapping"/>
            </w:r>
            <w:r>
              <w:rPr>
                <w:rFonts w:eastAsia="黑体"/>
                <w:color w:val="000000"/>
                <w:kern w:val="0"/>
                <w:sz w:val="20"/>
                <w:szCs w:val="20"/>
                <w:lang w:bidi="ar"/>
              </w:rPr>
              <w:t>承载能力： 60kg/m</w:t>
            </w:r>
            <w:r>
              <w:rPr>
                <w:rFonts w:eastAsia="黑体"/>
                <w:color w:val="000000"/>
                <w:kern w:val="0"/>
                <w:sz w:val="20"/>
                <w:szCs w:val="20"/>
                <w:lang w:bidi="ar"/>
              </w:rPr>
              <w:br w:type="textWrapping"/>
            </w:r>
            <w:r>
              <w:rPr>
                <w:rFonts w:eastAsia="黑体"/>
                <w:color w:val="000000"/>
                <w:kern w:val="0"/>
                <w:sz w:val="20"/>
                <w:szCs w:val="20"/>
                <w:lang w:bidi="ar"/>
              </w:rPr>
              <w:t>电机功率： 0.37-1.5Kw</w:t>
            </w:r>
            <w:r>
              <w:rPr>
                <w:rFonts w:eastAsia="黑体"/>
                <w:color w:val="000000"/>
                <w:kern w:val="0"/>
                <w:sz w:val="20"/>
                <w:szCs w:val="20"/>
                <w:lang w:bidi="ar"/>
              </w:rPr>
              <w:br w:type="textWrapping"/>
            </w:r>
            <w:r>
              <w:rPr>
                <w:rFonts w:eastAsia="黑体"/>
                <w:color w:val="000000"/>
                <w:kern w:val="0"/>
                <w:sz w:val="20"/>
                <w:szCs w:val="20"/>
                <w:lang w:bidi="ar"/>
              </w:rPr>
              <w:t>皮带厚度： 3mm，延伸率ε≤1％（拉力为12N/mm时）</w:t>
            </w:r>
            <w:r>
              <w:rPr>
                <w:rFonts w:eastAsia="黑体"/>
                <w:color w:val="000000"/>
                <w:kern w:val="0"/>
                <w:sz w:val="20"/>
                <w:szCs w:val="20"/>
                <w:lang w:bidi="ar"/>
              </w:rPr>
              <w:br w:type="textWrapping"/>
            </w:r>
            <w:r>
              <w:rPr>
                <w:rFonts w:eastAsia="黑体"/>
                <w:color w:val="000000"/>
                <w:kern w:val="0"/>
                <w:sz w:val="20"/>
                <w:szCs w:val="20"/>
                <w:lang w:bidi="ar"/>
              </w:rPr>
              <w:t>主要部件：电机、皮带、轴承</w:t>
            </w:r>
            <w:r>
              <w:rPr>
                <w:rFonts w:eastAsia="黑体"/>
                <w:color w:val="000000"/>
                <w:kern w:val="0"/>
                <w:sz w:val="20"/>
                <w:szCs w:val="20"/>
                <w:lang w:bidi="ar"/>
              </w:rPr>
              <w:br w:type="textWrapping"/>
            </w:r>
            <w:r>
              <w:rPr>
                <w:rFonts w:eastAsia="黑体"/>
                <w:color w:val="000000"/>
                <w:kern w:val="0"/>
                <w:sz w:val="20"/>
                <w:szCs w:val="20"/>
                <w:lang w:bidi="ar"/>
              </w:rPr>
              <w:t>电机:SEW</w:t>
            </w:r>
            <w:r>
              <w:rPr>
                <w:rFonts w:eastAsia="黑体"/>
                <w:color w:val="000000"/>
                <w:kern w:val="0"/>
                <w:sz w:val="20"/>
                <w:szCs w:val="20"/>
                <w:lang w:bidi="ar"/>
              </w:rPr>
              <w:br w:type="textWrapping"/>
            </w:r>
            <w:r>
              <w:rPr>
                <w:rFonts w:eastAsia="黑体"/>
                <w:color w:val="000000"/>
                <w:kern w:val="0"/>
                <w:sz w:val="20"/>
                <w:szCs w:val="20"/>
                <w:lang w:bidi="ar"/>
              </w:rPr>
              <w:t>皮带:西格林黑色3mm PVC带，防霉、抗阻燃、防静电</w:t>
            </w:r>
            <w:r>
              <w:rPr>
                <w:rFonts w:eastAsia="黑体"/>
                <w:color w:val="000000"/>
                <w:kern w:val="0"/>
                <w:sz w:val="20"/>
                <w:szCs w:val="20"/>
                <w:lang w:bidi="ar"/>
              </w:rPr>
              <w:br w:type="textWrapping"/>
            </w:r>
            <w:r>
              <w:rPr>
                <w:rFonts w:eastAsia="黑体"/>
                <w:color w:val="000000"/>
                <w:kern w:val="0"/>
                <w:sz w:val="20"/>
                <w:szCs w:val="20"/>
                <w:lang w:bidi="ar"/>
              </w:rPr>
              <w:t>拉紧装置：有张紧装置，可调跑偏</w:t>
            </w:r>
            <w:r>
              <w:rPr>
                <w:rFonts w:eastAsia="黑体"/>
                <w:color w:val="000000"/>
                <w:kern w:val="0"/>
                <w:sz w:val="20"/>
                <w:szCs w:val="20"/>
                <w:lang w:bidi="ar"/>
              </w:rPr>
              <w:br w:type="textWrapping"/>
            </w:r>
            <w:r>
              <w:rPr>
                <w:rFonts w:eastAsia="黑体"/>
                <w:color w:val="000000"/>
                <w:kern w:val="0"/>
                <w:sz w:val="20"/>
                <w:szCs w:val="20"/>
                <w:lang w:bidi="ar"/>
              </w:rPr>
              <w:t>整机噪音：≤65 dB</w:t>
            </w:r>
            <w:r>
              <w:rPr>
                <w:rFonts w:eastAsia="黑体"/>
                <w:color w:val="000000"/>
                <w:kern w:val="0"/>
                <w:sz w:val="20"/>
                <w:szCs w:val="20"/>
                <w:lang w:bidi="ar"/>
              </w:rPr>
              <w:br w:type="textWrapping"/>
            </w:r>
            <w:r>
              <w:rPr>
                <w:rFonts w:eastAsia="黑体"/>
                <w:color w:val="000000"/>
                <w:kern w:val="0"/>
                <w:sz w:val="20"/>
                <w:szCs w:val="20"/>
                <w:lang w:bidi="ar"/>
              </w:rPr>
              <w:t>碳钢支腿机架，机架厚度≥3mm，支腿高度可调±50mm。</w:t>
            </w:r>
            <w:r>
              <w:rPr>
                <w:rFonts w:eastAsia="黑体"/>
                <w:color w:val="000000"/>
                <w:kern w:val="0"/>
                <w:sz w:val="20"/>
                <w:szCs w:val="20"/>
                <w:lang w:bidi="ar"/>
              </w:rPr>
              <w:br w:type="textWrapping"/>
            </w:r>
            <w:r>
              <w:rPr>
                <w:rFonts w:eastAsia="黑体"/>
                <w:color w:val="000000"/>
                <w:kern w:val="0"/>
                <w:sz w:val="20"/>
                <w:szCs w:val="20"/>
                <w:lang w:bidi="ar"/>
              </w:rPr>
              <w:t>机架和护栏两侧配封板。</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103</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无动力滚筒机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规格型号：1200*1000*750</w:t>
            </w:r>
            <w:r>
              <w:rPr>
                <w:rFonts w:eastAsia="黑体"/>
                <w:color w:val="000000"/>
                <w:kern w:val="0"/>
                <w:sz w:val="20"/>
                <w:szCs w:val="20"/>
                <w:lang w:bidi="ar"/>
              </w:rPr>
              <w:br w:type="textWrapping"/>
            </w:r>
            <w:r>
              <w:rPr>
                <w:rFonts w:eastAsia="黑体"/>
                <w:color w:val="000000"/>
                <w:kern w:val="0"/>
                <w:sz w:val="20"/>
                <w:szCs w:val="20"/>
                <w:lang w:bidi="ar"/>
              </w:rPr>
              <w:t>参数：钣5250金、镀锌滚筒</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104</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动力滚筒机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尺寸（长*宽*高）：860*1000*750，</w:t>
            </w:r>
            <w:r>
              <w:rPr>
                <w:rFonts w:eastAsia="黑体"/>
                <w:color w:val="000000"/>
                <w:kern w:val="0"/>
                <w:sz w:val="20"/>
                <w:szCs w:val="20"/>
                <w:lang w:bidi="ar"/>
              </w:rPr>
              <w:br w:type="textWrapping"/>
            </w:r>
            <w:r>
              <w:rPr>
                <w:rFonts w:eastAsia="黑体"/>
                <w:color w:val="000000"/>
                <w:kern w:val="0"/>
                <w:sz w:val="20"/>
                <w:szCs w:val="20"/>
                <w:lang w:bidi="ar"/>
              </w:rPr>
              <w:t>输送速度： 0.5m/s</w:t>
            </w:r>
            <w:r>
              <w:rPr>
                <w:rFonts w:eastAsia="黑体"/>
                <w:color w:val="000000"/>
                <w:kern w:val="0"/>
                <w:sz w:val="20"/>
                <w:szCs w:val="20"/>
                <w:lang w:bidi="ar"/>
              </w:rPr>
              <w:br w:type="textWrapping"/>
            </w:r>
            <w:r>
              <w:rPr>
                <w:rFonts w:eastAsia="黑体"/>
                <w:color w:val="000000"/>
                <w:kern w:val="0"/>
                <w:sz w:val="20"/>
                <w:szCs w:val="20"/>
                <w:lang w:bidi="ar"/>
              </w:rPr>
              <w:t>承载能力： 60kg/m</w:t>
            </w:r>
            <w:r>
              <w:rPr>
                <w:rFonts w:eastAsia="黑体"/>
                <w:color w:val="000000"/>
                <w:kern w:val="0"/>
                <w:sz w:val="20"/>
                <w:szCs w:val="20"/>
                <w:lang w:bidi="ar"/>
              </w:rPr>
              <w:br w:type="textWrapping"/>
            </w:r>
            <w:r>
              <w:rPr>
                <w:rFonts w:eastAsia="黑体"/>
                <w:color w:val="000000"/>
                <w:kern w:val="0"/>
                <w:sz w:val="20"/>
                <w:szCs w:val="20"/>
                <w:lang w:bidi="ar"/>
              </w:rPr>
              <w:t>电机功率： 0.37-1.5Kw</w:t>
            </w:r>
            <w:r>
              <w:rPr>
                <w:rFonts w:eastAsia="黑体"/>
                <w:color w:val="000000"/>
                <w:kern w:val="0"/>
                <w:sz w:val="20"/>
                <w:szCs w:val="20"/>
                <w:lang w:bidi="ar"/>
              </w:rPr>
              <w:br w:type="textWrapping"/>
            </w:r>
            <w:r>
              <w:rPr>
                <w:rFonts w:eastAsia="黑体"/>
                <w:color w:val="000000"/>
                <w:kern w:val="0"/>
                <w:sz w:val="20"/>
                <w:szCs w:val="20"/>
                <w:lang w:bidi="ar"/>
              </w:rPr>
              <w:t>皮带厚度： 3mm，延伸率ε≤1％（拉力为12N/mm时）</w:t>
            </w:r>
            <w:r>
              <w:rPr>
                <w:rFonts w:eastAsia="黑体"/>
                <w:color w:val="000000"/>
                <w:kern w:val="0"/>
                <w:sz w:val="20"/>
                <w:szCs w:val="20"/>
                <w:lang w:bidi="ar"/>
              </w:rPr>
              <w:br w:type="textWrapping"/>
            </w:r>
            <w:r>
              <w:rPr>
                <w:rFonts w:eastAsia="黑体"/>
                <w:color w:val="000000"/>
                <w:kern w:val="0"/>
                <w:sz w:val="20"/>
                <w:szCs w:val="20"/>
                <w:lang w:bidi="ar"/>
              </w:rPr>
              <w:t>主要部件：电机、皮带、轴承</w:t>
            </w:r>
            <w:r>
              <w:rPr>
                <w:rFonts w:eastAsia="黑体"/>
                <w:color w:val="000000"/>
                <w:kern w:val="0"/>
                <w:sz w:val="20"/>
                <w:szCs w:val="20"/>
                <w:lang w:bidi="ar"/>
              </w:rPr>
              <w:br w:type="textWrapping"/>
            </w:r>
            <w:r>
              <w:rPr>
                <w:rFonts w:eastAsia="黑体"/>
                <w:color w:val="000000"/>
                <w:kern w:val="0"/>
                <w:sz w:val="20"/>
                <w:szCs w:val="20"/>
                <w:lang w:bidi="ar"/>
              </w:rPr>
              <w:t>皮带:黑色3mm PVC带，防霉、抗阻燃、防静电</w:t>
            </w:r>
            <w:r>
              <w:rPr>
                <w:rFonts w:eastAsia="黑体"/>
                <w:color w:val="000000"/>
                <w:kern w:val="0"/>
                <w:sz w:val="20"/>
                <w:szCs w:val="20"/>
                <w:lang w:bidi="ar"/>
              </w:rPr>
              <w:br w:type="textWrapping"/>
            </w:r>
            <w:r>
              <w:rPr>
                <w:rFonts w:eastAsia="黑体"/>
                <w:color w:val="000000"/>
                <w:kern w:val="0"/>
                <w:sz w:val="20"/>
                <w:szCs w:val="20"/>
                <w:lang w:bidi="ar"/>
              </w:rPr>
              <w:t>拉紧装置：有张紧装置，可调跑偏</w:t>
            </w:r>
            <w:r>
              <w:rPr>
                <w:rFonts w:eastAsia="黑体"/>
                <w:color w:val="000000"/>
                <w:kern w:val="0"/>
                <w:sz w:val="20"/>
                <w:szCs w:val="20"/>
                <w:lang w:bidi="ar"/>
              </w:rPr>
              <w:br w:type="textWrapping"/>
            </w:r>
            <w:r>
              <w:rPr>
                <w:rFonts w:eastAsia="黑体"/>
                <w:color w:val="000000"/>
                <w:kern w:val="0"/>
                <w:sz w:val="20"/>
                <w:szCs w:val="20"/>
                <w:lang w:bidi="ar"/>
              </w:rPr>
              <w:t>整机噪音：≤65 dB</w:t>
            </w:r>
            <w:r>
              <w:rPr>
                <w:rFonts w:eastAsia="黑体"/>
                <w:color w:val="000000"/>
                <w:kern w:val="0"/>
                <w:sz w:val="20"/>
                <w:szCs w:val="20"/>
                <w:lang w:bidi="ar"/>
              </w:rPr>
              <w:br w:type="textWrapping"/>
            </w:r>
            <w:r>
              <w:rPr>
                <w:rFonts w:eastAsia="黑体"/>
                <w:color w:val="000000"/>
                <w:kern w:val="0"/>
                <w:sz w:val="20"/>
                <w:szCs w:val="20"/>
                <w:lang w:bidi="ar"/>
              </w:rPr>
              <w:t>碳钢支腿机架，机架厚度≥3mm，支腿高度可调±50mm。</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105</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皮带输送机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尺寸（长*宽*高）：1500*1000*750</w:t>
            </w:r>
            <w:r>
              <w:rPr>
                <w:rFonts w:eastAsia="黑体"/>
                <w:color w:val="000000"/>
                <w:kern w:val="0"/>
                <w:sz w:val="20"/>
                <w:szCs w:val="20"/>
                <w:lang w:bidi="ar"/>
              </w:rPr>
              <w:br w:type="textWrapping"/>
            </w:r>
            <w:r>
              <w:rPr>
                <w:rFonts w:eastAsia="黑体"/>
                <w:color w:val="000000"/>
                <w:kern w:val="0"/>
                <w:sz w:val="20"/>
                <w:szCs w:val="20"/>
                <w:lang w:bidi="ar"/>
              </w:rPr>
              <w:t>输送速度： 0.5m/s</w:t>
            </w:r>
            <w:r>
              <w:rPr>
                <w:rFonts w:eastAsia="黑体"/>
                <w:color w:val="000000"/>
                <w:kern w:val="0"/>
                <w:sz w:val="20"/>
                <w:szCs w:val="20"/>
                <w:lang w:bidi="ar"/>
              </w:rPr>
              <w:br w:type="textWrapping"/>
            </w:r>
            <w:r>
              <w:rPr>
                <w:rFonts w:eastAsia="黑体"/>
                <w:color w:val="000000"/>
                <w:kern w:val="0"/>
                <w:sz w:val="20"/>
                <w:szCs w:val="20"/>
                <w:lang w:bidi="ar"/>
              </w:rPr>
              <w:t>承载能力： 60kg/m</w:t>
            </w:r>
            <w:r>
              <w:rPr>
                <w:rFonts w:eastAsia="黑体"/>
                <w:color w:val="000000"/>
                <w:kern w:val="0"/>
                <w:sz w:val="20"/>
                <w:szCs w:val="20"/>
                <w:lang w:bidi="ar"/>
              </w:rPr>
              <w:br w:type="textWrapping"/>
            </w:r>
            <w:r>
              <w:rPr>
                <w:rFonts w:eastAsia="黑体"/>
                <w:color w:val="000000"/>
                <w:kern w:val="0"/>
                <w:sz w:val="20"/>
                <w:szCs w:val="20"/>
                <w:lang w:bidi="ar"/>
              </w:rPr>
              <w:t>电机功率： 0.37-1.5Kw</w:t>
            </w:r>
            <w:r>
              <w:rPr>
                <w:rFonts w:eastAsia="黑体"/>
                <w:color w:val="000000"/>
                <w:kern w:val="0"/>
                <w:sz w:val="20"/>
                <w:szCs w:val="20"/>
                <w:lang w:bidi="ar"/>
              </w:rPr>
              <w:br w:type="textWrapping"/>
            </w:r>
            <w:r>
              <w:rPr>
                <w:rFonts w:eastAsia="黑体"/>
                <w:color w:val="000000"/>
                <w:kern w:val="0"/>
                <w:sz w:val="20"/>
                <w:szCs w:val="20"/>
                <w:lang w:bidi="ar"/>
              </w:rPr>
              <w:t>皮带厚度： 3mm，延伸率ε≤1％（拉力为12N/mm时）</w:t>
            </w:r>
            <w:r>
              <w:rPr>
                <w:rFonts w:eastAsia="黑体"/>
                <w:color w:val="000000"/>
                <w:kern w:val="0"/>
                <w:sz w:val="20"/>
                <w:szCs w:val="20"/>
                <w:lang w:bidi="ar"/>
              </w:rPr>
              <w:br w:type="textWrapping"/>
            </w:r>
            <w:r>
              <w:rPr>
                <w:rFonts w:eastAsia="黑体"/>
                <w:color w:val="000000"/>
                <w:kern w:val="0"/>
                <w:sz w:val="20"/>
                <w:szCs w:val="20"/>
                <w:lang w:bidi="ar"/>
              </w:rPr>
              <w:t>主要部件：电机、皮带、轴承</w:t>
            </w:r>
            <w:r>
              <w:rPr>
                <w:rFonts w:eastAsia="黑体"/>
                <w:color w:val="000000"/>
                <w:kern w:val="0"/>
                <w:sz w:val="20"/>
                <w:szCs w:val="20"/>
                <w:lang w:bidi="ar"/>
              </w:rPr>
              <w:br w:type="textWrapping"/>
            </w:r>
            <w:r>
              <w:rPr>
                <w:rFonts w:eastAsia="黑体"/>
                <w:color w:val="000000"/>
                <w:kern w:val="0"/>
                <w:sz w:val="20"/>
                <w:szCs w:val="20"/>
                <w:lang w:bidi="ar"/>
              </w:rPr>
              <w:t>皮带:黑色3mm PVC带，防霉、抗阻燃、防静电</w:t>
            </w:r>
            <w:r>
              <w:rPr>
                <w:rFonts w:eastAsia="黑体"/>
                <w:color w:val="000000"/>
                <w:kern w:val="0"/>
                <w:sz w:val="20"/>
                <w:szCs w:val="20"/>
                <w:lang w:bidi="ar"/>
              </w:rPr>
              <w:br w:type="textWrapping"/>
            </w:r>
            <w:r>
              <w:rPr>
                <w:rFonts w:eastAsia="黑体"/>
                <w:color w:val="000000"/>
                <w:kern w:val="0"/>
                <w:sz w:val="20"/>
                <w:szCs w:val="20"/>
                <w:lang w:bidi="ar"/>
              </w:rPr>
              <w:t>拉紧装置：有张紧装置，可调跑偏</w:t>
            </w:r>
            <w:r>
              <w:rPr>
                <w:rFonts w:eastAsia="黑体"/>
                <w:color w:val="000000"/>
                <w:kern w:val="0"/>
                <w:sz w:val="20"/>
                <w:szCs w:val="20"/>
                <w:lang w:bidi="ar"/>
              </w:rPr>
              <w:br w:type="textWrapping"/>
            </w:r>
            <w:r>
              <w:rPr>
                <w:rFonts w:eastAsia="黑体"/>
                <w:color w:val="000000"/>
                <w:kern w:val="0"/>
                <w:sz w:val="20"/>
                <w:szCs w:val="20"/>
                <w:lang w:bidi="ar"/>
              </w:rPr>
              <w:t>整机噪音：≤65 dB</w:t>
            </w:r>
            <w:r>
              <w:rPr>
                <w:rFonts w:eastAsia="黑体"/>
                <w:color w:val="000000"/>
                <w:kern w:val="0"/>
                <w:sz w:val="20"/>
                <w:szCs w:val="20"/>
                <w:lang w:bidi="ar"/>
              </w:rPr>
              <w:br w:type="textWrapping"/>
            </w:r>
            <w:r>
              <w:rPr>
                <w:rFonts w:eastAsia="黑体"/>
                <w:color w:val="000000"/>
                <w:kern w:val="0"/>
                <w:sz w:val="20"/>
                <w:szCs w:val="20"/>
                <w:lang w:bidi="ar"/>
              </w:rPr>
              <w:t>碳钢支腿机架，机架厚度≥3mm，支腿高度可调±50mm。</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106</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爬坡输送机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尺寸（长*宽*高）：3000*1000*750，</w:t>
            </w:r>
            <w:r>
              <w:rPr>
                <w:rFonts w:eastAsia="黑体"/>
                <w:color w:val="000000"/>
                <w:kern w:val="0"/>
                <w:sz w:val="20"/>
                <w:szCs w:val="20"/>
                <w:lang w:bidi="ar"/>
              </w:rPr>
              <w:br w:type="textWrapping"/>
            </w:r>
            <w:r>
              <w:rPr>
                <w:rFonts w:eastAsia="黑体"/>
                <w:color w:val="000000"/>
                <w:kern w:val="0"/>
                <w:sz w:val="20"/>
                <w:szCs w:val="20"/>
                <w:lang w:bidi="ar"/>
              </w:rPr>
              <w:t>输送速度： 0.5m/s</w:t>
            </w:r>
            <w:r>
              <w:rPr>
                <w:rFonts w:eastAsia="黑体"/>
                <w:color w:val="000000"/>
                <w:kern w:val="0"/>
                <w:sz w:val="20"/>
                <w:szCs w:val="20"/>
                <w:lang w:bidi="ar"/>
              </w:rPr>
              <w:br w:type="textWrapping"/>
            </w:r>
            <w:r>
              <w:rPr>
                <w:rFonts w:eastAsia="黑体"/>
                <w:color w:val="000000"/>
                <w:kern w:val="0"/>
                <w:sz w:val="20"/>
                <w:szCs w:val="20"/>
                <w:lang w:bidi="ar"/>
              </w:rPr>
              <w:t>承载能力： 60kg/m</w:t>
            </w:r>
            <w:r>
              <w:rPr>
                <w:rFonts w:eastAsia="黑体"/>
                <w:color w:val="000000"/>
                <w:kern w:val="0"/>
                <w:sz w:val="20"/>
                <w:szCs w:val="20"/>
                <w:lang w:bidi="ar"/>
              </w:rPr>
              <w:br w:type="textWrapping"/>
            </w:r>
            <w:r>
              <w:rPr>
                <w:rFonts w:eastAsia="黑体"/>
                <w:color w:val="000000"/>
                <w:kern w:val="0"/>
                <w:sz w:val="20"/>
                <w:szCs w:val="20"/>
                <w:lang w:bidi="ar"/>
              </w:rPr>
              <w:t>电机功率： 0.37-1.5Kw</w:t>
            </w:r>
            <w:r>
              <w:rPr>
                <w:rFonts w:eastAsia="黑体"/>
                <w:color w:val="000000"/>
                <w:kern w:val="0"/>
                <w:sz w:val="20"/>
                <w:szCs w:val="20"/>
                <w:lang w:bidi="ar"/>
              </w:rPr>
              <w:br w:type="textWrapping"/>
            </w:r>
            <w:r>
              <w:rPr>
                <w:rFonts w:eastAsia="黑体"/>
                <w:color w:val="000000"/>
                <w:kern w:val="0"/>
                <w:sz w:val="20"/>
                <w:szCs w:val="20"/>
                <w:lang w:bidi="ar"/>
              </w:rPr>
              <w:t>皮带厚度： 3mm，延伸率ε≤1％（拉力为12N/mm时）</w:t>
            </w:r>
            <w:r>
              <w:rPr>
                <w:rFonts w:eastAsia="黑体"/>
                <w:color w:val="000000"/>
                <w:kern w:val="0"/>
                <w:sz w:val="20"/>
                <w:szCs w:val="20"/>
                <w:lang w:bidi="ar"/>
              </w:rPr>
              <w:br w:type="textWrapping"/>
            </w:r>
            <w:r>
              <w:rPr>
                <w:rFonts w:eastAsia="黑体"/>
                <w:color w:val="000000"/>
                <w:kern w:val="0"/>
                <w:sz w:val="20"/>
                <w:szCs w:val="20"/>
                <w:lang w:bidi="ar"/>
              </w:rPr>
              <w:t>主要部件：电机、皮带、轴承</w:t>
            </w:r>
            <w:r>
              <w:rPr>
                <w:rFonts w:eastAsia="黑体"/>
                <w:color w:val="000000"/>
                <w:kern w:val="0"/>
                <w:sz w:val="20"/>
                <w:szCs w:val="20"/>
                <w:lang w:bidi="ar"/>
              </w:rPr>
              <w:br w:type="textWrapping"/>
            </w:r>
            <w:r>
              <w:rPr>
                <w:rFonts w:eastAsia="黑体"/>
                <w:color w:val="000000"/>
                <w:kern w:val="0"/>
                <w:sz w:val="20"/>
                <w:szCs w:val="20"/>
                <w:lang w:bidi="ar"/>
              </w:rPr>
              <w:t>皮带:黑色3mm PVC带，防霉、抗阻燃、防静电</w:t>
            </w:r>
            <w:r>
              <w:rPr>
                <w:rFonts w:eastAsia="黑体"/>
                <w:color w:val="000000"/>
                <w:kern w:val="0"/>
                <w:sz w:val="20"/>
                <w:szCs w:val="20"/>
                <w:lang w:bidi="ar"/>
              </w:rPr>
              <w:br w:type="textWrapping"/>
            </w:r>
            <w:r>
              <w:rPr>
                <w:rFonts w:eastAsia="黑体"/>
                <w:color w:val="000000"/>
                <w:kern w:val="0"/>
                <w:sz w:val="20"/>
                <w:szCs w:val="20"/>
                <w:lang w:bidi="ar"/>
              </w:rPr>
              <w:t>拉紧装置：有张紧装置，可调跑偏</w:t>
            </w:r>
            <w:r>
              <w:rPr>
                <w:rFonts w:eastAsia="黑体"/>
                <w:color w:val="000000"/>
                <w:kern w:val="0"/>
                <w:sz w:val="20"/>
                <w:szCs w:val="20"/>
                <w:lang w:bidi="ar"/>
              </w:rPr>
              <w:br w:type="textWrapping"/>
            </w:r>
            <w:r>
              <w:rPr>
                <w:rFonts w:eastAsia="黑体"/>
                <w:color w:val="000000"/>
                <w:kern w:val="0"/>
                <w:sz w:val="20"/>
                <w:szCs w:val="20"/>
                <w:lang w:bidi="ar"/>
              </w:rPr>
              <w:t xml:space="preserve">整机噪音：≤65 dB </w:t>
            </w:r>
            <w:r>
              <w:rPr>
                <w:rFonts w:eastAsia="黑体"/>
                <w:color w:val="000000"/>
                <w:kern w:val="0"/>
                <w:sz w:val="20"/>
                <w:szCs w:val="20"/>
                <w:lang w:bidi="ar"/>
              </w:rPr>
              <w:br w:type="textWrapping"/>
            </w:r>
            <w:r>
              <w:rPr>
                <w:rFonts w:eastAsia="黑体"/>
                <w:color w:val="000000"/>
                <w:kern w:val="0"/>
                <w:sz w:val="20"/>
                <w:szCs w:val="20"/>
                <w:lang w:bidi="ar"/>
              </w:rPr>
              <w:t>碳钢支腿机架，机架厚度≥3mm，支腿高度可调±50mm。</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107</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收集带下坡输送机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尺寸（长*宽*高）：6000*1000*1800~750</w:t>
            </w:r>
            <w:r>
              <w:rPr>
                <w:rFonts w:hint="eastAsia" w:eastAsia="黑体"/>
                <w:color w:val="000000"/>
                <w:kern w:val="0"/>
                <w:sz w:val="20"/>
                <w:szCs w:val="20"/>
                <w:lang w:val="en-US" w:eastAsia="zh-CN" w:bidi="ar"/>
              </w:rPr>
              <w:t>(mm)</w:t>
            </w:r>
            <w:r>
              <w:rPr>
                <w:rFonts w:eastAsia="黑体"/>
                <w:color w:val="000000"/>
                <w:kern w:val="0"/>
                <w:sz w:val="20"/>
                <w:szCs w:val="20"/>
                <w:lang w:bidi="ar"/>
              </w:rPr>
              <w:br w:type="textWrapping"/>
            </w:r>
            <w:r>
              <w:rPr>
                <w:rFonts w:eastAsia="黑体"/>
                <w:color w:val="000000"/>
                <w:kern w:val="0"/>
                <w:sz w:val="20"/>
                <w:szCs w:val="20"/>
                <w:lang w:bidi="ar"/>
              </w:rPr>
              <w:t>输送速度： 0.5m/s</w:t>
            </w:r>
            <w:r>
              <w:rPr>
                <w:rFonts w:eastAsia="黑体"/>
                <w:color w:val="000000"/>
                <w:kern w:val="0"/>
                <w:sz w:val="20"/>
                <w:szCs w:val="20"/>
                <w:lang w:bidi="ar"/>
              </w:rPr>
              <w:br w:type="textWrapping"/>
            </w:r>
            <w:r>
              <w:rPr>
                <w:rFonts w:eastAsia="黑体"/>
                <w:color w:val="000000"/>
                <w:kern w:val="0"/>
                <w:sz w:val="20"/>
                <w:szCs w:val="20"/>
                <w:lang w:bidi="ar"/>
              </w:rPr>
              <w:t>承载能力： 60kg/m</w:t>
            </w:r>
            <w:r>
              <w:rPr>
                <w:rFonts w:eastAsia="黑体"/>
                <w:color w:val="000000"/>
                <w:kern w:val="0"/>
                <w:sz w:val="20"/>
                <w:szCs w:val="20"/>
                <w:lang w:bidi="ar"/>
              </w:rPr>
              <w:br w:type="textWrapping"/>
            </w:r>
            <w:r>
              <w:rPr>
                <w:rFonts w:eastAsia="黑体"/>
                <w:color w:val="000000"/>
                <w:kern w:val="0"/>
                <w:sz w:val="20"/>
                <w:szCs w:val="20"/>
                <w:lang w:bidi="ar"/>
              </w:rPr>
              <w:t>电机功率： 0.37-1.5Kw</w:t>
            </w:r>
            <w:r>
              <w:rPr>
                <w:rFonts w:eastAsia="黑体"/>
                <w:color w:val="000000"/>
                <w:kern w:val="0"/>
                <w:sz w:val="20"/>
                <w:szCs w:val="20"/>
                <w:lang w:bidi="ar"/>
              </w:rPr>
              <w:br w:type="textWrapping"/>
            </w:r>
            <w:r>
              <w:rPr>
                <w:rFonts w:eastAsia="黑体"/>
                <w:color w:val="000000"/>
                <w:kern w:val="0"/>
                <w:sz w:val="20"/>
                <w:szCs w:val="20"/>
                <w:lang w:bidi="ar"/>
              </w:rPr>
              <w:t>皮带厚度： 3mm，延伸率ε≤1％（拉力为12N/mm时）</w:t>
            </w:r>
            <w:r>
              <w:rPr>
                <w:rFonts w:eastAsia="黑体"/>
                <w:color w:val="000000"/>
                <w:kern w:val="0"/>
                <w:sz w:val="20"/>
                <w:szCs w:val="20"/>
                <w:lang w:bidi="ar"/>
              </w:rPr>
              <w:br w:type="textWrapping"/>
            </w:r>
            <w:r>
              <w:rPr>
                <w:rFonts w:eastAsia="黑体"/>
                <w:color w:val="000000"/>
                <w:kern w:val="0"/>
                <w:sz w:val="20"/>
                <w:szCs w:val="20"/>
                <w:lang w:bidi="ar"/>
              </w:rPr>
              <w:t>主要部件：电机、皮带、轴承</w:t>
            </w:r>
            <w:r>
              <w:rPr>
                <w:rFonts w:eastAsia="黑体"/>
                <w:color w:val="000000"/>
                <w:kern w:val="0"/>
                <w:sz w:val="20"/>
                <w:szCs w:val="20"/>
                <w:lang w:bidi="ar"/>
              </w:rPr>
              <w:br w:type="textWrapping"/>
            </w:r>
            <w:r>
              <w:rPr>
                <w:rFonts w:eastAsia="黑体"/>
                <w:color w:val="000000"/>
                <w:kern w:val="0"/>
                <w:sz w:val="20"/>
                <w:szCs w:val="20"/>
                <w:lang w:bidi="ar"/>
              </w:rPr>
              <w:t>皮带:黑色3mm PVC带，防霉、抗阻燃、防静电、防滑</w:t>
            </w:r>
            <w:r>
              <w:rPr>
                <w:rFonts w:eastAsia="黑体"/>
                <w:color w:val="000000"/>
                <w:kern w:val="0"/>
                <w:sz w:val="20"/>
                <w:szCs w:val="20"/>
                <w:lang w:bidi="ar"/>
              </w:rPr>
              <w:br w:type="textWrapping"/>
            </w:r>
            <w:r>
              <w:rPr>
                <w:rFonts w:eastAsia="黑体"/>
                <w:color w:val="000000"/>
                <w:kern w:val="0"/>
                <w:sz w:val="20"/>
                <w:szCs w:val="20"/>
                <w:lang w:bidi="ar"/>
              </w:rPr>
              <w:t>拉紧装置：有张紧装置，可调跑偏</w:t>
            </w:r>
            <w:r>
              <w:rPr>
                <w:rFonts w:eastAsia="黑体"/>
                <w:color w:val="000000"/>
                <w:kern w:val="0"/>
                <w:sz w:val="20"/>
                <w:szCs w:val="20"/>
                <w:lang w:bidi="ar"/>
              </w:rPr>
              <w:br w:type="textWrapping"/>
            </w:r>
            <w:r>
              <w:rPr>
                <w:rFonts w:eastAsia="黑体"/>
                <w:color w:val="000000"/>
                <w:kern w:val="0"/>
                <w:sz w:val="20"/>
                <w:szCs w:val="20"/>
                <w:lang w:bidi="ar"/>
              </w:rPr>
              <w:t>整机噪音：≤65 dB</w:t>
            </w:r>
            <w:r>
              <w:rPr>
                <w:rFonts w:eastAsia="黑体"/>
                <w:color w:val="000000"/>
                <w:kern w:val="0"/>
                <w:sz w:val="20"/>
                <w:szCs w:val="20"/>
                <w:lang w:bidi="ar"/>
              </w:rPr>
              <w:br w:type="textWrapping"/>
            </w:r>
            <w:r>
              <w:rPr>
                <w:rFonts w:eastAsia="黑体"/>
                <w:color w:val="000000"/>
                <w:kern w:val="0"/>
                <w:sz w:val="20"/>
                <w:szCs w:val="20"/>
                <w:lang w:bidi="ar"/>
              </w:rPr>
              <w:t xml:space="preserve"> 碳钢支腿机架，机架厚度≥3mm，支腿高度可调±50mm。</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108</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不锈钢开拆平台</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规格型号：1800*800*650</w:t>
            </w:r>
            <w:r>
              <w:rPr>
                <w:rFonts w:hint="eastAsia" w:eastAsia="黑体"/>
                <w:color w:val="000000"/>
                <w:kern w:val="0"/>
                <w:sz w:val="20"/>
                <w:szCs w:val="20"/>
                <w:lang w:val="en-US" w:eastAsia="zh-CN" w:bidi="ar"/>
              </w:rPr>
              <w:t>(mm)</w:t>
            </w:r>
            <w:r>
              <w:rPr>
                <w:rFonts w:eastAsia="黑体"/>
                <w:color w:val="000000"/>
                <w:kern w:val="0"/>
                <w:sz w:val="20"/>
                <w:szCs w:val="20"/>
                <w:lang w:bidi="ar"/>
              </w:rPr>
              <w:br w:type="textWrapping"/>
            </w:r>
            <w:r>
              <w:rPr>
                <w:rFonts w:eastAsia="黑体"/>
                <w:color w:val="000000"/>
                <w:kern w:val="0"/>
                <w:sz w:val="20"/>
                <w:szCs w:val="20"/>
                <w:lang w:bidi="ar"/>
              </w:rPr>
              <w:t>参数：不锈钢</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109</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万向球平台</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尺寸（长*宽*高）：1000*1000*750</w:t>
            </w:r>
            <w:r>
              <w:rPr>
                <w:rFonts w:hint="eastAsia" w:eastAsia="黑体"/>
                <w:color w:val="000000"/>
                <w:kern w:val="0"/>
                <w:sz w:val="20"/>
                <w:szCs w:val="20"/>
                <w:lang w:val="en-US" w:eastAsia="zh-CN" w:bidi="ar"/>
              </w:rPr>
              <w:t>(mm)</w:t>
            </w:r>
            <w:r>
              <w:rPr>
                <w:rFonts w:eastAsia="黑体"/>
                <w:color w:val="000000"/>
                <w:kern w:val="0"/>
                <w:sz w:val="20"/>
                <w:szCs w:val="20"/>
                <w:lang w:bidi="ar"/>
              </w:rPr>
              <w:br w:type="textWrapping"/>
            </w:r>
            <w:r>
              <w:rPr>
                <w:rFonts w:eastAsia="黑体"/>
                <w:color w:val="000000"/>
                <w:kern w:val="0"/>
                <w:sz w:val="20"/>
                <w:szCs w:val="20"/>
                <w:lang w:bidi="ar"/>
              </w:rPr>
              <w:t>万向球采用蝶形万向球，滚珠直径25.4mm，滚珠和球壳材质全是SUS304，万向球球中心间隔≤80m。</w:t>
            </w:r>
            <w:r>
              <w:rPr>
                <w:rFonts w:eastAsia="黑体"/>
                <w:color w:val="000000"/>
                <w:kern w:val="0"/>
                <w:sz w:val="20"/>
                <w:szCs w:val="20"/>
                <w:lang w:bidi="ar"/>
              </w:rPr>
              <w:br w:type="textWrapping"/>
            </w:r>
            <w:r>
              <w:rPr>
                <w:rFonts w:eastAsia="黑体"/>
                <w:color w:val="000000"/>
                <w:kern w:val="0"/>
                <w:sz w:val="20"/>
                <w:szCs w:val="20"/>
                <w:lang w:bidi="ar"/>
              </w:rPr>
              <w:t>承载板≥3mm，材质SUS304。</w:t>
            </w:r>
            <w:r>
              <w:rPr>
                <w:rFonts w:eastAsia="黑体"/>
                <w:color w:val="000000"/>
                <w:kern w:val="0"/>
                <w:sz w:val="20"/>
                <w:szCs w:val="20"/>
                <w:lang w:bidi="ar"/>
              </w:rPr>
              <w:br w:type="textWrapping"/>
            </w:r>
            <w:r>
              <w:rPr>
                <w:rFonts w:eastAsia="黑体"/>
                <w:color w:val="000000"/>
                <w:kern w:val="0"/>
                <w:sz w:val="20"/>
                <w:szCs w:val="20"/>
                <w:lang w:bidi="ar"/>
              </w:rPr>
              <w:t xml:space="preserve">碳钢支腿机架，机架厚度≥3mm，支腿高度可调±50mm。    </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110</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皮带输送机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尺寸（长*宽*高）：2750*1000*750</w:t>
            </w:r>
            <w:r>
              <w:rPr>
                <w:rFonts w:hint="eastAsia" w:eastAsia="黑体"/>
                <w:color w:val="000000"/>
                <w:kern w:val="0"/>
                <w:sz w:val="20"/>
                <w:szCs w:val="20"/>
                <w:lang w:val="en-US" w:eastAsia="zh-CN" w:bidi="ar"/>
              </w:rPr>
              <w:t>(mm)</w:t>
            </w:r>
            <w:r>
              <w:rPr>
                <w:rFonts w:eastAsia="黑体"/>
                <w:color w:val="000000"/>
                <w:kern w:val="0"/>
                <w:sz w:val="20"/>
                <w:szCs w:val="20"/>
                <w:lang w:bidi="ar"/>
              </w:rPr>
              <w:br w:type="textWrapping"/>
            </w:r>
            <w:r>
              <w:rPr>
                <w:rFonts w:eastAsia="黑体"/>
                <w:color w:val="000000"/>
                <w:kern w:val="0"/>
                <w:sz w:val="20"/>
                <w:szCs w:val="20"/>
                <w:lang w:bidi="ar"/>
              </w:rPr>
              <w:t>输送速度： 0.5m/s</w:t>
            </w:r>
            <w:r>
              <w:rPr>
                <w:rFonts w:eastAsia="黑体"/>
                <w:color w:val="000000"/>
                <w:kern w:val="0"/>
                <w:sz w:val="20"/>
                <w:szCs w:val="20"/>
                <w:lang w:bidi="ar"/>
              </w:rPr>
              <w:br w:type="textWrapping"/>
            </w:r>
            <w:r>
              <w:rPr>
                <w:rFonts w:eastAsia="黑体"/>
                <w:color w:val="000000"/>
                <w:kern w:val="0"/>
                <w:sz w:val="20"/>
                <w:szCs w:val="20"/>
                <w:lang w:bidi="ar"/>
              </w:rPr>
              <w:t>承载能力： 60kg/m</w:t>
            </w:r>
            <w:r>
              <w:rPr>
                <w:rFonts w:eastAsia="黑体"/>
                <w:color w:val="000000"/>
                <w:kern w:val="0"/>
                <w:sz w:val="20"/>
                <w:szCs w:val="20"/>
                <w:lang w:bidi="ar"/>
              </w:rPr>
              <w:br w:type="textWrapping"/>
            </w:r>
            <w:r>
              <w:rPr>
                <w:rFonts w:eastAsia="黑体"/>
                <w:color w:val="000000"/>
                <w:kern w:val="0"/>
                <w:sz w:val="20"/>
                <w:szCs w:val="20"/>
                <w:lang w:bidi="ar"/>
              </w:rPr>
              <w:t>电机功率： 0.37-1.5Kw</w:t>
            </w:r>
            <w:r>
              <w:rPr>
                <w:rFonts w:eastAsia="黑体"/>
                <w:color w:val="000000"/>
                <w:kern w:val="0"/>
                <w:sz w:val="20"/>
                <w:szCs w:val="20"/>
                <w:lang w:bidi="ar"/>
              </w:rPr>
              <w:br w:type="textWrapping"/>
            </w:r>
            <w:r>
              <w:rPr>
                <w:rFonts w:eastAsia="黑体"/>
                <w:color w:val="000000"/>
                <w:kern w:val="0"/>
                <w:sz w:val="20"/>
                <w:szCs w:val="20"/>
                <w:lang w:bidi="ar"/>
              </w:rPr>
              <w:t>皮带厚度： 3mm，延伸率ε≤1％（拉力为12N/mm时）</w:t>
            </w:r>
            <w:r>
              <w:rPr>
                <w:rFonts w:eastAsia="黑体"/>
                <w:color w:val="000000"/>
                <w:kern w:val="0"/>
                <w:sz w:val="20"/>
                <w:szCs w:val="20"/>
                <w:lang w:bidi="ar"/>
              </w:rPr>
              <w:br w:type="textWrapping"/>
            </w:r>
            <w:r>
              <w:rPr>
                <w:rFonts w:eastAsia="黑体"/>
                <w:color w:val="000000"/>
                <w:kern w:val="0"/>
                <w:sz w:val="20"/>
                <w:szCs w:val="20"/>
                <w:lang w:bidi="ar"/>
              </w:rPr>
              <w:t>主要部件：电机、皮带、轴承</w:t>
            </w:r>
            <w:r>
              <w:rPr>
                <w:rFonts w:eastAsia="黑体"/>
                <w:color w:val="000000"/>
                <w:kern w:val="0"/>
                <w:sz w:val="20"/>
                <w:szCs w:val="20"/>
                <w:lang w:bidi="ar"/>
              </w:rPr>
              <w:br w:type="textWrapping"/>
            </w:r>
            <w:r>
              <w:rPr>
                <w:rFonts w:eastAsia="黑体"/>
                <w:color w:val="000000"/>
                <w:kern w:val="0"/>
                <w:sz w:val="20"/>
                <w:szCs w:val="20"/>
                <w:lang w:bidi="ar"/>
              </w:rPr>
              <w:t>皮带:3mm PVC带，防霉、抗阻燃、防静电</w:t>
            </w:r>
            <w:r>
              <w:rPr>
                <w:rFonts w:eastAsia="黑体"/>
                <w:color w:val="000000"/>
                <w:kern w:val="0"/>
                <w:sz w:val="20"/>
                <w:szCs w:val="20"/>
                <w:lang w:bidi="ar"/>
              </w:rPr>
              <w:br w:type="textWrapping"/>
            </w:r>
            <w:r>
              <w:rPr>
                <w:rFonts w:eastAsia="黑体"/>
                <w:color w:val="000000"/>
                <w:kern w:val="0"/>
                <w:sz w:val="20"/>
                <w:szCs w:val="20"/>
                <w:lang w:bidi="ar"/>
              </w:rPr>
              <w:t>拉紧装置：有张紧装置，可调跑偏</w:t>
            </w:r>
            <w:r>
              <w:rPr>
                <w:rFonts w:eastAsia="黑体"/>
                <w:color w:val="000000"/>
                <w:kern w:val="0"/>
                <w:sz w:val="20"/>
                <w:szCs w:val="20"/>
                <w:lang w:bidi="ar"/>
              </w:rPr>
              <w:br w:type="textWrapping"/>
            </w:r>
            <w:r>
              <w:rPr>
                <w:rFonts w:eastAsia="黑体"/>
                <w:color w:val="000000"/>
                <w:kern w:val="0"/>
                <w:sz w:val="20"/>
                <w:szCs w:val="20"/>
                <w:lang w:bidi="ar"/>
              </w:rPr>
              <w:t>整机噪音：≤65 dB</w:t>
            </w:r>
            <w:r>
              <w:rPr>
                <w:rFonts w:eastAsia="黑体"/>
                <w:color w:val="000000"/>
                <w:kern w:val="0"/>
                <w:sz w:val="20"/>
                <w:szCs w:val="20"/>
                <w:lang w:bidi="ar"/>
              </w:rPr>
              <w:br w:type="textWrapping"/>
            </w:r>
            <w:r>
              <w:rPr>
                <w:rFonts w:eastAsia="黑体"/>
                <w:color w:val="000000"/>
                <w:kern w:val="0"/>
                <w:sz w:val="20"/>
                <w:szCs w:val="20"/>
                <w:lang w:bidi="ar"/>
              </w:rPr>
              <w:t>碳钢支腿机架，机架厚度≥3mm，支腿高度可调±50mm。</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111</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控制器</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以太网通讯端口、 超高速计数器 (HSC)和脉冲序列输出(PTO)，</w:t>
            </w:r>
            <w:r>
              <w:rPr>
                <w:rFonts w:eastAsia="黑体"/>
                <w:color w:val="000000"/>
                <w:kern w:val="0"/>
                <w:sz w:val="20"/>
                <w:szCs w:val="20"/>
                <w:lang w:bidi="ar"/>
              </w:rPr>
              <w:br w:type="textWrapping"/>
            </w:r>
            <w:r>
              <w:rPr>
                <w:rFonts w:eastAsia="黑体"/>
                <w:color w:val="000000"/>
                <w:kern w:val="0"/>
                <w:sz w:val="20"/>
                <w:szCs w:val="20"/>
                <w:lang w:bidi="ar"/>
              </w:rPr>
              <w:t>可以扩展更多I/O模块、快速HSC/PTO和额外的串口。支持DF1/DH485/Modbus RTU/DNP3/ASCII协议，内置以太网端口，支持EtherNet/IP对等信息传输。内置LCD屏，可以监视控制器和I/O状态，可以更改位和整形数模块化的存储器，容量2M，可根据应用需要扩展。各模块可带电更换，各模块无槽位限制带有自论断功能，可以自动诊断出系统中任一个部件是否故障系统平均无故障时间大于200000小时。良好的兼容性并易于升级，可与主要厂商的产品通信。</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vAlign w:val="center"/>
          </w:tcPr>
          <w:p>
            <w:pPr>
              <w:widowControl/>
              <w:jc w:val="right"/>
              <w:textAlignment w:val="center"/>
              <w:rPr>
                <w:rFonts w:eastAsia="黑体"/>
                <w:color w:val="000000"/>
                <w:sz w:val="20"/>
                <w:szCs w:val="20"/>
              </w:rPr>
            </w:pPr>
            <w:r>
              <w:rPr>
                <w:rFonts w:eastAsia="黑体"/>
                <w:color w:val="000000"/>
                <w:kern w:val="0"/>
                <w:sz w:val="20"/>
                <w:szCs w:val="20"/>
                <w:lang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112</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直流电源</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hint="default" w:eastAsia="黑体"/>
                <w:color w:val="000000"/>
                <w:sz w:val="20"/>
                <w:szCs w:val="20"/>
                <w:lang w:val="en-US" w:eastAsia="zh-CN"/>
              </w:rPr>
            </w:pPr>
            <w:r>
              <w:rPr>
                <w:rFonts w:eastAsia="黑体"/>
                <w:color w:val="000000"/>
                <w:kern w:val="0"/>
                <w:sz w:val="20"/>
                <w:szCs w:val="20"/>
                <w:lang w:bidi="ar"/>
              </w:rPr>
              <w:t>输入220V，输出24V</w:t>
            </w:r>
            <w:r>
              <w:rPr>
                <w:rFonts w:hint="eastAsia" w:eastAsia="黑体"/>
                <w:color w:val="000000"/>
                <w:kern w:val="0"/>
                <w:sz w:val="20"/>
                <w:szCs w:val="20"/>
                <w:lang w:val="en-US" w:eastAsia="zh-CN" w:bidi="ar"/>
              </w:rPr>
              <w:t xml:space="preserve"> 变压器</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vAlign w:val="center"/>
          </w:tcPr>
          <w:p>
            <w:pPr>
              <w:widowControl/>
              <w:jc w:val="right"/>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113</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控制电气柜及元件</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柜体尺寸：800*450*1800；</w:t>
            </w:r>
            <w:r>
              <w:rPr>
                <w:rFonts w:eastAsia="黑体"/>
                <w:color w:val="000000"/>
                <w:kern w:val="0"/>
                <w:sz w:val="20"/>
                <w:szCs w:val="20"/>
                <w:lang w:bidi="ar"/>
              </w:rPr>
              <w:br w:type="textWrapping"/>
            </w:r>
            <w:r>
              <w:rPr>
                <w:rFonts w:eastAsia="黑体"/>
                <w:color w:val="000000"/>
                <w:kern w:val="0"/>
                <w:sz w:val="20"/>
                <w:szCs w:val="20"/>
                <w:lang w:bidi="ar"/>
              </w:rPr>
              <w:t>控制柜放置控制器、直流电源、电器元件等；</w:t>
            </w:r>
            <w:r>
              <w:rPr>
                <w:rFonts w:eastAsia="黑体"/>
                <w:color w:val="000000"/>
                <w:kern w:val="0"/>
                <w:sz w:val="20"/>
                <w:szCs w:val="20"/>
                <w:lang w:bidi="ar"/>
              </w:rPr>
              <w:br w:type="textWrapping"/>
            </w:r>
            <w:r>
              <w:rPr>
                <w:rFonts w:eastAsia="黑体"/>
                <w:color w:val="000000"/>
                <w:kern w:val="0"/>
                <w:sz w:val="20"/>
                <w:szCs w:val="20"/>
                <w:lang w:bidi="ar"/>
              </w:rPr>
              <w:t>综合控制柜具有低压控制柜，负责设备启动、停止、按照控制流程执行相关指令，实现货物输送、分拣、与上位机通讯等功能过载、短路、缺相保护等保护功能。</w:t>
            </w:r>
            <w:r>
              <w:rPr>
                <w:rFonts w:eastAsia="黑体"/>
                <w:color w:val="000000"/>
                <w:kern w:val="0"/>
                <w:sz w:val="20"/>
                <w:szCs w:val="20"/>
                <w:lang w:bidi="ar"/>
              </w:rPr>
              <w:br w:type="textWrapping"/>
            </w:r>
            <w:r>
              <w:rPr>
                <w:rFonts w:eastAsia="黑体"/>
                <w:color w:val="000000"/>
                <w:kern w:val="0"/>
                <w:sz w:val="20"/>
                <w:szCs w:val="20"/>
                <w:lang w:bidi="ar"/>
              </w:rPr>
              <w:t>它具有结构紧凑、工作稳定、功能齐全；</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vAlign w:val="center"/>
          </w:tcPr>
          <w:p>
            <w:pPr>
              <w:widowControl/>
              <w:jc w:val="right"/>
              <w:textAlignment w:val="center"/>
              <w:rPr>
                <w:rFonts w:eastAsia="黑体"/>
                <w:color w:val="000000"/>
                <w:sz w:val="20"/>
                <w:szCs w:val="20"/>
              </w:rPr>
            </w:pPr>
            <w:r>
              <w:rPr>
                <w:rFonts w:eastAsia="黑体"/>
                <w:color w:val="000000"/>
                <w:kern w:val="0"/>
                <w:sz w:val="20"/>
                <w:szCs w:val="20"/>
                <w:lang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114</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电力电缆</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b w:val="0"/>
                <w:bCs w:val="0"/>
                <w:color w:val="000000"/>
                <w:sz w:val="20"/>
                <w:szCs w:val="20"/>
              </w:rPr>
            </w:pPr>
            <w:r>
              <w:rPr>
                <w:rFonts w:eastAsia="黑体"/>
                <w:b w:val="0"/>
                <w:bCs w:val="0"/>
                <w:color w:val="000000"/>
                <w:kern w:val="0"/>
                <w:sz w:val="20"/>
                <w:szCs w:val="20"/>
                <w:lang w:bidi="ar"/>
              </w:rPr>
              <w:t>4*1.5mm</w:t>
            </w:r>
            <w:r>
              <w:rPr>
                <w:rStyle w:val="293"/>
                <w:rFonts w:hint="default" w:ascii="Times New Roman" w:hAnsi="Times New Roman" w:eastAsia="黑体" w:cs="Times New Roman"/>
                <w:b w:val="0"/>
                <w:bCs w:val="0"/>
                <w:sz w:val="20"/>
                <w:szCs w:val="20"/>
                <w:lang w:bidi="ar"/>
              </w:rPr>
              <w:t>²</w:t>
            </w:r>
            <w:r>
              <w:rPr>
                <w:rStyle w:val="208"/>
                <w:rFonts w:eastAsia="黑体"/>
                <w:b w:val="0"/>
                <w:bCs w:val="0"/>
                <w:sz w:val="20"/>
                <w:szCs w:val="20"/>
                <w:lang w:bidi="ar"/>
              </w:rPr>
              <w:t>RVV国标</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米</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1500</w:t>
            </w:r>
          </w:p>
        </w:tc>
        <w:tc>
          <w:tcPr>
            <w:tcW w:w="375" w:type="pct"/>
            <w:tcBorders>
              <w:tl2br w:val="nil"/>
              <w:tr2bl w:val="nil"/>
            </w:tcBorders>
            <w:shd w:val="clear" w:color="auto" w:fill="auto"/>
            <w:vAlign w:val="center"/>
          </w:tcPr>
          <w:p>
            <w:pPr>
              <w:widowControl/>
              <w:jc w:val="right"/>
              <w:textAlignment w:val="center"/>
              <w:rPr>
                <w:rFonts w:eastAsia="黑体"/>
                <w:color w:val="000000"/>
                <w:sz w:val="20"/>
                <w:szCs w:val="20"/>
              </w:rPr>
            </w:pPr>
            <w:r>
              <w:rPr>
                <w:rFonts w:eastAsia="黑体"/>
                <w:color w:val="000000"/>
                <w:kern w:val="0"/>
                <w:sz w:val="20"/>
                <w:szCs w:val="20"/>
                <w:lang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115</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控制电缆</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b w:val="0"/>
                <w:bCs w:val="0"/>
                <w:color w:val="000000"/>
                <w:sz w:val="20"/>
                <w:szCs w:val="20"/>
              </w:rPr>
            </w:pPr>
            <w:r>
              <w:rPr>
                <w:rFonts w:eastAsia="黑体"/>
                <w:b w:val="0"/>
                <w:bCs w:val="0"/>
                <w:color w:val="000000"/>
                <w:kern w:val="0"/>
                <w:sz w:val="20"/>
                <w:szCs w:val="20"/>
                <w:lang w:bidi="ar"/>
              </w:rPr>
              <w:t>4*1.0mm</w:t>
            </w:r>
            <w:r>
              <w:rPr>
                <w:rStyle w:val="293"/>
                <w:rFonts w:hint="default" w:ascii="Times New Roman" w:hAnsi="Times New Roman" w:eastAsia="黑体" w:cs="Times New Roman"/>
                <w:b w:val="0"/>
                <w:bCs w:val="0"/>
                <w:sz w:val="20"/>
                <w:szCs w:val="20"/>
                <w:lang w:bidi="ar"/>
              </w:rPr>
              <w:t>²</w:t>
            </w:r>
            <w:r>
              <w:rPr>
                <w:rStyle w:val="208"/>
                <w:rFonts w:eastAsia="黑体"/>
                <w:b w:val="0"/>
                <w:bCs w:val="0"/>
                <w:sz w:val="20"/>
                <w:szCs w:val="20"/>
                <w:lang w:bidi="ar"/>
              </w:rPr>
              <w:t>国标</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米</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1200</w:t>
            </w:r>
          </w:p>
        </w:tc>
        <w:tc>
          <w:tcPr>
            <w:tcW w:w="375" w:type="pct"/>
            <w:tcBorders>
              <w:tl2br w:val="nil"/>
              <w:tr2bl w:val="nil"/>
            </w:tcBorders>
            <w:shd w:val="clear" w:color="auto" w:fill="auto"/>
            <w:vAlign w:val="center"/>
          </w:tcPr>
          <w:p>
            <w:pPr>
              <w:widowControl/>
              <w:jc w:val="right"/>
              <w:textAlignment w:val="center"/>
              <w:rPr>
                <w:rFonts w:eastAsia="黑体"/>
                <w:color w:val="000000"/>
                <w:sz w:val="20"/>
                <w:szCs w:val="20"/>
              </w:rPr>
            </w:pPr>
            <w:r>
              <w:rPr>
                <w:rFonts w:eastAsia="黑体"/>
                <w:color w:val="000000"/>
                <w:kern w:val="0"/>
                <w:sz w:val="20"/>
                <w:szCs w:val="20"/>
                <w:lang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116</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接头辅材</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与电缆线配套</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vAlign w:val="center"/>
          </w:tcPr>
          <w:p>
            <w:pPr>
              <w:widowControl/>
              <w:jc w:val="right"/>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117</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光电开关</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对射式</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对</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16</w:t>
            </w:r>
          </w:p>
        </w:tc>
        <w:tc>
          <w:tcPr>
            <w:tcW w:w="375" w:type="pct"/>
            <w:tcBorders>
              <w:tl2br w:val="nil"/>
              <w:tr2bl w:val="nil"/>
            </w:tcBorders>
            <w:shd w:val="clear" w:color="auto" w:fill="auto"/>
            <w:vAlign w:val="center"/>
          </w:tcPr>
          <w:p>
            <w:pPr>
              <w:widowControl/>
              <w:jc w:val="right"/>
              <w:textAlignment w:val="center"/>
              <w:rPr>
                <w:rFonts w:eastAsia="黑体"/>
                <w:color w:val="000000"/>
                <w:sz w:val="20"/>
                <w:szCs w:val="20"/>
              </w:rPr>
            </w:pPr>
            <w:r>
              <w:rPr>
                <w:rFonts w:eastAsia="黑体"/>
                <w:color w:val="000000"/>
                <w:kern w:val="0"/>
                <w:sz w:val="20"/>
                <w:szCs w:val="20"/>
                <w:lang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118</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接近开关</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PNP型、检测距离8mm。检测距离至少8mm</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只</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4</w:t>
            </w:r>
          </w:p>
        </w:tc>
        <w:tc>
          <w:tcPr>
            <w:tcW w:w="375" w:type="pct"/>
            <w:tcBorders>
              <w:tl2br w:val="nil"/>
              <w:tr2bl w:val="nil"/>
            </w:tcBorders>
            <w:shd w:val="clear" w:color="auto" w:fill="auto"/>
            <w:vAlign w:val="center"/>
          </w:tcPr>
          <w:p>
            <w:pPr>
              <w:widowControl/>
              <w:jc w:val="right"/>
              <w:textAlignment w:val="center"/>
              <w:rPr>
                <w:rFonts w:eastAsia="黑体"/>
                <w:color w:val="000000"/>
                <w:sz w:val="20"/>
                <w:szCs w:val="20"/>
              </w:rPr>
            </w:pPr>
            <w:r>
              <w:rPr>
                <w:rFonts w:eastAsia="黑体"/>
                <w:color w:val="000000"/>
                <w:kern w:val="0"/>
                <w:sz w:val="20"/>
                <w:szCs w:val="20"/>
                <w:lang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119</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无线手持式条码仪</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高精度激光全面扫描，扫描速率大于等于200线/秒，扫描常规一维条码</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6</w:t>
            </w:r>
          </w:p>
        </w:tc>
        <w:tc>
          <w:tcPr>
            <w:tcW w:w="375" w:type="pct"/>
            <w:tcBorders>
              <w:tl2br w:val="nil"/>
              <w:tr2bl w:val="nil"/>
            </w:tcBorders>
            <w:shd w:val="clear" w:color="auto" w:fill="auto"/>
            <w:vAlign w:val="center"/>
          </w:tcPr>
          <w:p>
            <w:pPr>
              <w:widowControl/>
              <w:jc w:val="right"/>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120</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扫描计算机工作站</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1) 包含柜体+电脑+系统软件+应用软件</w:t>
            </w:r>
            <w:r>
              <w:rPr>
                <w:rFonts w:eastAsia="黑体"/>
                <w:color w:val="000000"/>
                <w:kern w:val="0"/>
                <w:sz w:val="20"/>
                <w:szCs w:val="20"/>
                <w:lang w:bidi="ar"/>
              </w:rPr>
              <w:br w:type="textWrapping"/>
            </w:r>
            <w:r>
              <w:rPr>
                <w:rFonts w:eastAsia="黑体"/>
                <w:color w:val="000000"/>
                <w:kern w:val="0"/>
                <w:sz w:val="20"/>
                <w:szCs w:val="20"/>
                <w:lang w:bidi="ar"/>
              </w:rPr>
              <w:t xml:space="preserve">2) 台式机 CPUG3900，内存容量不低于4G ，硬盘容量不低于500G ，含DVD刻录（包含Windows操作系统软件，SQL数据库软件，部署查验系统软件）      </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3</w:t>
            </w:r>
          </w:p>
        </w:tc>
        <w:tc>
          <w:tcPr>
            <w:tcW w:w="375" w:type="pct"/>
            <w:tcBorders>
              <w:tl2br w:val="nil"/>
              <w:tr2bl w:val="nil"/>
            </w:tcBorders>
            <w:shd w:val="clear" w:color="auto" w:fill="auto"/>
            <w:vAlign w:val="center"/>
          </w:tcPr>
          <w:p>
            <w:pPr>
              <w:widowControl/>
              <w:jc w:val="right"/>
              <w:textAlignment w:val="center"/>
              <w:rPr>
                <w:rFonts w:eastAsia="黑体"/>
                <w:color w:val="000000"/>
                <w:sz w:val="20"/>
                <w:szCs w:val="20"/>
              </w:rPr>
            </w:pPr>
            <w:r>
              <w:rPr>
                <w:rFonts w:eastAsia="黑体"/>
                <w:color w:val="000000"/>
                <w:kern w:val="0"/>
                <w:sz w:val="20"/>
                <w:szCs w:val="20"/>
                <w:lang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121</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查验、接口共用服务器</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图像服务器,1、CPU类型：处理器Xeon E-2124 四核 2.6G；</w:t>
            </w:r>
            <w:r>
              <w:rPr>
                <w:rFonts w:eastAsia="黑体"/>
                <w:color w:val="000000"/>
                <w:kern w:val="0"/>
                <w:sz w:val="20"/>
                <w:szCs w:val="20"/>
                <w:lang w:bidi="ar"/>
              </w:rPr>
              <w:br w:type="textWrapping"/>
            </w:r>
            <w:r>
              <w:rPr>
                <w:rFonts w:eastAsia="黑体"/>
                <w:color w:val="000000"/>
                <w:kern w:val="0"/>
                <w:sz w:val="20"/>
                <w:szCs w:val="20"/>
                <w:lang w:bidi="ar"/>
              </w:rPr>
              <w:t>2、内存容量：16G；</w:t>
            </w:r>
            <w:r>
              <w:rPr>
                <w:rFonts w:eastAsia="黑体"/>
                <w:color w:val="000000"/>
                <w:kern w:val="0"/>
                <w:sz w:val="20"/>
                <w:szCs w:val="20"/>
                <w:lang w:bidi="ar"/>
              </w:rPr>
              <w:br w:type="textWrapping"/>
            </w:r>
            <w:r>
              <w:rPr>
                <w:rFonts w:eastAsia="黑体"/>
                <w:color w:val="000000"/>
                <w:kern w:val="0"/>
                <w:sz w:val="20"/>
                <w:szCs w:val="20"/>
                <w:lang w:bidi="ar"/>
              </w:rPr>
              <w:t>3、硬盘大小：3*1T；</w:t>
            </w:r>
            <w:r>
              <w:rPr>
                <w:rFonts w:eastAsia="黑体"/>
                <w:color w:val="000000"/>
                <w:kern w:val="0"/>
                <w:sz w:val="20"/>
                <w:szCs w:val="20"/>
                <w:lang w:bidi="ar"/>
              </w:rPr>
              <w:br w:type="textWrapping"/>
            </w:r>
            <w:r>
              <w:rPr>
                <w:rFonts w:eastAsia="黑体"/>
                <w:color w:val="000000"/>
                <w:kern w:val="0"/>
                <w:sz w:val="20"/>
                <w:szCs w:val="20"/>
                <w:lang w:bidi="ar"/>
              </w:rPr>
              <w:t>4、网络：千兆网卡；</w:t>
            </w:r>
            <w:r>
              <w:rPr>
                <w:rFonts w:eastAsia="黑体"/>
                <w:color w:val="000000"/>
                <w:kern w:val="0"/>
                <w:sz w:val="20"/>
                <w:szCs w:val="20"/>
                <w:lang w:bidi="ar"/>
              </w:rPr>
              <w:br w:type="textWrapping"/>
            </w:r>
            <w:r>
              <w:rPr>
                <w:rFonts w:eastAsia="黑体"/>
                <w:color w:val="000000"/>
                <w:kern w:val="0"/>
                <w:sz w:val="20"/>
                <w:szCs w:val="20"/>
                <w:lang w:bidi="ar"/>
              </w:rPr>
              <w:t xml:space="preserve">5、操作系统：winserver 2012 R2；    </w:t>
            </w:r>
            <w:r>
              <w:rPr>
                <w:rFonts w:eastAsia="黑体"/>
                <w:color w:val="000000"/>
                <w:kern w:val="0"/>
                <w:sz w:val="20"/>
                <w:szCs w:val="20"/>
                <w:lang w:bidi="ar"/>
              </w:rPr>
              <w:br w:type="textWrapping"/>
            </w:r>
            <w:r>
              <w:rPr>
                <w:rFonts w:eastAsia="黑体"/>
                <w:color w:val="000000"/>
                <w:kern w:val="0"/>
                <w:sz w:val="20"/>
                <w:szCs w:val="20"/>
                <w:lang w:bidi="ar"/>
              </w:rPr>
              <w:t>6、机架安装通用导轨。</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vAlign w:val="center"/>
          </w:tcPr>
          <w:p>
            <w:pPr>
              <w:widowControl/>
              <w:jc w:val="right"/>
              <w:textAlignment w:val="center"/>
              <w:rPr>
                <w:rFonts w:eastAsia="黑体"/>
                <w:color w:val="000000"/>
                <w:sz w:val="20"/>
                <w:szCs w:val="20"/>
              </w:rPr>
            </w:pPr>
            <w:r>
              <w:rPr>
                <w:rFonts w:eastAsia="黑体"/>
                <w:color w:val="000000"/>
                <w:kern w:val="0"/>
                <w:sz w:val="20"/>
                <w:szCs w:val="20"/>
                <w:lang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122</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网络及UPS设备</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参数:42U标准服务器机柜</w:t>
            </w:r>
            <w:r>
              <w:rPr>
                <w:rFonts w:eastAsia="黑体"/>
                <w:color w:val="000000"/>
                <w:kern w:val="0"/>
                <w:sz w:val="20"/>
                <w:szCs w:val="20"/>
                <w:lang w:bidi="ar"/>
              </w:rPr>
              <w:br w:type="textWrapping"/>
            </w:r>
            <w:r>
              <w:rPr>
                <w:rFonts w:eastAsia="黑体"/>
                <w:color w:val="000000"/>
                <w:kern w:val="0"/>
                <w:sz w:val="20"/>
                <w:szCs w:val="20"/>
                <w:lang w:bidi="ar"/>
              </w:rPr>
              <w:t>参数：3KVA UPS: 输出频率范围与输入同步〔市电模式〕， 输出电压波形正弦波，服务器断电保持半小时以上额 定功率：2kVA/1.4kW，额定输入：115~300VAC， 176~276VAC ；输入频率：(40-60)Hz( 可调整 )，46-54Hz ；输入功率因数：≥ 0.97，≥ 0.98；频率 (Hz)：50； 输出电压精度：±2%，±1%；输出频 率精度：跟随市电 ( 市电模式下工作 )，50Hz± 0.2Hz( 电池模式下工作 )，50(1±0.1%)Hz( 电池模 式下工作 )                                                                              参数：24 口千兆交换机</w:t>
            </w:r>
            <w:r>
              <w:rPr>
                <w:rFonts w:eastAsia="黑体"/>
                <w:color w:val="000000"/>
                <w:kern w:val="0"/>
                <w:sz w:val="20"/>
                <w:szCs w:val="20"/>
                <w:lang w:bidi="ar"/>
              </w:rPr>
              <w:br w:type="textWrapping"/>
            </w:r>
            <w:r>
              <w:rPr>
                <w:rFonts w:eastAsia="黑体"/>
                <w:color w:val="000000"/>
                <w:kern w:val="0"/>
                <w:sz w:val="20"/>
                <w:szCs w:val="20"/>
                <w:lang w:bidi="ar"/>
              </w:rPr>
              <w:t xml:space="preserve">·背板带宽：≥64Gbps </w:t>
            </w:r>
            <w:r>
              <w:rPr>
                <w:rFonts w:eastAsia="黑体"/>
                <w:color w:val="000000"/>
                <w:kern w:val="0"/>
                <w:sz w:val="20"/>
                <w:szCs w:val="20"/>
                <w:lang w:bidi="ar"/>
              </w:rPr>
              <w:br w:type="textWrapping"/>
            </w:r>
            <w:r>
              <w:rPr>
                <w:rFonts w:eastAsia="黑体"/>
                <w:color w:val="000000"/>
                <w:kern w:val="0"/>
                <w:sz w:val="20"/>
                <w:szCs w:val="20"/>
                <w:lang w:bidi="ar"/>
              </w:rPr>
              <w:t>·包转发率：42Mpps</w:t>
            </w:r>
            <w:r>
              <w:rPr>
                <w:rFonts w:eastAsia="黑体"/>
                <w:color w:val="000000"/>
                <w:kern w:val="0"/>
                <w:sz w:val="20"/>
                <w:szCs w:val="20"/>
                <w:lang w:bidi="ar"/>
              </w:rPr>
              <w:br w:type="textWrapping"/>
            </w:r>
            <w:r>
              <w:rPr>
                <w:rFonts w:eastAsia="黑体"/>
                <w:color w:val="000000"/>
                <w:kern w:val="0"/>
                <w:sz w:val="20"/>
                <w:szCs w:val="20"/>
                <w:lang w:bidi="ar"/>
              </w:rPr>
              <w:t>·端口结构：非模块化</w:t>
            </w:r>
            <w:r>
              <w:rPr>
                <w:rFonts w:eastAsia="黑体"/>
                <w:color w:val="000000"/>
                <w:kern w:val="0"/>
                <w:sz w:val="20"/>
                <w:szCs w:val="20"/>
                <w:lang w:bidi="ar"/>
              </w:rPr>
              <w:br w:type="textWrapping"/>
            </w:r>
            <w:r>
              <w:rPr>
                <w:rFonts w:eastAsia="黑体"/>
                <w:color w:val="000000"/>
                <w:kern w:val="0"/>
                <w:sz w:val="20"/>
                <w:szCs w:val="20"/>
                <w:lang w:bidi="ar"/>
              </w:rPr>
              <w:t>·端口描述：24 个 10/100/1000Base-T</w:t>
            </w:r>
            <w:r>
              <w:rPr>
                <w:rFonts w:eastAsia="黑体"/>
                <w:color w:val="000000"/>
                <w:kern w:val="0"/>
                <w:sz w:val="20"/>
                <w:szCs w:val="20"/>
                <w:lang w:bidi="ar"/>
              </w:rPr>
              <w:br w:type="textWrapping"/>
            </w:r>
            <w:r>
              <w:rPr>
                <w:rFonts w:eastAsia="黑体"/>
                <w:color w:val="000000"/>
                <w:kern w:val="0"/>
                <w:sz w:val="20"/>
                <w:szCs w:val="20"/>
                <w:lang w:bidi="ar"/>
              </w:rPr>
              <w:t>KVM 4 口切换器:</w:t>
            </w:r>
            <w:r>
              <w:rPr>
                <w:rFonts w:eastAsia="黑体"/>
                <w:color w:val="000000"/>
                <w:kern w:val="0"/>
                <w:sz w:val="20"/>
                <w:szCs w:val="20"/>
                <w:lang w:bidi="ar"/>
              </w:rPr>
              <w:br w:type="textWrapping"/>
            </w:r>
            <w:r>
              <w:rPr>
                <w:rFonts w:eastAsia="黑体"/>
                <w:color w:val="000000"/>
                <w:kern w:val="0"/>
                <w:sz w:val="20"/>
                <w:szCs w:val="20"/>
                <w:lang w:bidi="ar"/>
              </w:rPr>
              <w:t xml:space="preserve"> 一组键盘鼠标显示器控制 4 台 主机、投影机或者服务器；内建独特键盘鼠标模拟功能，保证服务器安全运行；</w:t>
            </w:r>
            <w:r>
              <w:rPr>
                <w:rFonts w:eastAsia="黑体"/>
                <w:color w:val="000000"/>
                <w:kern w:val="0"/>
                <w:sz w:val="20"/>
                <w:szCs w:val="20"/>
                <w:lang w:bidi="ar"/>
              </w:rPr>
              <w:br w:type="textWrapping"/>
            </w:r>
            <w:r>
              <w:rPr>
                <w:rFonts w:eastAsia="黑体"/>
                <w:color w:val="000000"/>
                <w:kern w:val="0"/>
                <w:sz w:val="20"/>
                <w:szCs w:val="20"/>
                <w:lang w:bidi="ar"/>
              </w:rPr>
              <w:t>支持各种操作系统，Dos\Windows 系列、Linux、 Unix 等；</w:t>
            </w:r>
            <w:r>
              <w:rPr>
                <w:rFonts w:eastAsia="黑体"/>
                <w:color w:val="000000"/>
                <w:kern w:val="0"/>
                <w:sz w:val="20"/>
                <w:szCs w:val="20"/>
                <w:lang w:bidi="ar"/>
              </w:rPr>
              <w:br w:type="textWrapping"/>
            </w:r>
            <w:r>
              <w:rPr>
                <w:rFonts w:eastAsia="黑体"/>
                <w:color w:val="000000"/>
                <w:kern w:val="0"/>
                <w:sz w:val="20"/>
                <w:szCs w:val="20"/>
                <w:lang w:bidi="ar"/>
              </w:rPr>
              <w:t>安装简，无需安装任何附加软件，直接使用线缆 与计算机连接；                               快速巡检功能对电脑进行监视；</w:t>
            </w:r>
            <w:r>
              <w:rPr>
                <w:rFonts w:eastAsia="黑体"/>
                <w:color w:val="000000"/>
                <w:kern w:val="0"/>
                <w:sz w:val="20"/>
                <w:szCs w:val="20"/>
                <w:lang w:bidi="ar"/>
              </w:rPr>
              <w:br w:type="textWrapping"/>
            </w:r>
            <w:r>
              <w:rPr>
                <w:rFonts w:eastAsia="黑体"/>
                <w:color w:val="000000"/>
                <w:kern w:val="0"/>
                <w:sz w:val="20"/>
                <w:szCs w:val="20"/>
                <w:lang w:bidi="ar"/>
              </w:rPr>
              <w:t>支持 VGA、SVGA、XGA 等具有 DDC2B 功能的高解 析度显示器。优良的图像品质，支持最高分辨率达到 1920*1440；</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vAlign w:val="center"/>
          </w:tcPr>
          <w:p>
            <w:pPr>
              <w:widowControl/>
              <w:jc w:val="right"/>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7"/>
            <w:tcBorders>
              <w:tl2br w:val="nil"/>
              <w:tr2bl w:val="nil"/>
            </w:tcBorders>
            <w:shd w:val="clear" w:color="auto" w:fill="FFFF00"/>
            <w:noWrap/>
            <w:vAlign w:val="center"/>
          </w:tcPr>
          <w:p>
            <w:pPr>
              <w:widowControl/>
              <w:textAlignment w:val="center"/>
              <w:rPr>
                <w:rFonts w:eastAsia="黑体"/>
                <w:color w:val="000000"/>
                <w:sz w:val="20"/>
                <w:szCs w:val="20"/>
              </w:rPr>
            </w:pPr>
            <w:r>
              <w:rPr>
                <w:rFonts w:eastAsia="黑体"/>
                <w:color w:val="000000"/>
                <w:kern w:val="0"/>
                <w:sz w:val="20"/>
                <w:szCs w:val="20"/>
                <w:lang w:bidi="ar"/>
              </w:rPr>
              <w:t>九、9610网络改造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124</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网关</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VPN支持</w:t>
            </w:r>
            <w:r>
              <w:rPr>
                <w:rFonts w:eastAsia="黑体"/>
                <w:color w:val="000000"/>
                <w:kern w:val="0"/>
                <w:sz w:val="20"/>
                <w:szCs w:val="20"/>
                <w:lang w:bidi="ar"/>
              </w:rPr>
              <w:br w:type="textWrapping"/>
            </w:r>
            <w:r>
              <w:rPr>
                <w:rFonts w:eastAsia="黑体"/>
                <w:color w:val="000000"/>
                <w:kern w:val="0"/>
                <w:sz w:val="20"/>
                <w:szCs w:val="20"/>
                <w:lang w:bidi="ar"/>
              </w:rPr>
              <w:t>Qos支持</w:t>
            </w:r>
            <w:r>
              <w:rPr>
                <w:rFonts w:eastAsia="黑体"/>
                <w:color w:val="000000"/>
                <w:kern w:val="0"/>
                <w:sz w:val="20"/>
                <w:szCs w:val="20"/>
                <w:lang w:bidi="ar"/>
              </w:rPr>
              <w:br w:type="textWrapping"/>
            </w:r>
            <w:r>
              <w:rPr>
                <w:rFonts w:eastAsia="黑体"/>
                <w:color w:val="000000"/>
                <w:kern w:val="0"/>
                <w:sz w:val="20"/>
                <w:szCs w:val="20"/>
                <w:lang w:bidi="ar"/>
              </w:rPr>
              <w:t>2个10/100/1000M WAN口（广域网）</w:t>
            </w:r>
            <w:r>
              <w:rPr>
                <w:rFonts w:eastAsia="黑体"/>
                <w:color w:val="000000"/>
                <w:kern w:val="0"/>
                <w:sz w:val="20"/>
                <w:szCs w:val="20"/>
                <w:lang w:bidi="ar"/>
              </w:rPr>
              <w:br w:type="textWrapping"/>
            </w:r>
            <w:r>
              <w:rPr>
                <w:rFonts w:eastAsia="黑体"/>
                <w:color w:val="000000"/>
                <w:kern w:val="0"/>
                <w:sz w:val="20"/>
                <w:szCs w:val="20"/>
                <w:lang w:bidi="ar"/>
              </w:rPr>
              <w:t>4个10/100/1000M LAN口（局域网）</w:t>
            </w:r>
            <w:r>
              <w:rPr>
                <w:rFonts w:eastAsia="黑体"/>
                <w:color w:val="000000"/>
                <w:kern w:val="0"/>
                <w:sz w:val="20"/>
                <w:szCs w:val="20"/>
                <w:lang w:bidi="ar"/>
              </w:rPr>
              <w:br w:type="textWrapping"/>
            </w:r>
            <w:r>
              <w:rPr>
                <w:rFonts w:eastAsia="黑体"/>
                <w:color w:val="000000"/>
                <w:kern w:val="0"/>
                <w:sz w:val="20"/>
                <w:szCs w:val="20"/>
                <w:lang w:bidi="ar"/>
              </w:rPr>
              <w:t>静态ARP(IP&lt;-&gt;MAC地址绑定)</w:t>
            </w:r>
            <w:r>
              <w:rPr>
                <w:rFonts w:eastAsia="黑体"/>
                <w:color w:val="000000"/>
                <w:kern w:val="0"/>
                <w:sz w:val="20"/>
                <w:szCs w:val="20"/>
                <w:lang w:bidi="ar"/>
              </w:rPr>
              <w:br w:type="textWrapping"/>
            </w:r>
            <w:r>
              <w:rPr>
                <w:rFonts w:eastAsia="黑体"/>
                <w:color w:val="000000"/>
                <w:kern w:val="0"/>
                <w:sz w:val="20"/>
                <w:szCs w:val="20"/>
                <w:lang w:bidi="ar"/>
              </w:rPr>
              <w:t>DHCP授权ARP(自动绑定DHCP分配的IP)</w:t>
            </w:r>
            <w:r>
              <w:rPr>
                <w:rFonts w:eastAsia="黑体"/>
                <w:color w:val="000000"/>
                <w:kern w:val="0"/>
                <w:sz w:val="20"/>
                <w:szCs w:val="20"/>
                <w:lang w:bidi="ar"/>
              </w:rPr>
              <w:br w:type="textWrapping"/>
            </w:r>
            <w:r>
              <w:rPr>
                <w:rFonts w:eastAsia="黑体"/>
                <w:color w:val="000000"/>
                <w:kern w:val="0"/>
                <w:sz w:val="20"/>
                <w:szCs w:val="20"/>
                <w:lang w:bidi="ar"/>
              </w:rPr>
              <w:t>ARP防攻击/免费ARP</w:t>
            </w:r>
            <w:r>
              <w:rPr>
                <w:rFonts w:eastAsia="黑体"/>
                <w:color w:val="000000"/>
                <w:kern w:val="0"/>
                <w:sz w:val="20"/>
                <w:szCs w:val="20"/>
                <w:lang w:bidi="ar"/>
              </w:rPr>
              <w:br w:type="textWrapping"/>
            </w:r>
            <w:r>
              <w:rPr>
                <w:rFonts w:eastAsia="黑体"/>
                <w:color w:val="000000"/>
                <w:kern w:val="0"/>
                <w:sz w:val="20"/>
                <w:szCs w:val="20"/>
                <w:lang w:bidi="ar"/>
              </w:rPr>
              <w:t>状态数据包检查</w:t>
            </w:r>
            <w:r>
              <w:rPr>
                <w:rFonts w:eastAsia="黑体"/>
                <w:color w:val="000000"/>
                <w:kern w:val="0"/>
                <w:sz w:val="20"/>
                <w:szCs w:val="20"/>
                <w:lang w:bidi="ar"/>
              </w:rPr>
              <w:br w:type="textWrapping"/>
            </w:r>
            <w:r>
              <w:rPr>
                <w:rFonts w:eastAsia="黑体"/>
                <w:color w:val="000000"/>
                <w:kern w:val="0"/>
                <w:sz w:val="20"/>
                <w:szCs w:val="20"/>
                <w:lang w:bidi="ar"/>
              </w:rPr>
              <w:t>防止WAN口的Ping</w:t>
            </w:r>
            <w:r>
              <w:rPr>
                <w:rFonts w:eastAsia="黑体"/>
                <w:color w:val="000000"/>
                <w:kern w:val="0"/>
                <w:sz w:val="20"/>
                <w:szCs w:val="20"/>
                <w:lang w:bidi="ar"/>
              </w:rPr>
              <w:br w:type="textWrapping"/>
            </w:r>
            <w:r>
              <w:rPr>
                <w:rFonts w:eastAsia="黑体"/>
                <w:color w:val="000000"/>
                <w:kern w:val="0"/>
                <w:sz w:val="20"/>
                <w:szCs w:val="20"/>
                <w:lang w:bidi="ar"/>
              </w:rPr>
              <w:t>防止TCP syn扫描</w:t>
            </w:r>
            <w:r>
              <w:rPr>
                <w:rFonts w:eastAsia="黑体"/>
                <w:color w:val="000000"/>
                <w:kern w:val="0"/>
                <w:sz w:val="20"/>
                <w:szCs w:val="20"/>
                <w:lang w:bidi="ar"/>
              </w:rPr>
              <w:br w:type="textWrapping"/>
            </w:r>
            <w:r>
              <w:rPr>
                <w:rFonts w:eastAsia="黑体"/>
                <w:color w:val="000000"/>
                <w:kern w:val="0"/>
                <w:sz w:val="20"/>
                <w:szCs w:val="20"/>
                <w:lang w:bidi="ar"/>
              </w:rPr>
              <w:t>防止Stealth FIN扫描</w:t>
            </w:r>
            <w:r>
              <w:rPr>
                <w:rFonts w:eastAsia="黑体"/>
                <w:color w:val="000000"/>
                <w:kern w:val="0"/>
                <w:sz w:val="20"/>
                <w:szCs w:val="20"/>
                <w:lang w:bidi="ar"/>
              </w:rPr>
              <w:br w:type="textWrapping"/>
            </w:r>
            <w:r>
              <w:rPr>
                <w:rFonts w:eastAsia="黑体"/>
                <w:color w:val="000000"/>
                <w:kern w:val="0"/>
                <w:sz w:val="20"/>
                <w:szCs w:val="20"/>
                <w:lang w:bidi="ar"/>
              </w:rPr>
              <w:t>防止TCP Xmas Tree扫描</w:t>
            </w:r>
            <w:r>
              <w:rPr>
                <w:rFonts w:eastAsia="黑体"/>
                <w:color w:val="000000"/>
                <w:kern w:val="0"/>
                <w:sz w:val="20"/>
                <w:szCs w:val="20"/>
                <w:lang w:bidi="ar"/>
              </w:rPr>
              <w:br w:type="textWrapping"/>
            </w:r>
            <w:r>
              <w:rPr>
                <w:rFonts w:eastAsia="黑体"/>
                <w:color w:val="000000"/>
                <w:kern w:val="0"/>
                <w:sz w:val="20"/>
                <w:szCs w:val="20"/>
                <w:lang w:bidi="ar"/>
              </w:rPr>
              <w:t>防止TCP Null扫描</w:t>
            </w:r>
            <w:r>
              <w:rPr>
                <w:rFonts w:eastAsia="黑体"/>
                <w:color w:val="000000"/>
                <w:kern w:val="0"/>
                <w:sz w:val="20"/>
                <w:szCs w:val="20"/>
                <w:lang w:bidi="ar"/>
              </w:rPr>
              <w:br w:type="textWrapping"/>
            </w:r>
            <w:r>
              <w:rPr>
                <w:rFonts w:eastAsia="黑体"/>
                <w:color w:val="000000"/>
                <w:kern w:val="0"/>
                <w:sz w:val="20"/>
                <w:szCs w:val="20"/>
                <w:lang w:bidi="ar"/>
              </w:rPr>
              <w:t>防止UDP扫描功能</w:t>
            </w:r>
            <w:r>
              <w:rPr>
                <w:rFonts w:eastAsia="黑体"/>
                <w:color w:val="000000"/>
                <w:kern w:val="0"/>
                <w:sz w:val="20"/>
                <w:szCs w:val="20"/>
                <w:lang w:bidi="ar"/>
              </w:rPr>
              <w:br w:type="textWrapping"/>
            </w:r>
            <w:r>
              <w:rPr>
                <w:rFonts w:eastAsia="黑体"/>
                <w:color w:val="000000"/>
                <w:kern w:val="0"/>
                <w:sz w:val="20"/>
                <w:szCs w:val="20"/>
                <w:lang w:bidi="ar"/>
              </w:rPr>
              <w:t>防止Land 攻击功能</w:t>
            </w:r>
            <w:r>
              <w:rPr>
                <w:rFonts w:eastAsia="黑体"/>
                <w:color w:val="000000"/>
                <w:kern w:val="0"/>
                <w:sz w:val="20"/>
                <w:szCs w:val="20"/>
                <w:lang w:bidi="ar"/>
              </w:rPr>
              <w:br w:type="textWrapping"/>
            </w:r>
            <w:r>
              <w:rPr>
                <w:rFonts w:eastAsia="黑体"/>
                <w:color w:val="000000"/>
                <w:kern w:val="0"/>
                <w:sz w:val="20"/>
                <w:szCs w:val="20"/>
                <w:lang w:bidi="ar"/>
              </w:rPr>
              <w:t>防止Smurf攻击功能</w:t>
            </w:r>
            <w:r>
              <w:rPr>
                <w:rFonts w:eastAsia="黑体"/>
                <w:color w:val="000000"/>
                <w:kern w:val="0"/>
                <w:sz w:val="20"/>
                <w:szCs w:val="20"/>
                <w:lang w:bidi="ar"/>
              </w:rPr>
              <w:br w:type="textWrapping"/>
            </w:r>
            <w:r>
              <w:rPr>
                <w:rFonts w:eastAsia="黑体"/>
                <w:color w:val="000000"/>
                <w:kern w:val="0"/>
                <w:sz w:val="20"/>
                <w:szCs w:val="20"/>
                <w:lang w:bidi="ar"/>
              </w:rPr>
              <w:t>防止WinNuke攻击功能</w:t>
            </w:r>
            <w:r>
              <w:rPr>
                <w:rFonts w:eastAsia="黑体"/>
                <w:color w:val="000000"/>
                <w:kern w:val="0"/>
                <w:sz w:val="20"/>
                <w:szCs w:val="20"/>
                <w:lang w:bidi="ar"/>
              </w:rPr>
              <w:br w:type="textWrapping"/>
            </w:r>
            <w:r>
              <w:rPr>
                <w:rFonts w:eastAsia="黑体"/>
                <w:color w:val="000000"/>
                <w:kern w:val="0"/>
                <w:sz w:val="20"/>
                <w:szCs w:val="20"/>
                <w:lang w:bidi="ar"/>
              </w:rPr>
              <w:t>防止Ping of Death攻击</w:t>
            </w:r>
            <w:r>
              <w:rPr>
                <w:rFonts w:eastAsia="黑体"/>
                <w:color w:val="000000"/>
                <w:kern w:val="0"/>
                <w:sz w:val="20"/>
                <w:szCs w:val="20"/>
                <w:lang w:bidi="ar"/>
              </w:rPr>
              <w:br w:type="textWrapping"/>
            </w:r>
            <w:r>
              <w:rPr>
                <w:rFonts w:eastAsia="黑体"/>
                <w:color w:val="000000"/>
                <w:kern w:val="0"/>
                <w:sz w:val="20"/>
                <w:szCs w:val="20"/>
                <w:lang w:bidi="ar"/>
              </w:rPr>
              <w:t>防止SYN Flood攻击功能</w:t>
            </w:r>
            <w:r>
              <w:rPr>
                <w:rFonts w:eastAsia="黑体"/>
                <w:color w:val="000000"/>
                <w:kern w:val="0"/>
                <w:sz w:val="20"/>
                <w:szCs w:val="20"/>
                <w:lang w:bidi="ar"/>
              </w:rPr>
              <w:br w:type="textWrapping"/>
            </w:r>
            <w:r>
              <w:rPr>
                <w:rFonts w:eastAsia="黑体"/>
                <w:color w:val="000000"/>
                <w:kern w:val="0"/>
                <w:sz w:val="20"/>
                <w:szCs w:val="20"/>
                <w:lang w:bidi="ar"/>
              </w:rPr>
              <w:t>防止UDP Flood攻击功能</w:t>
            </w:r>
            <w:r>
              <w:rPr>
                <w:rFonts w:eastAsia="黑体"/>
                <w:color w:val="000000"/>
                <w:kern w:val="0"/>
                <w:sz w:val="20"/>
                <w:szCs w:val="20"/>
                <w:lang w:bidi="ar"/>
              </w:rPr>
              <w:br w:type="textWrapping"/>
            </w:r>
            <w:r>
              <w:rPr>
                <w:rFonts w:eastAsia="黑体"/>
                <w:color w:val="000000"/>
                <w:kern w:val="0"/>
                <w:sz w:val="20"/>
                <w:szCs w:val="20"/>
                <w:lang w:bidi="ar"/>
              </w:rPr>
              <w:t>防止ICMP Flood攻击功能</w:t>
            </w:r>
            <w:r>
              <w:rPr>
                <w:rFonts w:eastAsia="黑体"/>
                <w:color w:val="000000"/>
                <w:kern w:val="0"/>
                <w:sz w:val="20"/>
                <w:szCs w:val="20"/>
                <w:lang w:bidi="ar"/>
              </w:rPr>
              <w:br w:type="textWrapping"/>
            </w:r>
            <w:r>
              <w:rPr>
                <w:rFonts w:eastAsia="黑体"/>
                <w:color w:val="000000"/>
                <w:kern w:val="0"/>
                <w:sz w:val="20"/>
                <w:szCs w:val="20"/>
                <w:lang w:bidi="ar"/>
              </w:rPr>
              <w:t>防止IP Spoofing功能</w:t>
            </w:r>
            <w:r>
              <w:rPr>
                <w:rFonts w:eastAsia="黑体"/>
                <w:color w:val="000000"/>
                <w:kern w:val="0"/>
                <w:sz w:val="20"/>
                <w:szCs w:val="20"/>
                <w:lang w:bidi="ar"/>
              </w:rPr>
              <w:br w:type="textWrapping"/>
            </w:r>
            <w:r>
              <w:rPr>
                <w:rFonts w:eastAsia="黑体"/>
                <w:color w:val="000000"/>
                <w:kern w:val="0"/>
                <w:sz w:val="20"/>
                <w:szCs w:val="20"/>
                <w:lang w:bidi="ar"/>
              </w:rPr>
              <w:t>防止碎片包攻击</w:t>
            </w:r>
            <w:r>
              <w:rPr>
                <w:rFonts w:eastAsia="黑体"/>
                <w:color w:val="000000"/>
                <w:kern w:val="0"/>
                <w:sz w:val="20"/>
                <w:szCs w:val="20"/>
                <w:lang w:bidi="ar"/>
              </w:rPr>
              <w:br w:type="textWrapping"/>
            </w:r>
            <w:r>
              <w:rPr>
                <w:rFonts w:eastAsia="黑体"/>
                <w:color w:val="000000"/>
                <w:kern w:val="0"/>
                <w:sz w:val="20"/>
                <w:szCs w:val="20"/>
                <w:lang w:bidi="ar"/>
              </w:rPr>
              <w:t>防止TearDrop攻击</w:t>
            </w:r>
            <w:r>
              <w:rPr>
                <w:rFonts w:eastAsia="黑体"/>
                <w:color w:val="000000"/>
                <w:kern w:val="0"/>
                <w:sz w:val="20"/>
                <w:szCs w:val="20"/>
                <w:lang w:bidi="ar"/>
              </w:rPr>
              <w:br w:type="textWrapping"/>
            </w:r>
            <w:r>
              <w:rPr>
                <w:rFonts w:eastAsia="黑体"/>
                <w:color w:val="000000"/>
                <w:kern w:val="0"/>
                <w:sz w:val="20"/>
                <w:szCs w:val="20"/>
                <w:lang w:bidi="ar"/>
              </w:rPr>
              <w:t>防止Fraggle攻击功能</w:t>
            </w:r>
            <w:r>
              <w:rPr>
                <w:rFonts w:eastAsia="黑体"/>
                <w:color w:val="000000"/>
                <w:kern w:val="0"/>
                <w:sz w:val="20"/>
                <w:szCs w:val="20"/>
                <w:lang w:bidi="ar"/>
              </w:rPr>
              <w:br w:type="textWrapping"/>
            </w:r>
            <w:r>
              <w:rPr>
                <w:rFonts w:eastAsia="黑体"/>
                <w:color w:val="000000"/>
                <w:kern w:val="0"/>
                <w:sz w:val="20"/>
                <w:szCs w:val="20"/>
                <w:lang w:bidi="ar"/>
              </w:rPr>
              <w:t>基于Web的用户管理接口(远程管理/本地管理)</w:t>
            </w:r>
            <w:r>
              <w:rPr>
                <w:rFonts w:eastAsia="黑体"/>
                <w:color w:val="000000"/>
                <w:kern w:val="0"/>
                <w:sz w:val="20"/>
                <w:szCs w:val="20"/>
                <w:lang w:bidi="ar"/>
              </w:rPr>
              <w:br w:type="textWrapping"/>
            </w:r>
            <w:r>
              <w:rPr>
                <w:rFonts w:eastAsia="黑体"/>
                <w:color w:val="000000"/>
                <w:kern w:val="0"/>
                <w:sz w:val="20"/>
                <w:szCs w:val="20"/>
                <w:lang w:bidi="ar"/>
              </w:rPr>
              <w:t>HTTPS远程管理</w:t>
            </w:r>
            <w:r>
              <w:rPr>
                <w:rFonts w:eastAsia="黑体"/>
                <w:color w:val="000000"/>
                <w:kern w:val="0"/>
                <w:sz w:val="20"/>
                <w:szCs w:val="20"/>
                <w:lang w:bidi="ar"/>
              </w:rPr>
              <w:br w:type="textWrapping"/>
            </w:r>
            <w:r>
              <w:rPr>
                <w:rFonts w:eastAsia="黑体"/>
                <w:color w:val="000000"/>
                <w:kern w:val="0"/>
                <w:sz w:val="20"/>
                <w:szCs w:val="20"/>
                <w:lang w:bidi="ar"/>
              </w:rPr>
              <w:t>命令行CLI</w:t>
            </w:r>
            <w:r>
              <w:rPr>
                <w:rFonts w:eastAsia="黑体"/>
                <w:color w:val="000000"/>
                <w:kern w:val="0"/>
                <w:sz w:val="20"/>
                <w:szCs w:val="20"/>
                <w:lang w:bidi="ar"/>
              </w:rPr>
              <w:br w:type="textWrapping"/>
            </w:r>
            <w:r>
              <w:rPr>
                <w:rFonts w:eastAsia="黑体"/>
                <w:color w:val="000000"/>
                <w:kern w:val="0"/>
                <w:sz w:val="20"/>
                <w:szCs w:val="20"/>
                <w:lang w:bidi="ar"/>
              </w:rPr>
              <w:t>SNMP V1/V2C/V3</w:t>
            </w:r>
            <w:r>
              <w:rPr>
                <w:rFonts w:eastAsia="黑体"/>
                <w:color w:val="000000"/>
                <w:kern w:val="0"/>
                <w:sz w:val="20"/>
                <w:szCs w:val="20"/>
                <w:lang w:bidi="ar"/>
              </w:rPr>
              <w:br w:type="textWrapping"/>
            </w:r>
            <w:r>
              <w:rPr>
                <w:rFonts w:eastAsia="黑体"/>
                <w:color w:val="000000"/>
                <w:kern w:val="0"/>
                <w:sz w:val="20"/>
                <w:szCs w:val="20"/>
                <w:lang w:bidi="ar"/>
              </w:rPr>
              <w:t>通过HTTP 升级系统软件</w:t>
            </w:r>
            <w:r>
              <w:rPr>
                <w:rFonts w:eastAsia="黑体"/>
                <w:color w:val="000000"/>
                <w:kern w:val="0"/>
                <w:sz w:val="20"/>
                <w:szCs w:val="20"/>
                <w:lang w:bidi="ar"/>
              </w:rPr>
              <w:br w:type="textWrapping"/>
            </w:r>
            <w:r>
              <w:rPr>
                <w:rFonts w:eastAsia="黑体"/>
                <w:color w:val="000000"/>
                <w:kern w:val="0"/>
                <w:sz w:val="20"/>
                <w:szCs w:val="20"/>
                <w:lang w:bidi="ar"/>
              </w:rPr>
              <w:t>MTBF：&gt;50000H</w:t>
            </w:r>
            <w:r>
              <w:rPr>
                <w:rFonts w:eastAsia="黑体"/>
                <w:color w:val="000000"/>
                <w:kern w:val="0"/>
                <w:sz w:val="20"/>
                <w:szCs w:val="20"/>
                <w:lang w:bidi="ar"/>
              </w:rPr>
              <w:br w:type="textWrapping"/>
            </w:r>
            <w:r>
              <w:rPr>
                <w:rFonts w:eastAsia="黑体"/>
                <w:color w:val="000000"/>
                <w:kern w:val="0"/>
                <w:sz w:val="20"/>
                <w:szCs w:val="20"/>
                <w:lang w:bidi="ar"/>
              </w:rPr>
              <w:t>防火墙：出站通信策略；入站通信策略</w:t>
            </w:r>
            <w:r>
              <w:rPr>
                <w:rFonts w:eastAsia="黑体"/>
                <w:color w:val="000000"/>
                <w:kern w:val="0"/>
                <w:sz w:val="20"/>
                <w:szCs w:val="20"/>
                <w:lang w:bidi="ar"/>
              </w:rPr>
              <w:br w:type="textWrapping"/>
            </w:r>
            <w:r>
              <w:rPr>
                <w:rFonts w:eastAsia="黑体"/>
                <w:color w:val="000000"/>
                <w:kern w:val="0"/>
                <w:sz w:val="20"/>
                <w:szCs w:val="20"/>
                <w:lang w:bidi="ar"/>
              </w:rPr>
              <w:t>VLAN：支持64个VLAN</w:t>
            </w:r>
            <w:r>
              <w:rPr>
                <w:rFonts w:eastAsia="黑体"/>
                <w:color w:val="000000"/>
                <w:kern w:val="0"/>
                <w:sz w:val="20"/>
                <w:szCs w:val="20"/>
                <w:lang w:bidi="ar"/>
              </w:rPr>
              <w:br w:type="textWrapping"/>
            </w:r>
            <w:r>
              <w:rPr>
                <w:rFonts w:eastAsia="黑体"/>
                <w:color w:val="000000"/>
                <w:kern w:val="0"/>
                <w:sz w:val="20"/>
                <w:szCs w:val="20"/>
                <w:lang w:bidi="ar"/>
              </w:rPr>
              <w:t>IPSec VPN：支持50条IPSec连接；支持AH、ESP协议；支持手工或通过IKE自动建立安全联盟；ESP支持DES、3DES、AES多种加密算法；支持MD5及SHA-1验证算法；支持IKE主模式及野蛮模式；支持NAT-T穿越；支持通过域名方式配置IPSec连接(DDNS)</w:t>
            </w:r>
            <w:r>
              <w:rPr>
                <w:rFonts w:eastAsia="黑体"/>
                <w:color w:val="000000"/>
                <w:kern w:val="0"/>
                <w:sz w:val="20"/>
                <w:szCs w:val="20"/>
                <w:lang w:bidi="ar"/>
              </w:rPr>
              <w:br w:type="textWrapping"/>
            </w:r>
            <w:r>
              <w:rPr>
                <w:rFonts w:eastAsia="黑体"/>
                <w:color w:val="000000"/>
                <w:kern w:val="0"/>
                <w:sz w:val="20"/>
                <w:szCs w:val="20"/>
                <w:lang w:bidi="ar"/>
              </w:rPr>
              <w:t>L2TP：L2TP Server；L2TP Client</w:t>
            </w:r>
            <w:r>
              <w:rPr>
                <w:rFonts w:eastAsia="黑体"/>
                <w:color w:val="000000"/>
                <w:kern w:val="0"/>
                <w:sz w:val="20"/>
                <w:szCs w:val="20"/>
                <w:lang w:bidi="ar"/>
              </w:rPr>
              <w:br w:type="textWrapping"/>
            </w:r>
            <w:r>
              <w:rPr>
                <w:rFonts w:eastAsia="黑体"/>
                <w:color w:val="000000"/>
                <w:kern w:val="0"/>
                <w:sz w:val="20"/>
                <w:szCs w:val="20"/>
                <w:lang w:bidi="ar"/>
              </w:rPr>
              <w:t>多WAN特性：最多支持5个WAN口</w:t>
            </w:r>
            <w:r>
              <w:rPr>
                <w:rFonts w:eastAsia="黑体"/>
                <w:color w:val="000000"/>
                <w:kern w:val="0"/>
                <w:sz w:val="20"/>
                <w:szCs w:val="20"/>
                <w:lang w:bidi="ar"/>
              </w:rPr>
              <w:br w:type="textWrapping"/>
            </w:r>
            <w:r>
              <w:rPr>
                <w:rFonts w:eastAsia="黑体"/>
                <w:color w:val="000000"/>
                <w:kern w:val="0"/>
                <w:sz w:val="20"/>
                <w:szCs w:val="20"/>
                <w:lang w:bidi="ar"/>
              </w:rPr>
              <w:t>用户上网行为管理：组策略管理（支持基于IP/MAC/时间段的组策略配置）；HTTP下载文件类型过滤；URL过滤(黑白名单)；MAC地址过滤；QQ访问控制；金融软件控制；大智慧/分析家/同花顺/广发至强/光大证券/国元证券</w:t>
            </w:r>
            <w:r>
              <w:rPr>
                <w:rFonts w:eastAsia="黑体"/>
                <w:color w:val="000000"/>
                <w:kern w:val="0"/>
                <w:sz w:val="20"/>
                <w:szCs w:val="20"/>
                <w:lang w:bidi="ar"/>
              </w:rPr>
              <w:br w:type="textWrapping"/>
            </w:r>
            <w:r>
              <w:rPr>
                <w:rFonts w:eastAsia="黑体"/>
                <w:color w:val="000000"/>
                <w:kern w:val="0"/>
                <w:sz w:val="20"/>
                <w:szCs w:val="20"/>
                <w:lang w:bidi="ar"/>
              </w:rPr>
              <w:t>QoS：历史流量统计；流量统计(基于IP/端口的流量统计)；智能弹性带宽；绿色通道管理/限制通道管理；网络流量限速(基于IP，上下行流量分别限速)；NAT表项限制</w:t>
            </w:r>
            <w:r>
              <w:rPr>
                <w:rFonts w:eastAsia="黑体"/>
                <w:color w:val="000000"/>
                <w:kern w:val="0"/>
                <w:sz w:val="20"/>
                <w:szCs w:val="20"/>
                <w:lang w:bidi="ar"/>
              </w:rPr>
              <w:br w:type="textWrapping"/>
            </w:r>
            <w:r>
              <w:rPr>
                <w:rFonts w:eastAsia="黑体"/>
                <w:color w:val="000000"/>
                <w:kern w:val="0"/>
                <w:sz w:val="20"/>
                <w:szCs w:val="20"/>
                <w:lang w:bidi="ar"/>
              </w:rPr>
              <w:t>流量监控：基于物理端口的流量统计；基于IP的流量统计，支持自动排序功能；基于IP的NAT链接数统计</w:t>
            </w:r>
            <w:r>
              <w:rPr>
                <w:rFonts w:eastAsia="黑体"/>
                <w:color w:val="000000"/>
                <w:kern w:val="0"/>
                <w:sz w:val="20"/>
                <w:szCs w:val="20"/>
                <w:lang w:bidi="ar"/>
              </w:rPr>
              <w:br w:type="textWrapping"/>
            </w:r>
            <w:r>
              <w:rPr>
                <w:rFonts w:eastAsia="黑体"/>
                <w:color w:val="000000"/>
                <w:kern w:val="0"/>
                <w:sz w:val="20"/>
                <w:szCs w:val="20"/>
                <w:lang w:bidi="ar"/>
              </w:rPr>
              <w:t>系统服务：ALG；端口触发；UPnP；虚拟服务器；DMZ 主机；VPN透传(PPTP、L2TP、IPSec)</w:t>
            </w:r>
            <w:r>
              <w:rPr>
                <w:rFonts w:eastAsia="黑体"/>
                <w:color w:val="000000"/>
                <w:kern w:val="0"/>
                <w:sz w:val="20"/>
                <w:szCs w:val="20"/>
                <w:lang w:bidi="ar"/>
              </w:rPr>
              <w:br w:type="textWrapping"/>
            </w:r>
            <w:r>
              <w:rPr>
                <w:rFonts w:eastAsia="黑体"/>
                <w:color w:val="000000"/>
                <w:kern w:val="0"/>
                <w:sz w:val="20"/>
                <w:szCs w:val="20"/>
                <w:lang w:bidi="ar"/>
              </w:rPr>
              <w:t>路由：静态路由(50条)</w:t>
            </w:r>
            <w:r>
              <w:rPr>
                <w:rFonts w:eastAsia="黑体"/>
                <w:color w:val="000000"/>
                <w:kern w:val="0"/>
                <w:sz w:val="20"/>
                <w:szCs w:val="20"/>
                <w:lang w:bidi="ar"/>
              </w:rPr>
              <w:br w:type="textWrapping"/>
            </w:r>
            <w:r>
              <w:rPr>
                <w:rFonts w:eastAsia="黑体"/>
                <w:color w:val="000000"/>
                <w:kern w:val="0"/>
                <w:sz w:val="20"/>
                <w:szCs w:val="20"/>
                <w:lang w:bidi="ar"/>
              </w:rPr>
              <w:t>故障诊断：Ping/Traceroute；设备自检；故障信息一键导出</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125</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交换机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交换容量：32Gbps，包转发率：6.6Mpps，16个10/100Base-TX以太网端口，2个10/100/1000Base-T以太网端口，2个复用的千兆Combo SFP</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126</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交换机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交换容量：32Gbps，包转发率：2.7Mpps，8个10/100Base-TX以太网端口，1个10/100/1000Base-T以太网端口，1个复用的千兆Combo SFP</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127</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UPS主机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6KVA 2小时负载</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套</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128</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蓄电池</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65AH 含A8电池柜</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块</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16</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129</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机柜</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20U网络机柜</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130</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ascii="宋体" w:hAnsi="宋体" w:cs="宋体"/>
                <w:szCs w:val="21"/>
                <w:lang w:bidi="ar"/>
              </w:rPr>
              <w:t>■</w:t>
            </w:r>
            <w:r>
              <w:rPr>
                <w:rFonts w:eastAsia="黑体"/>
                <w:color w:val="000000"/>
                <w:kern w:val="0"/>
                <w:sz w:val="20"/>
                <w:szCs w:val="20"/>
                <w:lang w:bidi="ar"/>
              </w:rPr>
              <w:t>电脑</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I5处理器、4G内存/1T硬盘，至少1个串口、1个PCI插槽、21.5寸液晶显示器</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3</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13</w:t>
            </w:r>
            <w:r>
              <w:rPr>
                <w:rFonts w:hint="eastAsia" w:eastAsia="黑体"/>
                <w:color w:val="000000"/>
                <w:kern w:val="0"/>
                <w:sz w:val="20"/>
                <w:szCs w:val="20"/>
                <w:lang w:val="en-US" w:eastAsia="zh-CN" w:bidi="ar"/>
              </w:rPr>
              <w:t>1</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地磅</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120吨 3米*18米</w:t>
            </w:r>
          </w:p>
        </w:tc>
        <w:tc>
          <w:tcPr>
            <w:tcW w:w="224" w:type="pct"/>
            <w:tcBorders>
              <w:tl2br w:val="nil"/>
              <w:tr2bl w:val="nil"/>
            </w:tcBorders>
            <w:shd w:val="clear" w:color="auto" w:fill="FFFFFF"/>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13</w:t>
            </w:r>
            <w:r>
              <w:rPr>
                <w:rFonts w:hint="eastAsia" w:eastAsia="黑体"/>
                <w:color w:val="000000"/>
                <w:kern w:val="0"/>
                <w:sz w:val="20"/>
                <w:szCs w:val="20"/>
                <w:lang w:val="en-US" w:eastAsia="zh-CN" w:bidi="ar"/>
              </w:rPr>
              <w:t>2</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交换机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交换容量：32Gbps，包转发率：2.7Mpps，8个10/100Base-TX以太网端口，1个10/100/1000Base-T以太网端口，1个复用的千兆Combo SFP</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9</w:t>
            </w:r>
          </w:p>
        </w:tc>
        <w:tc>
          <w:tcPr>
            <w:tcW w:w="375" w:type="pct"/>
            <w:tcBorders>
              <w:tl2br w:val="nil"/>
              <w:tr2bl w:val="nil"/>
            </w:tcBorders>
            <w:shd w:val="clear" w:color="auto" w:fill="auto"/>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13</w:t>
            </w:r>
            <w:r>
              <w:rPr>
                <w:rFonts w:hint="eastAsia" w:eastAsia="黑体"/>
                <w:color w:val="000000"/>
                <w:kern w:val="0"/>
                <w:sz w:val="20"/>
                <w:szCs w:val="20"/>
                <w:lang w:val="en-US" w:eastAsia="zh-CN" w:bidi="ar"/>
              </w:rPr>
              <w:t>3</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机柜</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20U（1.2*0.6*0.6米）</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13</w:t>
            </w:r>
            <w:r>
              <w:rPr>
                <w:rFonts w:hint="eastAsia" w:eastAsia="黑体"/>
                <w:color w:val="000000"/>
                <w:kern w:val="0"/>
                <w:sz w:val="20"/>
                <w:szCs w:val="20"/>
                <w:lang w:val="en-US" w:eastAsia="zh-CN" w:bidi="ar"/>
              </w:rPr>
              <w:t>4</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PDU插座</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10A/16A通用</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个</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13</w:t>
            </w:r>
            <w:r>
              <w:rPr>
                <w:rFonts w:hint="eastAsia" w:eastAsia="黑体"/>
                <w:color w:val="000000"/>
                <w:kern w:val="0"/>
                <w:sz w:val="20"/>
                <w:szCs w:val="20"/>
                <w:lang w:val="en-US" w:eastAsia="zh-CN" w:bidi="ar"/>
              </w:rPr>
              <w:t>5</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理线器</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全金属，加厚型机柜网络理线架24口</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个</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4</w:t>
            </w:r>
          </w:p>
        </w:tc>
        <w:tc>
          <w:tcPr>
            <w:tcW w:w="375" w:type="pct"/>
            <w:tcBorders>
              <w:tl2br w:val="nil"/>
              <w:tr2bl w:val="nil"/>
            </w:tcBorders>
            <w:shd w:val="clear" w:color="auto" w:fill="auto"/>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13</w:t>
            </w:r>
            <w:r>
              <w:rPr>
                <w:rFonts w:hint="eastAsia" w:eastAsia="黑体"/>
                <w:color w:val="000000"/>
                <w:kern w:val="0"/>
                <w:sz w:val="20"/>
                <w:szCs w:val="20"/>
                <w:lang w:val="en-US" w:eastAsia="zh-CN" w:bidi="ar"/>
              </w:rPr>
              <w:t>6</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网络模块</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五类，千兆网络信息模块，国标</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个</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59</w:t>
            </w:r>
          </w:p>
        </w:tc>
        <w:tc>
          <w:tcPr>
            <w:tcW w:w="375" w:type="pct"/>
            <w:tcBorders>
              <w:tl2br w:val="nil"/>
              <w:tr2bl w:val="nil"/>
            </w:tcBorders>
            <w:shd w:val="clear" w:color="auto" w:fill="auto"/>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13</w:t>
            </w:r>
            <w:r>
              <w:rPr>
                <w:rFonts w:hint="eastAsia" w:eastAsia="黑体"/>
                <w:color w:val="000000"/>
                <w:kern w:val="0"/>
                <w:sz w:val="20"/>
                <w:szCs w:val="20"/>
                <w:lang w:val="en-US" w:eastAsia="zh-CN" w:bidi="ar"/>
              </w:rPr>
              <w:t>7</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线缆</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RVV2*4.0mm2 国标</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米</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200</w:t>
            </w:r>
          </w:p>
        </w:tc>
        <w:tc>
          <w:tcPr>
            <w:tcW w:w="375" w:type="pct"/>
            <w:tcBorders>
              <w:tl2br w:val="nil"/>
              <w:tr2bl w:val="nil"/>
            </w:tcBorders>
            <w:shd w:val="clear" w:color="auto" w:fill="auto"/>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13</w:t>
            </w:r>
            <w:r>
              <w:rPr>
                <w:rFonts w:hint="eastAsia" w:eastAsia="黑体"/>
                <w:color w:val="000000"/>
                <w:kern w:val="0"/>
                <w:sz w:val="20"/>
                <w:szCs w:val="20"/>
                <w:lang w:val="en-US" w:eastAsia="zh-CN" w:bidi="ar"/>
              </w:rPr>
              <w:t>8</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线缆室外防水</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超五类网线，国标</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箱</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w:t>
            </w:r>
          </w:p>
        </w:tc>
        <w:tc>
          <w:tcPr>
            <w:tcW w:w="375" w:type="pct"/>
            <w:tcBorders>
              <w:tl2br w:val="nil"/>
              <w:tr2bl w:val="nil"/>
            </w:tcBorders>
            <w:shd w:val="clear" w:color="auto" w:fill="auto"/>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default" w:eastAsia="黑体"/>
                <w:color w:val="000000"/>
                <w:sz w:val="20"/>
                <w:szCs w:val="20"/>
                <w:lang w:val="en-US" w:eastAsia="zh-CN"/>
              </w:rPr>
            </w:pPr>
            <w:r>
              <w:rPr>
                <w:rFonts w:eastAsia="黑体"/>
                <w:color w:val="000000"/>
                <w:kern w:val="0"/>
                <w:sz w:val="20"/>
                <w:szCs w:val="20"/>
                <w:lang w:bidi="ar"/>
              </w:rPr>
              <w:t>1</w:t>
            </w:r>
            <w:r>
              <w:rPr>
                <w:rFonts w:hint="eastAsia" w:eastAsia="黑体"/>
                <w:color w:val="000000"/>
                <w:kern w:val="0"/>
                <w:sz w:val="20"/>
                <w:szCs w:val="20"/>
                <w:lang w:val="en-US" w:eastAsia="zh-CN" w:bidi="ar"/>
              </w:rPr>
              <w:t>39</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线缆室内六类网线</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国标</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箱</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3</w:t>
            </w:r>
          </w:p>
        </w:tc>
        <w:tc>
          <w:tcPr>
            <w:tcW w:w="375" w:type="pct"/>
            <w:tcBorders>
              <w:tl2br w:val="nil"/>
              <w:tr2bl w:val="nil"/>
            </w:tcBorders>
            <w:shd w:val="clear" w:color="auto" w:fill="auto"/>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14</w:t>
            </w:r>
            <w:r>
              <w:rPr>
                <w:rFonts w:hint="eastAsia" w:eastAsia="黑体"/>
                <w:color w:val="000000"/>
                <w:kern w:val="0"/>
                <w:sz w:val="20"/>
                <w:szCs w:val="20"/>
                <w:lang w:val="en-US" w:eastAsia="zh-CN" w:bidi="ar"/>
              </w:rPr>
              <w:t>0</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线缆</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GYTA型层绞式24芯室外单模光纤</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米</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700</w:t>
            </w:r>
          </w:p>
        </w:tc>
        <w:tc>
          <w:tcPr>
            <w:tcW w:w="375" w:type="pct"/>
            <w:tcBorders>
              <w:tl2br w:val="nil"/>
              <w:tr2bl w:val="nil"/>
            </w:tcBorders>
            <w:shd w:val="clear" w:color="auto" w:fill="auto"/>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14</w:t>
            </w:r>
            <w:r>
              <w:rPr>
                <w:rFonts w:hint="eastAsia" w:eastAsia="黑体"/>
                <w:color w:val="000000"/>
                <w:kern w:val="0"/>
                <w:sz w:val="20"/>
                <w:szCs w:val="20"/>
                <w:lang w:val="en-US" w:eastAsia="zh-CN" w:bidi="ar"/>
              </w:rPr>
              <w:t>1</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终端盒</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8口满配法兰、尾纤</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个</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4</w:t>
            </w:r>
          </w:p>
        </w:tc>
        <w:tc>
          <w:tcPr>
            <w:tcW w:w="375" w:type="pct"/>
            <w:tcBorders>
              <w:tl2br w:val="nil"/>
              <w:tr2bl w:val="nil"/>
            </w:tcBorders>
            <w:shd w:val="clear" w:color="auto" w:fill="auto"/>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14</w:t>
            </w:r>
            <w:r>
              <w:rPr>
                <w:rFonts w:hint="eastAsia" w:eastAsia="黑体"/>
                <w:color w:val="000000"/>
                <w:kern w:val="0"/>
                <w:sz w:val="20"/>
                <w:szCs w:val="20"/>
                <w:lang w:val="en-US" w:eastAsia="zh-CN" w:bidi="ar"/>
              </w:rPr>
              <w:t>2</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终端盒</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24口满配法兰、尾纤</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个</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4</w:t>
            </w:r>
          </w:p>
        </w:tc>
        <w:tc>
          <w:tcPr>
            <w:tcW w:w="375" w:type="pct"/>
            <w:tcBorders>
              <w:tl2br w:val="nil"/>
              <w:tr2bl w:val="nil"/>
            </w:tcBorders>
            <w:shd w:val="clear" w:color="auto" w:fill="auto"/>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14</w:t>
            </w:r>
            <w:r>
              <w:rPr>
                <w:rFonts w:hint="eastAsia" w:eastAsia="黑体"/>
                <w:color w:val="000000"/>
                <w:kern w:val="0"/>
                <w:sz w:val="20"/>
                <w:szCs w:val="20"/>
                <w:lang w:val="en-US" w:eastAsia="zh-CN" w:bidi="ar"/>
              </w:rPr>
              <w:t>3</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跳线</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电信级</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根</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60</w:t>
            </w:r>
          </w:p>
        </w:tc>
        <w:tc>
          <w:tcPr>
            <w:tcW w:w="375" w:type="pct"/>
            <w:tcBorders>
              <w:tl2br w:val="nil"/>
              <w:tr2bl w:val="nil"/>
            </w:tcBorders>
            <w:shd w:val="clear" w:color="auto" w:fill="auto"/>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14</w:t>
            </w:r>
            <w:r>
              <w:rPr>
                <w:rFonts w:hint="eastAsia" w:eastAsia="黑体"/>
                <w:color w:val="000000"/>
                <w:kern w:val="0"/>
                <w:sz w:val="20"/>
                <w:szCs w:val="20"/>
                <w:lang w:val="en-US" w:eastAsia="zh-CN" w:bidi="ar"/>
              </w:rPr>
              <w:t>4</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水晶头</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RJ-45，五类</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盒</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4</w:t>
            </w:r>
          </w:p>
        </w:tc>
        <w:tc>
          <w:tcPr>
            <w:tcW w:w="375" w:type="pct"/>
            <w:tcBorders>
              <w:tl2br w:val="nil"/>
              <w:tr2bl w:val="nil"/>
            </w:tcBorders>
            <w:shd w:val="clear" w:color="auto" w:fill="auto"/>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14</w:t>
            </w:r>
            <w:r>
              <w:rPr>
                <w:rFonts w:hint="eastAsia" w:eastAsia="黑体"/>
                <w:color w:val="000000"/>
                <w:kern w:val="0"/>
                <w:sz w:val="20"/>
                <w:szCs w:val="20"/>
                <w:lang w:val="en-US" w:eastAsia="zh-CN" w:bidi="ar"/>
              </w:rPr>
              <w:t>5</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管理软件</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软件和信息技术服务业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支持的操作系统: Windows7/ 8/ 8.1/10, Windows Server 2008/2012(32/64)</w:t>
            </w:r>
            <w:r>
              <w:rPr>
                <w:rFonts w:eastAsia="黑体"/>
                <w:color w:val="000000"/>
                <w:kern w:val="0"/>
                <w:sz w:val="20"/>
                <w:szCs w:val="20"/>
                <w:lang w:bidi="ar"/>
              </w:rPr>
              <w:br w:type="textWrapping"/>
            </w:r>
            <w:r>
              <w:rPr>
                <w:rFonts w:eastAsia="黑体"/>
                <w:color w:val="000000"/>
                <w:kern w:val="0"/>
                <w:sz w:val="20"/>
                <w:szCs w:val="20"/>
                <w:lang w:bidi="ar"/>
              </w:rPr>
              <w:t>支持的数据库: PostgreSQL,Oraclel1g,SQL Server 2005/2008/2012</w:t>
            </w:r>
            <w:r>
              <w:rPr>
                <w:rFonts w:eastAsia="黑体"/>
                <w:color w:val="000000"/>
                <w:kern w:val="0"/>
                <w:sz w:val="20"/>
                <w:szCs w:val="20"/>
                <w:lang w:bidi="ar"/>
              </w:rPr>
              <w:br w:type="textWrapping"/>
            </w:r>
            <w:r>
              <w:rPr>
                <w:rFonts w:eastAsia="黑体"/>
                <w:color w:val="000000"/>
                <w:kern w:val="0"/>
                <w:sz w:val="20"/>
                <w:szCs w:val="20"/>
                <w:lang w:bidi="ar"/>
              </w:rPr>
              <w:t>分若干模块，可与其他业务系统同时使用。门禁系统：基于WEB的管理系统,能够实现普通和高级门]禁功能，通过对门门禁设备和权限组进行管理，实现对人员进出的统一管理。设置已登记人员的开门时间及权限，即在某个时间段内，在某些门上，允许某些人员可以验证开锁。</w:t>
            </w:r>
            <w:r>
              <w:rPr>
                <w:rFonts w:eastAsia="黑体"/>
                <w:color w:val="000000"/>
                <w:kern w:val="0"/>
                <w:sz w:val="20"/>
                <w:szCs w:val="20"/>
                <w:lang w:bidi="ar"/>
              </w:rPr>
              <w:br w:type="textWrapping"/>
            </w:r>
            <w:r>
              <w:rPr>
                <w:rFonts w:eastAsia="黑体"/>
                <w:color w:val="000000"/>
                <w:kern w:val="0"/>
                <w:sz w:val="20"/>
                <w:szCs w:val="20"/>
                <w:lang w:bidi="ar"/>
              </w:rPr>
              <w:t>人事系统：主要包括两部分，一是人员管理，即设置系统内的主要部门和人员 ,可设置人员的门禁权限、考勤区域等信息;二是卡管理，为系统内的人员发卡。</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14</w:t>
            </w:r>
            <w:r>
              <w:rPr>
                <w:rFonts w:hint="eastAsia" w:eastAsia="黑体"/>
                <w:color w:val="000000"/>
                <w:kern w:val="0"/>
                <w:sz w:val="20"/>
                <w:szCs w:val="20"/>
                <w:lang w:val="en-US" w:eastAsia="zh-CN" w:bidi="ar"/>
              </w:rPr>
              <w:t>6</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发卡器</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类型 非接触式读卡</w:t>
            </w:r>
            <w:r>
              <w:rPr>
                <w:rFonts w:eastAsia="黑体"/>
                <w:color w:val="000000"/>
                <w:kern w:val="0"/>
                <w:sz w:val="20"/>
                <w:szCs w:val="20"/>
                <w:lang w:bidi="ar"/>
              </w:rPr>
              <w:br w:type="textWrapping"/>
            </w:r>
            <w:r>
              <w:rPr>
                <w:rFonts w:eastAsia="黑体"/>
                <w:color w:val="000000"/>
                <w:kern w:val="0"/>
                <w:sz w:val="20"/>
                <w:szCs w:val="20"/>
                <w:lang w:bidi="ar"/>
              </w:rPr>
              <w:t>工作频率 13.56（Mhz）</w:t>
            </w:r>
            <w:r>
              <w:rPr>
                <w:rFonts w:eastAsia="黑体"/>
                <w:color w:val="000000"/>
                <w:kern w:val="0"/>
                <w:sz w:val="20"/>
                <w:szCs w:val="20"/>
                <w:lang w:bidi="ar"/>
              </w:rPr>
              <w:br w:type="textWrapping"/>
            </w:r>
            <w:r>
              <w:rPr>
                <w:rFonts w:eastAsia="黑体"/>
                <w:color w:val="000000"/>
                <w:kern w:val="0"/>
                <w:sz w:val="20"/>
                <w:szCs w:val="20"/>
                <w:lang w:bidi="ar"/>
              </w:rPr>
              <w:t>读卡时间 1（s）</w:t>
            </w:r>
            <w:r>
              <w:rPr>
                <w:rFonts w:eastAsia="黑体"/>
                <w:color w:val="000000"/>
                <w:kern w:val="0"/>
                <w:sz w:val="20"/>
                <w:szCs w:val="20"/>
                <w:lang w:bidi="ar"/>
              </w:rPr>
              <w:br w:type="textWrapping"/>
            </w:r>
            <w:r>
              <w:rPr>
                <w:rFonts w:eastAsia="黑体"/>
                <w:color w:val="000000"/>
                <w:kern w:val="0"/>
                <w:sz w:val="20"/>
                <w:szCs w:val="20"/>
                <w:lang w:bidi="ar"/>
              </w:rPr>
              <w:t>感应距离 ≥ 5（cm）</w:t>
            </w:r>
            <w:r>
              <w:rPr>
                <w:rFonts w:eastAsia="黑体"/>
                <w:color w:val="000000"/>
                <w:kern w:val="0"/>
                <w:sz w:val="20"/>
                <w:szCs w:val="20"/>
                <w:lang w:bidi="ar"/>
              </w:rPr>
              <w:br w:type="textWrapping"/>
            </w:r>
            <w:r>
              <w:rPr>
                <w:rFonts w:eastAsia="黑体"/>
                <w:color w:val="000000"/>
                <w:kern w:val="0"/>
                <w:sz w:val="20"/>
                <w:szCs w:val="20"/>
                <w:lang w:bidi="ar"/>
              </w:rPr>
              <w:t>电源功率 1（W）适用卡类 Mifare卡</w:t>
            </w:r>
            <w:r>
              <w:rPr>
                <w:rFonts w:eastAsia="黑体"/>
                <w:color w:val="000000"/>
                <w:kern w:val="0"/>
                <w:sz w:val="20"/>
                <w:szCs w:val="20"/>
                <w:lang w:bidi="ar"/>
              </w:rPr>
              <w:br w:type="textWrapping"/>
            </w:r>
            <w:r>
              <w:rPr>
                <w:rFonts w:eastAsia="黑体"/>
                <w:color w:val="000000"/>
                <w:kern w:val="0"/>
                <w:sz w:val="20"/>
                <w:szCs w:val="20"/>
                <w:lang w:bidi="ar"/>
              </w:rPr>
              <w:t>通讯方式 USB-Client</w:t>
            </w:r>
            <w:r>
              <w:rPr>
                <w:rFonts w:eastAsia="黑体"/>
                <w:color w:val="000000"/>
                <w:kern w:val="0"/>
                <w:sz w:val="20"/>
                <w:szCs w:val="20"/>
                <w:lang w:bidi="ar"/>
              </w:rPr>
              <w:br w:type="textWrapping"/>
            </w:r>
            <w:r>
              <w:rPr>
                <w:rFonts w:eastAsia="黑体"/>
                <w:color w:val="000000"/>
                <w:kern w:val="0"/>
                <w:sz w:val="20"/>
                <w:szCs w:val="20"/>
                <w:lang w:bidi="ar"/>
              </w:rPr>
              <w:t>尺寸 126*66*18.5</w:t>
            </w:r>
            <w:r>
              <w:rPr>
                <w:rFonts w:eastAsia="黑体"/>
                <w:color w:val="000000"/>
                <w:kern w:val="0"/>
                <w:sz w:val="20"/>
                <w:szCs w:val="20"/>
                <w:lang w:bidi="ar"/>
              </w:rPr>
              <w:br w:type="textWrapping"/>
            </w:r>
            <w:r>
              <w:rPr>
                <w:rFonts w:eastAsia="黑体"/>
                <w:color w:val="000000"/>
                <w:kern w:val="0"/>
                <w:sz w:val="20"/>
                <w:szCs w:val="20"/>
                <w:lang w:bidi="ar"/>
              </w:rPr>
              <w:t xml:space="preserve">一个LED指示灯和一个蜂鸣器，刷卡时蜂鸣器响一声，指示灯闪一下 </w:t>
            </w:r>
            <w:r>
              <w:rPr>
                <w:rFonts w:eastAsia="黑体"/>
                <w:color w:val="000000"/>
                <w:kern w:val="0"/>
                <w:sz w:val="20"/>
                <w:szCs w:val="20"/>
                <w:lang w:bidi="ar"/>
              </w:rPr>
              <w:br w:type="textWrapping"/>
            </w:r>
            <w:r>
              <w:rPr>
                <w:rFonts w:eastAsia="黑体"/>
                <w:color w:val="000000"/>
                <w:kern w:val="0"/>
                <w:sz w:val="20"/>
                <w:szCs w:val="20"/>
                <w:lang w:bidi="ar"/>
              </w:rPr>
              <w:t>通信接口:标准计算机USB键盘口</w:t>
            </w:r>
            <w:r>
              <w:rPr>
                <w:rFonts w:eastAsia="黑体"/>
                <w:color w:val="000000"/>
                <w:kern w:val="0"/>
                <w:sz w:val="20"/>
                <w:szCs w:val="20"/>
                <w:lang w:bidi="ar"/>
              </w:rPr>
              <w:br w:type="textWrapping"/>
            </w:r>
            <w:r>
              <w:rPr>
                <w:rFonts w:eastAsia="黑体"/>
                <w:color w:val="000000"/>
                <w:kern w:val="0"/>
                <w:sz w:val="20"/>
                <w:szCs w:val="20"/>
                <w:lang w:bidi="ar"/>
              </w:rPr>
              <w:t>接线方法：将USB线一端接到计算机的USB口</w:t>
            </w:r>
            <w:r>
              <w:rPr>
                <w:rFonts w:eastAsia="黑体"/>
                <w:color w:val="000000"/>
                <w:kern w:val="0"/>
                <w:sz w:val="20"/>
                <w:szCs w:val="20"/>
                <w:lang w:bidi="ar"/>
              </w:rPr>
              <w:br w:type="textWrapping"/>
            </w:r>
            <w:r>
              <w:rPr>
                <w:rFonts w:eastAsia="黑体"/>
                <w:color w:val="000000"/>
                <w:kern w:val="0"/>
                <w:sz w:val="20"/>
                <w:szCs w:val="20"/>
                <w:lang w:bidi="ar"/>
              </w:rPr>
              <w:t>数据格式：Wiegand34（MF卡）</w:t>
            </w:r>
            <w:r>
              <w:rPr>
                <w:rFonts w:eastAsia="黑体"/>
                <w:color w:val="000000"/>
                <w:kern w:val="0"/>
                <w:sz w:val="20"/>
                <w:szCs w:val="20"/>
                <w:lang w:bidi="ar"/>
              </w:rPr>
              <w:br w:type="textWrapping"/>
            </w:r>
            <w:r>
              <w:rPr>
                <w:rFonts w:eastAsia="黑体"/>
                <w:color w:val="000000"/>
                <w:kern w:val="0"/>
                <w:sz w:val="20"/>
                <w:szCs w:val="20"/>
                <w:lang w:bidi="ar"/>
              </w:rPr>
              <w:t xml:space="preserve"> 支持Windows95/98/2000/XP/Win7。</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14</w:t>
            </w:r>
            <w:r>
              <w:rPr>
                <w:rFonts w:hint="eastAsia" w:eastAsia="黑体"/>
                <w:color w:val="000000"/>
                <w:kern w:val="0"/>
                <w:sz w:val="20"/>
                <w:szCs w:val="20"/>
                <w:lang w:val="en-US" w:eastAsia="zh-CN" w:bidi="ar"/>
              </w:rPr>
              <w:t>7</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单门门禁控制器</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采用ZMM220核心平台开发，标配2万指纹，20万卡容量，可扩容至3万指纹，同时控制器标配无线WIFI和选配4G全网通</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3</w:t>
            </w:r>
          </w:p>
        </w:tc>
        <w:tc>
          <w:tcPr>
            <w:tcW w:w="375" w:type="pct"/>
            <w:tcBorders>
              <w:tl2br w:val="nil"/>
              <w:tr2bl w:val="nil"/>
            </w:tcBorders>
            <w:shd w:val="clear" w:color="auto" w:fill="auto"/>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14</w:t>
            </w:r>
            <w:r>
              <w:rPr>
                <w:rFonts w:hint="eastAsia" w:eastAsia="黑体"/>
                <w:color w:val="000000"/>
                <w:kern w:val="0"/>
                <w:sz w:val="20"/>
                <w:szCs w:val="20"/>
                <w:lang w:val="en-US" w:eastAsia="zh-CN" w:bidi="ar"/>
              </w:rPr>
              <w:t>8</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双门门禁控制器</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采用ZMM220核心平台开发，标配2万指纹，20万卡容量，可扩容至3万指纹，同时控制器标配无线WIFI和选配4G全网通</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default" w:eastAsia="黑体"/>
                <w:color w:val="000000"/>
                <w:sz w:val="20"/>
                <w:szCs w:val="20"/>
                <w:lang w:val="en-US" w:eastAsia="zh-CN"/>
              </w:rPr>
            </w:pPr>
            <w:r>
              <w:rPr>
                <w:rFonts w:eastAsia="黑体"/>
                <w:color w:val="000000"/>
                <w:kern w:val="0"/>
                <w:sz w:val="20"/>
                <w:szCs w:val="20"/>
                <w:lang w:bidi="ar"/>
              </w:rPr>
              <w:t>1</w:t>
            </w:r>
            <w:r>
              <w:rPr>
                <w:rFonts w:hint="eastAsia" w:eastAsia="黑体"/>
                <w:color w:val="000000"/>
                <w:kern w:val="0"/>
                <w:sz w:val="20"/>
                <w:szCs w:val="20"/>
                <w:lang w:val="en-US" w:eastAsia="zh-CN" w:bidi="ar"/>
              </w:rPr>
              <w:t>49</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四门门禁控制器</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采用ZMM220核心平台开发，标配2万指纹，20万卡容量，可扩容至3万指纹，同时控制器标配无线WIFI和选配4G全网通</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default" w:eastAsia="黑体"/>
                <w:color w:val="000000"/>
                <w:sz w:val="20"/>
                <w:szCs w:val="20"/>
                <w:lang w:val="en-US" w:eastAsia="zh-CN"/>
              </w:rPr>
            </w:pPr>
            <w:r>
              <w:rPr>
                <w:rFonts w:eastAsia="黑体"/>
                <w:color w:val="000000"/>
                <w:kern w:val="0"/>
                <w:sz w:val="20"/>
                <w:szCs w:val="20"/>
                <w:lang w:bidi="ar"/>
              </w:rPr>
              <w:t>1</w:t>
            </w:r>
            <w:r>
              <w:rPr>
                <w:rFonts w:hint="eastAsia" w:eastAsia="黑体"/>
                <w:color w:val="000000"/>
                <w:kern w:val="0"/>
                <w:sz w:val="20"/>
                <w:szCs w:val="20"/>
                <w:lang w:val="en-US" w:eastAsia="zh-CN" w:bidi="ar"/>
              </w:rPr>
              <w:t>50</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门禁读头</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86盒设计，与inBIO控制器无缝结合，指纹、密码、卡多种验证方式；86盒设计、多种验证方式、无膜指纹头、标配ID卡、工作电压12V、算法ZKFinger10</w:t>
            </w:r>
            <w:r>
              <w:rPr>
                <w:rFonts w:eastAsia="黑体"/>
                <w:color w:val="000000"/>
                <w:kern w:val="0"/>
                <w:sz w:val="20"/>
                <w:szCs w:val="20"/>
                <w:lang w:bidi="ar"/>
              </w:rPr>
              <w:br w:type="textWrapping"/>
            </w:r>
            <w:r>
              <w:rPr>
                <w:rFonts w:eastAsia="黑体"/>
                <w:color w:val="000000"/>
                <w:kern w:val="0"/>
                <w:sz w:val="20"/>
                <w:szCs w:val="20"/>
                <w:lang w:bidi="ar"/>
              </w:rPr>
              <w:t>卡支持：IC</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10</w:t>
            </w:r>
          </w:p>
        </w:tc>
        <w:tc>
          <w:tcPr>
            <w:tcW w:w="375" w:type="pct"/>
            <w:tcBorders>
              <w:tl2br w:val="nil"/>
              <w:tr2bl w:val="nil"/>
            </w:tcBorders>
            <w:shd w:val="clear" w:color="auto" w:fill="auto"/>
            <w:noWrap/>
            <w:vAlign w:val="center"/>
          </w:tcPr>
          <w:p>
            <w:pPr>
              <w:widowControl/>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15</w:t>
            </w:r>
            <w:r>
              <w:rPr>
                <w:rFonts w:hint="eastAsia" w:eastAsia="黑体"/>
                <w:color w:val="000000"/>
                <w:kern w:val="0"/>
                <w:sz w:val="20"/>
                <w:szCs w:val="20"/>
                <w:lang w:val="en-US" w:eastAsia="zh-CN" w:bidi="ar"/>
              </w:rPr>
              <w:t>1</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磁力锁</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280单门两线拉丝磁力锁（纯铜）</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20</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15</w:t>
            </w:r>
            <w:r>
              <w:rPr>
                <w:rFonts w:hint="eastAsia" w:eastAsia="黑体"/>
                <w:color w:val="000000"/>
                <w:kern w:val="0"/>
                <w:sz w:val="20"/>
                <w:szCs w:val="20"/>
                <w:lang w:val="en-US" w:eastAsia="zh-CN" w:bidi="ar"/>
              </w:rPr>
              <w:t>2</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闭门器</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90度定位/不定位</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个</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20</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15</w:t>
            </w:r>
            <w:r>
              <w:rPr>
                <w:rFonts w:hint="eastAsia" w:eastAsia="黑体"/>
                <w:color w:val="000000"/>
                <w:kern w:val="0"/>
                <w:sz w:val="20"/>
                <w:szCs w:val="20"/>
                <w:lang w:val="en-US" w:eastAsia="zh-CN" w:bidi="ar"/>
              </w:rPr>
              <w:t>3</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磁力锁</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支架280L支架</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20</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15</w:t>
            </w:r>
            <w:r>
              <w:rPr>
                <w:rFonts w:hint="eastAsia" w:eastAsia="黑体"/>
                <w:color w:val="000000"/>
                <w:kern w:val="0"/>
                <w:sz w:val="20"/>
                <w:szCs w:val="20"/>
                <w:lang w:val="en-US" w:eastAsia="zh-CN" w:bidi="ar"/>
              </w:rPr>
              <w:t>4</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出门开关</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触摸式高灵敏红外感应开关</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10</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15</w:t>
            </w:r>
            <w:r>
              <w:rPr>
                <w:rFonts w:hint="eastAsia" w:eastAsia="黑体"/>
                <w:color w:val="000000"/>
                <w:kern w:val="0"/>
                <w:sz w:val="20"/>
                <w:szCs w:val="20"/>
                <w:lang w:val="en-US" w:eastAsia="zh-CN" w:bidi="ar"/>
              </w:rPr>
              <w:t>5</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交换机</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交换容量：32Gbps，包转发率：6.6Mpps，24个10/100Base-TX以太网端口，2个10/100/1000Base-T以太网端口，2个复用的千兆Combo SFP</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台</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eastAsia" w:eastAsia="黑体"/>
                <w:color w:val="000000"/>
                <w:sz w:val="20"/>
                <w:szCs w:val="20"/>
                <w:lang w:eastAsia="zh-CN"/>
              </w:rPr>
            </w:pPr>
            <w:r>
              <w:rPr>
                <w:rFonts w:eastAsia="黑体"/>
                <w:color w:val="000000"/>
                <w:kern w:val="0"/>
                <w:sz w:val="20"/>
                <w:szCs w:val="20"/>
                <w:lang w:bidi="ar"/>
              </w:rPr>
              <w:t>15</w:t>
            </w:r>
            <w:r>
              <w:rPr>
                <w:rFonts w:hint="eastAsia" w:eastAsia="黑体"/>
                <w:color w:val="000000"/>
                <w:kern w:val="0"/>
                <w:sz w:val="20"/>
                <w:szCs w:val="20"/>
                <w:lang w:val="en-US" w:eastAsia="zh-CN" w:bidi="ar"/>
              </w:rPr>
              <w:t>6</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IC卡</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工业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工作频率：低频13.56MHz，高频125KHz</w:t>
            </w:r>
            <w:r>
              <w:rPr>
                <w:rFonts w:eastAsia="黑体"/>
                <w:color w:val="000000"/>
                <w:kern w:val="0"/>
                <w:sz w:val="20"/>
                <w:szCs w:val="20"/>
                <w:lang w:bidi="ar"/>
              </w:rPr>
              <w:br w:type="textWrapping"/>
            </w:r>
            <w:r>
              <w:rPr>
                <w:rFonts w:eastAsia="黑体"/>
                <w:color w:val="000000"/>
                <w:kern w:val="0"/>
                <w:sz w:val="20"/>
                <w:szCs w:val="20"/>
                <w:lang w:bidi="ar"/>
              </w:rPr>
              <w:t>存储容量：总共8192字节，16个分区</w:t>
            </w:r>
            <w:r>
              <w:rPr>
                <w:rFonts w:eastAsia="黑体"/>
                <w:color w:val="000000"/>
                <w:kern w:val="0"/>
                <w:sz w:val="20"/>
                <w:szCs w:val="20"/>
                <w:lang w:bidi="ar"/>
              </w:rPr>
              <w:br w:type="textWrapping"/>
            </w:r>
            <w:r>
              <w:rPr>
                <w:rFonts w:eastAsia="黑体"/>
                <w:color w:val="000000"/>
                <w:kern w:val="0"/>
                <w:sz w:val="20"/>
                <w:szCs w:val="20"/>
                <w:lang w:bidi="ar"/>
              </w:rPr>
              <w:t>密码保护：每分区单独有6字节密码</w:t>
            </w:r>
          </w:p>
        </w:tc>
        <w:tc>
          <w:tcPr>
            <w:tcW w:w="224"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个</w:t>
            </w:r>
          </w:p>
        </w:tc>
        <w:tc>
          <w:tcPr>
            <w:tcW w:w="219" w:type="pct"/>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100</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7"/>
            <w:tcBorders>
              <w:tl2br w:val="nil"/>
              <w:tr2bl w:val="nil"/>
            </w:tcBorders>
            <w:shd w:val="clear" w:color="auto" w:fill="FFFF00"/>
            <w:noWrap/>
            <w:vAlign w:val="center"/>
          </w:tcPr>
          <w:p>
            <w:pPr>
              <w:widowControl/>
              <w:textAlignment w:val="center"/>
              <w:rPr>
                <w:rFonts w:eastAsia="黑体"/>
                <w:color w:val="000000"/>
                <w:sz w:val="20"/>
                <w:szCs w:val="20"/>
              </w:rPr>
            </w:pPr>
            <w:r>
              <w:rPr>
                <w:rFonts w:eastAsia="黑体"/>
                <w:color w:val="000000"/>
                <w:kern w:val="0"/>
                <w:sz w:val="20"/>
                <w:szCs w:val="20"/>
                <w:lang w:bidi="ar"/>
              </w:rPr>
              <w:t>十、云加签服务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72" w:type="pct"/>
            <w:tcBorders>
              <w:tl2br w:val="nil"/>
              <w:tr2bl w:val="nil"/>
            </w:tcBorders>
            <w:shd w:val="clear" w:color="auto" w:fill="auto"/>
            <w:noWrap/>
            <w:vAlign w:val="center"/>
          </w:tcPr>
          <w:p>
            <w:pPr>
              <w:widowControl/>
              <w:jc w:val="center"/>
              <w:textAlignment w:val="center"/>
              <w:rPr>
                <w:rFonts w:hint="default" w:eastAsia="黑体"/>
                <w:color w:val="000000"/>
                <w:sz w:val="20"/>
                <w:szCs w:val="20"/>
                <w:lang w:val="en-US" w:eastAsia="zh-CN"/>
              </w:rPr>
            </w:pPr>
            <w:r>
              <w:rPr>
                <w:rFonts w:eastAsia="黑体"/>
                <w:color w:val="000000"/>
                <w:kern w:val="0"/>
                <w:sz w:val="20"/>
                <w:szCs w:val="20"/>
                <w:lang w:bidi="ar"/>
              </w:rPr>
              <w:t>1</w:t>
            </w:r>
            <w:r>
              <w:rPr>
                <w:rFonts w:hint="eastAsia" w:eastAsia="黑体"/>
                <w:color w:val="000000"/>
                <w:kern w:val="0"/>
                <w:sz w:val="20"/>
                <w:szCs w:val="20"/>
                <w:lang w:val="en-US" w:eastAsia="zh-CN" w:bidi="ar"/>
              </w:rPr>
              <w:t>57</w:t>
            </w:r>
          </w:p>
        </w:tc>
        <w:tc>
          <w:tcPr>
            <w:tcW w:w="582"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云加签服务</w:t>
            </w:r>
          </w:p>
        </w:tc>
        <w:tc>
          <w:tcPr>
            <w:tcW w:w="623" w:type="pct"/>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bidi="ar"/>
              </w:rPr>
              <w:t>软件和信息技术服务业</w:t>
            </w:r>
          </w:p>
        </w:tc>
        <w:tc>
          <w:tcPr>
            <w:tcW w:w="2702" w:type="pct"/>
            <w:tcBorders>
              <w:tl2br w:val="nil"/>
              <w:tr2bl w:val="nil"/>
            </w:tcBorders>
            <w:shd w:val="clear" w:color="auto" w:fill="auto"/>
            <w:vAlign w:val="center"/>
          </w:tcPr>
          <w:p>
            <w:pPr>
              <w:widowControl/>
              <w:jc w:val="left"/>
              <w:textAlignment w:val="center"/>
              <w:rPr>
                <w:rFonts w:eastAsia="黑体"/>
                <w:color w:val="000000"/>
                <w:sz w:val="20"/>
                <w:szCs w:val="20"/>
              </w:rPr>
            </w:pPr>
            <w:r>
              <w:rPr>
                <w:rFonts w:eastAsia="黑体"/>
                <w:color w:val="000000"/>
                <w:kern w:val="0"/>
                <w:sz w:val="20"/>
                <w:szCs w:val="20"/>
                <w:lang w:bidi="ar"/>
              </w:rPr>
              <w:t>1、为甲方提供50个用户授权。</w:t>
            </w:r>
            <w:r>
              <w:rPr>
                <w:rFonts w:eastAsia="黑体"/>
                <w:color w:val="000000"/>
                <w:kern w:val="0"/>
                <w:sz w:val="20"/>
                <w:szCs w:val="20"/>
                <w:lang w:bidi="ar"/>
              </w:rPr>
              <w:br w:type="textWrapping"/>
            </w:r>
            <w:r>
              <w:rPr>
                <w:rFonts w:eastAsia="黑体"/>
                <w:color w:val="000000"/>
                <w:kern w:val="0"/>
                <w:sz w:val="20"/>
                <w:szCs w:val="20"/>
                <w:lang w:bidi="ar"/>
              </w:rPr>
              <w:t>2、协助用户做好中国电子口岸入网证书的申请、制发、领取工作。</w:t>
            </w:r>
            <w:r>
              <w:rPr>
                <w:rFonts w:eastAsia="黑体"/>
                <w:color w:val="000000"/>
                <w:kern w:val="0"/>
                <w:sz w:val="20"/>
                <w:szCs w:val="20"/>
                <w:lang w:bidi="ar"/>
              </w:rPr>
              <w:br w:type="textWrapping"/>
            </w:r>
            <w:r>
              <w:rPr>
                <w:rFonts w:eastAsia="黑体"/>
                <w:color w:val="000000"/>
                <w:kern w:val="0"/>
                <w:sz w:val="20"/>
                <w:szCs w:val="20"/>
                <w:lang w:bidi="ar"/>
              </w:rPr>
              <w:t>3、协助用户做好中国电子口岸入网证书及云加签密钥的绑定及配置工作。</w:t>
            </w:r>
            <w:r>
              <w:rPr>
                <w:rFonts w:eastAsia="黑体"/>
                <w:color w:val="000000"/>
                <w:kern w:val="0"/>
                <w:sz w:val="20"/>
                <w:szCs w:val="20"/>
                <w:lang w:bidi="ar"/>
              </w:rPr>
              <w:br w:type="textWrapping"/>
            </w:r>
            <w:r>
              <w:rPr>
                <w:rFonts w:eastAsia="黑体"/>
                <w:color w:val="000000"/>
                <w:kern w:val="0"/>
                <w:sz w:val="20"/>
                <w:szCs w:val="20"/>
                <w:lang w:bidi="ar"/>
              </w:rPr>
              <w:t>4、协助用户完成数据交换通道的配置、联调、测试工作。</w:t>
            </w:r>
            <w:r>
              <w:rPr>
                <w:rFonts w:eastAsia="黑体"/>
                <w:color w:val="000000"/>
                <w:kern w:val="0"/>
                <w:sz w:val="20"/>
                <w:szCs w:val="20"/>
                <w:lang w:bidi="ar"/>
              </w:rPr>
              <w:br w:type="textWrapping"/>
            </w:r>
            <w:r>
              <w:rPr>
                <w:rFonts w:eastAsia="黑体"/>
                <w:color w:val="000000"/>
                <w:kern w:val="0"/>
                <w:sz w:val="20"/>
                <w:szCs w:val="20"/>
                <w:lang w:bidi="ar"/>
              </w:rPr>
              <w:t>5、协助用户做好云加签服务与跨境电子商务平台的联调测试工作。</w:t>
            </w:r>
            <w:r>
              <w:rPr>
                <w:rFonts w:eastAsia="黑体"/>
                <w:color w:val="000000"/>
                <w:kern w:val="0"/>
                <w:sz w:val="20"/>
                <w:szCs w:val="20"/>
                <w:lang w:bidi="ar"/>
              </w:rPr>
              <w:br w:type="textWrapping"/>
            </w:r>
            <w:r>
              <w:rPr>
                <w:rFonts w:eastAsia="黑体"/>
                <w:color w:val="000000"/>
                <w:kern w:val="0"/>
                <w:sz w:val="20"/>
                <w:szCs w:val="20"/>
                <w:lang w:bidi="ar"/>
              </w:rPr>
              <w:t>6、为用户解决在云加签运行过程中的技术问题，为用户做好技术服务保障工作。</w:t>
            </w:r>
            <w:r>
              <w:rPr>
                <w:rFonts w:eastAsia="黑体"/>
                <w:color w:val="000000"/>
                <w:kern w:val="0"/>
                <w:sz w:val="20"/>
                <w:szCs w:val="20"/>
                <w:lang w:bidi="ar"/>
              </w:rPr>
              <w:br w:type="textWrapping"/>
            </w:r>
            <w:r>
              <w:rPr>
                <w:rFonts w:eastAsia="黑体"/>
                <w:color w:val="000000"/>
                <w:kern w:val="0"/>
                <w:sz w:val="20"/>
                <w:szCs w:val="20"/>
                <w:lang w:bidi="ar"/>
              </w:rPr>
              <w:t>7、向用户提供云加签设备，设备的参数，服务内容附至验收资料中。设备归属权为乙方所有，甲方在服务期限内具有设备使用权。</w:t>
            </w:r>
            <w:r>
              <w:rPr>
                <w:rFonts w:eastAsia="黑体"/>
                <w:color w:val="000000"/>
                <w:kern w:val="0"/>
                <w:sz w:val="20"/>
                <w:szCs w:val="20"/>
                <w:lang w:bidi="ar"/>
              </w:rPr>
              <w:br w:type="textWrapping"/>
            </w:r>
            <w:r>
              <w:rPr>
                <w:rFonts w:eastAsia="黑体"/>
                <w:color w:val="000000"/>
                <w:kern w:val="0"/>
                <w:sz w:val="20"/>
                <w:szCs w:val="20"/>
                <w:lang w:bidi="ar"/>
              </w:rPr>
              <w:t>8、负责设备正常运行，如遇损坏需维修或维护，期间提供备件，保证用户业务正常运行。</w:t>
            </w:r>
          </w:p>
        </w:tc>
        <w:tc>
          <w:tcPr>
            <w:tcW w:w="224"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项</w:t>
            </w:r>
          </w:p>
        </w:tc>
        <w:tc>
          <w:tcPr>
            <w:tcW w:w="219" w:type="pct"/>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eastAsia="黑体"/>
                <w:color w:val="000000"/>
                <w:kern w:val="0"/>
                <w:sz w:val="20"/>
                <w:szCs w:val="20"/>
                <w:lang w:bidi="ar"/>
              </w:rPr>
              <w:t>1</w:t>
            </w:r>
          </w:p>
        </w:tc>
        <w:tc>
          <w:tcPr>
            <w:tcW w:w="375" w:type="pct"/>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7"/>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hint="eastAsia" w:eastAsia="黑体"/>
                <w:color w:val="000000"/>
                <w:kern w:val="0"/>
                <w:sz w:val="20"/>
                <w:szCs w:val="20"/>
                <w:highlight w:val="yellow"/>
                <w:lang w:bidi="ar"/>
              </w:rPr>
              <w:t>备注：费用包括人工费、材料费、税费、运输费、</w:t>
            </w:r>
            <w:r>
              <w:rPr>
                <w:rFonts w:eastAsia="黑体"/>
                <w:color w:val="000000"/>
                <w:kern w:val="0"/>
                <w:sz w:val="20"/>
                <w:szCs w:val="20"/>
                <w:highlight w:val="yellow"/>
                <w:lang w:bidi="ar"/>
              </w:rPr>
              <w:t>安装调试</w:t>
            </w:r>
            <w:r>
              <w:rPr>
                <w:rFonts w:hint="eastAsia" w:eastAsia="黑体"/>
                <w:color w:val="000000"/>
                <w:kern w:val="0"/>
                <w:sz w:val="20"/>
                <w:szCs w:val="20"/>
                <w:highlight w:val="yellow"/>
                <w:lang w:eastAsia="zh-CN" w:bidi="ar"/>
              </w:rPr>
              <w:t>、</w:t>
            </w:r>
            <w:r>
              <w:rPr>
                <w:rFonts w:eastAsia="黑体"/>
                <w:color w:val="000000"/>
                <w:kern w:val="0"/>
                <w:sz w:val="20"/>
                <w:szCs w:val="20"/>
                <w:highlight w:val="yellow"/>
                <w:lang w:bidi="ar"/>
              </w:rPr>
              <w:t>运保</w:t>
            </w:r>
            <w:r>
              <w:rPr>
                <w:rFonts w:hint="eastAsia" w:eastAsia="黑体"/>
                <w:color w:val="000000"/>
                <w:kern w:val="0"/>
                <w:sz w:val="20"/>
                <w:szCs w:val="20"/>
                <w:highlight w:val="yellow"/>
                <w:lang w:eastAsia="zh-CN" w:bidi="ar"/>
              </w:rPr>
              <w:t>、</w:t>
            </w:r>
            <w:r>
              <w:rPr>
                <w:rFonts w:eastAsia="黑体"/>
                <w:color w:val="000000"/>
                <w:kern w:val="0"/>
                <w:sz w:val="20"/>
                <w:szCs w:val="20"/>
                <w:highlight w:val="yellow"/>
                <w:lang w:bidi="ar"/>
              </w:rPr>
              <w:t>光纤熔接</w:t>
            </w:r>
            <w:r>
              <w:rPr>
                <w:rFonts w:hint="eastAsia" w:eastAsia="黑体"/>
                <w:color w:val="000000"/>
                <w:kern w:val="0"/>
                <w:sz w:val="20"/>
                <w:szCs w:val="20"/>
                <w:highlight w:val="yellow"/>
                <w:lang w:val="en-US" w:eastAsia="zh-CN" w:bidi="ar"/>
              </w:rPr>
              <w:t>费</w:t>
            </w:r>
            <w:r>
              <w:rPr>
                <w:rFonts w:hint="eastAsia" w:eastAsia="黑体"/>
                <w:color w:val="000000"/>
                <w:kern w:val="0"/>
                <w:sz w:val="20"/>
                <w:szCs w:val="20"/>
                <w:highlight w:val="yellow"/>
                <w:lang w:bidi="ar"/>
              </w:rPr>
              <w:t>等完成项目所需的所有费用。</w:t>
            </w:r>
          </w:p>
        </w:tc>
      </w:tr>
    </w:tbl>
    <w:p>
      <w:pPr>
        <w:rPr>
          <w:rFonts w:ascii="宋体" w:hAnsi="宋体"/>
          <w:b/>
          <w:color w:val="FF0000"/>
          <w:szCs w:val="21"/>
        </w:rPr>
      </w:pPr>
    </w:p>
    <w:p>
      <w:pPr>
        <w:rPr>
          <w:rFonts w:ascii="宋体" w:hAnsi="宋体"/>
          <w:b/>
          <w:color w:val="FF0000"/>
          <w:szCs w:val="21"/>
        </w:rPr>
      </w:pPr>
      <w:r>
        <w:rPr>
          <w:rFonts w:hint="eastAsia" w:ascii="宋体" w:hAnsi="宋体"/>
          <w:b/>
          <w:color w:val="FF0000"/>
          <w:szCs w:val="21"/>
        </w:rPr>
        <w:t>说明：</w:t>
      </w:r>
    </w:p>
    <w:p>
      <w:pPr>
        <w:numPr>
          <w:ilvl w:val="0"/>
          <w:numId w:val="10"/>
        </w:numPr>
        <w:spacing w:line="360" w:lineRule="auto"/>
        <w:ind w:firstLine="482" w:firstLineChars="200"/>
        <w:outlineLvl w:val="0"/>
        <w:rPr>
          <w:rFonts w:ascii="宋体" w:hAnsi="宋体"/>
          <w:b/>
          <w:bCs/>
          <w:sz w:val="24"/>
        </w:rPr>
      </w:pPr>
      <w:r>
        <w:rPr>
          <w:rFonts w:hint="eastAsia" w:ascii="宋体" w:hAnsi="宋体"/>
          <w:b/>
          <w:sz w:val="24"/>
        </w:rPr>
        <w:t>本项目技术参数未设定实质性条款，均为一般参数</w:t>
      </w:r>
      <w:r>
        <w:rPr>
          <w:rFonts w:hint="eastAsia" w:ascii="宋体" w:hAnsi="宋体"/>
          <w:b/>
          <w:sz w:val="24"/>
          <w:lang w:eastAsia="zh-CN"/>
        </w:rPr>
        <w:t>，</w:t>
      </w:r>
      <w:r>
        <w:rPr>
          <w:rFonts w:hint="eastAsia" w:ascii="宋体" w:hAnsi="宋体"/>
          <w:b/>
          <w:bCs/>
          <w:sz w:val="24"/>
        </w:rPr>
        <w:t>负偏离</w:t>
      </w:r>
      <w:r>
        <w:rPr>
          <w:rFonts w:hint="eastAsia" w:ascii="宋体" w:hAnsi="宋体"/>
          <w:b/>
          <w:bCs/>
          <w:sz w:val="24"/>
          <w:lang w:val="en-US" w:eastAsia="zh-CN"/>
        </w:rPr>
        <w:t>将会以“第三章 评分标准”进行扣分</w:t>
      </w:r>
      <w:r>
        <w:rPr>
          <w:rFonts w:hint="eastAsia" w:ascii="宋体" w:hAnsi="宋体"/>
          <w:b/>
          <w:sz w:val="24"/>
        </w:rPr>
        <w:t>。</w:t>
      </w:r>
    </w:p>
    <w:p>
      <w:pPr>
        <w:spacing w:line="360" w:lineRule="auto"/>
        <w:ind w:firstLine="480" w:firstLineChars="200"/>
        <w:outlineLvl w:val="0"/>
        <w:rPr>
          <w:rFonts w:ascii="宋体" w:hAnsi="宋体"/>
          <w:sz w:val="24"/>
        </w:rPr>
      </w:pPr>
      <w:r>
        <w:rPr>
          <w:rFonts w:hint="eastAsia" w:ascii="宋体" w:hAnsi="宋体"/>
          <w:sz w:val="24"/>
        </w:rPr>
        <w:t>（2）加注“▲”号的产品为核心产品，任意一种核心产品为同一品牌时，按照87号令第三十一条执行。</w:t>
      </w:r>
      <w:r>
        <w:rPr>
          <w:rFonts w:hint="eastAsia" w:ascii="宋体" w:hAnsi="宋体"/>
          <w:b/>
          <w:bCs/>
          <w:sz w:val="24"/>
          <w:lang w:eastAsia="zh-CN"/>
        </w:rPr>
        <w:t>（</w:t>
      </w:r>
      <w:r>
        <w:rPr>
          <w:rFonts w:hint="eastAsia" w:ascii="宋体" w:hAnsi="宋体"/>
          <w:b/>
          <w:bCs/>
          <w:sz w:val="24"/>
          <w:lang w:val="en-US" w:eastAsia="zh-CN"/>
        </w:rPr>
        <w:t>本项目核心产品为</w:t>
      </w:r>
      <w:r>
        <w:rPr>
          <w:rFonts w:hint="eastAsia" w:ascii="宋体" w:hAnsi="宋体" w:eastAsia="宋体" w:cs="Times New Roman"/>
          <w:b/>
          <w:bCs/>
          <w:sz w:val="24"/>
          <w:lang w:val="en-US" w:eastAsia="zh-CN"/>
        </w:rPr>
        <w:t>X光机）</w:t>
      </w:r>
    </w:p>
    <w:p>
      <w:pPr>
        <w:spacing w:line="360" w:lineRule="auto"/>
        <w:ind w:firstLine="480" w:firstLineChars="200"/>
        <w:outlineLvl w:val="0"/>
        <w:rPr>
          <w:rFonts w:ascii="宋体" w:hAnsi="宋体"/>
          <w:sz w:val="24"/>
        </w:rPr>
      </w:pPr>
      <w:r>
        <w:rPr>
          <w:rFonts w:hint="eastAsia" w:hAnsi="宋体"/>
          <w:sz w:val="24"/>
        </w:rPr>
        <w:t>（3）加注“■”产品依照《关于印发节能产品政府采购品目清单的通知》（财库〔</w:t>
      </w:r>
      <w:r>
        <w:rPr>
          <w:rFonts w:hint="eastAsia"/>
          <w:sz w:val="24"/>
        </w:rPr>
        <w:t>2019</w:t>
      </w:r>
      <w:r>
        <w:rPr>
          <w:rFonts w:hint="eastAsia" w:hAnsi="宋体"/>
          <w:sz w:val="24"/>
        </w:rPr>
        <w:t>〕</w:t>
      </w:r>
      <w:r>
        <w:rPr>
          <w:rFonts w:hint="eastAsia"/>
          <w:sz w:val="24"/>
        </w:rPr>
        <w:t>19</w:t>
      </w:r>
      <w:r>
        <w:rPr>
          <w:rFonts w:hint="eastAsia" w:hAnsi="宋体"/>
          <w:sz w:val="24"/>
        </w:rPr>
        <w:t>号）文件要求属于现行节能产品政府采购强制采购的产品，投标人只能选择符合按照《关于调整优化节能产品、环境标志产品政府采购执行机制的通知》（财库〔</w:t>
      </w:r>
      <w:r>
        <w:rPr>
          <w:rFonts w:hint="eastAsia"/>
          <w:sz w:val="24"/>
        </w:rPr>
        <w:t>2019</w:t>
      </w:r>
      <w:r>
        <w:rPr>
          <w:rFonts w:hint="eastAsia" w:hAnsi="宋体"/>
          <w:sz w:val="24"/>
        </w:rPr>
        <w:t>〕</w:t>
      </w:r>
      <w:r>
        <w:rPr>
          <w:rFonts w:hint="eastAsia"/>
          <w:sz w:val="24"/>
        </w:rPr>
        <w:t>9</w:t>
      </w:r>
      <w:r>
        <w:rPr>
          <w:rFonts w:hint="eastAsia" w:hAnsi="宋体"/>
          <w:sz w:val="24"/>
        </w:rPr>
        <w:t>号）、《关于印发节能产品政府采购品目清单的通知》（财库〔</w:t>
      </w:r>
      <w:r>
        <w:rPr>
          <w:rFonts w:hint="eastAsia"/>
          <w:sz w:val="24"/>
        </w:rPr>
        <w:t>2019</w:t>
      </w:r>
      <w:r>
        <w:rPr>
          <w:rFonts w:hint="eastAsia" w:hAnsi="宋体"/>
          <w:sz w:val="24"/>
        </w:rPr>
        <w:t>〕</w:t>
      </w:r>
      <w:r>
        <w:rPr>
          <w:rFonts w:hint="eastAsia"/>
          <w:sz w:val="24"/>
        </w:rPr>
        <w:t>19</w:t>
      </w:r>
      <w:r>
        <w:rPr>
          <w:rFonts w:hint="eastAsia" w:hAnsi="宋体"/>
          <w:sz w:val="24"/>
        </w:rPr>
        <w:t>号）、《市场监管总局关于发布参与实施政府采购节能产品、环境标志产品认证机构名录的公告》（</w:t>
      </w:r>
      <w:r>
        <w:rPr>
          <w:rFonts w:hint="eastAsia"/>
          <w:sz w:val="24"/>
        </w:rPr>
        <w:t>2019</w:t>
      </w:r>
      <w:r>
        <w:rPr>
          <w:rFonts w:hint="eastAsia" w:hAnsi="宋体"/>
          <w:sz w:val="24"/>
        </w:rPr>
        <w:t>年第</w:t>
      </w:r>
      <w:r>
        <w:rPr>
          <w:rFonts w:hint="eastAsia"/>
          <w:sz w:val="24"/>
        </w:rPr>
        <w:t>16</w:t>
      </w:r>
      <w:r>
        <w:rPr>
          <w:rFonts w:hint="eastAsia" w:hAnsi="宋体"/>
          <w:sz w:val="24"/>
        </w:rPr>
        <w:t>号）等文件要求的强制采购的节能产品进行投标，并提供相关认证证书扫描件，否则不予认定，将视同为无效投标。</w:t>
      </w:r>
    </w:p>
    <w:p>
      <w:pPr>
        <w:spacing w:line="360" w:lineRule="auto"/>
        <w:ind w:firstLine="480" w:firstLineChars="200"/>
        <w:outlineLvl w:val="0"/>
        <w:rPr>
          <w:rFonts w:ascii="宋体" w:hAnsi="宋体"/>
          <w:sz w:val="24"/>
        </w:rPr>
      </w:pPr>
      <w:r>
        <w:rPr>
          <w:rFonts w:hint="eastAsia" w:ascii="宋体" w:hAnsi="宋体"/>
          <w:sz w:val="24"/>
        </w:rPr>
        <w:t>（4）以上所有参数仅作为性能描述，潜在供应商提供的设备技术参数不低于（相当于）该参数性能均为满足。如果以上参数表述有某个特定品牌的规格型号，投标单位可参照该项目的技术标准选择其他品牌产品替代，并做出说明，原则上不能降低投标产品性能。</w:t>
      </w:r>
    </w:p>
    <w:p>
      <w:pPr>
        <w:spacing w:line="360" w:lineRule="auto"/>
        <w:ind w:firstLine="480" w:firstLineChars="200"/>
        <w:outlineLvl w:val="0"/>
        <w:rPr>
          <w:rFonts w:ascii="宋体" w:hAnsi="宋体"/>
          <w:sz w:val="24"/>
        </w:rPr>
      </w:pPr>
      <w:r>
        <w:rPr>
          <w:rFonts w:hint="eastAsia" w:ascii="宋体" w:hAnsi="宋体"/>
          <w:sz w:val="24"/>
        </w:rPr>
        <w:t>（5）如果以上参数关于外观、功能或重量、尺寸（需现场定制或影响使用的情况除外）的表述为某一品牌独有的，可不作为必须满足的条件，即不得以此项内容取消投标人投标资格。投标人应在投标文件中对此种情况做出说明。</w:t>
      </w:r>
    </w:p>
    <w:p>
      <w:pPr>
        <w:spacing w:line="360" w:lineRule="auto"/>
        <w:ind w:firstLine="480" w:firstLineChars="200"/>
        <w:outlineLvl w:val="0"/>
        <w:rPr>
          <w:rFonts w:ascii="宋体" w:hAnsi="宋体"/>
          <w:sz w:val="24"/>
        </w:rPr>
      </w:pPr>
      <w:r>
        <w:rPr>
          <w:rFonts w:hint="eastAsia" w:ascii="宋体" w:hAnsi="宋体"/>
          <w:sz w:val="24"/>
        </w:rPr>
        <w:t>（6）标书中需附所投产品的品牌、规格、参数和清晰图例。</w:t>
      </w:r>
    </w:p>
    <w:p>
      <w:pPr>
        <w:sectPr>
          <w:footerReference r:id="rId18" w:type="default"/>
          <w:pgSz w:w="16838" w:h="11906" w:orient="landscape"/>
          <w:pgMar w:top="1800" w:right="1440" w:bottom="1800" w:left="1440" w:header="851" w:footer="992" w:gutter="0"/>
          <w:cols w:space="720" w:num="1"/>
          <w:docGrid w:type="lines" w:linePitch="312" w:charSpace="0"/>
        </w:sectPr>
      </w:pPr>
    </w:p>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第六章 投标文件格式</w:t>
      </w:r>
      <w:bookmarkEnd w:id="195"/>
    </w:p>
    <w:p>
      <w:pPr>
        <w:adjustRightInd w:val="0"/>
        <w:snapToGrid w:val="0"/>
        <w:spacing w:line="400" w:lineRule="atLeast"/>
        <w:jc w:val="center"/>
        <w:rPr>
          <w:rFonts w:ascii="宋体" w:hAnsi="宋体"/>
          <w:b/>
          <w:color w:val="000000" w:themeColor="text1"/>
          <w:szCs w:val="21"/>
          <w14:textFill>
            <w14:solidFill>
              <w14:schemeClr w14:val="tx1"/>
            </w14:solidFill>
          </w14:textFill>
        </w:rPr>
      </w:pPr>
    </w:p>
    <w:p>
      <w:pPr>
        <w:adjustRightInd w:val="0"/>
        <w:snapToGrid w:val="0"/>
        <w:spacing w:line="400" w:lineRule="atLeast"/>
        <w:jc w:val="center"/>
        <w:rPr>
          <w:rFonts w:ascii="宋体" w:hAnsi="宋体"/>
          <w:b/>
          <w:color w:val="000000" w:themeColor="text1"/>
          <w:szCs w:val="21"/>
          <w14:textFill>
            <w14:solidFill>
              <w14:schemeClr w14:val="tx1"/>
            </w14:solidFill>
          </w14:textFill>
        </w:rPr>
      </w:pPr>
    </w:p>
    <w:p>
      <w:pPr>
        <w:adjustRightInd w:val="0"/>
        <w:snapToGrid w:val="0"/>
        <w:spacing w:line="400" w:lineRule="atLeast"/>
        <w:jc w:val="center"/>
        <w:rPr>
          <w:rFonts w:ascii="宋体" w:hAnsi="宋体"/>
          <w:bCs/>
          <w:color w:val="000000" w:themeColor="text1"/>
          <w:sz w:val="52"/>
          <w:szCs w:val="52"/>
          <w14:textFill>
            <w14:solidFill>
              <w14:schemeClr w14:val="tx1"/>
            </w14:solidFill>
          </w14:textFill>
        </w:rPr>
      </w:pPr>
    </w:p>
    <w:p>
      <w:pPr>
        <w:adjustRightInd w:val="0"/>
        <w:snapToGrid w:val="0"/>
        <w:spacing w:line="400" w:lineRule="atLeast"/>
        <w:jc w:val="center"/>
        <w:rPr>
          <w:rFonts w:ascii="宋体" w:hAnsi="宋体"/>
          <w:bCs/>
          <w:color w:val="000000" w:themeColor="text1"/>
          <w:sz w:val="52"/>
          <w:szCs w:val="52"/>
          <w14:textFill>
            <w14:solidFill>
              <w14:schemeClr w14:val="tx1"/>
            </w14:solidFill>
          </w14:textFill>
        </w:rPr>
      </w:pPr>
      <w:r>
        <w:rPr>
          <w:rFonts w:hint="eastAsia" w:ascii="宋体" w:hAnsi="宋体"/>
          <w:bCs/>
          <w:color w:val="000000" w:themeColor="text1"/>
          <w:sz w:val="52"/>
          <w:szCs w:val="52"/>
          <w14:textFill>
            <w14:solidFill>
              <w14:schemeClr w14:val="tx1"/>
            </w14:solidFill>
          </w14:textFill>
        </w:rPr>
        <w:t>投 标 文 件</w:t>
      </w:r>
    </w:p>
    <w:p>
      <w:pPr>
        <w:spacing w:before="312" w:beforeLines="100"/>
        <w:jc w:val="center"/>
        <w:rPr>
          <w:rFonts w:ascii="宋体" w:hAnsi="宋体"/>
          <w:b/>
          <w:bCs/>
          <w:color w:val="000000" w:themeColor="text1"/>
          <w:sz w:val="28"/>
          <w:szCs w:val="28"/>
          <w14:textFill>
            <w14:solidFill>
              <w14:schemeClr w14:val="tx1"/>
            </w14:solidFill>
          </w14:textFill>
        </w:rPr>
      </w:pPr>
    </w:p>
    <w:p>
      <w:pPr>
        <w:spacing w:before="312" w:beforeLines="100"/>
        <w:jc w:val="center"/>
        <w:rPr>
          <w:rFonts w:ascii="宋体" w:hAnsi="宋体"/>
          <w:b/>
          <w:color w:val="000000" w:themeColor="text1"/>
          <w:sz w:val="44"/>
          <w:szCs w:val="44"/>
          <w14:textFill>
            <w14:solidFill>
              <w14:schemeClr w14:val="tx1"/>
            </w14:solidFill>
          </w14:textFill>
        </w:rPr>
      </w:pPr>
    </w:p>
    <w:p>
      <w:pPr>
        <w:snapToGrid w:val="0"/>
        <w:spacing w:before="312" w:beforeLines="100" w:after="312" w:afterLines="100" w:line="360" w:lineRule="auto"/>
        <w:ind w:firstLine="993" w:firstLineChars="412"/>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项目名称：</w:t>
      </w:r>
      <w:r>
        <w:rPr>
          <w:rFonts w:hint="eastAsia" w:ascii="宋体" w:hAnsi="宋体"/>
          <w:b/>
          <w:bCs/>
          <w:color w:val="000000" w:themeColor="text1"/>
          <w:sz w:val="24"/>
          <w:u w:val="single"/>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 xml:space="preserve"> </w:t>
      </w:r>
    </w:p>
    <w:p>
      <w:pPr>
        <w:snapToGrid w:val="0"/>
        <w:spacing w:before="312" w:beforeLines="100" w:after="312" w:afterLines="100" w:line="360" w:lineRule="auto"/>
        <w:ind w:firstLine="985" w:firstLineChars="409"/>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项目编号（标项号）：</w:t>
      </w:r>
      <w:r>
        <w:rPr>
          <w:rFonts w:hint="eastAsia" w:ascii="宋体" w:hAnsi="宋体"/>
          <w:b/>
          <w:bCs/>
          <w:color w:val="000000" w:themeColor="text1"/>
          <w:sz w:val="24"/>
          <w:u w:val="single"/>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 xml:space="preserve"> </w:t>
      </w:r>
    </w:p>
    <w:p>
      <w:pPr>
        <w:snapToGrid w:val="0"/>
        <w:spacing w:before="312" w:beforeLines="100" w:after="312" w:afterLines="100" w:line="360" w:lineRule="auto"/>
        <w:ind w:firstLine="985" w:firstLineChars="409"/>
        <w:rPr>
          <w:rFonts w:ascii="宋体" w:hAnsi="宋体"/>
          <w:b/>
          <w:bCs/>
          <w:color w:val="000000" w:themeColor="text1"/>
          <w:sz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包装内容：</w:t>
      </w:r>
      <w:r>
        <w:rPr>
          <w:rFonts w:hint="eastAsia" w:ascii="宋体" w:hAnsi="宋体"/>
          <w:b/>
          <w:bCs/>
          <w:color w:val="000000" w:themeColor="text1"/>
          <w:sz w:val="24"/>
          <w:u w:val="single"/>
          <w14:textFill>
            <w14:solidFill>
              <w14:schemeClr w14:val="tx1"/>
            </w14:solidFill>
          </w14:textFill>
        </w:rPr>
        <w:t xml:space="preserve">                                   </w:t>
      </w:r>
    </w:p>
    <w:p>
      <w:pPr>
        <w:pStyle w:val="13"/>
        <w:snapToGrid w:val="0"/>
        <w:spacing w:before="312" w:beforeLines="100" w:after="312" w:afterLines="100" w:line="360" w:lineRule="auto"/>
        <w:ind w:firstLine="981" w:firstLineChars="407"/>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投标人名称：</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加盖签章）</w:t>
      </w:r>
    </w:p>
    <w:p>
      <w:pPr>
        <w:pStyle w:val="13"/>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投标人地址：</w:t>
      </w:r>
      <w:r>
        <w:rPr>
          <w:rFonts w:hint="eastAsia" w:ascii="宋体" w:hAnsi="宋体"/>
          <w:b/>
          <w:bCs/>
          <w:color w:val="000000" w:themeColor="text1"/>
          <w:sz w:val="24"/>
          <w:szCs w:val="24"/>
          <w:u w:val="single"/>
          <w14:textFill>
            <w14:solidFill>
              <w14:schemeClr w14:val="tx1"/>
            </w14:solidFill>
          </w14:textFill>
        </w:rPr>
        <w:t xml:space="preserve">                                 </w:t>
      </w:r>
    </w:p>
    <w:p>
      <w:pPr>
        <w:pStyle w:val="13"/>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投标联系人：</w:t>
      </w:r>
      <w:r>
        <w:rPr>
          <w:rFonts w:hint="eastAsia" w:ascii="宋体" w:hAnsi="宋体"/>
          <w:b/>
          <w:bCs/>
          <w:color w:val="000000" w:themeColor="text1"/>
          <w:sz w:val="24"/>
          <w:szCs w:val="24"/>
          <w:u w:val="single"/>
          <w14:textFill>
            <w14:solidFill>
              <w14:schemeClr w14:val="tx1"/>
            </w14:solidFill>
          </w14:textFill>
        </w:rPr>
        <w:t xml:space="preserve">                                 </w:t>
      </w:r>
    </w:p>
    <w:p>
      <w:pPr>
        <w:pStyle w:val="13"/>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联系电话/传真:</w:t>
      </w:r>
      <w:r>
        <w:rPr>
          <w:rFonts w:hint="eastAsia" w:ascii="宋体" w:hAnsi="宋体"/>
          <w:b/>
          <w:bCs/>
          <w:color w:val="000000" w:themeColor="text1"/>
          <w:sz w:val="24"/>
          <w:szCs w:val="24"/>
          <w:u w:val="single"/>
          <w14:textFill>
            <w14:solidFill>
              <w14:schemeClr w14:val="tx1"/>
            </w14:solidFill>
          </w14:textFill>
        </w:rPr>
        <w:t xml:space="preserve">                               </w:t>
      </w:r>
    </w:p>
    <w:p>
      <w:pPr>
        <w:autoSpaceDE w:val="0"/>
        <w:autoSpaceDN w:val="0"/>
        <w:adjustRightInd w:val="0"/>
        <w:snapToGrid w:val="0"/>
        <w:spacing w:before="156" w:beforeLines="50" w:after="156" w:afterLines="50" w:line="360" w:lineRule="auto"/>
        <w:jc w:val="right"/>
        <w:rPr>
          <w:rFonts w:ascii="宋体" w:hAnsi="宋体"/>
          <w:b/>
          <w:color w:val="000000" w:themeColor="text1"/>
          <w:sz w:val="32"/>
          <w:szCs w:val="32"/>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电子版投标文件编制顺序</w:t>
      </w:r>
    </w:p>
    <w:tbl>
      <w:tblPr>
        <w:tblStyle w:val="47"/>
        <w:tblW w:w="8318"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0"/>
        <w:gridCol w:w="4157"/>
        <w:gridCol w:w="1428"/>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234" w:type="dxa"/>
            <w:gridSpan w:val="2"/>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名称</w:t>
            </w:r>
          </w:p>
        </w:tc>
        <w:tc>
          <w:tcPr>
            <w:tcW w:w="4157" w:type="dxa"/>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编制内容</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w:t>
            </w:r>
          </w:p>
        </w:tc>
        <w:tc>
          <w:tcPr>
            <w:tcW w:w="1499" w:type="dxa"/>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1234" w:type="dxa"/>
            <w:gridSpan w:val="2"/>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w:t>
            </w:r>
            <w:r>
              <w:rPr>
                <w:rFonts w:ascii="宋体" w:hAnsi="宋体"/>
                <w:b/>
                <w:color w:val="000000" w:themeColor="text1"/>
                <w:szCs w:val="21"/>
                <w14:textFill>
                  <w14:solidFill>
                    <w14:schemeClr w14:val="tx1"/>
                  </w14:solidFill>
                </w14:textFill>
              </w:rPr>
              <w:t>一</w:t>
            </w:r>
            <w:r>
              <w:rPr>
                <w:rFonts w:hint="eastAsia" w:ascii="宋体" w:hAnsi="宋体"/>
                <w:b/>
                <w:color w:val="000000" w:themeColor="text1"/>
                <w:szCs w:val="21"/>
                <w14:textFill>
                  <w14:solidFill>
                    <w14:schemeClr w14:val="tx1"/>
                  </w14:solidFill>
                </w14:textFill>
              </w:rPr>
              <w:t>部分：</w:t>
            </w:r>
          </w:p>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开标一览表</w:t>
            </w:r>
          </w:p>
        </w:tc>
        <w:tc>
          <w:tcPr>
            <w:tcW w:w="4157" w:type="dxa"/>
            <w:vAlign w:val="center"/>
          </w:tcPr>
          <w:p>
            <w:pPr>
              <w:adjustRightInd w:val="0"/>
              <w:snapToGri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投标人于电子交易平台填写</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需与报价文件中价格一致，电子交易平台生成的开标一览表内容与报价文件中相应内容不一致的，以电子交易平台生成的开标一览表为准。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gridSpan w:val="2"/>
            <w:vMerge w:val="restart"/>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第二部分：</w:t>
            </w:r>
          </w:p>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资格响应文件</w:t>
            </w:r>
          </w:p>
        </w:tc>
        <w:tc>
          <w:tcPr>
            <w:tcW w:w="4157" w:type="dxa"/>
            <w:vAlign w:val="center"/>
          </w:tcPr>
          <w:p>
            <w:pPr>
              <w:adjustRightInd w:val="0"/>
              <w:snapToGrid w:val="0"/>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有效的营业执照</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restart"/>
            <w:vAlign w:val="center"/>
          </w:tcPr>
          <w:p>
            <w:pPr>
              <w:jc w:val="center"/>
              <w:rPr>
                <w:rFonts w:ascii="宋体" w:hAnsi="宋体" w:cs="宋体"/>
                <w:bCs/>
                <w:color w:val="000000" w:themeColor="text1"/>
                <w:sz w:val="28"/>
                <w:szCs w:val="28"/>
                <w14:textFill>
                  <w14:solidFill>
                    <w14:schemeClr w14:val="tx1"/>
                  </w14:solidFill>
                </w14:textFill>
              </w:rPr>
            </w:pPr>
            <w:r>
              <w:rPr>
                <w:rFonts w:hint="eastAsia" w:ascii="宋体" w:hAnsi="宋体"/>
                <w:bCs/>
                <w:color w:val="000000" w:themeColor="text1"/>
                <w:szCs w:val="21"/>
                <w14:textFill>
                  <w14:solidFill>
                    <w14:schemeClr w14:val="tx1"/>
                  </w14:solidFill>
                </w14:textFill>
              </w:rPr>
              <w:t>具体要求查看投标人的资格证明材料说明</w:t>
            </w:r>
          </w:p>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shd w:val="clear" w:color="auto" w:fill="auto"/>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w:t>
            </w:r>
            <w:r>
              <w:rPr>
                <w:rFonts w:hint="eastAsia" w:ascii="宋体" w:hAnsi="宋体"/>
                <w:color w:val="000000" w:themeColor="text1"/>
                <w:szCs w:val="21"/>
                <w14:textFill>
                  <w14:solidFill>
                    <w14:schemeClr w14:val="tx1"/>
                  </w14:solidFill>
                </w14:textFill>
              </w:rPr>
              <w:t>法定代表人身份证明(法定代表人参加招标)</w:t>
            </w:r>
          </w:p>
          <w:p>
            <w:pPr>
              <w:adjustRightInd w:val="0"/>
              <w:snapToGrid w:val="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或</w:t>
            </w:r>
          </w:p>
          <w:p>
            <w:pPr>
              <w:adjustRightInd w:val="0"/>
              <w:snapToGrid w:val="0"/>
              <w:rPr>
                <w:rFonts w:ascii="宋体" w:hAnsi="宋体"/>
                <w:b/>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附件2：</w:t>
            </w:r>
            <w:r>
              <w:rPr>
                <w:rFonts w:hint="eastAsia" w:ascii="宋体" w:hAnsi="宋体"/>
                <w:color w:val="000000" w:themeColor="text1"/>
                <w:szCs w:val="21"/>
                <w14:textFill>
                  <w14:solidFill>
                    <w14:schemeClr w14:val="tx1"/>
                  </w14:solidFill>
                </w14:textFill>
              </w:rPr>
              <w:t>法定代表人授权书(委托代理人参加招标)</w:t>
            </w:r>
          </w:p>
        </w:tc>
        <w:tc>
          <w:tcPr>
            <w:tcW w:w="1428" w:type="dxa"/>
            <w:shd w:val="clear" w:color="auto" w:fill="auto"/>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仅需提供任意一项即可。</w:t>
            </w: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color w:val="000000" w:themeColor="text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附件3：</w:t>
            </w:r>
            <w:r>
              <w:rPr>
                <w:rFonts w:hint="eastAsia" w:ascii="宋体" w:hAnsi="宋体"/>
                <w:color w:val="000000" w:themeColor="text1"/>
                <w:szCs w:val="21"/>
                <w14:textFill>
                  <w14:solidFill>
                    <w14:schemeClr w14:val="tx1"/>
                  </w14:solidFill>
                </w14:textFill>
              </w:rPr>
              <w:t>政府采购供应商信用承诺函</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pPr>
            <w:r>
              <w:rPr>
                <w:rFonts w:hint="eastAsia" w:ascii="黑体" w:hAnsi="黑体" w:eastAsia="黑体" w:cs="黑体"/>
                <w:color w:val="000000" w:themeColor="text1"/>
                <w:sz w:val="20"/>
                <w:szCs w:val="20"/>
                <w14:textFill>
                  <w14:solidFill>
                    <w14:schemeClr w14:val="tx1"/>
                  </w14:solidFill>
                </w14:textFill>
              </w:rPr>
              <w:t>附件4：</w:t>
            </w:r>
            <w:r>
              <w:rPr>
                <w:rFonts w:hint="eastAsia"/>
              </w:rPr>
              <w:t>信用记录</w:t>
            </w:r>
          </w:p>
          <w:p>
            <w:pPr>
              <w:adjustRightInd w:val="0"/>
              <w:snapToGrid w:val="0"/>
              <w:rPr>
                <w:rFonts w:ascii="宋体" w:hAnsi="宋体"/>
                <w:color w:val="000000" w:themeColor="text1"/>
                <w:szCs w:val="21"/>
                <w14:textFill>
                  <w14:solidFill>
                    <w14:schemeClr w14:val="tx1"/>
                  </w14:solidFill>
                </w14:textFill>
              </w:rPr>
            </w:pPr>
            <w:r>
              <w:rPr>
                <w:rFonts w:hint="eastAsia"/>
              </w:rPr>
              <w:t>在“信用中国”（www.creditchina.gov.cn）和中国政府采购网（www.ccgp.gov.cn）网站上未被列入失信被执行人、重大税收违法案件当事人名单以及政府采购严重违法失信行为记录名单的网页打印件</w:t>
            </w:r>
            <w:r>
              <w:rPr>
                <w:rFonts w:hint="eastAsia"/>
                <w:b/>
                <w:bCs/>
              </w:rPr>
              <w:t>（网页打印件须自招标文件发布之日起至投标截止时间从上述网站中打印）</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highlight w:val="green"/>
                <w14:textFill>
                  <w14:solidFill>
                    <w14:schemeClr w14:val="tx1"/>
                  </w14:solidFill>
                </w14:textFill>
              </w:rPr>
            </w:pPr>
            <w:r>
              <w:rPr>
                <w:rFonts w:hint="eastAsia" w:ascii="黑体" w:hAnsi="黑体" w:eastAsia="黑体" w:cs="黑体"/>
                <w:color w:val="000000" w:themeColor="text1"/>
                <w:sz w:val="20"/>
                <w:szCs w:val="20"/>
                <w:highlight w:val="none"/>
                <w14:textFill>
                  <w14:solidFill>
                    <w14:schemeClr w14:val="tx1"/>
                  </w14:solidFill>
                </w14:textFill>
              </w:rPr>
              <w:t>附件5：</w:t>
            </w:r>
            <w:r>
              <w:rPr>
                <w:rFonts w:hint="eastAsia" w:ascii="宋体" w:hAnsi="宋体"/>
                <w:color w:val="000000" w:themeColor="text1"/>
                <w:szCs w:val="21"/>
                <w:highlight w:val="none"/>
                <w14:textFill>
                  <w14:solidFill>
                    <w14:schemeClr w14:val="tx1"/>
                  </w14:solidFill>
                </w14:textFill>
              </w:rPr>
              <w:t>投标保证金缴纳证明</w:t>
            </w:r>
          </w:p>
        </w:tc>
        <w:tc>
          <w:tcPr>
            <w:tcW w:w="1428" w:type="dxa"/>
            <w:vAlign w:val="center"/>
          </w:tcPr>
          <w:p>
            <w:pPr>
              <w:adjustRightInd w:val="0"/>
              <w:snapToGrid w:val="0"/>
              <w:jc w:val="center"/>
              <w:rPr>
                <w:rFonts w:hint="default" w:ascii="宋体" w:hAnsi="宋体" w:eastAsia="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本项目无需提供</w:t>
            </w: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szCs w:val="21"/>
              </w:rPr>
              <w:t>针对本项目的其他相关资质</w:t>
            </w:r>
          </w:p>
        </w:tc>
        <w:tc>
          <w:tcPr>
            <w:tcW w:w="1428" w:type="dxa"/>
            <w:vAlign w:val="center"/>
          </w:tcPr>
          <w:p>
            <w:pPr>
              <w:adjustRightInd w:val="0"/>
              <w:snapToGrid w:val="0"/>
              <w:jc w:val="center"/>
              <w:rPr>
                <w:rFonts w:ascii="宋体" w:hAnsi="宋体"/>
                <w:bCs/>
                <w:color w:val="000000" w:themeColor="text1"/>
                <w:szCs w:val="21"/>
                <w:highlight w:val="yellow"/>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4" w:type="dxa"/>
            <w:vMerge w:val="restart"/>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第三部分：</w:t>
            </w:r>
          </w:p>
          <w:p>
            <w:pPr>
              <w:adjustRightInd w:val="0"/>
              <w:snapToGrid w:val="0"/>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商务技术文件</w:t>
            </w:r>
          </w:p>
        </w:tc>
        <w:tc>
          <w:tcPr>
            <w:tcW w:w="770" w:type="dxa"/>
            <w:vMerge w:val="restart"/>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符合性审查文件</w:t>
            </w: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附件6：</w:t>
            </w:r>
            <w:r>
              <w:rPr>
                <w:rFonts w:hint="eastAsia" w:ascii="宋体" w:hAnsi="宋体"/>
                <w:color w:val="000000" w:themeColor="text1"/>
                <w:szCs w:val="21"/>
                <w14:textFill>
                  <w14:solidFill>
                    <w14:schemeClr w14:val="tx1"/>
                  </w14:solidFill>
                </w14:textFill>
              </w:rPr>
              <w:t>开标一览表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restart"/>
            <w:vAlign w:val="center"/>
          </w:tcPr>
          <w:p>
            <w:pPr>
              <w:adjustRightInd w:val="0"/>
              <w:snapToGrid w:val="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4" w:type="dxa"/>
            <w:vMerge w:val="continue"/>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附件17：</w:t>
            </w:r>
            <w:r>
              <w:rPr>
                <w:rFonts w:hint="eastAsia" w:ascii="宋体" w:hAnsi="宋体"/>
                <w:color w:val="000000" w:themeColor="text1"/>
                <w:szCs w:val="21"/>
                <w14:textFill>
                  <w14:solidFill>
                    <w14:schemeClr w14:val="tx1"/>
                  </w14:solidFill>
                </w14:textFill>
              </w:rPr>
              <w:t>实质性条款情况表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dxa"/>
            <w:vMerge w:val="continue"/>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p>
        </w:tc>
        <w:tc>
          <w:tcPr>
            <w:tcW w:w="770" w:type="dxa"/>
            <w:vMerge w:val="restart"/>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商务技术响应文件</w:t>
            </w:r>
          </w:p>
        </w:tc>
        <w:tc>
          <w:tcPr>
            <w:tcW w:w="4157" w:type="dxa"/>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附件7：</w:t>
            </w:r>
            <w:r>
              <w:rPr>
                <w:rFonts w:hint="eastAsia" w:ascii="宋体" w:hAnsi="宋体"/>
                <w:color w:val="000000" w:themeColor="text1"/>
                <w:szCs w:val="21"/>
                <w14:textFill>
                  <w14:solidFill>
                    <w14:schemeClr w14:val="tx1"/>
                  </w14:solidFill>
                </w14:textFill>
              </w:rPr>
              <w:t>投标函</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restart"/>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附件8：</w:t>
            </w:r>
            <w:r>
              <w:rPr>
                <w:rFonts w:hint="eastAsia" w:ascii="宋体" w:hAnsi="宋体"/>
                <w:color w:val="000000" w:themeColor="text1"/>
                <w:szCs w:val="21"/>
                <w14:textFill>
                  <w14:solidFill>
                    <w14:schemeClr w14:val="tx1"/>
                  </w14:solidFill>
                </w14:textFill>
              </w:rPr>
              <w:t>投标人基本情况表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附件9：</w:t>
            </w:r>
            <w:r>
              <w:rPr>
                <w:rFonts w:hint="eastAsia" w:ascii="宋体" w:hAnsi="宋体"/>
                <w:color w:val="000000" w:themeColor="text1"/>
                <w:szCs w:val="21"/>
                <w14:textFill>
                  <w14:solidFill>
                    <w14:schemeClr w14:val="tx1"/>
                  </w14:solidFill>
                </w14:textFill>
              </w:rPr>
              <w:t>具备履行合同所必需的设备和专业技术能力的承诺</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highlight w:val="yellow"/>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附件10：</w:t>
            </w:r>
            <w:r>
              <w:rPr>
                <w:rFonts w:hint="eastAsia" w:ascii="宋体" w:hAnsi="宋体"/>
                <w:color w:val="000000" w:themeColor="text1"/>
                <w:szCs w:val="21"/>
                <w14:textFill>
                  <w14:solidFill>
                    <w14:schemeClr w14:val="tx1"/>
                  </w14:solidFill>
                </w14:textFill>
              </w:rPr>
              <w:t>参数偏离表</w:t>
            </w:r>
          </w:p>
        </w:tc>
        <w:tc>
          <w:tcPr>
            <w:tcW w:w="1428"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s="宋体"/>
                <w:color w:val="000000" w:themeColor="text1"/>
                <w:szCs w:val="21"/>
                <w:highlight w:val="yellow"/>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附件11：</w:t>
            </w:r>
            <w:r>
              <w:rPr>
                <w:rFonts w:hint="eastAsia" w:ascii="宋体" w:hAnsi="宋体"/>
                <w:color w:val="000000" w:themeColor="text1"/>
                <w:szCs w:val="21"/>
                <w14:textFill>
                  <w14:solidFill>
                    <w14:schemeClr w14:val="tx1"/>
                  </w14:solidFill>
                </w14:textFill>
              </w:rPr>
              <w:t>近三年同类项目业绩表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topLinePunct/>
              <w:rPr>
                <w:rFonts w:ascii="宋体" w:hAnsi="宋体" w:cs="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附件12：</w:t>
            </w:r>
            <w:r>
              <w:rPr>
                <w:rFonts w:hint="eastAsia" w:ascii="宋体" w:hAnsi="宋体"/>
                <w:color w:val="000000" w:themeColor="text1"/>
                <w:szCs w:val="21"/>
                <w14:textFill>
                  <w14:solidFill>
                    <w14:schemeClr w14:val="tx1"/>
                  </w14:solidFill>
                </w14:textFill>
              </w:rPr>
              <w:t>拟投入本项目的服务人员及设备一览表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附件13：</w:t>
            </w:r>
            <w:r>
              <w:rPr>
                <w:rFonts w:hint="eastAsia" w:ascii="宋体" w:hAnsi="宋体"/>
                <w:color w:val="000000" w:themeColor="text1"/>
                <w:szCs w:val="21"/>
                <w14:textFill>
                  <w14:solidFill>
                    <w14:schemeClr w14:val="tx1"/>
                  </w14:solidFill>
                </w14:textFill>
              </w:rPr>
              <w:t>服务附表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附件16：</w:t>
            </w:r>
            <w:r>
              <w:rPr>
                <w:rFonts w:hint="eastAsia" w:ascii="宋体" w:hAnsi="宋体"/>
                <w:color w:val="000000" w:themeColor="text1"/>
                <w:szCs w:val="21"/>
                <w14:textFill>
                  <w14:solidFill>
                    <w14:schemeClr w14:val="tx1"/>
                  </w14:solidFill>
                </w14:textFill>
              </w:rPr>
              <w:t>政府采购政策情况表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有利于评分的其他相关资料</w:t>
            </w:r>
          </w:p>
        </w:tc>
        <w:tc>
          <w:tcPr>
            <w:tcW w:w="1428"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投标人可根据项目具体情况提供其他有利于评审的资料</w:t>
            </w: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gridSpan w:val="2"/>
            <w:vMerge w:val="restart"/>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第四部分：</w:t>
            </w:r>
          </w:p>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报价文件</w:t>
            </w: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附件14：</w:t>
            </w:r>
            <w:r>
              <w:rPr>
                <w:rFonts w:hint="eastAsia" w:ascii="宋体" w:hAnsi="宋体" w:eastAsia="宋体" w:cs="Times New Roman"/>
                <w:color w:val="000000" w:themeColor="text1"/>
                <w:szCs w:val="21"/>
                <w:lang w:val="en-US" w:eastAsia="zh-CN"/>
                <w14:textFill>
                  <w14:solidFill>
                    <w14:schemeClr w14:val="tx1"/>
                  </w14:solidFill>
                </w14:textFill>
              </w:rPr>
              <w:t>投标</w:t>
            </w:r>
            <w:r>
              <w:rPr>
                <w:rFonts w:hint="eastAsia" w:ascii="宋体" w:hAnsi="宋体"/>
                <w:color w:val="000000" w:themeColor="text1"/>
                <w:szCs w:val="21"/>
                <w14:textFill>
                  <w14:solidFill>
                    <w14:schemeClr w14:val="tx1"/>
                  </w14:solidFill>
                </w14:textFill>
              </w:rPr>
              <w:t>报价明细表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bookmarkStart w:id="196" w:name="_Toc474235956"/>
            <w:bookmarkStart w:id="197" w:name="_Toc466288481"/>
          </w:p>
        </w:tc>
        <w:tc>
          <w:tcPr>
            <w:tcW w:w="4157" w:type="dxa"/>
            <w:vAlign w:val="center"/>
          </w:tcPr>
          <w:p>
            <w:pPr>
              <w:adjustRightInd w:val="0"/>
              <w:snapToGrid w:val="0"/>
              <w:rPr>
                <w:rFonts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附件15：</w:t>
            </w:r>
            <w:r>
              <w:rPr>
                <w:rFonts w:hint="eastAsia" w:ascii="宋体" w:hAnsi="宋体"/>
                <w:color w:val="000000" w:themeColor="text1"/>
                <w:szCs w:val="21"/>
                <w14:textFill>
                  <w14:solidFill>
                    <w14:schemeClr w14:val="tx1"/>
                  </w14:solidFill>
                </w14:textFill>
              </w:rPr>
              <w:t>中小企业声明函（</w:t>
            </w:r>
            <w:r>
              <w:rPr>
                <w:rFonts w:hint="eastAsia" w:ascii="宋体" w:hAnsi="宋体" w:cs="宋体"/>
                <w:szCs w:val="21"/>
              </w:rPr>
              <w:t>监狱企业、残疾人福利性单位证明</w:t>
            </w:r>
            <w:r>
              <w:rPr>
                <w:rFonts w:hint="eastAsia" w:ascii="宋体" w:hAnsi="宋体"/>
                <w:color w:val="000000" w:themeColor="text1"/>
                <w:szCs w:val="21"/>
                <w14:textFill>
                  <w14:solidFill>
                    <w14:schemeClr w14:val="tx1"/>
                  </w14:solidFill>
                </w14:textFill>
              </w:rPr>
              <w:t>）</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r>
    </w:tbl>
    <w:p>
      <w:pPr>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附件1</w:t>
      </w:r>
    </w:p>
    <w:p>
      <w:pPr>
        <w:adjustRightInd w:val="0"/>
        <w:snapToGrid w:val="0"/>
        <w:spacing w:line="360" w:lineRule="auto"/>
        <w:ind w:right="24"/>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法定代表人身份证明(法定代表人参加招标)</w:t>
      </w:r>
    </w:p>
    <w:p>
      <w:pPr>
        <w:snapToGrid w:val="0"/>
        <w:spacing w:line="480" w:lineRule="auto"/>
        <w:rPr>
          <w:rFonts w:ascii="宋体" w:hAnsi="宋体" w:cs="宋体"/>
          <w:color w:val="000000" w:themeColor="text1"/>
          <w:szCs w:val="2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名称：</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注册号：</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注册地址：</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成立时间：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年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日</w:t>
      </w: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经营期限：</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经营范围：主营：</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；兼营：</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姓名：</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性别：</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年龄：</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系</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名称）的法定代表人。</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特此证明。</w:t>
      </w:r>
    </w:p>
    <w:p>
      <w:pPr>
        <w:autoSpaceDE w:val="0"/>
        <w:autoSpaceDN w:val="0"/>
        <w:adjustRightInd w:val="0"/>
        <w:snapToGrid w:val="0"/>
        <w:spacing w:before="156" w:beforeLines="50" w:line="360" w:lineRule="auto"/>
        <w:jc w:val="left"/>
        <w:rPr>
          <w:rFonts w:ascii="宋体" w:hAnsi="宋体" w:cs="宋体"/>
          <w:color w:val="000000" w:themeColor="text1"/>
          <w:szCs w:val="2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附：法定代表人身份证复印件</w:t>
      </w:r>
    </w:p>
    <w:p>
      <w:pPr>
        <w:snapToGrid w:val="0"/>
        <w:spacing w:line="480" w:lineRule="auto"/>
        <w:rPr>
          <w:rFonts w:ascii="宋体" w:hAnsi="宋体" w:cs="宋体"/>
          <w:color w:val="000000" w:themeColor="text1"/>
          <w:szCs w:val="21"/>
          <w14:textFill>
            <w14:solidFill>
              <w14:schemeClr w14:val="tx1"/>
            </w14:solidFill>
          </w14:textFill>
        </w:rPr>
      </w:pPr>
    </w:p>
    <w:p>
      <w:pPr>
        <w:snapToGrid w:val="0"/>
        <w:rPr>
          <w:rFonts w:ascii="宋体" w:hAnsi="宋体" w:cs="宋体"/>
          <w:color w:val="000000" w:themeColor="text1"/>
          <w:szCs w:val="21"/>
          <w14:textFill>
            <w14:solidFill>
              <w14:schemeClr w14:val="tx1"/>
            </w14:solidFill>
          </w14:textFill>
        </w:rPr>
      </w:pPr>
    </w:p>
    <w:p>
      <w:pPr>
        <w:snapToGrid w:val="0"/>
        <w:rPr>
          <w:rFonts w:ascii="宋体" w:hAnsi="宋体" w:cs="宋体"/>
          <w:color w:val="000000" w:themeColor="text1"/>
          <w:szCs w:val="21"/>
          <w14:textFill>
            <w14:solidFill>
              <w14:schemeClr w14:val="tx1"/>
            </w14:solidFill>
          </w14:textFill>
        </w:rPr>
      </w:pPr>
    </w:p>
    <w:p>
      <w:pPr>
        <w:snapToGrid w:val="0"/>
        <w:rPr>
          <w:rFonts w:ascii="宋体" w:hAnsi="宋体" w:cs="宋体"/>
          <w:color w:val="000000" w:themeColor="text1"/>
          <w:szCs w:val="21"/>
          <w14:textFill>
            <w14:solidFill>
              <w14:schemeClr w14:val="tx1"/>
            </w14:solidFill>
          </w14:textFill>
        </w:rPr>
      </w:pPr>
    </w:p>
    <w:p>
      <w:pPr>
        <w:snapToGrid w:val="0"/>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名称（盖单位章）：</w:t>
      </w:r>
    </w:p>
    <w:p>
      <w:pPr>
        <w:adjustRightInd w:val="0"/>
        <w:snapToGrid w:val="0"/>
        <w:spacing w:line="360" w:lineRule="auto"/>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p>
    <w:p>
      <w:pPr>
        <w:adjustRightInd w:val="0"/>
        <w:snapToGrid w:val="0"/>
        <w:spacing w:before="156" w:beforeLines="50" w:line="360" w:lineRule="auto"/>
        <w:rPr>
          <w:rFonts w:ascii="宋体" w:hAnsi="宋体" w:cs="宋体"/>
          <w:color w:val="000000" w:themeColor="text1"/>
          <w:szCs w:val="21"/>
          <w14:textFill>
            <w14:solidFill>
              <w14:schemeClr w14:val="tx1"/>
            </w14:solidFill>
          </w14:textFill>
        </w:rPr>
      </w:pPr>
    </w:p>
    <w:p>
      <w:pPr>
        <w:adjustRightInd w:val="0"/>
        <w:snapToGrid w:val="0"/>
        <w:spacing w:before="156" w:beforeLines="50"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ind w:right="24"/>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r>
        <w:rPr>
          <w:rFonts w:hint="eastAsia" w:ascii="宋体" w:hAnsi="宋体" w:cs="宋体"/>
          <w:bCs/>
          <w:color w:val="000000" w:themeColor="text1"/>
          <w:sz w:val="28"/>
          <w:szCs w:val="28"/>
          <w14:textFill>
            <w14:solidFill>
              <w14:schemeClr w14:val="tx1"/>
            </w14:solidFill>
          </w14:textFill>
        </w:rPr>
        <w:t>附件2</w:t>
      </w:r>
    </w:p>
    <w:p>
      <w:pPr>
        <w:adjustRightInd w:val="0"/>
        <w:snapToGrid w:val="0"/>
        <w:spacing w:line="360" w:lineRule="auto"/>
        <w:ind w:right="24"/>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法定代表人授权书(委托代理人参加招标)</w:t>
      </w:r>
    </w:p>
    <w:p>
      <w:pPr>
        <w:adjustRightInd w:val="0"/>
        <w:snapToGrid w:val="0"/>
        <w:spacing w:line="360" w:lineRule="auto"/>
        <w:jc w:val="center"/>
        <w:rPr>
          <w:rFonts w:ascii="宋体" w:hAnsi="宋体" w:cs="宋体"/>
          <w:b/>
          <w:color w:val="000000" w:themeColor="text1"/>
          <w:sz w:val="28"/>
          <w:szCs w:val="28"/>
          <w14:textFill>
            <w14:solidFill>
              <w14:schemeClr w14:val="tx1"/>
            </w14:solidFill>
          </w14:textFill>
        </w:rPr>
      </w:pPr>
    </w:p>
    <w:p>
      <w:pPr>
        <w:spacing w:line="560" w:lineRule="exact"/>
        <w:ind w:firstLine="57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w:t>
      </w:r>
      <w:r>
        <w:rPr>
          <w:rFonts w:hint="eastAsia" w:ascii="宋体" w:hAnsi="宋体" w:cs="宋体"/>
          <w:color w:val="000000" w:themeColor="text1"/>
          <w:szCs w:val="21"/>
          <w:u w:val="single"/>
          <w14:textFill>
            <w14:solidFill>
              <w14:schemeClr w14:val="tx1"/>
            </w14:solidFill>
          </w14:textFill>
        </w:rPr>
        <w:t xml:space="preserve"> （姓名）</w:t>
      </w:r>
      <w:r>
        <w:rPr>
          <w:rFonts w:hint="eastAsia" w:ascii="宋体" w:hAnsi="宋体" w:cs="宋体"/>
          <w:color w:val="000000" w:themeColor="text1"/>
          <w:szCs w:val="21"/>
          <w14:textFill>
            <w14:solidFill>
              <w14:schemeClr w14:val="tx1"/>
            </w14:solidFill>
          </w14:textFill>
        </w:rPr>
        <w:t>系</w:t>
      </w:r>
      <w:r>
        <w:rPr>
          <w:rFonts w:hint="eastAsia" w:ascii="宋体" w:hAnsi="宋体" w:cs="宋体"/>
          <w:color w:val="000000" w:themeColor="text1"/>
          <w:szCs w:val="21"/>
          <w:u w:val="single"/>
          <w14:textFill>
            <w14:solidFill>
              <w14:schemeClr w14:val="tx1"/>
            </w14:solidFill>
          </w14:textFill>
        </w:rPr>
        <w:t>（授权单位名称）</w:t>
      </w:r>
      <w:r>
        <w:rPr>
          <w:rFonts w:hint="eastAsia" w:ascii="宋体" w:hAnsi="宋体" w:cs="宋体"/>
          <w:color w:val="000000" w:themeColor="text1"/>
          <w:szCs w:val="21"/>
          <w14:textFill>
            <w14:solidFill>
              <w14:schemeClr w14:val="tx1"/>
            </w14:solidFill>
          </w14:textFill>
        </w:rPr>
        <w:t>的法定代表人，现委托</w:t>
      </w:r>
      <w:r>
        <w:rPr>
          <w:rFonts w:hint="eastAsia" w:ascii="宋体" w:hAnsi="宋体" w:cs="宋体"/>
          <w:color w:val="000000" w:themeColor="text1"/>
          <w:szCs w:val="21"/>
          <w:u w:val="single"/>
          <w14:textFill>
            <w14:solidFill>
              <w14:schemeClr w14:val="tx1"/>
            </w14:solidFill>
          </w14:textFill>
        </w:rPr>
        <w:t>（姓名）</w:t>
      </w:r>
      <w:r>
        <w:rPr>
          <w:rFonts w:hint="eastAsia" w:ascii="宋体" w:hAnsi="宋体" w:cs="宋体"/>
          <w:color w:val="000000" w:themeColor="text1"/>
          <w:szCs w:val="21"/>
          <w14:textFill>
            <w14:solidFill>
              <w14:schemeClr w14:val="tx1"/>
            </w14:solidFill>
          </w14:textFill>
        </w:rPr>
        <w:t>为我方代理人。代理人根据授权，以我的名义签署、澄清、说明、补正、递交、撤回、修改</w:t>
      </w:r>
      <w:r>
        <w:rPr>
          <w:rFonts w:hint="eastAsia" w:ascii="宋体" w:hAnsi="宋体" w:cs="宋体"/>
          <w:color w:val="000000" w:themeColor="text1"/>
          <w:szCs w:val="21"/>
          <w:u w:val="single"/>
          <w14:textFill>
            <w14:solidFill>
              <w14:schemeClr w14:val="tx1"/>
            </w14:solidFill>
          </w14:textFill>
        </w:rPr>
        <w:t xml:space="preserve">（项目名称）    </w:t>
      </w:r>
      <w:r>
        <w:rPr>
          <w:rFonts w:hint="eastAsia" w:ascii="宋体" w:hAnsi="宋体" w:cs="宋体"/>
          <w:color w:val="000000" w:themeColor="text1"/>
          <w:szCs w:val="21"/>
          <w14:textFill>
            <w14:solidFill>
              <w14:schemeClr w14:val="tx1"/>
            </w14:solidFill>
          </w14:textFill>
        </w:rPr>
        <w:t>标段投标文件、鉴定合同和处理有关事宜，其法律后果由我方承担。</w:t>
      </w:r>
    </w:p>
    <w:p>
      <w:pPr>
        <w:spacing w:line="560" w:lineRule="exact"/>
        <w:ind w:firstLine="57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委托期限：</w:t>
      </w:r>
      <w:r>
        <w:rPr>
          <w:rFonts w:hint="eastAsia" w:ascii="宋体" w:hAnsi="宋体" w:cs="宋体"/>
          <w:color w:val="000000" w:themeColor="text1"/>
          <w:szCs w:val="21"/>
          <w:u w:val="single"/>
          <w14:textFill>
            <w14:solidFill>
              <w14:schemeClr w14:val="tx1"/>
            </w14:solidFill>
          </w14:textFill>
        </w:rPr>
        <w:t xml:space="preserve">                                 。</w:t>
      </w:r>
    </w:p>
    <w:p>
      <w:pPr>
        <w:spacing w:line="560" w:lineRule="exact"/>
        <w:ind w:firstLine="57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代理人无转委托权。</w:t>
      </w:r>
    </w:p>
    <w:p>
      <w:pPr>
        <w:pStyle w:val="26"/>
        <w:spacing w:line="560" w:lineRule="exact"/>
        <w:ind w:right="-553" w:firstLine="570"/>
        <w:rPr>
          <w:rFonts w:ascii="宋体" w:hAnsi="宋体" w:cs="宋体"/>
          <w:color w:val="000000" w:themeColor="text1"/>
          <w:sz w:val="21"/>
          <w:szCs w:val="21"/>
          <w:u w:val="single"/>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代理人:</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。性别:</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 。年龄:</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w:t>
      </w:r>
    </w:p>
    <w:p>
      <w:pPr>
        <w:pStyle w:val="26"/>
        <w:spacing w:line="560" w:lineRule="exact"/>
        <w:ind w:right="-553" w:firstLine="570"/>
        <w:rPr>
          <w:rFonts w:ascii="宋体" w:hAnsi="宋体" w:cs="宋体"/>
          <w:b/>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部门:</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。职务:</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w:t>
      </w:r>
    </w:p>
    <w:tbl>
      <w:tblPr>
        <w:tblStyle w:val="46"/>
        <w:tblW w:w="932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3"/>
        <w:gridCol w:w="4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4873" w:type="dxa"/>
          </w:tcPr>
          <w:p>
            <w:pPr>
              <w:tabs>
                <w:tab w:val="left" w:pos="0"/>
              </w:tabs>
              <w:spacing w:line="560" w:lineRule="exact"/>
              <w:rPr>
                <w:rFonts w:ascii="宋体" w:hAnsi="宋体" w:cs="宋体"/>
                <w:color w:val="000000" w:themeColor="text1"/>
                <w:szCs w:val="21"/>
                <w14:textFill>
                  <w14:solidFill>
                    <w14:schemeClr w14:val="tx1"/>
                  </w14:solidFill>
                </w14:textFill>
              </w:rPr>
            </w:pPr>
          </w:p>
          <w:p>
            <w:pPr>
              <w:tabs>
                <w:tab w:val="left" w:pos="0"/>
              </w:tabs>
              <w:spacing w:line="5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yellow"/>
                <w14:textFill>
                  <w14:solidFill>
                    <w14:schemeClr w14:val="tx1"/>
                  </w14:solidFill>
                </w14:textFill>
              </w:rPr>
              <w:t>法定代表人</w:t>
            </w:r>
            <w:r>
              <w:rPr>
                <w:rFonts w:hint="eastAsia" w:ascii="宋体" w:hAnsi="宋体" w:cs="宋体"/>
                <w:color w:val="000000" w:themeColor="text1"/>
                <w:szCs w:val="21"/>
                <w14:textFill>
                  <w14:solidFill>
                    <w14:schemeClr w14:val="tx1"/>
                  </w14:solidFill>
                </w14:textFill>
              </w:rPr>
              <w:t>身份证复印件（人像面）</w:t>
            </w:r>
          </w:p>
        </w:tc>
        <w:tc>
          <w:tcPr>
            <w:tcW w:w="4453" w:type="dxa"/>
          </w:tcPr>
          <w:p>
            <w:pPr>
              <w:tabs>
                <w:tab w:val="left" w:pos="0"/>
              </w:tabs>
              <w:spacing w:line="560" w:lineRule="exact"/>
              <w:rPr>
                <w:rFonts w:ascii="宋体" w:hAnsi="宋体" w:cs="宋体"/>
                <w:color w:val="000000" w:themeColor="text1"/>
                <w:szCs w:val="21"/>
                <w14:textFill>
                  <w14:solidFill>
                    <w14:schemeClr w14:val="tx1"/>
                  </w14:solidFill>
                </w14:textFill>
              </w:rPr>
            </w:pPr>
          </w:p>
          <w:p>
            <w:pPr>
              <w:tabs>
                <w:tab w:val="left" w:pos="0"/>
              </w:tabs>
              <w:spacing w:line="5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yellow"/>
                <w14:textFill>
                  <w14:solidFill>
                    <w14:schemeClr w14:val="tx1"/>
                  </w14:solidFill>
                </w14:textFill>
              </w:rPr>
              <w:t>代理人</w:t>
            </w:r>
            <w:r>
              <w:rPr>
                <w:rFonts w:hint="eastAsia" w:ascii="宋体" w:hAnsi="宋体" w:cs="宋体"/>
                <w:color w:val="000000" w:themeColor="text1"/>
                <w:szCs w:val="21"/>
                <w14:textFill>
                  <w14:solidFill>
                    <w14:schemeClr w14:val="tx1"/>
                  </w14:solidFill>
                </w14:textFill>
              </w:rPr>
              <w:t>身份证复印件（人像面）</w:t>
            </w:r>
          </w:p>
        </w:tc>
      </w:tr>
    </w:tbl>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投标单位：（盖企业法人公章）</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法定代表人：（签字）</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委托代理人：（签字）</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单位地址：</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电话：</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传真：</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邮政编号：</w:t>
      </w:r>
    </w:p>
    <w:p>
      <w:pPr>
        <w:tabs>
          <w:tab w:val="left" w:pos="0"/>
        </w:tabs>
        <w:spacing w:line="560" w:lineRule="exact"/>
        <w:ind w:firstLine="3465" w:firstLineChars="16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二0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adjustRightInd w:val="0"/>
        <w:snapToGrid w:val="0"/>
        <w:spacing w:before="156" w:beforeLines="50"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Fonts w:hint="eastAsia" w:ascii="宋体" w:hAnsi="宋体" w:cs="宋体"/>
          <w:color w:val="000000" w:themeColor="text1"/>
          <w:kern w:val="0"/>
          <w:sz w:val="28"/>
          <w:szCs w:val="28"/>
          <w14:textFill>
            <w14:solidFill>
              <w14:schemeClr w14:val="tx1"/>
            </w14:solidFill>
          </w14:textFill>
        </w:rPr>
        <w:t>附件3</w:t>
      </w:r>
    </w:p>
    <w:p>
      <w:pPr>
        <w:adjustRightInd w:val="0"/>
        <w:snapToGrid w:val="0"/>
        <w:spacing w:line="360" w:lineRule="auto"/>
        <w:ind w:firstLine="562" w:firstLineChars="200"/>
        <w:jc w:val="center"/>
        <w:rPr>
          <w:rFonts w:ascii="宋体" w:hAnsi="宋体"/>
          <w:b/>
          <w:sz w:val="28"/>
          <w:szCs w:val="28"/>
        </w:rPr>
      </w:pPr>
      <w:r>
        <w:rPr>
          <w:rFonts w:hint="eastAsia" w:ascii="宋体" w:hAnsi="宋体"/>
          <w:b/>
          <w:sz w:val="28"/>
          <w:szCs w:val="28"/>
        </w:rPr>
        <w:t>政府采购供应商信用承诺函</w:t>
      </w:r>
    </w:p>
    <w:p>
      <w:r>
        <w:rPr>
          <w:rFonts w:hint="eastAsia"/>
        </w:rPr>
        <w:t>致_</w:t>
      </w:r>
      <w:r>
        <w:rPr>
          <w:rFonts w:hint="eastAsia"/>
          <w:u w:val="single"/>
        </w:rPr>
        <w:t xml:space="preserve">                </w:t>
      </w:r>
      <w:r>
        <w:rPr>
          <w:rFonts w:hint="eastAsia"/>
        </w:rPr>
        <w:t>(采购人或采购代理机构) :</w:t>
      </w:r>
    </w:p>
    <w:p>
      <w:pPr>
        <w:ind w:firstLine="420" w:firstLineChars="200"/>
        <w:rPr>
          <w:u w:val="single"/>
        </w:rPr>
      </w:pPr>
      <w:r>
        <w:rPr>
          <w:rFonts w:hint="eastAsia"/>
        </w:rPr>
        <w:t xml:space="preserve">单位名称(自然人姓名): </w:t>
      </w:r>
      <w:r>
        <w:rPr>
          <w:rFonts w:hint="eastAsia"/>
          <w:u w:val="single"/>
        </w:rPr>
        <w:t xml:space="preserve">                   </w:t>
      </w:r>
    </w:p>
    <w:p>
      <w:pPr>
        <w:ind w:firstLine="420" w:firstLineChars="200"/>
        <w:rPr>
          <w:u w:val="single"/>
        </w:rPr>
      </w:pPr>
      <w:r>
        <w:rPr>
          <w:rFonts w:hint="eastAsia"/>
        </w:rPr>
        <w:t xml:space="preserve">统一社会信用代码( 身份证号码): </w:t>
      </w:r>
      <w:r>
        <w:rPr>
          <w:rFonts w:hint="eastAsia"/>
          <w:u w:val="single"/>
        </w:rPr>
        <w:t xml:space="preserve">               </w:t>
      </w:r>
    </w:p>
    <w:p>
      <w:pPr>
        <w:ind w:firstLine="420" w:firstLineChars="200"/>
        <w:rPr>
          <w:u w:val="single"/>
        </w:rPr>
      </w:pPr>
      <w:r>
        <w:rPr>
          <w:rFonts w:hint="eastAsia"/>
        </w:rPr>
        <w:t xml:space="preserve">法定代表人(负责人): </w:t>
      </w:r>
      <w:r>
        <w:rPr>
          <w:rFonts w:hint="eastAsia"/>
          <w:u w:val="single"/>
        </w:rPr>
        <w:t xml:space="preserve">                     </w:t>
      </w:r>
    </w:p>
    <w:p>
      <w:pPr>
        <w:ind w:firstLine="420" w:firstLineChars="200"/>
        <w:rPr>
          <w:u w:val="single"/>
        </w:rPr>
      </w:pPr>
      <w:r>
        <w:rPr>
          <w:rFonts w:hint="eastAsia"/>
        </w:rPr>
        <w:t xml:space="preserve">联系地址和电话: </w:t>
      </w:r>
      <w:r>
        <w:rPr>
          <w:rFonts w:hint="eastAsia"/>
          <w:u w:val="single"/>
        </w:rPr>
        <w:t xml:space="preserve">                             </w:t>
      </w:r>
    </w:p>
    <w:p>
      <w:pPr>
        <w:ind w:firstLine="420" w:firstLineChars="200"/>
      </w:pPr>
      <w:r>
        <w:rPr>
          <w:rFonts w:hint="eastAsia"/>
        </w:rPr>
        <w:t>为维护公平、公正、公开的政府采购市场秩序,树立诚实守信的政府采购供应商形象，我单位(本人)自愿作出以下承诺:</w:t>
      </w:r>
    </w:p>
    <w:p>
      <w:pPr>
        <w:ind w:firstLine="420" w:firstLineChars="200"/>
      </w:pPr>
      <w:r>
        <w:rPr>
          <w:rFonts w:hint="eastAsia"/>
        </w:rPr>
        <w:t>一、我单位(本人)自愿参加</w:t>
      </w:r>
      <w:r>
        <w:rPr>
          <w:rFonts w:hint="eastAsia"/>
          <w:u w:val="single"/>
        </w:rPr>
        <w:t xml:space="preserve">   （项目名称、项目编号、标段）   </w:t>
      </w:r>
      <w:r>
        <w:rPr>
          <w:rFonts w:hint="eastAsia"/>
        </w:rPr>
        <w:t>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ind w:firstLine="420" w:firstLineChars="200"/>
      </w:pPr>
      <w:r>
        <w:rPr>
          <w:rFonts w:hint="eastAsia"/>
        </w:rPr>
        <w:t>(一)具有独立承担民事责任的能力;</w:t>
      </w:r>
    </w:p>
    <w:p>
      <w:pPr>
        <w:ind w:firstLine="420" w:firstLineChars="200"/>
      </w:pPr>
      <w:r>
        <w:rPr>
          <w:rFonts w:hint="eastAsia"/>
        </w:rPr>
        <w:t>(二)具有良好的商业信誉和健全的财务会计制度;</w:t>
      </w:r>
    </w:p>
    <w:p>
      <w:pPr>
        <w:ind w:firstLine="420" w:firstLineChars="200"/>
      </w:pPr>
      <w:r>
        <w:rPr>
          <w:rFonts w:hint="eastAsia"/>
        </w:rPr>
        <w:t>(三)具有履行合同所必需的设备和专业技术能力;</w:t>
      </w:r>
    </w:p>
    <w:p>
      <w:pPr>
        <w:ind w:firstLine="420" w:firstLineChars="200"/>
      </w:pPr>
      <w:r>
        <w:rPr>
          <w:rFonts w:hint="eastAsia"/>
        </w:rPr>
        <w:t>(四)有依法缴纳税收和社会保障资金的良好记录;</w:t>
      </w:r>
    </w:p>
    <w:p>
      <w:pPr>
        <w:ind w:firstLine="420" w:firstLineChars="200"/>
      </w:pPr>
      <w:r>
        <w:rPr>
          <w:rFonts w:hint="eastAsia"/>
        </w:rPr>
        <w:t>(五)参加政府采购活动前三年内，在经营活动中没有重大违法记录;成立不足三年的，为实际时间</w:t>
      </w:r>
      <w:r>
        <w:rPr>
          <w:rFonts w:hint="eastAsia"/>
          <w:szCs w:val="21"/>
        </w:rPr>
        <w:t>。</w:t>
      </w:r>
    </w:p>
    <w:p>
      <w:pPr>
        <w:ind w:firstLine="420" w:firstLineChars="200"/>
      </w:pPr>
      <w:r>
        <w:rPr>
          <w:rFonts w:hint="eastAsia"/>
        </w:rPr>
        <w:t>(六)未被相关监管部门作出行政处罚且尚在处罚有效期内;</w:t>
      </w:r>
    </w:p>
    <w:p>
      <w:pPr>
        <w:ind w:firstLine="420" w:firstLineChars="200"/>
      </w:pPr>
      <w:r>
        <w:rPr>
          <w:rFonts w:hint="eastAsia"/>
        </w:rPr>
        <w:t>(七)未曾作出虚假采购承诺;</w:t>
      </w:r>
    </w:p>
    <w:p>
      <w:pPr>
        <w:ind w:firstLine="420" w:firstLineChars="200"/>
        <w:rPr>
          <w:rFonts w:ascii="宋体" w:hAnsi="宋体" w:cs="宋体"/>
          <w:color w:val="000000" w:themeColor="text1"/>
          <w:kern w:val="0"/>
          <w:sz w:val="23"/>
          <w:szCs w:val="23"/>
          <w14:textFill>
            <w14:solidFill>
              <w14:schemeClr w14:val="tx1"/>
            </w14:solidFill>
          </w14:textFill>
        </w:rPr>
      </w:pPr>
      <w:r>
        <w:rPr>
          <w:rFonts w:hint="eastAsia"/>
        </w:rPr>
        <w:t>(八)</w:t>
      </w:r>
      <w:r>
        <w:rPr>
          <w:rFonts w:hint="eastAsia" w:ascii="宋体" w:hAnsi="宋体" w:cs="宋体"/>
          <w:color w:val="000000" w:themeColor="text1"/>
          <w:kern w:val="0"/>
          <w:sz w:val="23"/>
          <w:szCs w:val="23"/>
          <w14:textFill>
            <w14:solidFill>
              <w14:schemeClr w14:val="tx1"/>
            </w14:solidFill>
          </w14:textFill>
        </w:rPr>
        <w:t>具备本项目履行合同所必需的设备和专业技术能力；</w:t>
      </w:r>
    </w:p>
    <w:p>
      <w:pPr>
        <w:ind w:firstLine="420" w:firstLineChars="200"/>
      </w:pPr>
      <w:r>
        <w:rPr>
          <w:rFonts w:hint="eastAsia"/>
        </w:rPr>
        <w:t>(九)符合法律、行政法规规定的其他条件。</w:t>
      </w:r>
    </w:p>
    <w:p>
      <w:pPr>
        <w:ind w:firstLine="420" w:firstLineChars="200"/>
      </w:pPr>
      <w:r>
        <w:rPr>
          <w:rFonts w:hint="eastAsia"/>
        </w:rPr>
        <w:t>二、我单位(本人)保证上述承诺事项的真实性。如有弄虚作假或其他违法违规行为，自愿按照规定将违背承诺行为作为失信行为记录到社会信用信息平台，并视同为“提供虚假材料谋取中标、成交”按照法律规定承担相应法律责任。</w:t>
      </w:r>
    </w:p>
    <w:p>
      <w:pPr>
        <w:ind w:firstLine="420" w:firstLineChars="200"/>
      </w:pPr>
    </w:p>
    <w:p>
      <w:pPr>
        <w:ind w:firstLine="420" w:firstLineChars="200"/>
      </w:pPr>
    </w:p>
    <w:p>
      <w:pPr>
        <w:ind w:firstLine="420" w:firstLineChars="200"/>
      </w:pPr>
    </w:p>
    <w:p>
      <w:pPr>
        <w:ind w:firstLine="420" w:firstLineChars="200"/>
        <w:jc w:val="right"/>
      </w:pPr>
    </w:p>
    <w:p>
      <w:pPr>
        <w:wordWrap w:val="0"/>
        <w:ind w:firstLine="420" w:firstLineChars="200"/>
        <w:jc w:val="right"/>
      </w:pPr>
      <w:r>
        <w:rPr>
          <w:rFonts w:hint="eastAsia"/>
        </w:rPr>
        <w:t xml:space="preserve">供应商(印章):                      </w:t>
      </w:r>
    </w:p>
    <w:p>
      <w:pPr>
        <w:wordWrap w:val="0"/>
        <w:ind w:firstLine="420" w:firstLineChars="200"/>
        <w:jc w:val="right"/>
      </w:pPr>
      <w:r>
        <w:rPr>
          <w:rFonts w:hint="eastAsia"/>
        </w:rPr>
        <w:t xml:space="preserve">法定代表人、负责人、本人、或授权代表(签字或印章):               </w:t>
      </w:r>
    </w:p>
    <w:p>
      <w:pPr>
        <w:wordWrap w:val="0"/>
        <w:ind w:firstLine="420" w:firstLineChars="200"/>
        <w:jc w:val="right"/>
      </w:pPr>
      <w:r>
        <w:rPr>
          <w:rFonts w:hint="eastAsia"/>
        </w:rPr>
        <w:t xml:space="preserve">日期:    年  月  日           </w:t>
      </w:r>
    </w:p>
    <w:p/>
    <w:p>
      <w:pPr>
        <w:ind w:firstLine="420" w:firstLineChars="200"/>
      </w:pPr>
      <w:r>
        <w:rPr>
          <w:rFonts w:hint="eastAsia"/>
        </w:rPr>
        <w:t xml:space="preserve">注: </w:t>
      </w:r>
      <w:r>
        <w:rPr>
          <w:rFonts w:hint="eastAsia"/>
          <w:b/>
          <w:bCs/>
        </w:rPr>
        <w:t>1.条款投标供应商可自行选择是否提供本承诺函，若不提供本承诺函，应按《中华人民共和国政府采购法》《中华人民共和国政府采购法实施条例》及采购文件资格要求提供相应的证明材料。（①</w:t>
      </w:r>
      <w:r>
        <w:rPr>
          <w:rFonts w:hint="eastAsia" w:ascii="宋体" w:hAnsi="宋体"/>
          <w:b/>
          <w:bCs/>
          <w:color w:val="000000" w:themeColor="text1"/>
          <w:szCs w:val="21"/>
          <w14:textFill>
            <w14:solidFill>
              <w14:schemeClr w14:val="tx1"/>
            </w14:solidFill>
          </w14:textFill>
        </w:rPr>
        <w:t>无重大违法记录声明书、</w:t>
      </w:r>
      <w:r>
        <w:rPr>
          <w:rFonts w:hint="eastAsia" w:ascii="宋体" w:hAnsi="宋体" w:cs="宋体"/>
          <w:b/>
          <w:bCs/>
          <w:szCs w:val="21"/>
        </w:rPr>
        <w:t>②2022年度财务审计报告或近六个月内银行出具的资信证明、③</w:t>
      </w:r>
      <w:r>
        <w:rPr>
          <w:rFonts w:hint="eastAsia" w:ascii="宋体" w:hAnsi="宋体" w:cs="宋体"/>
          <w:b/>
          <w:bCs/>
          <w:color w:val="000000" w:themeColor="text1"/>
          <w:szCs w:val="21"/>
          <w14:textFill>
            <w14:solidFill>
              <w14:schemeClr w14:val="tx1"/>
            </w14:solidFill>
          </w14:textFill>
        </w:rPr>
        <w:t>税务部门出具的2023年任一个月完税证明、④</w:t>
      </w:r>
      <w:r>
        <w:rPr>
          <w:rFonts w:hint="eastAsia"/>
          <w:b/>
          <w:bCs/>
        </w:rPr>
        <w:t>社保机构出具的投标单位给员工近三个月社保缴纳证明、</w:t>
      </w:r>
      <w:r>
        <w:rPr>
          <w:rFonts w:hint="eastAsia" w:ascii="宋体" w:hAnsi="宋体" w:cs="宋体"/>
          <w:b/>
          <w:bCs/>
          <w:color w:val="000000" w:themeColor="text1"/>
          <w:szCs w:val="21"/>
          <w14:textFill>
            <w14:solidFill>
              <w14:schemeClr w14:val="tx1"/>
            </w14:solidFill>
          </w14:textFill>
        </w:rPr>
        <w:t>⑤附件9：具备履行合同所必需的设备和专业技术能力的承诺</w:t>
      </w:r>
      <w:r>
        <w:rPr>
          <w:rFonts w:hint="eastAsia"/>
          <w:b/>
          <w:bCs/>
        </w:rPr>
        <w:t>）</w:t>
      </w:r>
    </w:p>
    <w:p>
      <w:pPr>
        <w:ind w:firstLine="420" w:firstLineChars="200"/>
      </w:pPr>
      <w:r>
        <w:rPr>
          <w:rFonts w:hint="eastAsia"/>
        </w:rPr>
        <w:t>2.提供本承诺函投标人须在投标文件中按此模板提供承诺函，</w:t>
      </w:r>
      <w:r>
        <w:rPr>
          <w:rFonts w:hint="eastAsia"/>
          <w:b/>
          <w:bCs/>
          <w:highlight w:val="yellow"/>
        </w:rPr>
        <w:t>未按照此模版承诺内容提供视为未实质性响应招标文件要求，按无效投标处理</w:t>
      </w:r>
      <w:r>
        <w:rPr>
          <w:rFonts w:hint="eastAsia"/>
        </w:rPr>
        <w:t>。</w:t>
      </w:r>
    </w:p>
    <w:p>
      <w:pPr>
        <w:ind w:firstLine="420" w:firstLineChars="200"/>
      </w:pPr>
      <w:r>
        <w:rPr>
          <w:rFonts w:hint="eastAsia"/>
        </w:rPr>
        <w:t>3.投标人的法定代表人或者授权代表的签字或盖章应真实、有效，如由授权代表签字或盖章的，应提供“法定代表人授权书”。</w:t>
      </w:r>
    </w:p>
    <w:p>
      <w:pPr>
        <w:spacing w:line="360" w:lineRule="auto"/>
      </w:pPr>
    </w:p>
    <w:p>
      <w:pPr>
        <w:adjustRightInd w:val="0"/>
        <w:snapToGrid w:val="0"/>
        <w:spacing w:line="360" w:lineRule="auto"/>
        <w:ind w:right="24"/>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r>
        <w:rPr>
          <w:rFonts w:hint="eastAsia" w:ascii="宋体" w:hAnsi="宋体" w:cs="宋体"/>
          <w:bCs/>
          <w:color w:val="000000" w:themeColor="text1"/>
          <w:sz w:val="28"/>
          <w:szCs w:val="28"/>
          <w14:textFill>
            <w14:solidFill>
              <w14:schemeClr w14:val="tx1"/>
            </w14:solidFill>
          </w14:textFill>
        </w:rPr>
        <w:t>附件4</w:t>
      </w:r>
    </w:p>
    <w:p>
      <w:pPr>
        <w:autoSpaceDE w:val="0"/>
        <w:autoSpaceDN w:val="0"/>
        <w:adjustRightInd w:val="0"/>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xml:space="preserve">                 </w:t>
      </w:r>
      <w:r>
        <w:rPr>
          <w:rFonts w:hint="eastAsia" w:ascii="宋体" w:hAnsi="宋体" w:cs="宋体"/>
          <w:b/>
          <w:color w:val="000000" w:themeColor="text1"/>
          <w:kern w:val="0"/>
          <w:sz w:val="28"/>
          <w:szCs w:val="28"/>
          <w14:textFill>
            <w14:solidFill>
              <w14:schemeClr w14:val="tx1"/>
            </w14:solidFill>
          </w14:textFill>
        </w:rPr>
        <w:t xml:space="preserve">         信用记录</w:t>
      </w:r>
    </w:p>
    <w:p>
      <w:pPr>
        <w:widowControl/>
        <w:adjustRightInd w:val="0"/>
        <w:snapToGrid w:val="0"/>
        <w:spacing w:line="360" w:lineRule="auto"/>
        <w:ind w:firstLine="444" w:firstLineChars="200"/>
        <w:jc w:val="center"/>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（复印件并加盖投标单位公章）</w:t>
      </w:r>
    </w:p>
    <w:p>
      <w:pPr>
        <w:widowControl/>
        <w:adjustRightInd w:val="0"/>
        <w:snapToGrid w:val="0"/>
        <w:spacing w:line="360" w:lineRule="auto"/>
        <w:ind w:firstLine="444" w:firstLineChars="200"/>
        <w:jc w:val="left"/>
        <w:rPr>
          <w:rFonts w:ascii="宋体" w:hAnsi="宋体" w:cs="宋体"/>
          <w:color w:val="000000" w:themeColor="text1"/>
          <w:spacing w:val="6"/>
          <w:kern w:val="0"/>
          <w:szCs w:val="21"/>
          <w14:textFill>
            <w14:solidFill>
              <w14:schemeClr w14:val="tx1"/>
            </w14:solidFill>
          </w14:textFill>
        </w:rPr>
      </w:pPr>
    </w:p>
    <w:p>
      <w:pPr>
        <w:widowControl/>
        <w:adjustRightInd w:val="0"/>
        <w:snapToGrid w:val="0"/>
        <w:spacing w:line="360" w:lineRule="auto"/>
        <w:ind w:firstLine="444" w:firstLineChars="200"/>
        <w:jc w:val="left"/>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依据财库[2016]125号文件规定，投标单位须符合《关于在政府采购活动中查询及使用信用记录有关问题的通知》的相关要求，即具有良好的信用记录。</w:t>
      </w:r>
    </w:p>
    <w:p>
      <w:pPr>
        <w:widowControl/>
        <w:adjustRightInd w:val="0"/>
        <w:snapToGrid w:val="0"/>
        <w:spacing w:line="360" w:lineRule="auto"/>
        <w:ind w:firstLine="444" w:firstLineChars="200"/>
        <w:jc w:val="left"/>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投标单位须提供本单位近3年（本项目至递交投标文件截止日前）“信用中国”网站（www.creditchina.gov.cn）及中国政府采购网（www.ccgp.gov.cn）已公布的信用记录查询截图。</w:t>
      </w:r>
      <w:r>
        <w:rPr>
          <w:rFonts w:hint="eastAsia"/>
          <w:b/>
          <w:bCs/>
        </w:rPr>
        <w:t>（网页打印件须自招标文件发布之日起至投标截止时间从上述网站中打印）</w:t>
      </w:r>
    </w:p>
    <w:p>
      <w:pPr>
        <w:widowControl/>
        <w:adjustRightInd w:val="0"/>
        <w:snapToGrid w:val="0"/>
        <w:spacing w:line="360" w:lineRule="auto"/>
        <w:ind w:firstLine="444" w:firstLineChars="200"/>
        <w:jc w:val="left"/>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截图含1）被列入失信被执行人</w:t>
      </w:r>
    </w:p>
    <w:p>
      <w:pPr>
        <w:widowControl/>
        <w:adjustRightInd w:val="0"/>
        <w:snapToGrid w:val="0"/>
        <w:spacing w:line="360" w:lineRule="auto"/>
        <w:ind w:firstLine="1221" w:firstLineChars="550"/>
        <w:jc w:val="left"/>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2）重大税收违法案件当事人名单的投标单位</w:t>
      </w:r>
    </w:p>
    <w:p>
      <w:pPr>
        <w:widowControl/>
        <w:adjustRightInd w:val="0"/>
        <w:snapToGrid w:val="0"/>
        <w:spacing w:line="360" w:lineRule="auto"/>
        <w:ind w:firstLine="1221" w:firstLineChars="550"/>
        <w:jc w:val="left"/>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3）列入政府采购严重违法失信行为记录名单</w:t>
      </w:r>
    </w:p>
    <w:p>
      <w:pPr>
        <w:widowControl/>
        <w:adjustRightInd w:val="0"/>
        <w:snapToGrid w:val="0"/>
        <w:spacing w:line="360" w:lineRule="auto"/>
        <w:ind w:firstLine="444" w:firstLineChars="200"/>
        <w:jc w:val="left"/>
        <w:rPr>
          <w:rFonts w:ascii="宋体" w:hAnsi="宋体" w:cs="宋体"/>
          <w:color w:val="000000" w:themeColor="text1"/>
          <w:spacing w:val="6"/>
          <w:kern w:val="0"/>
          <w:szCs w:val="21"/>
          <w14:textFill>
            <w14:solidFill>
              <w14:schemeClr w14:val="tx1"/>
            </w14:solidFill>
          </w14:textFill>
        </w:rPr>
      </w:pPr>
    </w:p>
    <w:p>
      <w:pPr>
        <w:adjustRightInd w:val="0"/>
        <w:snapToGrid w:val="0"/>
        <w:ind w:left="-88" w:leftChars="-42" w:firstLine="222" w:firstLineChars="100"/>
        <w:jc w:val="center"/>
        <w:rPr>
          <w:rFonts w:ascii="宋体" w:hAnsi="宋体" w:cs="宋体"/>
          <w:bCs/>
          <w:color w:val="000000" w:themeColor="text1"/>
          <w:sz w:val="28"/>
          <w:szCs w:val="28"/>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例如：网站搜索页输入投标单位名称，截图查询结果</w:t>
      </w: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sectPr>
          <w:headerReference r:id="rId19" w:type="default"/>
          <w:footerReference r:id="rId20" w:type="default"/>
          <w:pgSz w:w="11906" w:h="16838"/>
          <w:pgMar w:top="1440" w:right="1800" w:bottom="1440" w:left="1800" w:header="851" w:footer="992" w:gutter="0"/>
          <w:cols w:space="720" w:num="1"/>
          <w:docGrid w:type="lines" w:linePitch="312" w:charSpace="0"/>
        </w:sectPr>
      </w:pPr>
    </w:p>
    <w:p>
      <w:pPr>
        <w:adjustRightInd w:val="0"/>
        <w:snapToGrid w:val="0"/>
        <w:spacing w:line="360" w:lineRule="auto"/>
        <w:ind w:right="24"/>
        <w:rPr>
          <w:rFonts w:ascii="宋体" w:hAnsi="宋体"/>
          <w:bCs/>
          <w:sz w:val="28"/>
          <w:szCs w:val="28"/>
        </w:rPr>
      </w:pPr>
      <w:r>
        <w:rPr>
          <w:rFonts w:hint="eastAsia" w:ascii="宋体" w:hAnsi="宋体" w:cs="宋体"/>
          <w:bCs/>
          <w:sz w:val="28"/>
          <w:szCs w:val="28"/>
        </w:rPr>
        <w:t>附件5：</w:t>
      </w:r>
      <w:r>
        <w:rPr>
          <w:rFonts w:hint="eastAsia" w:ascii="宋体" w:hAnsi="宋体"/>
          <w:bCs/>
          <w:sz w:val="28"/>
          <w:szCs w:val="28"/>
        </w:rPr>
        <w:t>保证金缴纳证明</w:t>
      </w:r>
    </w:p>
    <w:p>
      <w:pPr>
        <w:pStyle w:val="25"/>
        <w:tabs>
          <w:tab w:val="left" w:pos="1470"/>
          <w:tab w:val="right" w:leader="dot" w:pos="8296"/>
        </w:tabs>
        <w:jc w:val="center"/>
        <w:rPr>
          <w:rFonts w:ascii="宋体" w:hAnsi="宋体"/>
          <w:b/>
          <w:bCs/>
          <w:i w:val="0"/>
          <w:iCs w:val="0"/>
          <w:sz w:val="28"/>
          <w:szCs w:val="28"/>
        </w:rPr>
      </w:pPr>
    </w:p>
    <w:p>
      <w:pPr>
        <w:pStyle w:val="25"/>
        <w:tabs>
          <w:tab w:val="left" w:pos="1470"/>
          <w:tab w:val="right" w:leader="dot" w:pos="8296"/>
        </w:tabs>
        <w:jc w:val="center"/>
        <w:rPr>
          <w:rFonts w:ascii="宋体" w:hAnsi="宋体"/>
          <w:b/>
          <w:bCs/>
          <w:i w:val="0"/>
          <w:iCs w:val="0"/>
          <w:sz w:val="28"/>
          <w:szCs w:val="28"/>
        </w:rPr>
      </w:pPr>
      <w:r>
        <w:rPr>
          <w:rFonts w:hint="eastAsia" w:ascii="宋体" w:hAnsi="宋体"/>
          <w:b/>
          <w:bCs/>
          <w:i w:val="0"/>
          <w:iCs w:val="0"/>
          <w:sz w:val="28"/>
          <w:szCs w:val="28"/>
        </w:rPr>
        <w:t>本页附自行打印的银行流水单复印件/支票复印件/保函复印件等。</w:t>
      </w:r>
    </w:p>
    <w:p>
      <w:pPr>
        <w:autoSpaceDE w:val="0"/>
        <w:autoSpaceDN w:val="0"/>
        <w:adjustRightInd w:val="0"/>
        <w:jc w:val="both"/>
        <w:rPr>
          <w:rFonts w:hint="eastAsia"/>
          <w:lang w:val="en-US" w:eastAsia="zh-CN"/>
        </w:rPr>
      </w:pPr>
      <w:r>
        <w:rPr>
          <w:rFonts w:hint="eastAsia" w:ascii="宋体" w:hAnsi="宋体" w:eastAsia="宋体"/>
          <w:b w:val="0"/>
          <w:bCs w:val="0"/>
        </w:rPr>
        <w:t>注：</w:t>
      </w:r>
      <w:r>
        <w:rPr>
          <w:rFonts w:hint="eastAsia" w:ascii="宋体" w:hAnsi="宋体"/>
          <w:b w:val="0"/>
          <w:bCs w:val="0"/>
          <w:lang w:val="en-US" w:eastAsia="zh-CN"/>
        </w:rPr>
        <w:t>如</w:t>
      </w:r>
      <w:r>
        <w:rPr>
          <w:rFonts w:hint="eastAsia"/>
        </w:rPr>
        <w:t>通过以支票、汇票、本票、保函等非现金形式缴纳或提交保证金</w:t>
      </w:r>
      <w:r>
        <w:rPr>
          <w:rFonts w:hint="eastAsia"/>
          <w:lang w:val="en-US" w:eastAsia="zh-CN"/>
        </w:rPr>
        <w:t>，请附相关证明于此页。</w:t>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jc w:val="center"/>
        <w:rPr>
          <w:rFonts w:hint="default" w:ascii="宋体" w:hAnsi="宋体" w:eastAsia="宋体" w:cs="Times New Roman"/>
          <w:b/>
          <w:bCs/>
          <w:i w:val="0"/>
          <w:iCs w:val="0"/>
          <w:kern w:val="2"/>
          <w:sz w:val="28"/>
          <w:szCs w:val="28"/>
          <w:lang w:val="en-US" w:eastAsia="zh-CN" w:bidi="ar-SA"/>
        </w:rPr>
        <w:sectPr>
          <w:pgSz w:w="11906" w:h="16838"/>
          <w:pgMar w:top="1440" w:right="1800" w:bottom="1440" w:left="1800" w:header="851" w:footer="992" w:gutter="0"/>
          <w:cols w:space="720" w:num="1"/>
          <w:docGrid w:type="lines" w:linePitch="312" w:charSpace="0"/>
        </w:sectPr>
      </w:pPr>
      <w:r>
        <w:rPr>
          <w:rFonts w:hint="eastAsia" w:ascii="宋体" w:hAnsi="宋体" w:eastAsia="宋体" w:cs="Times New Roman"/>
          <w:b/>
          <w:bCs/>
          <w:i w:val="0"/>
          <w:iCs w:val="0"/>
          <w:kern w:val="2"/>
          <w:sz w:val="28"/>
          <w:szCs w:val="28"/>
          <w:highlight w:val="yellow"/>
          <w:lang w:val="en-US" w:eastAsia="zh-CN" w:bidi="ar-SA"/>
        </w:rPr>
        <w:t>本项目无需提供</w:t>
      </w:r>
    </w:p>
    <w:p>
      <w:pPr>
        <w:adjustRightInd w:val="0"/>
        <w:snapToGrid w:val="0"/>
        <w:spacing w:line="360" w:lineRule="auto"/>
        <w:ind w:right="24"/>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附件6</w:t>
      </w:r>
    </w:p>
    <w:p>
      <w:pPr>
        <w:adjustRightInd w:val="0"/>
        <w:snapToGrid w:val="0"/>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 xml:space="preserve">开标一览表 </w:t>
      </w:r>
    </w:p>
    <w:p>
      <w:pPr>
        <w:pStyle w:val="25"/>
        <w:tabs>
          <w:tab w:val="left" w:pos="1470"/>
          <w:tab w:val="right" w:leader="dot" w:pos="8296"/>
        </w:tabs>
        <w:rPr>
          <w:rFonts w:ascii="宋体" w:hAnsi="宋体" w:cs="宋体"/>
          <w:color w:val="000000" w:themeColor="text1"/>
          <w14:textFill>
            <w14:solidFill>
              <w14:schemeClr w14:val="tx1"/>
            </w14:solidFill>
          </w14:textFill>
        </w:rPr>
      </w:pPr>
    </w:p>
    <w:p>
      <w:pPr>
        <w:adjustRightInd w:val="0"/>
        <w:snapToGrid w:val="0"/>
        <w:spacing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项目名称：</w:t>
      </w:r>
    </w:p>
    <w:p>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项目编号：</w:t>
      </w:r>
    </w:p>
    <w:tbl>
      <w:tblPr>
        <w:tblStyle w:val="46"/>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2127"/>
        <w:gridCol w:w="3941"/>
        <w:gridCol w:w="17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6068" w:type="dxa"/>
            <w:gridSpan w:val="2"/>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内容</w:t>
            </w:r>
          </w:p>
        </w:tc>
        <w:tc>
          <w:tcPr>
            <w:tcW w:w="1726"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4"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127" w:type="dxa"/>
            <w:tcBorders>
              <w:top w:val="single" w:color="auto" w:sz="4" w:space="0"/>
              <w:left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w:t>
            </w:r>
          </w:p>
        </w:tc>
        <w:tc>
          <w:tcPr>
            <w:tcW w:w="3941" w:type="dxa"/>
            <w:tcBorders>
              <w:top w:val="single" w:color="auto" w:sz="4" w:space="0"/>
              <w:left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p>
        </w:tc>
        <w:tc>
          <w:tcPr>
            <w:tcW w:w="1726"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投标报价（元）</w:t>
            </w:r>
          </w:p>
        </w:tc>
        <w:tc>
          <w:tcPr>
            <w:tcW w:w="39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tc>
        <w:tc>
          <w:tcPr>
            <w:tcW w:w="172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供货期限</w:t>
            </w:r>
          </w:p>
        </w:tc>
        <w:tc>
          <w:tcPr>
            <w:tcW w:w="39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签订合同后    天内</w:t>
            </w:r>
          </w:p>
        </w:tc>
        <w:tc>
          <w:tcPr>
            <w:tcW w:w="172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szCs w:val="21"/>
              </w:rPr>
              <w:t>4</w:t>
            </w:r>
          </w:p>
        </w:tc>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szCs w:val="21"/>
              </w:rPr>
              <w:t>质保期</w:t>
            </w:r>
          </w:p>
        </w:tc>
        <w:tc>
          <w:tcPr>
            <w:tcW w:w="39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p>
        </w:tc>
        <w:tc>
          <w:tcPr>
            <w:tcW w:w="172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5</w:t>
            </w:r>
          </w:p>
        </w:tc>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核心产品品牌</w:t>
            </w:r>
          </w:p>
        </w:tc>
        <w:tc>
          <w:tcPr>
            <w:tcW w:w="3941" w:type="dxa"/>
            <w:tcBorders>
              <w:top w:val="single" w:color="auto" w:sz="4" w:space="0"/>
              <w:left w:val="single" w:color="auto" w:sz="4" w:space="0"/>
              <w:bottom w:val="single" w:color="auto" w:sz="4" w:space="0"/>
              <w:right w:val="single" w:color="auto" w:sz="4" w:space="0"/>
            </w:tcBorders>
          </w:tcPr>
          <w:p>
            <w:pPr>
              <w:snapToGrid w:val="0"/>
              <w:spacing w:line="400" w:lineRule="exact"/>
              <w:rPr>
                <w:rFonts w:ascii="宋体" w:hAnsi="宋体" w:cs="宋体"/>
                <w:color w:val="000000" w:themeColor="text1"/>
                <w:szCs w:val="21"/>
                <w14:textFill>
                  <w14:solidFill>
                    <w14:schemeClr w14:val="tx1"/>
                  </w14:solidFill>
                </w14:textFill>
              </w:rPr>
            </w:pPr>
          </w:p>
        </w:tc>
        <w:tc>
          <w:tcPr>
            <w:tcW w:w="1726" w:type="dxa"/>
            <w:tcBorders>
              <w:top w:val="single" w:color="auto" w:sz="4" w:space="0"/>
              <w:left w:val="single" w:color="auto" w:sz="4" w:space="0"/>
              <w:bottom w:val="single" w:color="auto" w:sz="4" w:space="0"/>
              <w:right w:val="single" w:color="auto" w:sz="4" w:space="0"/>
            </w:tcBorders>
          </w:tcPr>
          <w:p>
            <w:pPr>
              <w:snapToGrid w:val="0"/>
              <w:spacing w:line="400" w:lineRule="exact"/>
              <w:rPr>
                <w:rFonts w:ascii="宋体" w:hAnsi="宋体" w:cs="宋体"/>
                <w:color w:val="000000" w:themeColor="text1"/>
                <w:szCs w:val="21"/>
                <w14:textFill>
                  <w14:solidFill>
                    <w14:schemeClr w14:val="tx1"/>
                  </w14:solidFill>
                </w14:textFill>
              </w:rPr>
            </w:pPr>
          </w:p>
        </w:tc>
      </w:tr>
    </w:tbl>
    <w:p>
      <w:pPr>
        <w:adjustRightInd w:val="0"/>
        <w:snapToGrid w:val="0"/>
        <w:spacing w:line="360" w:lineRule="auto"/>
        <w:rPr>
          <w:rFonts w:ascii="宋体" w:hAnsi="宋体" w:cs="宋体"/>
          <w:color w:val="000000" w:themeColor="text1"/>
          <w:sz w:val="24"/>
          <w14:textFill>
            <w14:solidFill>
              <w14:schemeClr w14:val="tx1"/>
            </w14:solidFill>
          </w14:textFill>
        </w:rPr>
      </w:pPr>
    </w:p>
    <w:p>
      <w:pPr>
        <w:adjustRightInd w:val="0"/>
        <w:snapToGrid w:val="0"/>
        <w:spacing w:line="360" w:lineRule="auto"/>
        <w:rPr>
          <w:rFonts w:ascii="宋体" w:hAnsi="宋体" w:cs="宋体"/>
          <w:color w:val="000000" w:themeColor="text1"/>
          <w:sz w:val="24"/>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 1、报价一经涂改，应在涂改处加盖单位公章或者由法定代表人或授权委托人签字或盖章，否则其投标作无效标处理。</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2、报价包括完成本项目招标范围内所有其他平台数据对接费用、运输费、人工费、保险费、增值税、仓储费，操作方面的培训费、调试费、保修期内的维修所需的备件费以及上门服务等所有相关费用。</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3、项目须附详细的投标报价明细表，投标报价明细表中金额和开标一览表金额一致。</w:t>
      </w:r>
    </w:p>
    <w:p>
      <w:pPr>
        <w:adjustRightInd w:val="0"/>
        <w:snapToGrid w:val="0"/>
        <w:spacing w:line="360" w:lineRule="auto"/>
        <w:ind w:firstLine="420" w:firstLineChars="200"/>
        <w:rPr>
          <w:rFonts w:hint="eastAsia" w:ascii="宋体" w:hAnsi="宋体" w:eastAsia="黑体" w:cs="宋体"/>
          <w:color w:val="000000" w:themeColor="text1"/>
          <w:szCs w:val="21"/>
          <w:lang w:eastAsia="zh-CN"/>
          <w14:textFill>
            <w14:solidFill>
              <w14:schemeClr w14:val="tx1"/>
            </w14:solidFill>
          </w14:textFill>
        </w:rPr>
      </w:pPr>
      <w:r>
        <w:rPr>
          <w:rFonts w:hint="eastAsia" w:ascii="宋体" w:hAnsi="宋体" w:cs="宋体"/>
          <w:szCs w:val="21"/>
        </w:rPr>
        <w:t>4、</w:t>
      </w:r>
      <w:r>
        <w:rPr>
          <w:rFonts w:hint="eastAsia" w:ascii="宋体" w:hAnsi="宋体" w:cs="宋体"/>
          <w:szCs w:val="21"/>
          <w:highlight w:val="yellow"/>
        </w:rPr>
        <w:t>加注“▲”号的产品为核心产品，任意一种核心产品为同一品牌时，按照87号令第三十一条执行。</w:t>
      </w:r>
      <w:r>
        <w:rPr>
          <w:rFonts w:hint="eastAsia" w:ascii="宋体" w:hAnsi="宋体"/>
          <w:b/>
          <w:bCs/>
          <w:sz w:val="24"/>
          <w:lang w:eastAsia="zh-CN"/>
        </w:rPr>
        <w:t>（</w:t>
      </w:r>
      <w:r>
        <w:rPr>
          <w:rFonts w:hint="eastAsia" w:ascii="宋体" w:hAnsi="宋体"/>
          <w:b/>
          <w:bCs/>
          <w:sz w:val="24"/>
          <w:lang w:val="en-US" w:eastAsia="zh-CN"/>
        </w:rPr>
        <w:t>本项目核心产品为</w:t>
      </w:r>
      <w:r>
        <w:rPr>
          <w:rFonts w:hint="eastAsia" w:ascii="宋体" w:hAnsi="宋体" w:eastAsia="宋体" w:cs="Times New Roman"/>
          <w:b/>
          <w:bCs/>
          <w:sz w:val="24"/>
          <w:lang w:val="en-US" w:eastAsia="zh-CN"/>
        </w:rPr>
        <w:t>X光机）</w:t>
      </w:r>
    </w:p>
    <w:p>
      <w:pPr>
        <w:adjustRightInd w:val="0"/>
        <w:snapToGrid w:val="0"/>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jc w:val="right"/>
        <w:rPr>
          <w:rFonts w:ascii="宋体" w:hAnsi="宋体" w:cs="宋体"/>
          <w:b/>
          <w:color w:val="000000" w:themeColor="text1"/>
          <w:sz w:val="28"/>
          <w:szCs w:val="28"/>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adjustRightInd w:val="0"/>
        <w:snapToGrid w:val="0"/>
        <w:spacing w:line="360" w:lineRule="auto"/>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br w:type="page"/>
      </w:r>
    </w:p>
    <w:p>
      <w:pPr>
        <w:adjustRightInd w:val="0"/>
        <w:snapToGrid w:val="0"/>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附件7</w:t>
      </w:r>
    </w:p>
    <w:p>
      <w:pPr>
        <w:pStyle w:val="74"/>
        <w:numPr>
          <w:ilvl w:val="0"/>
          <w:numId w:val="0"/>
        </w:numPr>
        <w:rPr>
          <w:b/>
          <w:bCs/>
          <w:color w:val="000000" w:themeColor="text1"/>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投标函</w:t>
      </w:r>
    </w:p>
    <w:p>
      <w:pPr>
        <w:adjustRightInd w:val="0"/>
        <w:snapToGrid w:val="0"/>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(采购人或采购代理机构)：</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我方己仔细研究了</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(项目名称)的招标文件（项目编号：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）的全部内容，知悉参加投标的风险，我方承诺接受招标文件的全部条款且无任何异议。</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一、我方同意在招标文件中规定的提交投标文件截止时间起</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日内(投标文件有效期)遵守本投标文件中的承诺且在此期限期满之前均具有法律约束力。</w:t>
      </w:r>
    </w:p>
    <w:p>
      <w:pPr>
        <w:pStyle w:val="26"/>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二、我方提交加密投标文件电子版</w:t>
      </w:r>
      <w:r>
        <w:rPr>
          <w:rFonts w:hint="eastAsia" w:ascii="宋体" w:hAnsi="宋体"/>
          <w:color w:val="000000" w:themeColor="text1"/>
          <w:sz w:val="21"/>
          <w:szCs w:val="21"/>
          <w:u w:val="single"/>
          <w14:textFill>
            <w14:solidFill>
              <w14:schemeClr w14:val="tx1"/>
            </w14:solidFill>
          </w14:textFill>
        </w:rPr>
        <w:t xml:space="preserve">   壹  </w:t>
      </w:r>
      <w:r>
        <w:rPr>
          <w:rFonts w:hint="eastAsia" w:ascii="宋体" w:hAnsi="宋体"/>
          <w:color w:val="000000" w:themeColor="text1"/>
          <w:sz w:val="21"/>
          <w:szCs w:val="21"/>
          <w14:textFill>
            <w14:solidFill>
              <w14:schemeClr w14:val="tx1"/>
            </w14:solidFill>
          </w14:textFill>
        </w:rPr>
        <w:t>份，并保证投标文件提供的数据和材料是真实、准确的。否则，愿承担《政府采购法》</w:t>
      </w:r>
      <w:r>
        <w:rPr>
          <w:rFonts w:hint="eastAsia" w:ascii="宋体" w:hAnsi="宋体"/>
          <w:bCs/>
          <w:color w:val="000000" w:themeColor="text1"/>
          <w:sz w:val="21"/>
          <w:szCs w:val="21"/>
          <w14:textFill>
            <w14:solidFill>
              <w14:schemeClr w14:val="tx1"/>
            </w14:solidFill>
          </w14:textFill>
        </w:rPr>
        <w:t>第七十七条规定的法律责任。</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三、我方愿意向贵方提供任何与本项采购有关的数据、情况和技术资料。若贵方需要，我方愿意提供我方作出的一切承诺的证明材料。</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四、我方承诺遵守《政府采购法》的有关规定，保证在获得中标资格后，按照招标文件确定的事项签订政府采购合同，履行双方所签订的合同，并承担合同规定的责任和义务。</w:t>
      </w:r>
    </w:p>
    <w:p>
      <w:pPr>
        <w:pStyle w:val="26"/>
        <w:adjustRightInd w:val="0"/>
        <w:snapToGrid w:val="0"/>
        <w:spacing w:line="360" w:lineRule="auto"/>
        <w:ind w:firstLine="480" w:firstLineChars="200"/>
        <w:rPr>
          <w:rFonts w:ascii="宋体" w:hAnsi="宋体" w:cs="宋体"/>
          <w:color w:val="000000" w:themeColor="text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pPr>
    </w:p>
    <w:p>
      <w:pPr>
        <w:adjustRightInd w:val="0"/>
        <w:snapToGrid w:val="0"/>
        <w:spacing w:line="360" w:lineRule="auto"/>
        <w:ind w:right="24"/>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附件1：</w:t>
      </w:r>
      <w:r>
        <w:rPr>
          <w:rFonts w:hint="eastAsia" w:ascii="宋体" w:hAnsi="宋体" w:cs="宋体"/>
          <w:color w:val="000000" w:themeColor="text1"/>
          <w:szCs w:val="21"/>
          <w14:textFill>
            <w14:solidFill>
              <w14:schemeClr w14:val="tx1"/>
            </w14:solidFill>
          </w14:textFill>
        </w:rPr>
        <w:t>法定代表人身份证明(法定代表人参加招标)</w:t>
      </w:r>
    </w:p>
    <w:p>
      <w:pPr>
        <w:adjustRightInd w:val="0"/>
        <w:snapToGrid w:val="0"/>
        <w:spacing w:line="360" w:lineRule="auto"/>
        <w:ind w:right="24"/>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附件2</w:t>
      </w:r>
      <w:r>
        <w:rPr>
          <w:rFonts w:hint="eastAsia" w:ascii="宋体" w:hAnsi="宋体" w:cs="宋体"/>
          <w:color w:val="000000" w:themeColor="text1"/>
          <w:szCs w:val="21"/>
          <w14:textFill>
            <w14:solidFill>
              <w14:schemeClr w14:val="tx1"/>
            </w14:solidFill>
          </w14:textFill>
        </w:rPr>
        <w:t>：法定代表人授权书(委托代理人参加招标)</w:t>
      </w:r>
    </w:p>
    <w:p>
      <w:pPr>
        <w:pStyle w:val="26"/>
        <w:adjustRightInd w:val="0"/>
        <w:snapToGrid w:val="0"/>
        <w:spacing w:line="360" w:lineRule="auto"/>
        <w:rPr>
          <w:rFonts w:ascii="宋体" w:hAnsi="宋体" w:cs="宋体"/>
          <w:color w:val="000000" w:themeColor="text1"/>
          <w14:textFill>
            <w14:solidFill>
              <w14:schemeClr w14:val="tx1"/>
            </w14:solidFill>
          </w14:textFill>
        </w:rPr>
      </w:pPr>
    </w:p>
    <w:p>
      <w:pPr>
        <w:pStyle w:val="26"/>
        <w:adjustRightInd w:val="0"/>
        <w:snapToGrid w:val="0"/>
        <w:spacing w:line="360" w:lineRule="auto"/>
        <w:rPr>
          <w:rFonts w:ascii="宋体" w:hAnsi="宋体" w:cs="宋体"/>
          <w:color w:val="000000" w:themeColor="text1"/>
          <w14:textFill>
            <w14:solidFill>
              <w14:schemeClr w14:val="tx1"/>
            </w14:solidFill>
          </w14:textFill>
        </w:rPr>
      </w:pPr>
    </w:p>
    <w:p>
      <w:pPr>
        <w:pStyle w:val="26"/>
        <w:adjustRightInd w:val="0"/>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投标人名称(盖单位章)：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 (签字)：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spacing w:line="360" w:lineRule="auto"/>
        <w:rPr>
          <w:rFonts w:ascii="宋体" w:hAnsi="宋体" w:cs="宋体"/>
          <w:color w:val="000000" w:themeColor="text1"/>
          <w:sz w:val="32"/>
          <w:szCs w:val="32"/>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附件8</w:t>
      </w:r>
    </w:p>
    <w:p>
      <w:pPr>
        <w:adjustRightInd w:val="0"/>
        <w:snapToGrid w:val="0"/>
        <w:spacing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投标人基本情况表</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盖投标人单位章</w:t>
      </w:r>
    </w:p>
    <w:tbl>
      <w:tblPr>
        <w:tblStyle w:val="46"/>
        <w:tblW w:w="83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777"/>
        <w:gridCol w:w="1635"/>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名称</w:t>
            </w:r>
          </w:p>
        </w:tc>
        <w:tc>
          <w:tcPr>
            <w:tcW w:w="3654"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635"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tc>
        <w:tc>
          <w:tcPr>
            <w:tcW w:w="1409"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组织机构代码</w:t>
            </w:r>
          </w:p>
        </w:tc>
        <w:tc>
          <w:tcPr>
            <w:tcW w:w="3654"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635"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p>
        </w:tc>
        <w:tc>
          <w:tcPr>
            <w:tcW w:w="1409"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w:t>
            </w:r>
          </w:p>
        </w:tc>
        <w:tc>
          <w:tcPr>
            <w:tcW w:w="3654"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635"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电子邮箱</w:t>
            </w:r>
          </w:p>
        </w:tc>
        <w:tc>
          <w:tcPr>
            <w:tcW w:w="1409"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上年营业收入</w:t>
            </w:r>
          </w:p>
        </w:tc>
        <w:tc>
          <w:tcPr>
            <w:tcW w:w="3654"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635"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员工总人数</w:t>
            </w:r>
          </w:p>
        </w:tc>
        <w:tc>
          <w:tcPr>
            <w:tcW w:w="1409"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固定电话</w:t>
            </w:r>
          </w:p>
        </w:tc>
        <w:tc>
          <w:tcPr>
            <w:tcW w:w="3654"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635" w:type="dxa"/>
            <w:vAlign w:val="center"/>
          </w:tcPr>
          <w:p>
            <w:pPr>
              <w:topLinePunct/>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主管部门</w:t>
            </w:r>
          </w:p>
        </w:tc>
        <w:tc>
          <w:tcPr>
            <w:tcW w:w="1409" w:type="dxa"/>
            <w:vAlign w:val="center"/>
          </w:tcPr>
          <w:p>
            <w:pPr>
              <w:topLinePunct/>
              <w:spacing w:line="44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营业执照</w:t>
            </w:r>
          </w:p>
        </w:tc>
        <w:tc>
          <w:tcPr>
            <w:tcW w:w="2044"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注册号码</w:t>
            </w:r>
          </w:p>
        </w:tc>
        <w:tc>
          <w:tcPr>
            <w:tcW w:w="1440"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071" w:type="dxa"/>
            <w:gridSpan w:val="2"/>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注册地址</w:t>
            </w:r>
          </w:p>
        </w:tc>
        <w:tc>
          <w:tcPr>
            <w:tcW w:w="3044" w:type="dxa"/>
            <w:gridSpan w:val="2"/>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2044"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发证机关</w:t>
            </w:r>
          </w:p>
        </w:tc>
        <w:tc>
          <w:tcPr>
            <w:tcW w:w="1440"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071" w:type="dxa"/>
            <w:gridSpan w:val="2"/>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发证日期</w:t>
            </w:r>
          </w:p>
        </w:tc>
        <w:tc>
          <w:tcPr>
            <w:tcW w:w="3044" w:type="dxa"/>
            <w:gridSpan w:val="2"/>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19" w:type="dxa"/>
            <w:vMerge w:val="continue"/>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2044"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营业范围</w:t>
            </w:r>
          </w:p>
        </w:tc>
        <w:tc>
          <w:tcPr>
            <w:tcW w:w="5555" w:type="dxa"/>
            <w:gridSpan w:val="6"/>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基本账户开户行及帐号</w:t>
            </w:r>
          </w:p>
        </w:tc>
        <w:tc>
          <w:tcPr>
            <w:tcW w:w="5555" w:type="dxa"/>
            <w:gridSpan w:val="6"/>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税务登记机关</w:t>
            </w:r>
          </w:p>
        </w:tc>
        <w:tc>
          <w:tcPr>
            <w:tcW w:w="5555" w:type="dxa"/>
            <w:gridSpan w:val="6"/>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资质名称</w:t>
            </w:r>
          </w:p>
        </w:tc>
        <w:tc>
          <w:tcPr>
            <w:tcW w:w="88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等级</w:t>
            </w:r>
          </w:p>
        </w:tc>
        <w:tc>
          <w:tcPr>
            <w:tcW w:w="777"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发证机关</w:t>
            </w:r>
          </w:p>
        </w:tc>
        <w:tc>
          <w:tcPr>
            <w:tcW w:w="304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88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777"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304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88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777"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304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8"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c>
          <w:tcPr>
            <w:tcW w:w="7060" w:type="dxa"/>
            <w:gridSpan w:val="8"/>
            <w:vAlign w:val="center"/>
          </w:tcPr>
          <w:p>
            <w:pPr>
              <w:topLinePunct/>
              <w:spacing w:line="440" w:lineRule="exact"/>
              <w:rPr>
                <w:rFonts w:ascii="宋体" w:hAnsi="宋体" w:cs="宋体"/>
                <w:color w:val="000000" w:themeColor="text1"/>
                <w:szCs w:val="21"/>
                <w14:textFill>
                  <w14:solidFill>
                    <w14:schemeClr w14:val="tx1"/>
                  </w14:solidFill>
                </w14:textFill>
              </w:rPr>
            </w:pPr>
          </w:p>
        </w:tc>
      </w:tr>
    </w:tbl>
    <w:p>
      <w:pPr>
        <w:adjustRightInd w:val="0"/>
        <w:snapToGrid w:val="0"/>
        <w:spacing w:line="360" w:lineRule="auto"/>
        <w:jc w:val="center"/>
        <w:rPr>
          <w:rFonts w:ascii="宋体" w:hAnsi="宋体" w:cs="宋体"/>
          <w:color w:val="000000" w:themeColor="text1"/>
          <w:sz w:val="24"/>
          <w14:textFill>
            <w14:solidFill>
              <w14:schemeClr w14:val="tx1"/>
            </w14:solidFill>
          </w14:textFill>
        </w:rPr>
      </w:pPr>
    </w:p>
    <w:p>
      <w:pPr>
        <w:spacing w:line="480" w:lineRule="exact"/>
        <w:rPr>
          <w:rFonts w:ascii="宋体" w:hAnsi="宋体" w:cs="宋体"/>
          <w:color w:val="000000" w:themeColor="text1"/>
          <w:sz w:val="32"/>
          <w:szCs w:val="32"/>
          <w14:textFill>
            <w14:solidFill>
              <w14:schemeClr w14:val="tx1"/>
            </w14:solidFill>
          </w14:textFill>
        </w:rPr>
      </w:pPr>
    </w:p>
    <w:p>
      <w:pPr>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附件9</w:t>
      </w:r>
    </w:p>
    <w:p>
      <w:pPr>
        <w:adjustRightInd w:val="0"/>
        <w:snapToGrid w:val="0"/>
        <w:spacing w:line="360" w:lineRule="auto"/>
        <w:ind w:firstLine="560" w:firstLineChars="200"/>
        <w:jc w:val="center"/>
        <w:rPr>
          <w:rFonts w:ascii="宋体" w:hAnsi="宋体" w:cs="宋体"/>
          <w:color w:val="000000" w:themeColor="text1"/>
          <w:sz w:val="28"/>
          <w:szCs w:val="28"/>
          <w:highlight w:val="yellow"/>
          <w14:textFill>
            <w14:solidFill>
              <w14:schemeClr w14:val="tx1"/>
            </w14:solidFill>
          </w14:textFill>
        </w:rPr>
      </w:pPr>
    </w:p>
    <w:p>
      <w:pPr>
        <w:adjustRightInd w:val="0"/>
        <w:snapToGrid w:val="0"/>
        <w:spacing w:line="360" w:lineRule="auto"/>
        <w:ind w:firstLine="562"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具备履行合同所必需的设备和专业技术能力的承诺</w:t>
      </w:r>
    </w:p>
    <w:p>
      <w:pPr>
        <w:adjustRightInd w:val="0"/>
        <w:snapToGrid w:val="0"/>
        <w:spacing w:line="360" w:lineRule="auto"/>
        <w:ind w:firstLine="560" w:firstLineChars="200"/>
        <w:jc w:val="center"/>
        <w:rPr>
          <w:rFonts w:ascii="宋体" w:hAnsi="宋体" w:cs="宋体"/>
          <w:color w:val="000000" w:themeColor="text1"/>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3"/>
          <w:szCs w:val="23"/>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 xml:space="preserve">本投标单位郑重声明： </w:t>
      </w:r>
    </w:p>
    <w:p>
      <w:pPr>
        <w:autoSpaceDE w:val="0"/>
        <w:autoSpaceDN w:val="0"/>
        <w:adjustRightInd w:val="0"/>
        <w:spacing w:line="440" w:lineRule="exact"/>
        <w:ind w:left="420"/>
        <w:jc w:val="left"/>
        <w:rPr>
          <w:rFonts w:ascii="宋体" w:hAnsi="宋体" w:cs="宋体"/>
          <w:color w:val="000000" w:themeColor="text1"/>
          <w:kern w:val="0"/>
          <w:sz w:val="23"/>
          <w:szCs w:val="23"/>
          <w14:textFill>
            <w14:solidFill>
              <w14:schemeClr w14:val="tx1"/>
            </w14:solidFill>
          </w14:textFill>
        </w:rPr>
      </w:pPr>
    </w:p>
    <w:p>
      <w:pPr>
        <w:autoSpaceDE w:val="0"/>
        <w:autoSpaceDN w:val="0"/>
        <w:adjustRightInd w:val="0"/>
        <w:spacing w:line="440" w:lineRule="exact"/>
        <w:ind w:firstLine="460" w:firstLineChars="200"/>
        <w:jc w:val="left"/>
        <w:rPr>
          <w:rFonts w:ascii="宋体" w:hAnsi="宋体" w:cs="宋体"/>
          <w:color w:val="000000" w:themeColor="text1"/>
          <w:kern w:val="0"/>
          <w:sz w:val="23"/>
          <w:szCs w:val="23"/>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 xml:space="preserve">本公司（或单位）具备本项目履行合同所必需的设备和专业技术能力，特此承诺。 </w:t>
      </w:r>
    </w:p>
    <w:p>
      <w:pPr>
        <w:autoSpaceDE w:val="0"/>
        <w:autoSpaceDN w:val="0"/>
        <w:adjustRightInd w:val="0"/>
        <w:spacing w:line="440" w:lineRule="exact"/>
        <w:jc w:val="left"/>
        <w:rPr>
          <w:rFonts w:ascii="宋体" w:hAnsi="宋体" w:cs="宋体"/>
          <w:color w:val="000000" w:themeColor="text1"/>
          <w:kern w:val="0"/>
          <w:sz w:val="23"/>
          <w:szCs w:val="23"/>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s="宋体"/>
          <w:color w:val="000000" w:themeColor="text1"/>
          <w:szCs w:val="21"/>
          <w14:textFill>
            <w14:solidFill>
              <w14:schemeClr w14:val="tx1"/>
            </w14:solidFill>
          </w14:textFill>
        </w:rPr>
        <w:sectPr>
          <w:pgSz w:w="11906" w:h="16838"/>
          <w:pgMar w:top="1440" w:right="1797" w:bottom="1440" w:left="1797" w:header="851" w:footer="992" w:gutter="0"/>
          <w:cols w:space="720" w:num="1"/>
          <w:docGrid w:linePitch="312" w:charSpace="0"/>
        </w:sect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日</w:t>
      </w:r>
    </w:p>
    <w:p>
      <w:pP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附件10</w:t>
      </w:r>
    </w:p>
    <w:p>
      <w:pPr>
        <w:pStyle w:val="22"/>
        <w:ind w:left="0" w:leftChars="0" w:firstLine="0" w:firstLineChars="0"/>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参数偏离表（商务、技术）</w:t>
      </w:r>
    </w:p>
    <w:p>
      <w:pPr>
        <w:pStyle w:val="22"/>
        <w:ind w:left="0" w:leftChars="0" w:firstLine="0" w:firstLineChars="0"/>
        <w:jc w:val="center"/>
        <w:rPr>
          <w:rFonts w:ascii="宋体" w:hAnsi="宋体" w:cs="宋体"/>
          <w:color w:val="000000"/>
          <w:szCs w:val="21"/>
        </w:rPr>
      </w:pPr>
      <w:r>
        <w:rPr>
          <w:rFonts w:hint="eastAsia" w:ascii="宋体" w:hAnsi="宋体" w:cs="宋体"/>
          <w:color w:val="000000"/>
          <w:szCs w:val="21"/>
        </w:rPr>
        <w:t>（此页需关联至评分项“产品配置、技术参数”中）</w:t>
      </w:r>
    </w:p>
    <w:p>
      <w:pPr>
        <w:autoSpaceDE w:val="0"/>
        <w:autoSpaceDN w:val="0"/>
        <w:ind w:right="471"/>
        <w:textAlignment w:val="bottom"/>
        <w:rPr>
          <w:rFonts w:ascii="宋体" w:hAnsi="宋体" w:cs="Arial"/>
          <w:color w:val="000000" w:themeColor="text1"/>
          <w:u w:val="single"/>
          <w14:textFill>
            <w14:solidFill>
              <w14:schemeClr w14:val="tx1"/>
            </w14:solidFill>
          </w14:textFill>
        </w:rPr>
      </w:pPr>
    </w:p>
    <w:tbl>
      <w:tblPr>
        <w:tblStyle w:val="46"/>
        <w:tblW w:w="887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05"/>
        <w:gridCol w:w="1994"/>
        <w:gridCol w:w="1932"/>
        <w:gridCol w:w="1560"/>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6"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605"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采购文件品目名称</w:t>
            </w:r>
          </w:p>
        </w:tc>
        <w:tc>
          <w:tcPr>
            <w:tcW w:w="1994"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采购文件要求参数</w:t>
            </w:r>
          </w:p>
        </w:tc>
        <w:tc>
          <w:tcPr>
            <w:tcW w:w="1932"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投标文件响应参数（</w:t>
            </w:r>
            <w:r>
              <w:rPr>
                <w:rFonts w:hint="eastAsia" w:ascii="宋体" w:hAnsi="宋体"/>
                <w:color w:val="000000" w:themeColor="text1"/>
                <w:szCs w:val="21"/>
                <w14:textFill>
                  <w14:solidFill>
                    <w14:schemeClr w14:val="tx1"/>
                  </w14:solidFill>
                </w14:textFill>
              </w:rPr>
              <w:t>投标文件技术参数</w:t>
            </w:r>
            <w:r>
              <w:rPr>
                <w:rFonts w:hint="eastAsia" w:ascii="宋体" w:hAnsi="宋体"/>
                <w:color w:val="000000" w:themeColor="text1"/>
                <w14:textFill>
                  <w14:solidFill>
                    <w14:schemeClr w14:val="tx1"/>
                  </w14:solidFill>
                </w14:textFill>
              </w:rPr>
              <w:t>）</w:t>
            </w:r>
          </w:p>
        </w:tc>
        <w:tc>
          <w:tcPr>
            <w:tcW w:w="1560"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相关证明文件中的描述在投标文件中的具体页码</w:t>
            </w:r>
          </w:p>
        </w:tc>
        <w:tc>
          <w:tcPr>
            <w:tcW w:w="1103"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偏离说明（无偏离，正/负偏离及偏离情况）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pPr>
            <w:r>
              <w:rPr>
                <w:rFonts w:hint="eastAsia"/>
              </w:rPr>
              <w:t>1</w:t>
            </w:r>
          </w:p>
        </w:tc>
        <w:tc>
          <w:tcPr>
            <w:tcW w:w="1605" w:type="dxa"/>
            <w:vAlign w:val="center"/>
          </w:tcPr>
          <w:p>
            <w:pPr>
              <w:snapToGrid w:val="0"/>
              <w:spacing w:line="400" w:lineRule="exact"/>
              <w:jc w:val="center"/>
              <w:rPr>
                <w:rFonts w:ascii="宋体" w:hAnsi="宋体" w:cs="宋体"/>
                <w:i/>
                <w:iCs/>
                <w:szCs w:val="21"/>
              </w:rPr>
            </w:pPr>
            <w:r>
              <w:rPr>
                <w:rFonts w:hint="eastAsia" w:ascii="宋体" w:hAnsi="宋体"/>
                <w:szCs w:val="21"/>
              </w:rPr>
              <w:t>第二章第1.5款：</w:t>
            </w:r>
            <w:r>
              <w:rPr>
                <w:rFonts w:hint="eastAsia" w:ascii="宋体" w:hAnsi="宋体"/>
              </w:rPr>
              <w:t>供货期限</w:t>
            </w:r>
          </w:p>
        </w:tc>
        <w:tc>
          <w:tcPr>
            <w:tcW w:w="1994" w:type="dxa"/>
            <w:vAlign w:val="center"/>
          </w:tcPr>
          <w:p>
            <w:pPr>
              <w:shd w:val="clear" w:color="auto" w:fill="FFFFFF"/>
              <w:spacing w:line="400" w:lineRule="exact"/>
              <w:ind w:left="-88" w:leftChars="-42"/>
              <w:jc w:val="center"/>
              <w:rPr>
                <w:rFonts w:ascii="宋体" w:hAnsi="宋体"/>
              </w:rPr>
            </w:pPr>
            <w:r>
              <w:rPr>
                <w:rFonts w:hint="eastAsia"/>
                <w:color w:val="FF0000"/>
              </w:rPr>
              <w:t>★</w:t>
            </w:r>
            <w:r>
              <w:rPr>
                <w:rFonts w:hint="eastAsia" w:ascii="宋体" w:hAnsi="宋体" w:cs="宋体"/>
                <w:color w:val="FF0000"/>
                <w:kern w:val="0"/>
                <w:szCs w:val="21"/>
              </w:rPr>
              <w:t>签订合同后</w:t>
            </w:r>
            <w:r>
              <w:rPr>
                <w:rFonts w:hint="eastAsia" w:ascii="宋体" w:hAnsi="宋体" w:cs="宋体"/>
                <w:color w:val="FF0000"/>
                <w:kern w:val="0"/>
                <w:szCs w:val="21"/>
                <w:lang w:val="en-US" w:eastAsia="zh-CN"/>
              </w:rPr>
              <w:t>60天</w:t>
            </w:r>
            <w:r>
              <w:rPr>
                <w:rFonts w:hint="eastAsia" w:ascii="宋体" w:hAnsi="宋体" w:cs="宋体"/>
                <w:color w:val="FF0000"/>
                <w:kern w:val="0"/>
                <w:szCs w:val="21"/>
              </w:rPr>
              <w:t>内</w:t>
            </w:r>
          </w:p>
        </w:tc>
        <w:tc>
          <w:tcPr>
            <w:tcW w:w="1932" w:type="dxa"/>
            <w:vAlign w:val="center"/>
          </w:tcPr>
          <w:p>
            <w:pPr>
              <w:shd w:val="clear" w:color="auto" w:fill="FFFFFF"/>
              <w:spacing w:line="400" w:lineRule="exact"/>
              <w:ind w:left="-88" w:leftChars="-42"/>
              <w:rPr>
                <w:rFonts w:ascii="宋体" w:hAnsi="宋体" w:cs="宋体"/>
                <w:i/>
                <w:iCs/>
                <w:szCs w:val="21"/>
              </w:rPr>
            </w:pPr>
            <w:r>
              <w:rPr>
                <w:rFonts w:hint="eastAsia" w:ascii="宋体" w:hAnsi="宋体"/>
                <w:szCs w:val="21"/>
              </w:rPr>
              <w:t xml:space="preserve"> </w:t>
            </w:r>
          </w:p>
        </w:tc>
        <w:tc>
          <w:tcPr>
            <w:tcW w:w="1560" w:type="dxa"/>
            <w:vAlign w:val="center"/>
          </w:tcPr>
          <w:p>
            <w:pPr>
              <w:shd w:val="clear" w:color="auto" w:fill="FFFFFF"/>
              <w:spacing w:line="400" w:lineRule="exact"/>
              <w:ind w:left="-88" w:leftChars="-42"/>
              <w:jc w:val="center"/>
              <w:rPr>
                <w:rFonts w:ascii="宋体" w:hAnsi="宋体"/>
              </w:rPr>
            </w:pPr>
            <w:r>
              <w:rPr>
                <w:rFonts w:hint="eastAsia" w:ascii="宋体" w:hAnsi="宋体" w:cs="宋体"/>
                <w:kern w:val="0"/>
                <w:szCs w:val="21"/>
              </w:rPr>
              <w:t xml:space="preserve">开标一览表（符合性审查文件） </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pPr>
            <w:r>
              <w:rPr>
                <w:rFonts w:hint="eastAsia"/>
              </w:rPr>
              <w:t>2</w:t>
            </w:r>
          </w:p>
        </w:tc>
        <w:tc>
          <w:tcPr>
            <w:tcW w:w="1605" w:type="dxa"/>
            <w:vAlign w:val="center"/>
          </w:tcPr>
          <w:p>
            <w:pPr>
              <w:snapToGrid w:val="0"/>
              <w:spacing w:line="400" w:lineRule="exact"/>
              <w:jc w:val="center"/>
              <w:rPr>
                <w:rFonts w:ascii="宋体" w:hAnsi="宋体"/>
              </w:rPr>
            </w:pPr>
            <w:r>
              <w:rPr>
                <w:rFonts w:hint="eastAsia" w:ascii="宋体" w:hAnsi="宋体"/>
                <w:szCs w:val="21"/>
              </w:rPr>
              <w:t>第二章第10.1款：</w:t>
            </w:r>
            <w:r>
              <w:rPr>
                <w:rFonts w:hint="eastAsia" w:ascii="宋体" w:hAnsi="宋体"/>
              </w:rPr>
              <w:t>质保期</w:t>
            </w:r>
          </w:p>
        </w:tc>
        <w:tc>
          <w:tcPr>
            <w:tcW w:w="1994" w:type="dxa"/>
            <w:vAlign w:val="center"/>
          </w:tcPr>
          <w:p>
            <w:pPr>
              <w:rPr>
                <w:rFonts w:ascii="宋体" w:hAnsi="宋体"/>
              </w:rPr>
            </w:pPr>
            <w:r>
              <w:rPr>
                <w:rFonts w:hint="eastAsia"/>
                <w:color w:val="FF0000"/>
              </w:rPr>
              <w:t>★</w:t>
            </w:r>
            <w:r>
              <w:rPr>
                <w:rFonts w:hint="eastAsia" w:ascii="宋体" w:hAnsi="宋体"/>
                <w:bCs/>
                <w:color w:val="FF0000"/>
                <w:szCs w:val="21"/>
              </w:rPr>
              <w:t>质保期</w:t>
            </w:r>
            <w:r>
              <w:rPr>
                <w:rFonts w:ascii="宋体" w:hAnsi="宋体"/>
                <w:bCs/>
                <w:color w:val="FF0000"/>
                <w:szCs w:val="21"/>
                <w:highlight w:val="none"/>
              </w:rPr>
              <w:t>2</w:t>
            </w:r>
            <w:r>
              <w:rPr>
                <w:rFonts w:hint="eastAsia" w:ascii="宋体" w:hAnsi="宋体"/>
                <w:bCs/>
                <w:color w:val="FF0000"/>
                <w:szCs w:val="21"/>
              </w:rPr>
              <w:t>年，质保期起计日为合同标的经验收合格交付之日起计。</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r>
              <w:rPr>
                <w:rFonts w:hint="eastAsia" w:ascii="宋体" w:hAnsi="宋体" w:cs="宋体"/>
                <w:kern w:val="0"/>
                <w:szCs w:val="21"/>
              </w:rPr>
              <w:t>开标一览表（符合性审查文件）</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rPr>
                <w:rFonts w:ascii="宋体" w:hAnsi="宋体"/>
              </w:rPr>
            </w:pPr>
            <w:r>
              <w:rPr>
                <w:rFonts w:hint="eastAsia"/>
              </w:rPr>
              <w:t>3</w:t>
            </w:r>
          </w:p>
        </w:tc>
        <w:tc>
          <w:tcPr>
            <w:tcW w:w="1605" w:type="dxa"/>
            <w:vAlign w:val="center"/>
          </w:tcPr>
          <w:p>
            <w:pPr>
              <w:snapToGrid w:val="0"/>
              <w:spacing w:line="400" w:lineRule="exact"/>
              <w:jc w:val="center"/>
              <w:rPr>
                <w:rFonts w:ascii="宋体" w:hAnsi="宋体"/>
              </w:rPr>
            </w:pPr>
            <w:r>
              <w:rPr>
                <w:rFonts w:hint="eastAsia" w:ascii="宋体" w:hAnsi="宋体"/>
              </w:rPr>
              <w:t>第五章第1款：</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szCs w:val="21"/>
              </w:rPr>
              <w:t xml:space="preserve"> </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r>
              <w:rPr>
                <w:rFonts w:hint="eastAsia" w:ascii="宋体" w:hAnsi="宋体"/>
              </w:rPr>
              <w:t>投标明细表</w:t>
            </w:r>
          </w:p>
          <w:p>
            <w:pPr>
              <w:shd w:val="clear" w:color="auto" w:fill="FFFFFF"/>
              <w:spacing w:line="400" w:lineRule="exact"/>
              <w:ind w:left="-88" w:leftChars="-42"/>
              <w:jc w:val="center"/>
              <w:rPr>
                <w:rFonts w:ascii="宋体" w:hAnsi="宋体"/>
              </w:rPr>
            </w:pPr>
            <w:r>
              <w:rPr>
                <w:rFonts w:hint="eastAsia" w:ascii="宋体" w:hAnsi="宋体"/>
              </w:rPr>
              <w:t>（页码）</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cs="宋体"/>
                <w:szCs w:val="21"/>
              </w:rPr>
              <w:t>……</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cs="宋体"/>
                <w:szCs w:val="21"/>
              </w:rPr>
              <w:t>……</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napToGrid w:val="0"/>
              <w:spacing w:line="400" w:lineRule="exact"/>
              <w:ind w:firstLine="630" w:firstLineChars="300"/>
              <w:jc w:val="both"/>
            </w:pPr>
            <w:r>
              <w:rPr>
                <w:rFonts w:hint="eastAsia" w:ascii="宋体" w:hAnsi="宋体" w:cs="宋体"/>
                <w:szCs w:val="21"/>
              </w:rPr>
              <w:t>……</w:t>
            </w:r>
          </w:p>
        </w:tc>
        <w:tc>
          <w:tcPr>
            <w:tcW w:w="1932" w:type="dxa"/>
            <w:vAlign w:val="center"/>
          </w:tcPr>
          <w:p>
            <w:pPr>
              <w:snapToGrid w:val="0"/>
              <w:spacing w:line="400" w:lineRule="exact"/>
              <w:jc w:val="center"/>
            </w:pPr>
          </w:p>
        </w:tc>
        <w:tc>
          <w:tcPr>
            <w:tcW w:w="1560"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bl>
    <w:p>
      <w:pPr>
        <w:autoSpaceDE w:val="0"/>
        <w:autoSpaceDN w:val="0"/>
        <w:spacing w:line="360" w:lineRule="auto"/>
        <w:ind w:right="471"/>
        <w:textAlignment w:val="bottom"/>
        <w:rPr>
          <w:rFonts w:ascii="宋体" w:hAnsi="宋体" w:cs="Arial"/>
        </w:rPr>
      </w:pPr>
      <w:r>
        <w:rPr>
          <w:rFonts w:hint="eastAsia" w:ascii="宋体" w:hAnsi="宋体" w:cs="Arial"/>
        </w:rPr>
        <w:t>注：</w:t>
      </w:r>
    </w:p>
    <w:p>
      <w:pPr>
        <w:autoSpaceDE w:val="0"/>
        <w:autoSpaceDN w:val="0"/>
        <w:spacing w:line="360" w:lineRule="auto"/>
        <w:ind w:right="471"/>
        <w:textAlignment w:val="bottom"/>
        <w:rPr>
          <w:rFonts w:ascii="宋体" w:hAnsi="宋体" w:cs="Arial"/>
          <w:szCs w:val="21"/>
        </w:rPr>
      </w:pPr>
      <w:r>
        <w:rPr>
          <w:rFonts w:hint="eastAsia" w:ascii="宋体" w:hAnsi="宋体" w:cs="Arial"/>
          <w:szCs w:val="21"/>
        </w:rPr>
        <w:t>1、投标单位应在响应技术文件中对本技术规格书逐条按顺序响应，做出必要的解释并列出技术偏差表。而不应完全复制招标文件中技术参数要求，统一回答“响应”“无偏离”“正偏离”等。</w:t>
      </w:r>
    </w:p>
    <w:p>
      <w:pPr>
        <w:autoSpaceDE w:val="0"/>
        <w:autoSpaceDN w:val="0"/>
        <w:spacing w:line="360" w:lineRule="auto"/>
        <w:ind w:right="471"/>
        <w:textAlignment w:val="bottom"/>
        <w:rPr>
          <w:rFonts w:ascii="宋体" w:hAnsi="宋体" w:cs="Arial"/>
          <w:szCs w:val="21"/>
        </w:rPr>
      </w:pPr>
      <w:r>
        <w:rPr>
          <w:rFonts w:hint="eastAsia" w:ascii="宋体" w:hAnsi="宋体" w:cs="Arial"/>
          <w:szCs w:val="21"/>
        </w:rPr>
        <w:t>2、此表1-2项均为实质性要求，不得存在负偏离，否则视同为无效投标。</w:t>
      </w:r>
    </w:p>
    <w:p>
      <w:pPr>
        <w:autoSpaceDE w:val="0"/>
        <w:autoSpaceDN w:val="0"/>
        <w:spacing w:line="360" w:lineRule="auto"/>
        <w:ind w:right="471"/>
        <w:textAlignment w:val="bottom"/>
        <w:rPr>
          <w:rFonts w:ascii="宋体" w:hAnsi="宋体" w:cs="Arial"/>
          <w:szCs w:val="21"/>
          <w:lang w:val="zh-CN"/>
        </w:rPr>
      </w:pPr>
      <w:r>
        <w:rPr>
          <w:rFonts w:hint="eastAsia" w:ascii="宋体" w:hAnsi="宋体" w:cs="Arial"/>
          <w:b/>
          <w:bCs/>
          <w:szCs w:val="21"/>
        </w:rPr>
        <w:t>3、此表3项往后，请</w:t>
      </w:r>
      <w:r>
        <w:rPr>
          <w:rFonts w:hint="eastAsia" w:ascii="宋体" w:hAnsi="宋体" w:cs="Arial"/>
          <w:b/>
          <w:bCs/>
          <w:szCs w:val="21"/>
          <w:lang w:val="zh-CN"/>
        </w:rPr>
        <w:t>供应商应根据投标</w:t>
      </w:r>
      <w:r>
        <w:rPr>
          <w:rFonts w:hint="eastAsia" w:ascii="宋体" w:hAnsi="宋体" w:cs="Arial"/>
          <w:b/>
          <w:bCs/>
          <w:szCs w:val="21"/>
        </w:rPr>
        <w:t>货物</w:t>
      </w:r>
      <w:r>
        <w:rPr>
          <w:rFonts w:hint="eastAsia" w:ascii="宋体" w:hAnsi="宋体" w:cs="Arial"/>
          <w:b/>
          <w:bCs/>
          <w:szCs w:val="21"/>
          <w:lang w:val="zh-CN"/>
        </w:rPr>
        <w:t>的性能指标、对照文件中“</w:t>
      </w:r>
      <w:r>
        <w:rPr>
          <w:rFonts w:hint="eastAsia" w:ascii="宋体" w:hAnsi="宋体" w:cs="Arial"/>
          <w:b/>
          <w:bCs/>
          <w:szCs w:val="21"/>
        </w:rPr>
        <w:t>第五部分 采购需求</w:t>
      </w:r>
      <w:r>
        <w:rPr>
          <w:rFonts w:hint="eastAsia" w:ascii="宋体" w:hAnsi="宋体" w:cs="Arial"/>
          <w:b/>
          <w:bCs/>
          <w:szCs w:val="21"/>
          <w:lang w:val="zh-CN"/>
        </w:rPr>
        <w:t>”中的</w:t>
      </w:r>
      <w:r>
        <w:rPr>
          <w:rFonts w:hint="eastAsia" w:ascii="宋体" w:hAnsi="宋体" w:cs="Arial"/>
          <w:b/>
          <w:bCs/>
          <w:szCs w:val="21"/>
        </w:rPr>
        <w:t>所有</w:t>
      </w:r>
      <w:r>
        <w:rPr>
          <w:rFonts w:hint="eastAsia" w:ascii="宋体" w:hAnsi="宋体" w:cs="Arial"/>
          <w:b/>
          <w:bCs/>
          <w:szCs w:val="21"/>
          <w:lang w:val="zh-CN"/>
        </w:rPr>
        <w:t>参数要求，如实逐条一一对应填写响应情况。</w:t>
      </w:r>
    </w:p>
    <w:p>
      <w:pPr>
        <w:autoSpaceDE w:val="0"/>
        <w:autoSpaceDN w:val="0"/>
        <w:spacing w:line="360" w:lineRule="auto"/>
        <w:ind w:right="471"/>
        <w:textAlignment w:val="bottom"/>
      </w:pPr>
      <w:r>
        <w:rPr>
          <w:rFonts w:hint="eastAsia" w:ascii="宋体" w:hAnsi="宋体" w:cs="Arial"/>
          <w:szCs w:val="21"/>
        </w:rPr>
        <w:t>4、请依照实际投标参数填写，验收时如发现为谋取中标而填写虚假参数信息，将上报失信名单并追究相关责任。</w:t>
      </w:r>
    </w:p>
    <w:p>
      <w:pPr>
        <w:numPr>
          <w:ilvl w:val="0"/>
          <w:numId w:val="11"/>
        </w:numPr>
        <w:autoSpaceDE w:val="0"/>
        <w:autoSpaceDN w:val="0"/>
        <w:spacing w:line="360" w:lineRule="auto"/>
        <w:ind w:right="471"/>
        <w:textAlignment w:val="bottom"/>
        <w:rPr>
          <w:rFonts w:ascii="宋体" w:hAnsi="宋体" w:cs="Arial"/>
          <w:color w:val="000000" w:themeColor="text1"/>
          <w:szCs w:val="21"/>
          <w14:textFill>
            <w14:solidFill>
              <w14:schemeClr w14:val="tx1"/>
            </w14:solidFill>
          </w14:textFill>
        </w:rPr>
      </w:pPr>
      <w:r>
        <w:rPr>
          <w:rFonts w:hint="eastAsia" w:ascii="宋体" w:hAnsi="宋体" w:cs="Arial"/>
          <w:szCs w:val="21"/>
        </w:rPr>
        <w:br w:type="page"/>
      </w:r>
    </w:p>
    <w:p>
      <w:pPr>
        <w:adjustRightInd w:val="0"/>
        <w:snapToGrid w:val="0"/>
        <w:spacing w:line="360" w:lineRule="auto"/>
        <w:rPr>
          <w:rFonts w:ascii="宋体" w:hAnsi="宋体"/>
          <w:bCs/>
          <w:color w:val="000000" w:themeColor="text1"/>
          <w:sz w:val="28"/>
          <w:szCs w:val="28"/>
          <w14:textFill>
            <w14:solidFill>
              <w14:schemeClr w14:val="tx1"/>
            </w14:solidFill>
          </w14:textFill>
        </w:rPr>
      </w:pPr>
      <w:r>
        <w:rPr>
          <w:rFonts w:hint="eastAsia" w:hAnsi="宋体"/>
          <w:bCs/>
          <w:color w:val="000000" w:themeColor="text1"/>
          <w:sz w:val="28"/>
          <w:szCs w:val="28"/>
          <w14:textFill>
            <w14:solidFill>
              <w14:schemeClr w14:val="tx1"/>
            </w14:solidFill>
          </w14:textFill>
        </w:rPr>
        <w:t>附件11</w:t>
      </w:r>
    </w:p>
    <w:p>
      <w:pPr>
        <w:adjustRightInd w:val="0"/>
        <w:snapToGrid w:val="0"/>
        <w:spacing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近三年同类项目业绩表</w:t>
      </w:r>
    </w:p>
    <w:p>
      <w:pPr>
        <w:tabs>
          <w:tab w:val="left" w:pos="3600"/>
        </w:tabs>
        <w:adjustRightInd w:val="0"/>
        <w:snapToGrid w:val="0"/>
        <w:jc w:val="center"/>
        <w:rPr>
          <w:rFonts w:ascii="宋体" w:hAnsi="宋体" w:cs="宋体"/>
          <w:b/>
          <w:bCs/>
          <w:color w:val="000000" w:themeColor="text1"/>
          <w:spacing w:val="6"/>
          <w:kern w:val="0"/>
          <w:szCs w:val="21"/>
          <w14:textFill>
            <w14:solidFill>
              <w14:schemeClr w14:val="tx1"/>
            </w14:solidFill>
          </w14:textFill>
        </w:rPr>
      </w:pPr>
    </w:p>
    <w:p>
      <w:pPr>
        <w:tabs>
          <w:tab w:val="left" w:pos="5580"/>
        </w:tabs>
        <w:spacing w:before="1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近三年(2020年1月1日至今）</w:t>
      </w:r>
      <w:r>
        <w:rPr>
          <w:rFonts w:hint="eastAsia" w:ascii="宋体" w:hAnsi="宋体" w:cs="宋体"/>
          <w:b/>
          <w:bCs/>
          <w:color w:val="000000" w:themeColor="text1"/>
          <w:szCs w:val="21"/>
          <w14:textFill>
            <w14:solidFill>
              <w14:schemeClr w14:val="tx1"/>
            </w14:solidFill>
          </w14:textFill>
        </w:rPr>
        <w:t>同类项目</w:t>
      </w:r>
      <w:r>
        <w:rPr>
          <w:rFonts w:hint="eastAsia" w:ascii="宋体" w:hAnsi="宋体" w:cs="宋体"/>
          <w:color w:val="000000" w:themeColor="text1"/>
          <w:szCs w:val="21"/>
          <w14:textFill>
            <w14:solidFill>
              <w14:schemeClr w14:val="tx1"/>
            </w14:solidFill>
          </w14:textFill>
        </w:rPr>
        <w:t>业绩统计：</w:t>
      </w:r>
    </w:p>
    <w:tbl>
      <w:tblPr>
        <w:tblStyle w:val="46"/>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106"/>
        <w:gridCol w:w="1841"/>
        <w:gridCol w:w="1528"/>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4" w:type="dxa"/>
            <w:vAlign w:val="center"/>
          </w:tcPr>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地　　区</w:t>
            </w:r>
          </w:p>
        </w:tc>
        <w:tc>
          <w:tcPr>
            <w:tcW w:w="2106" w:type="dxa"/>
            <w:vAlign w:val="center"/>
          </w:tcPr>
          <w:p>
            <w:pPr>
              <w:pStyle w:val="116"/>
              <w:spacing w:line="320" w:lineRule="exact"/>
              <w:ind w:right="-107" w:rightChars="-51"/>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项目名称</w:t>
            </w:r>
          </w:p>
        </w:tc>
        <w:tc>
          <w:tcPr>
            <w:tcW w:w="1841" w:type="dxa"/>
            <w:vAlign w:val="center"/>
          </w:tcPr>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中标日期或</w:t>
            </w:r>
          </w:p>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合同签订日期</w:t>
            </w:r>
          </w:p>
        </w:tc>
        <w:tc>
          <w:tcPr>
            <w:tcW w:w="1528" w:type="dxa"/>
            <w:vAlign w:val="center"/>
          </w:tcPr>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中标金额</w:t>
            </w:r>
          </w:p>
        </w:tc>
        <w:tc>
          <w:tcPr>
            <w:tcW w:w="1628" w:type="dxa"/>
            <w:vAlign w:val="center"/>
          </w:tcPr>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bl>
    <w:p>
      <w:pPr>
        <w:tabs>
          <w:tab w:val="left" w:pos="5580"/>
        </w:tabs>
        <w:spacing w:before="120" w:line="360" w:lineRule="auto"/>
        <w:ind w:firstLine="210" w:firstLineChars="100"/>
        <w:rPr>
          <w:rFonts w:ascii="宋体" w:hAnsi="宋体" w:cs="宋体"/>
          <w:b/>
          <w:bCs/>
          <w:sz w:val="24"/>
          <w:u w:val="single"/>
        </w:rPr>
      </w:pPr>
      <w:r>
        <w:rPr>
          <w:rFonts w:hint="eastAsia" w:ascii="宋体" w:hAnsi="宋体" w:cs="宋体"/>
          <w:color w:val="000000" w:themeColor="text1"/>
          <w:szCs w:val="21"/>
          <w14:textFill>
            <w14:solidFill>
              <w14:schemeClr w14:val="tx1"/>
            </w14:solidFill>
          </w14:textFill>
        </w:rPr>
        <w:t>注：1、此表可向下延伸</w:t>
      </w:r>
      <w:r>
        <w:rPr>
          <w:rFonts w:hint="eastAsia" w:ascii="宋体" w:hAnsi="宋体" w:cs="宋体"/>
          <w:szCs w:val="21"/>
        </w:rPr>
        <w:t>，</w:t>
      </w:r>
      <w:r>
        <w:rPr>
          <w:rFonts w:hint="eastAsia" w:ascii="宋体" w:hAnsi="宋体" w:cs="宋体"/>
          <w:b/>
          <w:bCs/>
          <w:sz w:val="24"/>
          <w:u w:val="single"/>
        </w:rPr>
        <w:t>后附中标通知书或合同扫描件作为业绩评审资料，提供资料中须包含中标金额及日期。</w:t>
      </w:r>
    </w:p>
    <w:p>
      <w:pPr>
        <w:pStyle w:val="25"/>
        <w:tabs>
          <w:tab w:val="left" w:pos="1470"/>
          <w:tab w:val="right" w:leader="dot" w:pos="8296"/>
        </w:tabs>
        <w:spacing w:line="360" w:lineRule="auto"/>
        <w:ind w:left="0" w:firstLine="630" w:firstLineChars="300"/>
        <w:rPr>
          <w:rFonts w:ascii="宋体" w:hAnsi="宋体" w:cs="宋体"/>
          <w:i w:val="0"/>
          <w:iCs w:val="0"/>
          <w:sz w:val="21"/>
          <w:szCs w:val="21"/>
        </w:rPr>
      </w:pPr>
      <w:r>
        <w:rPr>
          <w:rFonts w:hint="eastAsia" w:ascii="宋体" w:hAnsi="宋体" w:cs="宋体"/>
          <w:i w:val="0"/>
          <w:iCs w:val="0"/>
          <w:sz w:val="21"/>
          <w:szCs w:val="21"/>
        </w:rPr>
        <w:t>2、表格内需提供同类项目业绩，请勿提供其他无关项目业绩影响评分，</w:t>
      </w:r>
    </w:p>
    <w:p>
      <w:pPr>
        <w:tabs>
          <w:tab w:val="left" w:pos="5580"/>
        </w:tabs>
        <w:spacing w:before="120"/>
        <w:ind w:firstLine="454"/>
        <w:rPr>
          <w:rFonts w:ascii="宋体" w:hAnsi="宋体" w:cs="宋体"/>
          <w:color w:val="000000" w:themeColor="text1"/>
          <w:szCs w:val="21"/>
          <w14:textFill>
            <w14:solidFill>
              <w14:schemeClr w14:val="tx1"/>
            </w14:solidFill>
          </w14:textFill>
        </w:rPr>
      </w:pPr>
    </w:p>
    <w:p>
      <w:pPr>
        <w:tabs>
          <w:tab w:val="left" w:pos="5580"/>
        </w:tabs>
        <w:spacing w:before="120"/>
        <w:ind w:firstLine="45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兹证明上述声明是真实、正确的，我们同意遵照贵方要求出示有关证明文件。</w:t>
      </w:r>
    </w:p>
    <w:p>
      <w:pPr>
        <w:tabs>
          <w:tab w:val="left" w:pos="5580"/>
        </w:tabs>
        <w:spacing w:before="120"/>
        <w:rPr>
          <w:rFonts w:ascii="宋体" w:hAnsi="宋体" w:cs="宋体"/>
          <w:color w:val="000000" w:themeColor="text1"/>
          <w:szCs w:val="21"/>
          <w14:textFill>
            <w14:solidFill>
              <w14:schemeClr w14:val="tx1"/>
            </w14:solidFill>
          </w14:textFill>
        </w:rPr>
      </w:pP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日期：__________________________________________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投标单位授权代表(签字)：________________________________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投标单位授权代表的职务：________________________________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电话号：________________________________________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传真号：________________________________________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签章：__________________________________________</w:t>
      </w:r>
    </w:p>
    <w:p>
      <w:pPr>
        <w:adjustRightInd w:val="0"/>
        <w:snapToGrid w:val="0"/>
        <w:rPr>
          <w:rFonts w:ascii="宋体" w:hAnsi="宋体"/>
          <w:bCs/>
          <w:color w:val="000000" w:themeColor="text1"/>
          <w:sz w:val="28"/>
          <w:szCs w:val="28"/>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bCs/>
          <w:color w:val="000000" w:themeColor="text1"/>
          <w:sz w:val="28"/>
          <w:szCs w:val="28"/>
          <w14:textFill>
            <w14:solidFill>
              <w14:schemeClr w14:val="tx1"/>
            </w14:solidFill>
          </w14:textFill>
        </w:rPr>
        <w:t>附件12</w:t>
      </w:r>
    </w:p>
    <w:p>
      <w:pPr>
        <w:adjustRightInd w:val="0"/>
        <w:snapToGrid w:val="0"/>
        <w:ind w:left="-88" w:leftChars="-42" w:firstLine="280" w:firstLineChars="100"/>
        <w:jc w:val="cente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拟投入本项目的服务人员一览表</w:t>
      </w:r>
    </w:p>
    <w:p>
      <w:pPr>
        <w:spacing w:line="420" w:lineRule="exact"/>
        <w:jc w:val="center"/>
        <w:rPr>
          <w:rFonts w:ascii="宋体" w:hAnsi="宋体"/>
          <w:b/>
          <w:color w:val="000000" w:themeColor="text1"/>
          <w:szCs w:val="21"/>
          <w14:textFill>
            <w14:solidFill>
              <w14:schemeClr w14:val="tx1"/>
            </w14:solidFill>
          </w14:textFill>
        </w:rPr>
      </w:pPr>
    </w:p>
    <w:tbl>
      <w:tblPr>
        <w:tblStyle w:val="46"/>
        <w:tblW w:w="8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vAlign w:val="center"/>
          </w:tcPr>
          <w:p>
            <w:pPr>
              <w:ind w:firstLine="1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exact"/>
          <w:jc w:val="center"/>
        </w:trPr>
        <w:tc>
          <w:tcPr>
            <w:tcW w:w="1276"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职责分工</w:t>
            </w:r>
          </w:p>
        </w:tc>
        <w:tc>
          <w:tcPr>
            <w:tcW w:w="1183"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945"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年龄</w:t>
            </w:r>
          </w:p>
        </w:tc>
        <w:tc>
          <w:tcPr>
            <w:tcW w:w="113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w:t>
            </w:r>
          </w:p>
        </w:tc>
        <w:tc>
          <w:tcPr>
            <w:tcW w:w="1359"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在本项目中担任的岗位</w:t>
            </w:r>
          </w:p>
        </w:tc>
        <w:tc>
          <w:tcPr>
            <w:tcW w:w="1470" w:type="dxa"/>
            <w:vAlign w:val="center"/>
          </w:tcPr>
          <w:p>
            <w:pPr>
              <w:ind w:firstLine="1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从事类似工作年限</w:t>
            </w:r>
          </w:p>
        </w:tc>
        <w:tc>
          <w:tcPr>
            <w:tcW w:w="1142" w:type="dxa"/>
            <w:vAlign w:val="center"/>
          </w:tcPr>
          <w:p>
            <w:pPr>
              <w:ind w:firstLine="1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备注（类似业绩）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项目负责人</w:t>
            </w:r>
          </w:p>
        </w:tc>
        <w:tc>
          <w:tcPr>
            <w:tcW w:w="1183" w:type="dxa"/>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pStyle w:val="149"/>
              <w:keepNext w:val="0"/>
              <w:adjustRightInd/>
              <w:spacing w:before="0" w:after="0" w:line="240" w:lineRule="auto"/>
              <w:textAlignment w:val="auto"/>
              <w:rPr>
                <w:rFonts w:ascii="宋体" w:hAnsi="宋体"/>
                <w:snapToGrid/>
                <w:color w:val="000000" w:themeColor="text1"/>
                <w:spacing w:val="0"/>
                <w:kern w:val="2"/>
                <w:szCs w:val="24"/>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ind w:firstLine="12"/>
              <w:jc w:val="center"/>
              <w:rPr>
                <w:rFonts w:ascii="宋体" w:hAnsi="宋体"/>
                <w:color w:val="000000" w:themeColor="text1"/>
                <w14:textFill>
                  <w14:solidFill>
                    <w14:schemeClr w14:val="tx1"/>
                  </w14:solidFill>
                </w14:textFill>
              </w:rPr>
            </w:pPr>
          </w:p>
        </w:tc>
        <w:tc>
          <w:tcPr>
            <w:tcW w:w="1142" w:type="dxa"/>
            <w:vAlign w:val="center"/>
          </w:tcPr>
          <w:p>
            <w:pPr>
              <w:ind w:firstLine="12"/>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其人员</w:t>
            </w:r>
          </w:p>
        </w:tc>
        <w:tc>
          <w:tcPr>
            <w:tcW w:w="1183" w:type="dxa"/>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jc w:val="center"/>
              <w:rPr>
                <w:rFonts w:ascii="宋体" w:hAnsi="宋体"/>
                <w:color w:val="000000" w:themeColor="text1"/>
                <w14:textFill>
                  <w14:solidFill>
                    <w14:schemeClr w14:val="tx1"/>
                  </w14:solidFill>
                </w14:textFill>
              </w:rPr>
            </w:pPr>
          </w:p>
        </w:tc>
        <w:tc>
          <w:tcPr>
            <w:tcW w:w="1183" w:type="dxa"/>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83" w:type="dxa"/>
            <w:tcBorders>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exact"/>
          <w:jc w:val="center"/>
        </w:trPr>
        <w:tc>
          <w:tcPr>
            <w:tcW w:w="8512" w:type="dxa"/>
            <w:gridSpan w:val="7"/>
            <w:tcBorders>
              <w:top w:val="single" w:color="auto" w:sz="4" w:space="0"/>
              <w:bottom w:val="single" w:color="auto" w:sz="4" w:space="0"/>
            </w:tcBorders>
            <w:vAlign w:val="center"/>
          </w:tcPr>
          <w:p>
            <w:pPr>
              <w:jc w:val="center"/>
            </w:pPr>
            <w:r>
              <w:rPr>
                <w:rFonts w:hint="eastAsia"/>
              </w:rPr>
              <w:t>设备清单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设备名称</w:t>
            </w:r>
          </w:p>
        </w:tc>
        <w:tc>
          <w:tcPr>
            <w:tcW w:w="113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规格型号</w:t>
            </w:r>
          </w:p>
        </w:tc>
        <w:tc>
          <w:tcPr>
            <w:tcW w:w="1359"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w:t>
            </w:r>
          </w:p>
        </w:tc>
        <w:tc>
          <w:tcPr>
            <w:tcW w:w="1470"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w:t>
            </w:r>
          </w:p>
        </w:tc>
        <w:tc>
          <w:tcPr>
            <w:tcW w:w="1142"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bl>
    <w:p>
      <w:pPr>
        <w:spacing w:line="400" w:lineRule="exact"/>
        <w:rPr>
          <w:rFonts w:ascii="宋体" w:hAnsi="宋体"/>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pStyle w:val="28"/>
        <w:adjustRightInd w:val="0"/>
        <w:snapToGrid w:val="0"/>
        <w:spacing w:line="360" w:lineRule="auto"/>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投标人名称：</w:t>
      </w:r>
      <w:r>
        <w:rPr>
          <w:rFonts w:hint="eastAsia" w:ascii="宋体" w:hAnsi="宋体"/>
          <w:color w:val="000000" w:themeColor="text1"/>
          <w:sz w:val="21"/>
          <w:szCs w:val="21"/>
          <w:u w:val="single"/>
          <w14:textFill>
            <w14:solidFill>
              <w14:schemeClr w14:val="tx1"/>
            </w14:solidFill>
          </w14:textFill>
        </w:rPr>
        <w:t xml:space="preserve">                   </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法定代表人或其委托代理人(签字)：</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日          期：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年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月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日</w:t>
      </w:r>
    </w:p>
    <w:p>
      <w:pPr>
        <w:topLinePunct/>
        <w:spacing w:line="440" w:lineRule="exact"/>
        <w:rPr>
          <w:rFonts w:ascii="宋体" w:hAnsi="宋体"/>
          <w:b/>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bCs/>
          <w:color w:val="000000" w:themeColor="text1"/>
          <w:sz w:val="28"/>
          <w:szCs w:val="28"/>
          <w14:textFill>
            <w14:solidFill>
              <w14:schemeClr w14:val="tx1"/>
            </w14:solidFill>
          </w14:textFill>
        </w:rPr>
        <w:t>附件13</w:t>
      </w:r>
    </w:p>
    <w:p>
      <w:pPr>
        <w:adjustRightInd w:val="0"/>
        <w:snapToGrid w:val="0"/>
        <w:ind w:left="-88" w:leftChars="-42" w:firstLine="280" w:firstLineChars="100"/>
        <w:jc w:val="cente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售后服务附表</w:t>
      </w:r>
    </w:p>
    <w:p>
      <w:pPr>
        <w:topLinePunct/>
        <w:spacing w:line="440" w:lineRule="exact"/>
        <w:rPr>
          <w:rFonts w:ascii="宋体" w:hAnsi="宋体"/>
          <w:b/>
          <w:color w:val="000000" w:themeColor="text1"/>
          <w:szCs w:val="21"/>
          <w14:textFill>
            <w14:solidFill>
              <w14:schemeClr w14:val="tx1"/>
            </w14:solidFill>
          </w14:textFill>
        </w:rPr>
      </w:pPr>
    </w:p>
    <w:p>
      <w:pPr>
        <w:topLinePunct/>
        <w:spacing w:line="440" w:lineRule="exact"/>
        <w:rPr>
          <w:rFonts w:ascii="宋体" w:hAnsi="宋体"/>
          <w:b/>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项目编号：</w:t>
      </w:r>
      <w:r>
        <w:rPr>
          <w:rFonts w:hint="eastAsia" w:ascii="宋体" w:hAnsi="宋体"/>
          <w:b/>
          <w:color w:val="000000" w:themeColor="text1"/>
          <w:szCs w:val="21"/>
          <w:u w:val="single"/>
          <w14:textFill>
            <w14:solidFill>
              <w14:schemeClr w14:val="tx1"/>
            </w14:solidFill>
          </w14:textFill>
        </w:rPr>
        <w:t xml:space="preserve">                           </w:t>
      </w:r>
    </w:p>
    <w:p>
      <w:pPr>
        <w:topLinePunct/>
        <w:spacing w:line="44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投标人名称：</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w:t>
      </w:r>
    </w:p>
    <w:tbl>
      <w:tblPr>
        <w:tblStyle w:val="46"/>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服务网点名称</w:t>
            </w:r>
          </w:p>
        </w:tc>
        <w:tc>
          <w:tcPr>
            <w:tcW w:w="497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ascii="宋体" w:hAnsi="宋体"/>
                <w:color w:val="000000" w:themeColor="text1"/>
                <w:szCs w:val="21"/>
                <w14:textFill>
                  <w14:solidFill>
                    <w14:schemeClr w14:val="tx1"/>
                  </w14:solidFill>
                </w14:textFill>
              </w:rPr>
            </w:pPr>
          </w:p>
        </w:tc>
        <w:tc>
          <w:tcPr>
            <w:tcW w:w="204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497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ascii="宋体" w:hAnsi="宋体"/>
                <w:color w:val="000000" w:themeColor="text1"/>
                <w:szCs w:val="21"/>
                <w14:textFill>
                  <w14:solidFill>
                    <w14:schemeClr w14:val="tx1"/>
                  </w14:solidFill>
                </w14:textFill>
              </w:rPr>
            </w:pPr>
          </w:p>
        </w:tc>
        <w:tc>
          <w:tcPr>
            <w:tcW w:w="204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注册资本金</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336" w:type="dxa"/>
            <w:gridSpan w:val="3"/>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其中：投标人出资比例</w:t>
            </w:r>
          </w:p>
        </w:tc>
        <w:tc>
          <w:tcPr>
            <w:tcW w:w="1196"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restart"/>
            <w:tcBorders>
              <w:top w:val="single" w:color="auto" w:sz="4" w:space="0"/>
              <w:left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员工总人数</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336" w:type="dxa"/>
            <w:gridSpan w:val="3"/>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其中：技术人员数</w:t>
            </w:r>
          </w:p>
        </w:tc>
        <w:tc>
          <w:tcPr>
            <w:tcW w:w="1196"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continue"/>
            <w:tcBorders>
              <w:left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经营期限</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continue"/>
            <w:tcBorders>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本地化（伊犁州、霍尔果斯）售后服务协议</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注:如外地企业在伊犁州或霍尔果斯有本地售后服务机构可提供相关证明材料。本地企业可不填写。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售后服务内容</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restart"/>
            <w:tcBorders>
              <w:top w:val="single" w:color="auto" w:sz="4" w:space="0"/>
              <w:left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服务承诺</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continue"/>
            <w:tcBorders>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业务咨询电话</w:t>
            </w:r>
          </w:p>
        </w:tc>
        <w:tc>
          <w:tcPr>
            <w:tcW w:w="1631" w:type="dxa"/>
            <w:gridSpan w:val="2"/>
            <w:tcBorders>
              <w:top w:val="single" w:color="auto" w:sz="4" w:space="0"/>
              <w:left w:val="single" w:color="auto" w:sz="4"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ind w:firstLine="210" w:firstLineChars="1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w:t>
            </w:r>
            <w:r>
              <w:rPr>
                <w:rFonts w:ascii="宋体" w:hAnsi="宋体"/>
                <w:color w:val="000000" w:themeColor="text1"/>
                <w:szCs w:val="21"/>
                <w14:textFill>
                  <w14:solidFill>
                    <w14:schemeClr w14:val="tx1"/>
                  </w14:solidFill>
                </w14:textFill>
              </w:rPr>
              <w:t xml:space="preserve"> 真</w:t>
            </w:r>
          </w:p>
        </w:tc>
        <w:tc>
          <w:tcPr>
            <w:tcW w:w="1901" w:type="dxa"/>
            <w:gridSpan w:val="2"/>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restart"/>
            <w:tcBorders>
              <w:top w:val="single" w:color="auto" w:sz="4" w:space="0"/>
              <w:left w:val="single" w:color="auto" w:sz="2"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负责人</w:t>
            </w:r>
          </w:p>
        </w:tc>
        <w:tc>
          <w:tcPr>
            <w:tcW w:w="1631" w:type="dxa"/>
            <w:gridSpan w:val="2"/>
            <w:tcBorders>
              <w:top w:val="single" w:color="auto" w:sz="4" w:space="0"/>
              <w:left w:val="single" w:color="auto" w:sz="4"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1901" w:type="dxa"/>
            <w:gridSpan w:val="2"/>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continue"/>
            <w:tcBorders>
              <w:left w:val="single" w:color="auto" w:sz="2"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r>
    </w:tbl>
    <w:p>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备注：售后服务、售后计划等方案可另起页说明。</w:t>
      </w:r>
    </w:p>
    <w:p>
      <w:pPr>
        <w:pStyle w:val="28"/>
        <w:adjustRightInd w:val="0"/>
        <w:snapToGrid w:val="0"/>
        <w:spacing w:line="360" w:lineRule="auto"/>
        <w:rPr>
          <w:rFonts w:ascii="宋体" w:hAnsi="宋体"/>
          <w:color w:val="000000" w:themeColor="text1"/>
          <w:sz w:val="21"/>
          <w:szCs w:val="21"/>
          <w14:textFill>
            <w14:solidFill>
              <w14:schemeClr w14:val="tx1"/>
            </w14:solidFill>
          </w14:textFill>
        </w:rPr>
      </w:pPr>
    </w:p>
    <w:p>
      <w:pPr>
        <w:pStyle w:val="28"/>
        <w:adjustRightInd w:val="0"/>
        <w:snapToGrid w:val="0"/>
        <w:spacing w:line="360" w:lineRule="auto"/>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投标人名称：</w:t>
      </w:r>
      <w:r>
        <w:rPr>
          <w:rFonts w:hint="eastAsia" w:ascii="宋体" w:hAnsi="宋体"/>
          <w:color w:val="000000" w:themeColor="text1"/>
          <w:sz w:val="21"/>
          <w:szCs w:val="21"/>
          <w:u w:val="single"/>
          <w14:textFill>
            <w14:solidFill>
              <w14:schemeClr w14:val="tx1"/>
            </w14:solidFill>
          </w14:textFill>
        </w:rPr>
        <w:t xml:space="preserve">                   </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法定代表人或其委托代理人(签字)：</w:t>
      </w:r>
      <w:r>
        <w:rPr>
          <w:rFonts w:hint="eastAsia" w:ascii="宋体" w:hAnsi="宋体"/>
          <w:color w:val="000000" w:themeColor="text1"/>
          <w:szCs w:val="21"/>
          <w:u w:val="single"/>
          <w14:textFill>
            <w14:solidFill>
              <w14:schemeClr w14:val="tx1"/>
            </w14:solidFill>
          </w14:textFill>
        </w:rPr>
        <w:t xml:space="preserve">                   </w:t>
      </w:r>
    </w:p>
    <w:p>
      <w:pPr>
        <w:topLinePunct/>
        <w:spacing w:line="440" w:lineRule="exac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 xml:space="preserve">日          期：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年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月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日</w:t>
      </w:r>
    </w:p>
    <w:p>
      <w:pPr>
        <w:jc w:val="center"/>
        <w:rPr>
          <w:rFonts w:ascii="宋体" w:hAnsi="宋体"/>
          <w:color w:val="000000" w:themeColor="text1"/>
          <w:sz w:val="28"/>
          <w:szCs w:val="28"/>
          <w14:textFill>
            <w14:solidFill>
              <w14:schemeClr w14:val="tx1"/>
            </w14:solidFill>
          </w14:textFill>
        </w:rPr>
      </w:pPr>
    </w:p>
    <w:p>
      <w:pPr>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商务技术响应文件说明</w:t>
      </w:r>
    </w:p>
    <w:p>
      <w:pPr>
        <w:adjustRightInd w:val="0"/>
        <w:snapToGrid w:val="0"/>
        <w:spacing w:line="360" w:lineRule="auto"/>
        <w:ind w:left="-88" w:leftChars="-42" w:firstLine="210" w:firstLineChars="100"/>
        <w:rPr>
          <w:rFonts w:ascii="宋体" w:hAnsi="宋体" w:cs="宋体"/>
          <w:color w:val="000000" w:themeColor="text1"/>
          <w:szCs w:val="21"/>
          <w14:textFill>
            <w14:solidFill>
              <w14:schemeClr w14:val="tx1"/>
            </w14:solidFill>
          </w14:textFill>
        </w:rPr>
      </w:pPr>
    </w:p>
    <w:p>
      <w:pPr>
        <w:adjustRightInd w:val="0"/>
        <w:snapToGrid w:val="0"/>
        <w:spacing w:line="360" w:lineRule="auto"/>
        <w:ind w:left="-88" w:leftChars="-42" w:firstLine="211" w:firstLineChars="1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商务技术响应文件</w:t>
      </w:r>
      <w:r>
        <w:rPr>
          <w:rFonts w:hint="eastAsia" w:ascii="宋体" w:hAnsi="宋体" w:cs="宋体"/>
          <w:b/>
          <w:color w:val="000000" w:themeColor="text1"/>
          <w:szCs w:val="21"/>
          <w:highlight w:val="yellow"/>
          <w14:textFill>
            <w14:solidFill>
              <w14:schemeClr w14:val="tx1"/>
            </w14:solidFill>
          </w14:textFill>
        </w:rPr>
        <w:t>可依照项目具体要求灵活提供</w:t>
      </w:r>
      <w:r>
        <w:rPr>
          <w:rFonts w:hint="eastAsia" w:ascii="宋体" w:hAnsi="宋体" w:cs="宋体"/>
          <w:b/>
          <w:color w:val="000000" w:themeColor="text1"/>
          <w:szCs w:val="21"/>
          <w14:textFill>
            <w14:solidFill>
              <w14:schemeClr w14:val="tx1"/>
            </w14:solidFill>
          </w14:textFill>
        </w:rPr>
        <w:t>：</w:t>
      </w:r>
    </w:p>
    <w:p>
      <w:pPr>
        <w:pStyle w:val="25"/>
        <w:tabs>
          <w:tab w:val="left" w:pos="1470"/>
          <w:tab w:val="right" w:leader="dot" w:pos="8296"/>
        </w:tabs>
        <w:ind w:left="0" w:firstLine="400" w:firstLineChars="200"/>
        <w:rPr>
          <w:i w:val="0"/>
          <w:iCs w:val="0"/>
        </w:rPr>
      </w:pPr>
      <w:r>
        <w:rPr>
          <w:i w:val="0"/>
          <w:iCs w:val="0"/>
        </w:rPr>
        <w:t>一、技术参数、标准</w:t>
      </w:r>
    </w:p>
    <w:p>
      <w:pPr>
        <w:pStyle w:val="25"/>
        <w:tabs>
          <w:tab w:val="left" w:pos="1470"/>
          <w:tab w:val="right" w:leader="dot" w:pos="8296"/>
        </w:tabs>
        <w:ind w:left="0" w:firstLine="400" w:firstLineChars="200"/>
        <w:rPr>
          <w:i w:val="0"/>
          <w:iCs w:val="0"/>
        </w:rPr>
      </w:pPr>
      <w:r>
        <w:rPr>
          <w:i w:val="0"/>
          <w:iCs w:val="0"/>
        </w:rPr>
        <w:t>（1）货物技术参数（指标）、功能等性能描述</w:t>
      </w:r>
    </w:p>
    <w:p>
      <w:pPr>
        <w:pStyle w:val="25"/>
        <w:tabs>
          <w:tab w:val="left" w:pos="1470"/>
          <w:tab w:val="right" w:leader="dot" w:pos="8296"/>
        </w:tabs>
        <w:ind w:left="0" w:firstLine="400" w:firstLineChars="200"/>
        <w:rPr>
          <w:i w:val="0"/>
          <w:iCs w:val="0"/>
        </w:rPr>
      </w:pPr>
      <w:r>
        <w:rPr>
          <w:i w:val="0"/>
          <w:iCs w:val="0"/>
        </w:rPr>
        <w:t>（2）货物的规范资料、外观彩图及尺寸等描述</w:t>
      </w:r>
    </w:p>
    <w:p>
      <w:pPr>
        <w:pStyle w:val="25"/>
        <w:tabs>
          <w:tab w:val="left" w:pos="1470"/>
          <w:tab w:val="right" w:leader="dot" w:pos="8296"/>
        </w:tabs>
        <w:ind w:left="0" w:firstLine="400" w:firstLineChars="200"/>
        <w:rPr>
          <w:i w:val="0"/>
          <w:iCs w:val="0"/>
        </w:rPr>
      </w:pPr>
      <w:r>
        <w:rPr>
          <w:i w:val="0"/>
          <w:iCs w:val="0"/>
        </w:rPr>
        <w:t>（3）配置、技术成熟度、安全可靠说明</w:t>
      </w:r>
    </w:p>
    <w:p>
      <w:pPr>
        <w:pStyle w:val="25"/>
        <w:tabs>
          <w:tab w:val="left" w:pos="1470"/>
          <w:tab w:val="right" w:leader="dot" w:pos="8296"/>
        </w:tabs>
        <w:ind w:left="0" w:firstLine="400" w:firstLineChars="200"/>
        <w:rPr>
          <w:i w:val="0"/>
          <w:iCs w:val="0"/>
        </w:rPr>
      </w:pPr>
      <w:r>
        <w:rPr>
          <w:i w:val="0"/>
          <w:iCs w:val="0"/>
        </w:rPr>
        <w:t>（4）货物适用环境和功能描述</w:t>
      </w:r>
    </w:p>
    <w:p>
      <w:pPr>
        <w:pStyle w:val="25"/>
        <w:tabs>
          <w:tab w:val="left" w:pos="1470"/>
          <w:tab w:val="right" w:leader="dot" w:pos="8296"/>
        </w:tabs>
        <w:ind w:left="0" w:firstLine="400" w:firstLineChars="200"/>
        <w:rPr>
          <w:i w:val="0"/>
          <w:iCs w:val="0"/>
        </w:rPr>
      </w:pPr>
      <w:r>
        <w:rPr>
          <w:i w:val="0"/>
          <w:iCs w:val="0"/>
        </w:rPr>
        <w:t>（5）安装调试程序、规范</w:t>
      </w:r>
    </w:p>
    <w:p>
      <w:pPr>
        <w:pStyle w:val="25"/>
        <w:tabs>
          <w:tab w:val="left" w:pos="1470"/>
          <w:tab w:val="right" w:leader="dot" w:pos="8296"/>
        </w:tabs>
        <w:ind w:left="0" w:firstLine="400" w:firstLineChars="200"/>
        <w:rPr>
          <w:i w:val="0"/>
          <w:iCs w:val="0"/>
        </w:rPr>
      </w:pPr>
      <w:r>
        <w:rPr>
          <w:i w:val="0"/>
          <w:iCs w:val="0"/>
        </w:rPr>
        <w:t>（6）货物优势介绍</w:t>
      </w:r>
    </w:p>
    <w:p>
      <w:pPr>
        <w:pStyle w:val="25"/>
        <w:tabs>
          <w:tab w:val="left" w:pos="1470"/>
          <w:tab w:val="right" w:leader="dot" w:pos="8296"/>
        </w:tabs>
        <w:ind w:left="0" w:firstLine="400" w:firstLineChars="200"/>
        <w:rPr>
          <w:i w:val="0"/>
          <w:iCs w:val="0"/>
        </w:rPr>
      </w:pPr>
      <w:r>
        <w:rPr>
          <w:i w:val="0"/>
          <w:iCs w:val="0"/>
        </w:rPr>
        <w:t>（7）免费提供的备件清单</w:t>
      </w:r>
    </w:p>
    <w:p>
      <w:pPr>
        <w:pStyle w:val="25"/>
        <w:tabs>
          <w:tab w:val="left" w:pos="1470"/>
          <w:tab w:val="right" w:leader="dot" w:pos="8296"/>
        </w:tabs>
        <w:ind w:left="0" w:firstLine="400" w:firstLineChars="200"/>
        <w:rPr>
          <w:i w:val="0"/>
          <w:iCs w:val="0"/>
        </w:rPr>
      </w:pPr>
      <w:r>
        <w:rPr>
          <w:i w:val="0"/>
          <w:iCs w:val="0"/>
        </w:rPr>
        <w:t>（8）长期运维所需关键或易损备件建议清单价格表</w:t>
      </w:r>
    </w:p>
    <w:p>
      <w:pPr>
        <w:pStyle w:val="25"/>
        <w:tabs>
          <w:tab w:val="left" w:pos="1470"/>
          <w:tab w:val="right" w:leader="dot" w:pos="8296"/>
        </w:tabs>
        <w:ind w:left="0" w:firstLine="400" w:firstLineChars="200"/>
        <w:rPr>
          <w:i w:val="0"/>
          <w:iCs w:val="0"/>
        </w:rPr>
      </w:pPr>
      <w:r>
        <w:rPr>
          <w:i w:val="0"/>
          <w:iCs w:val="0"/>
        </w:rPr>
        <w:t>（9）产品耐用性及使用功能安全性、采用新技术、新工艺或选用新材料情况</w:t>
      </w:r>
    </w:p>
    <w:p>
      <w:pPr>
        <w:pStyle w:val="25"/>
        <w:tabs>
          <w:tab w:val="left" w:pos="1470"/>
          <w:tab w:val="right" w:leader="dot" w:pos="8296"/>
        </w:tabs>
        <w:ind w:left="0" w:firstLine="400" w:firstLineChars="200"/>
        <w:rPr>
          <w:i w:val="0"/>
          <w:iCs w:val="0"/>
        </w:rPr>
      </w:pPr>
      <w:r>
        <w:rPr>
          <w:i w:val="0"/>
          <w:iCs w:val="0"/>
        </w:rPr>
        <w:t>（10）投标人认为有必要提供的其他说明材料</w:t>
      </w:r>
    </w:p>
    <w:p>
      <w:pPr>
        <w:pStyle w:val="25"/>
        <w:tabs>
          <w:tab w:val="left" w:pos="1470"/>
          <w:tab w:val="right" w:leader="dot" w:pos="8296"/>
        </w:tabs>
        <w:ind w:left="0" w:firstLine="400" w:firstLineChars="200"/>
        <w:rPr>
          <w:i w:val="0"/>
          <w:iCs w:val="0"/>
        </w:rPr>
      </w:pPr>
      <w:r>
        <w:rPr>
          <w:i w:val="0"/>
          <w:iCs w:val="0"/>
        </w:rPr>
        <w:t>二、合格的货物证明材料</w:t>
      </w:r>
    </w:p>
    <w:p>
      <w:pPr>
        <w:pStyle w:val="25"/>
        <w:tabs>
          <w:tab w:val="left" w:pos="1470"/>
          <w:tab w:val="right" w:leader="dot" w:pos="8296"/>
        </w:tabs>
        <w:ind w:left="0" w:firstLine="400" w:firstLineChars="200"/>
        <w:rPr>
          <w:i w:val="0"/>
          <w:iCs w:val="0"/>
        </w:rPr>
      </w:pPr>
      <w:r>
        <w:rPr>
          <w:i w:val="0"/>
          <w:iCs w:val="0"/>
        </w:rPr>
        <w:t>（1）产品检测报告、</w:t>
      </w:r>
      <w:r>
        <w:rPr>
          <w:rFonts w:hint="eastAsia"/>
          <w:i w:val="0"/>
          <w:iCs w:val="0"/>
        </w:rPr>
        <w:t>设备</w:t>
      </w:r>
      <w:r>
        <w:rPr>
          <w:i w:val="0"/>
          <w:iCs w:val="0"/>
        </w:rPr>
        <w:t>彩图</w:t>
      </w:r>
      <w:r>
        <w:rPr>
          <w:rFonts w:hint="eastAsia"/>
          <w:i w:val="0"/>
          <w:iCs w:val="0"/>
        </w:rPr>
        <w:t>等</w:t>
      </w:r>
    </w:p>
    <w:p>
      <w:pPr>
        <w:pStyle w:val="5"/>
      </w:pPr>
    </w:p>
    <w:p>
      <w:pPr>
        <w:adjustRightInd w:val="0"/>
        <w:snapToGrid w:val="0"/>
        <w:spacing w:line="360" w:lineRule="auto"/>
        <w:rPr>
          <w:rFonts w:ascii="宋体" w:hAnsi="宋体"/>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p>
    <w:p>
      <w:pPr>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附件14</w:t>
      </w:r>
    </w:p>
    <w:p>
      <w:pPr>
        <w:adjustRightInd w:val="0"/>
        <w:snapToGrid w:val="0"/>
        <w:spacing w:line="360" w:lineRule="auto"/>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投标报价明细表</w:t>
      </w:r>
    </w:p>
    <w:p>
      <w:pPr>
        <w:adjustRightInd w:val="0"/>
        <w:snapToGrid w:val="0"/>
        <w:spacing w:line="360" w:lineRule="auto"/>
        <w:jc w:val="center"/>
      </w:pPr>
      <w:r>
        <w:rPr>
          <w:rFonts w:hint="eastAsia" w:ascii="宋体" w:hAnsi="宋体" w:cs="宋体"/>
          <w:bCs/>
          <w:szCs w:val="21"/>
        </w:rPr>
        <w:t>（此</w:t>
      </w:r>
      <w:r>
        <w:rPr>
          <w:rFonts w:hint="eastAsia" w:ascii="宋体" w:hAnsi="宋体"/>
          <w:bCs/>
          <w:sz w:val="24"/>
        </w:rPr>
        <w:t>表将公示于中标结果公告中</w:t>
      </w:r>
      <w:r>
        <w:rPr>
          <w:rFonts w:hint="eastAsia" w:ascii="宋体" w:hAnsi="宋体" w:cs="宋体"/>
          <w:bCs/>
          <w:szCs w:val="21"/>
        </w:rPr>
        <w:t>）</w:t>
      </w:r>
      <w:r>
        <w:rPr>
          <w:rFonts w:hint="eastAsia" w:ascii="宋体" w:hAnsi="宋体" w:cs="宋体"/>
          <w:b/>
          <w:sz w:val="28"/>
          <w:szCs w:val="28"/>
        </w:rPr>
        <w:t xml:space="preserve"> </w:t>
      </w:r>
    </w:p>
    <w:p>
      <w:pPr>
        <w:spacing w:line="360" w:lineRule="exact"/>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 xml:space="preserve">项目名称：                                                        </w:t>
      </w:r>
    </w:p>
    <w:p>
      <w:pPr>
        <w:spacing w:line="360" w:lineRule="exact"/>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项目编号：                                                 金额单位：元</w:t>
      </w:r>
    </w:p>
    <w:tbl>
      <w:tblPr>
        <w:tblStyle w:val="46"/>
        <w:tblW w:w="85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1"/>
        <w:gridCol w:w="1072"/>
        <w:gridCol w:w="928"/>
        <w:gridCol w:w="784"/>
        <w:gridCol w:w="2000"/>
        <w:gridCol w:w="912"/>
        <w:gridCol w:w="672"/>
        <w:gridCol w:w="832"/>
        <w:gridCol w:w="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序号</w:t>
            </w: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货物名称</w:t>
            </w: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color w:val="000000"/>
                <w:szCs w:val="21"/>
              </w:rPr>
              <w:t>制造商、原产地</w:t>
            </w: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color w:val="000000"/>
                <w:szCs w:val="21"/>
              </w:rPr>
              <w:t>品牌型号</w:t>
            </w: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投标参数</w:t>
            </w:r>
          </w:p>
        </w:tc>
        <w:tc>
          <w:tcPr>
            <w:tcW w:w="9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单位及数量</w:t>
            </w: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单价</w:t>
            </w: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合计</w:t>
            </w: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2</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3</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4</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5</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pacing w:val="-10"/>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6</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7</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8</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9</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10</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11</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12</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13</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w:t>
            </w: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1" w:hRule="exact"/>
          <w:jc w:val="center"/>
        </w:trPr>
        <w:tc>
          <w:tcPr>
            <w:tcW w:w="1643" w:type="dxa"/>
            <w:gridSpan w:val="2"/>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总报价</w:t>
            </w:r>
          </w:p>
        </w:tc>
        <w:tc>
          <w:tcPr>
            <w:tcW w:w="6875" w:type="dxa"/>
            <w:gridSpan w:val="7"/>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left"/>
              <w:rPr>
                <w:rFonts w:ascii="宋体" w:hAnsi="宋体" w:cs="宋体"/>
                <w:szCs w:val="21"/>
              </w:rPr>
            </w:pPr>
            <w:r>
              <w:rPr>
                <w:rFonts w:hint="eastAsia" w:ascii="宋体" w:hAnsi="宋体" w:cs="宋体"/>
                <w:szCs w:val="21"/>
              </w:rPr>
              <w:t>大写：</w:t>
            </w:r>
          </w:p>
          <w:p>
            <w:pPr>
              <w:tabs>
                <w:tab w:val="left" w:pos="1418"/>
              </w:tabs>
              <w:snapToGrid w:val="0"/>
              <w:spacing w:before="50" w:after="50"/>
              <w:jc w:val="left"/>
              <w:rPr>
                <w:rFonts w:ascii="宋体" w:hAnsi="宋体" w:cs="宋体"/>
                <w:szCs w:val="21"/>
              </w:rPr>
            </w:pPr>
          </w:p>
          <w:p>
            <w:pPr>
              <w:tabs>
                <w:tab w:val="left" w:pos="1418"/>
              </w:tabs>
              <w:snapToGrid w:val="0"/>
              <w:spacing w:before="50" w:after="50"/>
              <w:jc w:val="left"/>
            </w:pPr>
            <w:r>
              <w:rPr>
                <w:rFonts w:hint="eastAsia" w:ascii="宋体" w:hAnsi="宋体" w:cs="宋体"/>
                <w:szCs w:val="21"/>
              </w:rPr>
              <w:t>小写：</w:t>
            </w:r>
          </w:p>
        </w:tc>
      </w:tr>
    </w:tbl>
    <w:p>
      <w:pPr>
        <w:adjustRightInd w:val="0"/>
        <w:snapToGrid w:val="0"/>
        <w:spacing w:line="360" w:lineRule="auto"/>
        <w:ind w:left="-88" w:leftChars="-42"/>
        <w:rPr>
          <w:rFonts w:ascii="宋体" w:hAnsi="宋体" w:cs="宋体"/>
          <w:b/>
          <w:color w:val="000000" w:themeColor="text1"/>
          <w:szCs w:val="21"/>
          <w14:textFill>
            <w14:solidFill>
              <w14:schemeClr w14:val="tx1"/>
            </w14:solidFill>
          </w14:textFill>
        </w:rPr>
      </w:pPr>
    </w:p>
    <w:p>
      <w:pPr>
        <w:adjustRightInd w:val="0"/>
        <w:snapToGrid w:val="0"/>
        <w:spacing w:line="360" w:lineRule="auto"/>
        <w:ind w:left="-88" w:leftChars="-42"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注：1、投标人可在此表后附其报价详细说明。</w:t>
      </w:r>
    </w:p>
    <w:p>
      <w:pPr>
        <w:adjustRightInd w:val="0"/>
        <w:snapToGrid w:val="0"/>
        <w:spacing w:line="360" w:lineRule="auto"/>
        <w:rPr>
          <w:rFonts w:ascii="宋体" w:hAnsi="宋体" w:cs="宋体"/>
          <w:color w:val="000000" w:themeColor="text1"/>
          <w14:textFill>
            <w14:solidFill>
              <w14:schemeClr w14:val="tx1"/>
            </w14:solidFill>
          </w14:textFill>
        </w:rPr>
      </w:pPr>
    </w:p>
    <w:p>
      <w:pPr>
        <w:adjustRightInd w:val="0"/>
        <w:snapToGrid w:val="0"/>
        <w:spacing w:line="360" w:lineRule="auto"/>
        <w:rPr>
          <w:rFonts w:ascii="宋体" w:hAnsi="宋体" w:cs="宋体"/>
          <w:color w:val="000000" w:themeColor="text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r>
        <w:rPr>
          <w:rFonts w:hint="eastAsia" w:ascii="宋体" w:hAnsi="宋体" w:cs="宋体"/>
          <w:b/>
          <w:color w:val="000000" w:themeColor="text1"/>
          <w:sz w:val="24"/>
          <w14:textFill>
            <w14:solidFill>
              <w14:schemeClr w14:val="tx1"/>
            </w14:solidFill>
          </w14:textFill>
        </w:rPr>
        <w:t xml:space="preserve"> </w:t>
      </w:r>
    </w:p>
    <w:bookmarkEnd w:id="0"/>
    <w:bookmarkEnd w:id="196"/>
    <w:bookmarkEnd w:id="197"/>
    <w:p>
      <w:pP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br w:type="page"/>
      </w:r>
    </w:p>
    <w:p>
      <w:pP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附件15</w:t>
      </w:r>
    </w:p>
    <w:p>
      <w:pPr>
        <w:tabs>
          <w:tab w:val="left" w:pos="3600"/>
        </w:tabs>
        <w:adjustRightInd w:val="0"/>
        <w:snapToGrid w:val="0"/>
        <w:spacing w:line="360" w:lineRule="auto"/>
        <w:jc w:val="center"/>
        <w:rPr>
          <w:rFonts w:ascii="宋体" w:hAnsi="宋体" w:cs="宋体"/>
          <w:b/>
          <w:bCs/>
          <w:color w:val="000000" w:themeColor="text1"/>
          <w:spacing w:val="6"/>
          <w:kern w:val="0"/>
          <w:sz w:val="24"/>
          <w14:textFill>
            <w14:solidFill>
              <w14:schemeClr w14:val="tx1"/>
            </w14:solidFill>
          </w14:textFill>
        </w:rPr>
      </w:pPr>
      <w:r>
        <w:rPr>
          <w:rFonts w:hint="eastAsia" w:ascii="宋体" w:hAnsi="宋体" w:cs="宋体"/>
          <w:b/>
          <w:bCs/>
          <w:color w:val="000000" w:themeColor="text1"/>
          <w:spacing w:val="6"/>
          <w:kern w:val="0"/>
          <w:sz w:val="24"/>
          <w14:textFill>
            <w14:solidFill>
              <w14:schemeClr w14:val="tx1"/>
            </w14:solidFill>
          </w14:textFill>
        </w:rPr>
        <w:t>中小企业声明函（货物）</w:t>
      </w:r>
    </w:p>
    <w:p>
      <w:pPr>
        <w:spacing w:line="300" w:lineRule="exact"/>
        <w:rPr>
          <w:rStyle w:val="328"/>
          <w:sz w:val="24"/>
        </w:rPr>
      </w:pPr>
      <w:r>
        <w:rPr>
          <w:rStyle w:val="328"/>
          <w:rFonts w:hint="eastAsia"/>
          <w:sz w:val="24"/>
        </w:rPr>
        <w:t>（</w:t>
      </w:r>
      <w:r>
        <w:rPr>
          <w:rFonts w:hint="eastAsia" w:ascii="宋体" w:hAnsi="宋体" w:cs="宋体"/>
          <w:kern w:val="0"/>
          <w:szCs w:val="21"/>
        </w:rPr>
        <w:t>残疾人福利性单位及监狱企业视同为小微企业。注：分公司不是独立法人，不能进行规模类型划分；分公司应并入总公司以总公司名义进行划分。</w:t>
      </w:r>
      <w:r>
        <w:rPr>
          <w:rStyle w:val="328"/>
          <w:rFonts w:hint="eastAsia"/>
          <w:sz w:val="24"/>
        </w:rPr>
        <w:t>）</w:t>
      </w:r>
    </w:p>
    <w:p>
      <w:pPr>
        <w:autoSpaceDE w:val="0"/>
        <w:autoSpaceDN w:val="0"/>
        <w:spacing w:line="500" w:lineRule="exact"/>
        <w:ind w:firstLine="480" w:firstLineChars="200"/>
        <w:jc w:val="left"/>
        <w:rPr>
          <w:rFonts w:ascii="宋体" w:hAnsi="宋体" w:cs="宋体"/>
          <w:sz w:val="24"/>
        </w:rPr>
      </w:pPr>
    </w:p>
    <w:p>
      <w:pPr>
        <w:autoSpaceDE w:val="0"/>
        <w:autoSpaceDN w:val="0"/>
        <w:spacing w:line="500" w:lineRule="exact"/>
        <w:ind w:firstLine="480" w:firstLineChars="200"/>
        <w:jc w:val="left"/>
        <w:rPr>
          <w:rFonts w:ascii="宋体" w:hAnsi="宋体" w:cs="宋体"/>
          <w:sz w:val="24"/>
        </w:rPr>
      </w:pPr>
      <w:r>
        <w:rPr>
          <w:rFonts w:ascii="宋体" w:hAnsi="宋体" w:cs="宋体"/>
          <w:sz w:val="24"/>
        </w:rPr>
        <w:t>本公司（联合体）郑重声明，根据《政府采购促进中小企业发展管理办法》（财库﹝2020﹞46 号）的规定，本公司（联合体）参加</w:t>
      </w:r>
      <w:r>
        <w:rPr>
          <w:rFonts w:ascii="宋体" w:hAnsi="宋体" w:cs="宋体"/>
          <w:sz w:val="24"/>
          <w:u w:val="single"/>
        </w:rPr>
        <w:t>（单位名称）</w:t>
      </w:r>
      <w:r>
        <w:rPr>
          <w:rFonts w:ascii="宋体" w:hAnsi="宋体" w:cs="宋体"/>
          <w:sz w:val="24"/>
        </w:rPr>
        <w:t>的</w:t>
      </w:r>
      <w:r>
        <w:rPr>
          <w:rFonts w:ascii="宋体" w:hAnsi="宋体" w:cs="宋体"/>
          <w:sz w:val="24"/>
          <w:u w:val="single"/>
        </w:rPr>
        <w:t>（项目名称）</w:t>
      </w:r>
      <w:r>
        <w:rPr>
          <w:rFonts w:ascii="宋体" w:hAnsi="宋体" w:cs="宋体"/>
          <w:sz w:val="24"/>
        </w:rPr>
        <w:t>采购活动，提 供的货物全部由符合政策要求的中小企业制造。相关企业 （含联合体中的中小企业、签订分包意向协议的中小企业） 的具体情况如下：</w:t>
      </w:r>
    </w:p>
    <w:p>
      <w:pPr>
        <w:autoSpaceDE w:val="0"/>
        <w:autoSpaceDN w:val="0"/>
        <w:spacing w:line="500" w:lineRule="exact"/>
        <w:ind w:firstLine="480" w:firstLineChars="200"/>
        <w:jc w:val="left"/>
        <w:rPr>
          <w:rFonts w:ascii="宋体" w:hAnsi="宋体" w:cs="宋体"/>
          <w:szCs w:val="21"/>
          <w:u w:val="single"/>
        </w:rPr>
      </w:pPr>
      <w:r>
        <w:rPr>
          <w:rFonts w:ascii="宋体" w:hAnsi="宋体" w:cs="宋体"/>
          <w:sz w:val="24"/>
        </w:rPr>
        <w:t>1.</w:t>
      </w:r>
      <w:r>
        <w:rPr>
          <w:rFonts w:ascii="宋体" w:hAnsi="宋体" w:cs="宋体"/>
          <w:sz w:val="24"/>
          <w:u w:val="single"/>
        </w:rPr>
        <w:t>（标的名称）</w:t>
      </w:r>
      <w:r>
        <w:rPr>
          <w:rFonts w:ascii="宋体" w:hAnsi="宋体" w:cs="宋体"/>
          <w:sz w:val="24"/>
        </w:rPr>
        <w:t>，属于</w:t>
      </w:r>
      <w:r>
        <w:rPr>
          <w:rFonts w:ascii="宋体" w:hAnsi="宋体" w:cs="宋体"/>
          <w:sz w:val="24"/>
          <w:u w:val="single"/>
        </w:rPr>
        <w:t>（采购文件中明确的所属行业）</w:t>
      </w:r>
      <w:r>
        <w:rPr>
          <w:rFonts w:ascii="宋体" w:hAnsi="宋体" w:cs="宋体"/>
          <w:sz w:val="24"/>
        </w:rPr>
        <w:t>行业；制造商为</w:t>
      </w:r>
      <w:r>
        <w:rPr>
          <w:rFonts w:ascii="宋体" w:hAnsi="宋体" w:cs="宋体"/>
          <w:sz w:val="24"/>
          <w:u w:val="single"/>
        </w:rPr>
        <w:t>（企业名称）</w:t>
      </w:r>
      <w:r>
        <w:rPr>
          <w:rFonts w:ascii="宋体" w:hAnsi="宋体" w:cs="宋体"/>
          <w:sz w:val="24"/>
        </w:rPr>
        <w:t>，从业人员</w:t>
      </w:r>
      <w:r>
        <w:rPr>
          <w:rFonts w:hint="eastAsia"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ascii="宋体" w:hAnsi="宋体" w:cs="宋体"/>
          <w:sz w:val="24"/>
        </w:rPr>
        <w:t>万元，资产总额为</w:t>
      </w:r>
      <w:r>
        <w:rPr>
          <w:rFonts w:hint="eastAsia" w:ascii="宋体" w:hAnsi="宋体" w:cs="宋体"/>
          <w:sz w:val="24"/>
          <w:u w:val="single"/>
        </w:rPr>
        <w:t xml:space="preserve">    </w:t>
      </w:r>
      <w:r>
        <w:rPr>
          <w:rFonts w:ascii="宋体" w:hAnsi="宋体" w:cs="宋体"/>
          <w:sz w:val="24"/>
        </w:rPr>
        <w:t>万元，属于</w:t>
      </w:r>
      <w:r>
        <w:rPr>
          <w:rFonts w:ascii="宋体" w:hAnsi="宋体" w:cs="宋体"/>
          <w:sz w:val="24"/>
          <w:u w:val="single"/>
        </w:rPr>
        <w:t>（中型企业、小型企业、微型企业</w:t>
      </w:r>
      <w:r>
        <w:rPr>
          <w:rFonts w:hint="eastAsia" w:ascii="宋体" w:hAnsi="宋体" w:cs="宋体"/>
          <w:sz w:val="24"/>
          <w:u w:val="single"/>
        </w:rPr>
        <w:t>）</w:t>
      </w:r>
      <w:r>
        <w:rPr>
          <w:rFonts w:hint="eastAsia" w:ascii="宋体" w:hAnsi="宋体" w:cs="宋体"/>
          <w:sz w:val="24"/>
        </w:rPr>
        <w:t>；</w:t>
      </w:r>
    </w:p>
    <w:p>
      <w:pPr>
        <w:autoSpaceDE w:val="0"/>
        <w:autoSpaceDN w:val="0"/>
        <w:spacing w:line="500" w:lineRule="exact"/>
        <w:ind w:firstLine="480" w:firstLineChars="200"/>
        <w:jc w:val="left"/>
        <w:rPr>
          <w:rFonts w:ascii="宋体" w:hAnsi="宋体" w:cs="宋体"/>
          <w:sz w:val="24"/>
        </w:rPr>
      </w:pPr>
      <w:r>
        <w:rPr>
          <w:rFonts w:hint="eastAsia" w:ascii="宋体" w:hAnsi="宋体" w:cs="宋体"/>
          <w:sz w:val="24"/>
        </w:rPr>
        <w:t>2</w:t>
      </w:r>
      <w:r>
        <w:rPr>
          <w:rFonts w:ascii="宋体" w:hAnsi="宋体" w:cs="宋体"/>
          <w:sz w:val="24"/>
        </w:rPr>
        <w:t>.</w:t>
      </w:r>
      <w:r>
        <w:rPr>
          <w:rFonts w:ascii="宋体" w:hAnsi="宋体" w:cs="宋体"/>
          <w:sz w:val="24"/>
          <w:u w:val="single"/>
        </w:rPr>
        <w:t>（标的名称）</w:t>
      </w:r>
      <w:r>
        <w:rPr>
          <w:rFonts w:ascii="宋体" w:hAnsi="宋体" w:cs="宋体"/>
          <w:sz w:val="24"/>
        </w:rPr>
        <w:t>，属于</w:t>
      </w:r>
      <w:r>
        <w:rPr>
          <w:rFonts w:ascii="宋体" w:hAnsi="宋体" w:cs="宋体"/>
          <w:sz w:val="24"/>
          <w:u w:val="single"/>
        </w:rPr>
        <w:t>（采购文件中明确的所属行业）</w:t>
      </w:r>
      <w:r>
        <w:rPr>
          <w:rFonts w:ascii="宋体" w:hAnsi="宋体" w:cs="宋体"/>
          <w:sz w:val="24"/>
        </w:rPr>
        <w:t>行业；制造商为</w:t>
      </w:r>
      <w:r>
        <w:rPr>
          <w:rFonts w:ascii="宋体" w:hAnsi="宋体" w:cs="宋体"/>
          <w:sz w:val="24"/>
          <w:u w:val="single"/>
        </w:rPr>
        <w:t>（企业名称）</w:t>
      </w:r>
      <w:r>
        <w:rPr>
          <w:rFonts w:ascii="宋体" w:hAnsi="宋体" w:cs="宋体"/>
          <w:sz w:val="24"/>
        </w:rPr>
        <w:t>，从业人员</w:t>
      </w:r>
      <w:r>
        <w:rPr>
          <w:rFonts w:hint="eastAsia"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ascii="宋体" w:hAnsi="宋体" w:cs="宋体"/>
          <w:sz w:val="24"/>
        </w:rPr>
        <w:t>万元，资产总额为</w:t>
      </w:r>
      <w:r>
        <w:rPr>
          <w:rFonts w:hint="eastAsia" w:ascii="宋体" w:hAnsi="宋体" w:cs="宋体"/>
          <w:sz w:val="24"/>
          <w:u w:val="single"/>
        </w:rPr>
        <w:t xml:space="preserve">    </w:t>
      </w:r>
      <w:r>
        <w:rPr>
          <w:rFonts w:ascii="宋体" w:hAnsi="宋体" w:cs="宋体"/>
          <w:sz w:val="24"/>
        </w:rPr>
        <w:t>万元，属于</w:t>
      </w:r>
      <w:r>
        <w:rPr>
          <w:rFonts w:ascii="宋体" w:hAnsi="宋体" w:cs="宋体"/>
          <w:sz w:val="24"/>
          <w:u w:val="single"/>
        </w:rPr>
        <w:t>（中型企业、小型企业、微型企业</w:t>
      </w:r>
      <w:r>
        <w:rPr>
          <w:rFonts w:hint="eastAsia" w:ascii="宋体" w:hAnsi="宋体" w:cs="宋体"/>
          <w:sz w:val="24"/>
          <w:u w:val="single"/>
        </w:rPr>
        <w:t>）</w:t>
      </w:r>
      <w:r>
        <w:rPr>
          <w:rFonts w:hint="eastAsia" w:ascii="宋体" w:hAnsi="宋体" w:cs="宋体"/>
          <w:sz w:val="24"/>
        </w:rPr>
        <w:t>；</w:t>
      </w:r>
    </w:p>
    <w:p>
      <w:pPr>
        <w:autoSpaceDE w:val="0"/>
        <w:autoSpaceDN w:val="0"/>
        <w:spacing w:line="500" w:lineRule="exact"/>
        <w:ind w:firstLine="420" w:firstLineChars="200"/>
        <w:jc w:val="left"/>
        <w:rPr>
          <w:rFonts w:ascii="宋体" w:hAnsi="宋体" w:cs="宋体"/>
          <w:szCs w:val="21"/>
        </w:rPr>
      </w:pPr>
      <w:r>
        <w:rPr>
          <w:rFonts w:hint="eastAsia" w:ascii="宋体" w:hAnsi="宋体" w:cs="宋体"/>
          <w:szCs w:val="21"/>
        </w:rPr>
        <w:t>……</w:t>
      </w:r>
    </w:p>
    <w:p>
      <w:pPr>
        <w:autoSpaceDE w:val="0"/>
        <w:autoSpaceDN w:val="0"/>
        <w:spacing w:line="500" w:lineRule="exact"/>
        <w:ind w:firstLine="480" w:firstLineChars="200"/>
        <w:jc w:val="left"/>
        <w:rPr>
          <w:rFonts w:ascii="宋体" w:hAnsi="宋体" w:cs="宋体"/>
          <w:sz w:val="24"/>
        </w:rPr>
      </w:pPr>
      <w:r>
        <w:rPr>
          <w:rFonts w:hint="eastAsia" w:ascii="宋体" w:hAnsi="宋体" w:cs="宋体"/>
          <w:sz w:val="24"/>
        </w:rPr>
        <w:t>以上企业，不属于大型企业的分支机构，不存在控股股东为大型企业的情形，也不存在与大型企业的负责人为同一人的情形。</w:t>
      </w:r>
    </w:p>
    <w:p>
      <w:pPr>
        <w:widowControl/>
        <w:shd w:val="clear" w:color="auto" w:fill="FFFFFF"/>
        <w:spacing w:beforeAutospacing="1" w:afterAutospacing="1" w:line="348" w:lineRule="atLeast"/>
        <w:ind w:firstLine="384"/>
        <w:jc w:val="left"/>
        <w:rPr>
          <w:rFonts w:ascii="宋体" w:hAnsi="宋体" w:cs="宋体"/>
          <w:color w:val="333333"/>
          <w:kern w:val="0"/>
          <w:szCs w:val="21"/>
          <w:shd w:val="clear" w:color="auto" w:fill="FFFFFF"/>
          <w:lang w:bidi="ar"/>
        </w:rPr>
      </w:pPr>
      <w:r>
        <w:rPr>
          <w:rFonts w:hint="eastAsia" w:ascii="宋体" w:hAnsi="宋体" w:cs="宋体"/>
          <w:sz w:val="24"/>
        </w:rPr>
        <w:t>本企业对上述声明内容的真实性负责。如有虚假，将依法承担相应责任。 </w:t>
      </w:r>
      <w:r>
        <w:rPr>
          <w:rFonts w:hint="eastAsia" w:ascii="宋体" w:hAnsi="宋体" w:cs="宋体"/>
          <w:color w:val="333333"/>
          <w:kern w:val="0"/>
          <w:szCs w:val="21"/>
          <w:shd w:val="clear" w:color="auto" w:fill="FFFFFF"/>
          <w:lang w:bidi="ar"/>
        </w:rPr>
        <w:t xml:space="preserve">                                           </w:t>
      </w:r>
    </w:p>
    <w:p>
      <w:pPr>
        <w:widowControl/>
        <w:shd w:val="clear" w:color="auto" w:fill="FFFFFF"/>
        <w:spacing w:beforeAutospacing="1" w:afterAutospacing="1" w:line="348" w:lineRule="atLeast"/>
        <w:ind w:firstLine="384"/>
        <w:jc w:val="left"/>
        <w:rPr>
          <w:rFonts w:ascii="宋体" w:hAnsi="宋体" w:cs="宋体"/>
          <w:sz w:val="24"/>
        </w:rPr>
      </w:pPr>
      <w:r>
        <w:rPr>
          <w:rFonts w:hint="eastAsia" w:ascii="宋体" w:hAnsi="宋体" w:cs="宋体"/>
          <w:color w:val="333333"/>
          <w:kern w:val="0"/>
          <w:szCs w:val="21"/>
          <w:shd w:val="clear" w:color="auto" w:fill="FFFFFF"/>
          <w:lang w:bidi="ar"/>
        </w:rPr>
        <w:t xml:space="preserve">                                            </w:t>
      </w:r>
      <w:r>
        <w:rPr>
          <w:rFonts w:hint="eastAsia" w:ascii="宋体" w:hAnsi="宋体" w:cs="宋体"/>
          <w:sz w:val="24"/>
        </w:rPr>
        <w:t>企业名称（盖章）：</w:t>
      </w:r>
    </w:p>
    <w:p>
      <w:pPr>
        <w:widowControl/>
        <w:shd w:val="clear" w:color="auto" w:fill="FFFFFF"/>
        <w:spacing w:beforeAutospacing="1" w:afterAutospacing="1" w:line="348" w:lineRule="atLeast"/>
        <w:ind w:firstLine="5040" w:firstLineChars="2100"/>
        <w:jc w:val="left"/>
        <w:rPr>
          <w:rFonts w:ascii="宋体" w:hAnsi="宋体" w:cs="宋体"/>
          <w:sz w:val="24"/>
        </w:rPr>
      </w:pPr>
      <w:r>
        <w:rPr>
          <w:rFonts w:hint="eastAsia" w:ascii="宋体" w:hAnsi="宋体" w:cs="宋体"/>
          <w:sz w:val="24"/>
        </w:rPr>
        <w:t>日 期：</w:t>
      </w:r>
    </w:p>
    <w:p>
      <w:pPr>
        <w:adjustRightInd w:val="0"/>
        <w:snapToGrid w:val="0"/>
        <w:spacing w:line="360" w:lineRule="auto"/>
        <w:ind w:firstLine="420" w:firstLineChars="200"/>
        <w:rPr>
          <w:rFonts w:ascii="宋体" w:hAnsi="宋体"/>
          <w:szCs w:val="21"/>
        </w:rPr>
      </w:pPr>
      <w:r>
        <w:rPr>
          <w:rFonts w:hint="eastAsia" w:ascii="宋体" w:hAnsi="宋体"/>
          <w:szCs w:val="21"/>
        </w:rPr>
        <w:t>说明：（1）本声明函所称中小企业，是指在中华人民共和国境内依法设立，依据国务院批准的 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pPr>
        <w:adjustRightInd w:val="0"/>
        <w:snapToGrid w:val="0"/>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int="eastAsia" w:ascii="宋体" w:hAnsi="宋体"/>
          <w:color w:val="auto"/>
          <w:sz w:val="21"/>
          <w:szCs w:val="21"/>
        </w:rPr>
      </w:pPr>
      <w:r>
        <w:rPr>
          <w:rFonts w:hint="eastAsia" w:ascii="宋体" w:hAnsi="宋体"/>
          <w:color w:val="auto"/>
          <w:sz w:val="21"/>
          <w:szCs w:val="21"/>
          <w:lang w:eastAsia="zh-CN"/>
        </w:rPr>
        <w:t>（</w:t>
      </w:r>
      <w:r>
        <w:rPr>
          <w:rFonts w:hint="eastAsia" w:ascii="宋体" w:hAnsi="宋体"/>
          <w:color w:val="auto"/>
          <w:sz w:val="21"/>
          <w:szCs w:val="21"/>
          <w:lang w:val="en-US" w:eastAsia="zh-CN"/>
        </w:rPr>
        <w:t>3</w:t>
      </w:r>
      <w:r>
        <w:rPr>
          <w:rFonts w:hint="eastAsia" w:ascii="宋体" w:hAnsi="宋体"/>
          <w:color w:val="auto"/>
          <w:sz w:val="21"/>
          <w:szCs w:val="21"/>
          <w:lang w:eastAsia="zh-CN"/>
        </w:rPr>
        <w:t>）</w:t>
      </w:r>
      <w:r>
        <w:rPr>
          <w:rFonts w:hint="eastAsia" w:ascii="宋体" w:hAnsi="宋体"/>
          <w:color w:val="auto"/>
          <w:sz w:val="21"/>
          <w:szCs w:val="21"/>
        </w:rPr>
        <w:t>中标人为中小企业的，本声明函将随中标结果同时公告</w:t>
      </w:r>
      <w:r>
        <w:rPr>
          <w:rFonts w:hint="eastAsia" w:ascii="宋体" w:hAnsi="宋体"/>
          <w:color w:val="auto"/>
          <w:sz w:val="21"/>
          <w:szCs w:val="21"/>
          <w:lang w:eastAsia="zh-CN"/>
        </w:rPr>
        <w:t>，</w:t>
      </w:r>
      <w:r>
        <w:rPr>
          <w:rFonts w:hint="eastAsia" w:ascii="宋体" w:hAnsi="宋体"/>
          <w:color w:val="auto"/>
          <w:sz w:val="21"/>
          <w:szCs w:val="21"/>
          <w:lang w:val="en-US" w:eastAsia="zh-CN"/>
        </w:rPr>
        <w:t>接受社会监督</w:t>
      </w:r>
      <w:r>
        <w:rPr>
          <w:rFonts w:hint="eastAsia" w:ascii="宋体" w:hAnsi="宋体"/>
          <w:color w:val="auto"/>
          <w:sz w:val="21"/>
          <w:szCs w:val="21"/>
        </w:rPr>
        <w:t>。</w:t>
      </w:r>
      <w:r>
        <w:rPr>
          <w:rFonts w:hint="eastAsia" w:ascii="宋体" w:hAnsi="宋体" w:eastAsia="宋体"/>
          <w:b/>
          <w:bCs/>
          <w:color w:val="auto"/>
          <w:sz w:val="21"/>
          <w:szCs w:val="21"/>
          <w:highlight w:val="none"/>
          <w:lang w:val="en-US" w:eastAsia="zh-CN"/>
        </w:rPr>
        <w:t>（本项目</w:t>
      </w:r>
      <w:r>
        <w:rPr>
          <w:rFonts w:hint="eastAsia" w:ascii="宋体" w:hAnsi="宋体"/>
          <w:b/>
          <w:bCs/>
          <w:color w:val="auto"/>
          <w:sz w:val="21"/>
          <w:szCs w:val="21"/>
          <w:highlight w:val="none"/>
          <w:lang w:val="en-US" w:eastAsia="zh-CN"/>
        </w:rPr>
        <w:t>不</w:t>
      </w:r>
      <w:r>
        <w:rPr>
          <w:rFonts w:hint="eastAsia" w:ascii="宋体" w:hAnsi="宋体" w:eastAsia="宋体"/>
          <w:b/>
          <w:bCs/>
          <w:color w:val="auto"/>
          <w:sz w:val="21"/>
          <w:szCs w:val="21"/>
          <w:highlight w:val="none"/>
          <w:lang w:val="en-US" w:eastAsia="zh-CN"/>
        </w:rPr>
        <w:t>专门面向中小企业预留份额）</w:t>
      </w:r>
    </w:p>
    <w:p>
      <w:pPr>
        <w:keepNext w:val="0"/>
        <w:keepLines w:val="0"/>
        <w:pageBreakBefore w:val="0"/>
        <w:widowControl w:val="0"/>
        <w:kinsoku/>
        <w:wordWrap/>
        <w:overflowPunct/>
        <w:topLinePunct w:val="0"/>
        <w:autoSpaceDE/>
        <w:autoSpaceDN/>
        <w:bidi w:val="0"/>
        <w:adjustRightInd w:val="0"/>
        <w:snapToGrid/>
        <w:spacing w:line="240" w:lineRule="auto"/>
        <w:ind w:firstLine="422" w:firstLineChars="200"/>
        <w:textAlignment w:val="auto"/>
        <w:rPr>
          <w:rFonts w:hint="eastAsia" w:ascii="宋体" w:hAnsi="宋体"/>
          <w:color w:val="auto"/>
          <w:sz w:val="21"/>
          <w:szCs w:val="21"/>
          <w:highlight w:val="none"/>
          <w:lang w:val="en-US" w:eastAsia="zh-CN"/>
        </w:rPr>
      </w:pP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4</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涉及本项目的行业标准：</w:t>
      </w:r>
    </w:p>
    <w:p>
      <w:pPr>
        <w:keepNext w:val="0"/>
        <w:keepLines w:val="0"/>
        <w:pageBreakBefore w:val="0"/>
        <w:widowControl w:val="0"/>
        <w:kinsoku/>
        <w:wordWrap/>
        <w:overflowPunct/>
        <w:topLinePunct w:val="0"/>
        <w:autoSpaceDE/>
        <w:autoSpaceDN/>
        <w:bidi w:val="0"/>
        <w:adjustRightInd w:val="0"/>
        <w:snapToGrid/>
        <w:spacing w:line="240" w:lineRule="auto"/>
        <w:ind w:firstLine="422" w:firstLineChars="200"/>
        <w:textAlignment w:val="auto"/>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21"/>
        <w:keepNext w:val="0"/>
        <w:keepLines w:val="0"/>
        <w:pageBreakBefore w:val="0"/>
        <w:widowControl w:val="0"/>
        <w:kinsoku/>
        <w:wordWrap/>
        <w:overflowPunct/>
        <w:topLinePunct w:val="0"/>
        <w:autoSpaceDE/>
        <w:autoSpaceDN/>
        <w:bidi w:val="0"/>
        <w:snapToGrid/>
        <w:spacing w:line="240" w:lineRule="auto"/>
        <w:ind w:left="0" w:leftChars="0" w:firstLine="422" w:firstLineChars="200"/>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21"/>
        <w:ind w:left="0" w:leftChars="0" w:firstLine="422" w:firstLineChars="200"/>
      </w:pPr>
      <w:r>
        <w:rPr>
          <w:rFonts w:hint="eastAsia" w:ascii="宋体" w:hAnsi="宋体"/>
          <w:b/>
          <w:bCs/>
          <w:i w:val="0"/>
          <w:iCs w:val="0"/>
          <w:color w:val="000000" w:themeColor="text1"/>
          <w:sz w:val="21"/>
          <w:szCs w:val="21"/>
          <w:highlight w:val="none"/>
          <w:lang w:eastAsia="zh-CN"/>
          <w14:textFill>
            <w14:solidFill>
              <w14:schemeClr w14:val="tx1"/>
            </w14:solidFill>
          </w14:textFill>
        </w:rPr>
        <w:t>（</w:t>
      </w:r>
      <w:r>
        <w:rPr>
          <w:rFonts w:hint="eastAsia" w:ascii="宋体" w:hAnsi="宋体"/>
          <w:b/>
          <w:bCs/>
          <w:i w:val="0"/>
          <w:iCs w:val="0"/>
          <w:color w:val="000000" w:themeColor="text1"/>
          <w:sz w:val="21"/>
          <w:szCs w:val="21"/>
          <w:highlight w:val="none"/>
          <w:lang w:val="en-US" w:eastAsia="zh-CN"/>
          <w14:textFill>
            <w14:solidFill>
              <w14:schemeClr w14:val="tx1"/>
            </w14:solidFill>
          </w14:textFill>
        </w:rPr>
        <w:t>5</w:t>
      </w:r>
      <w:r>
        <w:rPr>
          <w:rFonts w:hint="eastAsia" w:ascii="宋体" w:hAnsi="宋体"/>
          <w:b/>
          <w:bCs/>
          <w:i w:val="0"/>
          <w:iCs w:val="0"/>
          <w:color w:val="000000" w:themeColor="text1"/>
          <w:sz w:val="21"/>
          <w:szCs w:val="21"/>
          <w:highlight w:val="none"/>
          <w:lang w:eastAsia="zh-CN"/>
          <w14:textFill>
            <w14:solidFill>
              <w14:schemeClr w14:val="tx1"/>
            </w14:solidFill>
          </w14:textFill>
        </w:rPr>
        <w:t>）例：</w:t>
      </w:r>
      <w:r>
        <w:rPr>
          <w:rFonts w:hint="eastAsia" w:ascii="宋体" w:hAnsi="宋体"/>
          <w:b/>
          <w:bCs/>
          <w:i w:val="0"/>
          <w:iCs w:val="0"/>
          <w:color w:val="FF0000"/>
          <w:sz w:val="21"/>
          <w:szCs w:val="21"/>
          <w:highlight w:val="none"/>
          <w:u w:val="single"/>
          <w:lang w:eastAsia="zh-CN"/>
        </w:rPr>
        <w:t>室外无线接入点</w:t>
      </w:r>
      <w:r>
        <w:rPr>
          <w:rFonts w:hint="eastAsia" w:ascii="宋体" w:hAnsi="宋体"/>
          <w:b/>
          <w:bCs/>
          <w:i w:val="0"/>
          <w:iCs w:val="0"/>
          <w:color w:val="000000" w:themeColor="text1"/>
          <w:sz w:val="21"/>
          <w:szCs w:val="21"/>
          <w:highlight w:val="none"/>
          <w:lang w:eastAsia="zh-CN"/>
          <w14:textFill>
            <w14:solidFill>
              <w14:schemeClr w14:val="tx1"/>
            </w14:solidFill>
          </w14:textFill>
        </w:rPr>
        <w:t>，属于</w:t>
      </w:r>
      <w:r>
        <w:rPr>
          <w:rFonts w:hint="eastAsia" w:ascii="宋体" w:hAnsi="宋体"/>
          <w:b/>
          <w:bCs/>
          <w:i w:val="0"/>
          <w:iCs w:val="0"/>
          <w:color w:val="FF0000"/>
          <w:sz w:val="21"/>
          <w:szCs w:val="21"/>
          <w:highlight w:val="none"/>
          <w:u w:val="single"/>
          <w:lang w:eastAsia="zh-CN"/>
        </w:rPr>
        <w:t>工业</w:t>
      </w:r>
      <w:r>
        <w:rPr>
          <w:rFonts w:hint="eastAsia" w:ascii="宋体" w:hAnsi="宋体"/>
          <w:b/>
          <w:bCs/>
          <w:i w:val="0"/>
          <w:iCs w:val="0"/>
          <w:color w:val="000000" w:themeColor="text1"/>
          <w:sz w:val="21"/>
          <w:szCs w:val="21"/>
          <w:highlight w:val="none"/>
          <w:lang w:eastAsia="zh-CN"/>
          <w14:textFill>
            <w14:solidFill>
              <w14:schemeClr w14:val="tx1"/>
            </w14:solidFill>
          </w14:textFill>
        </w:rPr>
        <w:t>；制造商为</w:t>
      </w:r>
      <w:r>
        <w:rPr>
          <w:rFonts w:hint="eastAsia" w:ascii="宋体" w:hAnsi="宋体"/>
          <w:b/>
          <w:bCs/>
          <w:i w:val="0"/>
          <w:iCs w:val="0"/>
          <w:color w:val="FF0000"/>
          <w:sz w:val="21"/>
          <w:szCs w:val="21"/>
          <w:highlight w:val="none"/>
          <w:u w:val="single"/>
          <w:lang w:eastAsia="zh-CN"/>
        </w:rPr>
        <w:t>***有限公司</w:t>
      </w:r>
      <w:r>
        <w:rPr>
          <w:rFonts w:hint="eastAsia" w:ascii="宋体" w:hAnsi="宋体"/>
          <w:b/>
          <w:bCs/>
          <w:i w:val="0"/>
          <w:iCs w:val="0"/>
          <w:color w:val="000000" w:themeColor="text1"/>
          <w:sz w:val="21"/>
          <w:szCs w:val="21"/>
          <w:highlight w:val="none"/>
          <w:lang w:eastAsia="zh-CN"/>
          <w14:textFill>
            <w14:solidFill>
              <w14:schemeClr w14:val="tx1"/>
            </w14:solidFill>
          </w14:textFill>
        </w:rPr>
        <w:t>，从业人员</w:t>
      </w:r>
      <w:r>
        <w:rPr>
          <w:rFonts w:hint="eastAsia" w:ascii="宋体" w:hAnsi="宋体"/>
          <w:b/>
          <w:bCs/>
          <w:i w:val="0"/>
          <w:iCs w:val="0"/>
          <w:color w:val="FF0000"/>
          <w:sz w:val="21"/>
          <w:szCs w:val="21"/>
          <w:highlight w:val="none"/>
          <w:u w:val="single"/>
          <w:lang w:eastAsia="zh-CN"/>
        </w:rPr>
        <w:t xml:space="preserve"> 30 </w:t>
      </w:r>
      <w:r>
        <w:rPr>
          <w:rFonts w:hint="eastAsia" w:ascii="宋体" w:hAnsi="宋体"/>
          <w:b/>
          <w:bCs/>
          <w:i w:val="0"/>
          <w:iCs w:val="0"/>
          <w:color w:val="000000" w:themeColor="text1"/>
          <w:sz w:val="21"/>
          <w:szCs w:val="21"/>
          <w:highlight w:val="none"/>
          <w:lang w:eastAsia="zh-CN"/>
          <w14:textFill>
            <w14:solidFill>
              <w14:schemeClr w14:val="tx1"/>
            </w14:solidFill>
          </w14:textFill>
        </w:rPr>
        <w:t>人，营业收入为</w:t>
      </w:r>
      <w:r>
        <w:rPr>
          <w:rFonts w:hint="eastAsia" w:ascii="宋体" w:hAnsi="宋体"/>
          <w:b/>
          <w:bCs/>
          <w:i w:val="0"/>
          <w:iCs w:val="0"/>
          <w:color w:val="FF0000"/>
          <w:sz w:val="21"/>
          <w:szCs w:val="21"/>
          <w:highlight w:val="none"/>
          <w:u w:val="single"/>
          <w:lang w:eastAsia="zh-CN"/>
        </w:rPr>
        <w:t xml:space="preserve"> 50 </w:t>
      </w:r>
      <w:r>
        <w:rPr>
          <w:rFonts w:hint="eastAsia" w:ascii="宋体" w:hAnsi="宋体"/>
          <w:b/>
          <w:bCs/>
          <w:i w:val="0"/>
          <w:iCs w:val="0"/>
          <w:color w:val="000000" w:themeColor="text1"/>
          <w:sz w:val="21"/>
          <w:szCs w:val="21"/>
          <w:highlight w:val="none"/>
          <w:lang w:eastAsia="zh-CN"/>
          <w14:textFill>
            <w14:solidFill>
              <w14:schemeClr w14:val="tx1"/>
            </w14:solidFill>
          </w14:textFill>
        </w:rPr>
        <w:t>万元，资产总额为</w:t>
      </w:r>
      <w:r>
        <w:rPr>
          <w:rFonts w:hint="eastAsia" w:ascii="宋体" w:hAnsi="宋体"/>
          <w:b/>
          <w:bCs/>
          <w:i w:val="0"/>
          <w:iCs w:val="0"/>
          <w:color w:val="FF0000"/>
          <w:sz w:val="21"/>
          <w:szCs w:val="21"/>
          <w:highlight w:val="none"/>
          <w:u w:val="single"/>
          <w:lang w:eastAsia="zh-CN"/>
        </w:rPr>
        <w:t xml:space="preserve"> 150 </w:t>
      </w:r>
      <w:r>
        <w:rPr>
          <w:rFonts w:hint="eastAsia" w:ascii="宋体" w:hAnsi="宋体"/>
          <w:b/>
          <w:bCs/>
          <w:i w:val="0"/>
          <w:iCs w:val="0"/>
          <w:color w:val="000000" w:themeColor="text1"/>
          <w:sz w:val="21"/>
          <w:szCs w:val="21"/>
          <w:highlight w:val="none"/>
          <w:lang w:eastAsia="zh-CN"/>
          <w14:textFill>
            <w14:solidFill>
              <w14:schemeClr w14:val="tx1"/>
            </w14:solidFill>
          </w14:textFill>
        </w:rPr>
        <w:t>万元，属于</w:t>
      </w:r>
      <w:r>
        <w:rPr>
          <w:rFonts w:hint="eastAsia" w:ascii="宋体" w:hAnsi="宋体"/>
          <w:b/>
          <w:bCs/>
          <w:i w:val="0"/>
          <w:iCs w:val="0"/>
          <w:color w:val="FF0000"/>
          <w:sz w:val="21"/>
          <w:szCs w:val="21"/>
          <w:highlight w:val="none"/>
          <w:u w:val="single"/>
          <w:lang w:eastAsia="zh-CN"/>
        </w:rPr>
        <w:t>微型企业</w:t>
      </w:r>
      <w:r>
        <w:rPr>
          <w:rFonts w:hint="eastAsia" w:ascii="宋体" w:hAnsi="宋体"/>
          <w:b/>
          <w:bCs/>
          <w:i w:val="0"/>
          <w:iCs w:val="0"/>
          <w:color w:val="000000" w:themeColor="text1"/>
          <w:sz w:val="21"/>
          <w:szCs w:val="21"/>
          <w:highlight w:val="none"/>
          <w:lang w:eastAsia="zh-CN"/>
          <w14:textFill>
            <w14:solidFill>
              <w14:schemeClr w14:val="tx1"/>
            </w14:solidFill>
          </w14:textFill>
        </w:rPr>
        <w:t>。</w:t>
      </w:r>
    </w:p>
    <w:p>
      <w:pPr>
        <w:rPr>
          <w:rFonts w:ascii="宋体" w:hAnsi="宋体" w:cs="宋体"/>
          <w:b/>
          <w:bCs/>
          <w:spacing w:val="6"/>
          <w:kern w:val="0"/>
          <w:sz w:val="24"/>
        </w:rPr>
      </w:pPr>
      <w:r>
        <w:rPr>
          <w:rFonts w:hint="eastAsia" w:ascii="宋体" w:hAnsi="宋体" w:cs="宋体"/>
          <w:b/>
          <w:bCs/>
          <w:spacing w:val="6"/>
          <w:kern w:val="0"/>
          <w:sz w:val="24"/>
        </w:rPr>
        <w:br w:type="page"/>
      </w:r>
    </w:p>
    <w:p>
      <w:pP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附件15-1</w:t>
      </w:r>
    </w:p>
    <w:p>
      <w:pPr>
        <w:tabs>
          <w:tab w:val="left" w:pos="3600"/>
        </w:tabs>
        <w:adjustRightInd w:val="0"/>
        <w:snapToGrid w:val="0"/>
        <w:jc w:val="center"/>
        <w:rPr>
          <w:rFonts w:ascii="宋体" w:hAnsi="宋体" w:cs="宋体"/>
          <w:b/>
          <w:bCs/>
          <w:spacing w:val="6"/>
          <w:kern w:val="0"/>
          <w:sz w:val="24"/>
        </w:rPr>
      </w:pPr>
      <w:r>
        <w:rPr>
          <w:rFonts w:hint="eastAsia" w:ascii="宋体" w:hAnsi="宋体" w:cs="宋体"/>
          <w:b/>
          <w:bCs/>
          <w:spacing w:val="6"/>
          <w:kern w:val="0"/>
          <w:sz w:val="24"/>
        </w:rPr>
        <w:t>残疾人福利性单位声明函</w:t>
      </w:r>
    </w:p>
    <w:p>
      <w:pPr>
        <w:spacing w:line="588" w:lineRule="exact"/>
        <w:rPr>
          <w:rFonts w:ascii="仿宋_GB2312" w:eastAsia="仿宋_GB2312"/>
          <w:b/>
          <w:spacing w:val="6"/>
          <w:sz w:val="30"/>
          <w:szCs w:val="30"/>
        </w:rPr>
      </w:pPr>
    </w:p>
    <w:p>
      <w:pPr>
        <w:widowControl/>
        <w:adjustRightInd w:val="0"/>
        <w:snapToGrid w:val="0"/>
        <w:spacing w:before="156" w:beforeLines="50"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本单位郑重声明，根据《财政部</w:t>
      </w:r>
      <w:r>
        <w:rPr>
          <w:rFonts w:ascii="宋体" w:hAnsi="宋体" w:cs="宋体"/>
          <w:spacing w:val="6"/>
          <w:kern w:val="0"/>
          <w:szCs w:val="21"/>
        </w:rPr>
        <w:t xml:space="preserve"> </w:t>
      </w:r>
      <w:r>
        <w:rPr>
          <w:rFonts w:hint="eastAsia" w:ascii="宋体" w:hAnsi="宋体" w:cs="宋体"/>
          <w:spacing w:val="6"/>
          <w:kern w:val="0"/>
          <w:szCs w:val="21"/>
        </w:rPr>
        <w:t>民政部</w:t>
      </w:r>
      <w:r>
        <w:rPr>
          <w:rFonts w:ascii="宋体" w:hAnsi="宋体" w:cs="宋体"/>
          <w:spacing w:val="6"/>
          <w:kern w:val="0"/>
          <w:szCs w:val="21"/>
        </w:rPr>
        <w:t xml:space="preserve"> </w:t>
      </w:r>
      <w:r>
        <w:rPr>
          <w:rFonts w:hint="eastAsia" w:ascii="宋体" w:hAnsi="宋体" w:cs="宋体"/>
          <w:spacing w:val="6"/>
          <w:kern w:val="0"/>
          <w:szCs w:val="21"/>
        </w:rPr>
        <w:t>中国残疾人联合会关于促进残疾人就业政府采购政策的通知》（财库〔</w:t>
      </w:r>
      <w:r>
        <w:rPr>
          <w:rFonts w:ascii="宋体" w:hAnsi="宋体" w:cs="宋体"/>
          <w:spacing w:val="6"/>
          <w:kern w:val="0"/>
          <w:szCs w:val="21"/>
        </w:rPr>
        <w:t>2017</w:t>
      </w:r>
      <w:r>
        <w:rPr>
          <w:rFonts w:hint="eastAsia" w:ascii="宋体" w:hAnsi="宋体" w:cs="宋体"/>
          <w:spacing w:val="6"/>
          <w:kern w:val="0"/>
          <w:szCs w:val="21"/>
        </w:rPr>
        <w:t>〕</w:t>
      </w:r>
      <w:r>
        <w:rPr>
          <w:rFonts w:ascii="宋体" w:hAnsi="宋体" w:cs="宋体"/>
          <w:spacing w:val="6"/>
          <w:kern w:val="0"/>
          <w:szCs w:val="21"/>
        </w:rPr>
        <w:t xml:space="preserve"> 141</w:t>
      </w:r>
      <w:r>
        <w:rPr>
          <w:rFonts w:hint="eastAsia" w:ascii="宋体" w:hAnsi="宋体" w:cs="宋体"/>
          <w:spacing w:val="6"/>
          <w:kern w:val="0"/>
          <w:szCs w:val="21"/>
        </w:rPr>
        <w:t>号）的规定，本单位为符合条件的残疾人福利性单位，且本单位参加</w:t>
      </w:r>
      <w:r>
        <w:rPr>
          <w:rFonts w:ascii="宋体" w:hAnsi="宋体" w:cs="宋体"/>
          <w:spacing w:val="6"/>
          <w:kern w:val="0"/>
          <w:szCs w:val="21"/>
        </w:rPr>
        <w:t>______</w:t>
      </w:r>
      <w:r>
        <w:rPr>
          <w:rFonts w:hint="eastAsia" w:ascii="宋体" w:hAnsi="宋体" w:cs="宋体"/>
          <w:spacing w:val="6"/>
          <w:kern w:val="0"/>
          <w:szCs w:val="21"/>
        </w:rPr>
        <w:t>单位的</w:t>
      </w:r>
      <w:r>
        <w:rPr>
          <w:rFonts w:ascii="宋体" w:hAnsi="宋体" w:cs="宋体"/>
          <w:spacing w:val="6"/>
          <w:kern w:val="0"/>
          <w:szCs w:val="21"/>
        </w:rPr>
        <w:t>______</w:t>
      </w:r>
      <w:r>
        <w:rPr>
          <w:rFonts w:hint="eastAsia" w:ascii="宋体" w:hAnsi="宋体" w:cs="宋体"/>
          <w:spacing w:val="6"/>
          <w:kern w:val="0"/>
          <w:szCs w:val="21"/>
        </w:rPr>
        <w:t>项目采购活动提供本单位制造的货物（由本单位承担工程</w:t>
      </w:r>
      <w:r>
        <w:rPr>
          <w:rFonts w:ascii="宋体" w:hAnsi="宋体" w:cs="宋体"/>
          <w:spacing w:val="6"/>
          <w:kern w:val="0"/>
          <w:szCs w:val="21"/>
        </w:rPr>
        <w:t>/</w:t>
      </w:r>
      <w:r>
        <w:rPr>
          <w:rFonts w:hint="eastAsia" w:ascii="宋体" w:hAnsi="宋体" w:cs="宋体"/>
          <w:spacing w:val="6"/>
          <w:kern w:val="0"/>
          <w:szCs w:val="21"/>
        </w:rPr>
        <w:t>提供服务），或者提供其他残疾人福利性单位制造的货物（不包括使用非残疾人福利性单位注册商标的货物）。</w:t>
      </w:r>
    </w:p>
    <w:p>
      <w:pPr>
        <w:widowControl/>
        <w:adjustRightInd w:val="0"/>
        <w:snapToGrid w:val="0"/>
        <w:spacing w:before="156" w:beforeLines="50"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本单位对上述声明的真实性负责。如有虚假，将依法承担相应责任。</w:t>
      </w:r>
    </w:p>
    <w:p>
      <w:pPr>
        <w:spacing w:line="588" w:lineRule="exact"/>
        <w:ind w:firstLine="624" w:firstLineChars="200"/>
        <w:rPr>
          <w:rFonts w:ascii="仿宋_GB2312" w:eastAsia="仿宋_GB2312"/>
          <w:spacing w:val="6"/>
          <w:sz w:val="30"/>
          <w:szCs w:val="30"/>
        </w:rPr>
      </w:pPr>
    </w:p>
    <w:p>
      <w:pPr>
        <w:spacing w:line="588" w:lineRule="exact"/>
        <w:ind w:firstLine="624" w:firstLineChars="200"/>
        <w:rPr>
          <w:rFonts w:ascii="仿宋_GB2312" w:eastAsia="仿宋_GB2312"/>
          <w:spacing w:val="6"/>
          <w:sz w:val="30"/>
          <w:szCs w:val="30"/>
        </w:rPr>
      </w:pPr>
    </w:p>
    <w:p>
      <w:pPr>
        <w:widowControl/>
        <w:adjustRightInd w:val="0"/>
        <w:snapToGrid w:val="0"/>
        <w:spacing w:line="360" w:lineRule="auto"/>
        <w:ind w:firstLine="624" w:firstLineChars="200"/>
        <w:jc w:val="center"/>
        <w:rPr>
          <w:rFonts w:ascii="宋体" w:hAnsi="宋体" w:cs="宋体"/>
          <w:spacing w:val="6"/>
          <w:kern w:val="0"/>
          <w:szCs w:val="21"/>
        </w:rPr>
      </w:pPr>
      <w:r>
        <w:rPr>
          <w:rFonts w:ascii="仿宋_GB2312" w:eastAsia="仿宋_GB2312"/>
          <w:spacing w:val="6"/>
          <w:sz w:val="30"/>
          <w:szCs w:val="30"/>
        </w:rPr>
        <w:t xml:space="preserve">       </w:t>
      </w:r>
      <w:r>
        <w:rPr>
          <w:rFonts w:hint="eastAsia" w:ascii="宋体" w:hAnsi="宋体" w:cs="宋体"/>
          <w:spacing w:val="6"/>
          <w:kern w:val="0"/>
          <w:szCs w:val="21"/>
        </w:rPr>
        <w:t xml:space="preserve">投标单位名称（盖单位章）： </w:t>
      </w:r>
    </w:p>
    <w:p>
      <w:pPr>
        <w:widowControl/>
        <w:adjustRightInd w:val="0"/>
        <w:snapToGrid w:val="0"/>
        <w:spacing w:line="360" w:lineRule="auto"/>
        <w:ind w:firstLine="444" w:firstLineChars="200"/>
        <w:jc w:val="center"/>
        <w:rPr>
          <w:rFonts w:ascii="宋体" w:hAnsi="宋体"/>
          <w:szCs w:val="21"/>
        </w:rPr>
      </w:pPr>
      <w:r>
        <w:rPr>
          <w:rFonts w:hint="eastAsia" w:ascii="宋体" w:hAnsi="宋体" w:cs="宋体"/>
          <w:spacing w:val="6"/>
          <w:kern w:val="0"/>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宋体" w:hAnsi="宋体"/>
          <w:b/>
          <w:sz w:val="28"/>
          <w:szCs w:val="28"/>
        </w:rPr>
      </w:pPr>
    </w:p>
    <w:p>
      <w:pPr>
        <w:pStyle w:val="41"/>
        <w:spacing w:before="0" w:beforeAutospacing="0" w:after="0" w:afterAutospacing="0"/>
        <w:rPr>
          <w:spacing w:val="6"/>
          <w:sz w:val="21"/>
          <w:szCs w:val="21"/>
        </w:rPr>
      </w:pPr>
      <w:r>
        <w:rPr>
          <w:rFonts w:hint="eastAsia"/>
          <w:spacing w:val="6"/>
          <w:sz w:val="21"/>
          <w:szCs w:val="21"/>
        </w:rPr>
        <w:t>说明：</w:t>
      </w:r>
    </w:p>
    <w:p>
      <w:pPr>
        <w:pStyle w:val="41"/>
        <w:spacing w:before="0" w:beforeAutospacing="0" w:after="0" w:afterAutospacing="0"/>
        <w:ind w:firstLine="444" w:firstLineChars="200"/>
        <w:rPr>
          <w:spacing w:val="6"/>
          <w:sz w:val="21"/>
          <w:szCs w:val="21"/>
        </w:rPr>
      </w:pPr>
      <w:r>
        <w:rPr>
          <w:rFonts w:hint="eastAsia"/>
          <w:spacing w:val="6"/>
          <w:sz w:val="21"/>
          <w:szCs w:val="21"/>
        </w:rPr>
        <w:t>1、</w:t>
      </w:r>
      <w:r>
        <w:rPr>
          <w:rFonts w:hint="eastAsia"/>
          <w:b/>
          <w:bCs/>
          <w:spacing w:val="6"/>
          <w:sz w:val="21"/>
          <w:szCs w:val="21"/>
        </w:rPr>
        <w:t>残疾人福利性单位视同小微企业</w:t>
      </w:r>
      <w:r>
        <w:rPr>
          <w:rFonts w:hint="eastAsia"/>
          <w:spacing w:val="6"/>
          <w:sz w:val="21"/>
          <w:szCs w:val="21"/>
        </w:rPr>
        <w:t>，残疾人福利性单位应当同时满足以下条件：</w:t>
      </w:r>
    </w:p>
    <w:p>
      <w:pPr>
        <w:pStyle w:val="41"/>
        <w:spacing w:before="0" w:beforeAutospacing="0" w:after="0" w:afterAutospacing="0"/>
        <w:ind w:firstLine="444" w:firstLineChars="200"/>
        <w:rPr>
          <w:spacing w:val="6"/>
          <w:sz w:val="21"/>
          <w:szCs w:val="21"/>
        </w:rPr>
      </w:pPr>
      <w:r>
        <w:rPr>
          <w:rFonts w:hint="eastAsia"/>
          <w:spacing w:val="6"/>
          <w:sz w:val="21"/>
          <w:szCs w:val="21"/>
        </w:rPr>
        <w:t>①安置的残疾人占本单位在职职工人数的比例不低于25%（含25%），并且安置的残疾人人数不少于10人（含10人）；</w:t>
      </w:r>
    </w:p>
    <w:p>
      <w:pPr>
        <w:pStyle w:val="41"/>
        <w:spacing w:before="0" w:beforeAutospacing="0" w:after="0" w:afterAutospacing="0"/>
        <w:ind w:firstLine="444" w:firstLineChars="200"/>
        <w:rPr>
          <w:spacing w:val="6"/>
          <w:sz w:val="21"/>
          <w:szCs w:val="21"/>
        </w:rPr>
      </w:pPr>
      <w:r>
        <w:rPr>
          <w:rFonts w:hint="eastAsia"/>
          <w:spacing w:val="6"/>
          <w:sz w:val="21"/>
          <w:szCs w:val="21"/>
        </w:rPr>
        <w:t>②依法与安置的每位残疾人签订了一年以上（含一年）的劳动合同或服务协议；</w:t>
      </w:r>
    </w:p>
    <w:p>
      <w:pPr>
        <w:pStyle w:val="41"/>
        <w:spacing w:before="0" w:beforeAutospacing="0" w:after="0" w:afterAutospacing="0"/>
        <w:ind w:firstLine="444" w:firstLineChars="200"/>
        <w:rPr>
          <w:spacing w:val="6"/>
          <w:sz w:val="21"/>
          <w:szCs w:val="21"/>
        </w:rPr>
      </w:pPr>
      <w:r>
        <w:rPr>
          <w:rFonts w:hint="eastAsia"/>
          <w:spacing w:val="6"/>
          <w:sz w:val="21"/>
          <w:szCs w:val="21"/>
        </w:rPr>
        <w:t>③为安置的每位残疾人按月足额缴纳了基本养老保险、基本医疗保险、失业保险、工伤保险和生育保险等社会保险费；</w:t>
      </w:r>
    </w:p>
    <w:p>
      <w:pPr>
        <w:pStyle w:val="41"/>
        <w:spacing w:before="0" w:beforeAutospacing="0" w:after="0" w:afterAutospacing="0"/>
        <w:ind w:firstLine="444" w:firstLineChars="200"/>
        <w:rPr>
          <w:spacing w:val="6"/>
          <w:sz w:val="21"/>
          <w:szCs w:val="21"/>
        </w:rPr>
      </w:pPr>
      <w:r>
        <w:rPr>
          <w:rFonts w:hint="eastAsia"/>
          <w:spacing w:val="6"/>
          <w:sz w:val="21"/>
          <w:szCs w:val="21"/>
        </w:rPr>
        <w:t>④通过银行等金融机构向安置的每位残疾人，按月支付了不低于单位所在区县适用的经省级人民政府批准的月最低工资标准的工资；</w:t>
      </w:r>
    </w:p>
    <w:p>
      <w:pPr>
        <w:pStyle w:val="41"/>
        <w:spacing w:before="0" w:beforeAutospacing="0" w:after="0" w:afterAutospacing="0"/>
        <w:ind w:firstLine="444" w:firstLineChars="200"/>
        <w:rPr>
          <w:spacing w:val="6"/>
          <w:sz w:val="21"/>
          <w:szCs w:val="21"/>
        </w:rPr>
      </w:pPr>
      <w:r>
        <w:rPr>
          <w:rFonts w:hint="eastAsia"/>
          <w:spacing w:val="6"/>
          <w:sz w:val="21"/>
          <w:szCs w:val="21"/>
        </w:rPr>
        <w:t>⑤提供本单位制造的货物、承担的工程或者服务（以下简称产品），或者提供其他残疾人福利性单位制造的货物（不包括使用非残疾人福利性单位注册商标的货物）。</w:t>
      </w:r>
    </w:p>
    <w:p>
      <w:pPr>
        <w:pStyle w:val="41"/>
        <w:spacing w:before="0" w:beforeAutospacing="0" w:after="0" w:afterAutospacing="0"/>
        <w:rPr>
          <w:spacing w:val="6"/>
          <w:sz w:val="21"/>
          <w:szCs w:val="21"/>
        </w:rPr>
      </w:pPr>
    </w:p>
    <w:p>
      <w:pPr>
        <w:pStyle w:val="41"/>
        <w:spacing w:before="0" w:beforeAutospacing="0" w:after="0" w:afterAutospacing="0"/>
        <w:ind w:firstLine="444" w:firstLineChars="200"/>
        <w:rPr>
          <w:spacing w:val="6"/>
          <w:sz w:val="21"/>
          <w:szCs w:val="21"/>
        </w:rPr>
      </w:pPr>
    </w:p>
    <w:p>
      <w:pPr>
        <w:pStyle w:val="41"/>
        <w:spacing w:before="0" w:beforeAutospacing="0" w:after="0" w:afterAutospacing="0"/>
        <w:ind w:firstLine="444" w:firstLineChars="200"/>
        <w:rPr>
          <w:spacing w:val="6"/>
          <w:sz w:val="21"/>
          <w:szCs w:val="21"/>
        </w:rPr>
      </w:pPr>
      <w:r>
        <w:rPr>
          <w:rFonts w:hint="eastAsia"/>
          <w:spacing w:val="6"/>
          <w:sz w:val="21"/>
          <w:szCs w:val="21"/>
        </w:rPr>
        <w:t>2、</w:t>
      </w:r>
      <w:r>
        <w:rPr>
          <w:rFonts w:hint="eastAsia"/>
          <w:b/>
          <w:bCs/>
          <w:spacing w:val="6"/>
          <w:sz w:val="21"/>
          <w:szCs w:val="21"/>
        </w:rPr>
        <w:t>监狱企业视同为小微企业。</w:t>
      </w:r>
      <w:r>
        <w:rPr>
          <w:rFonts w:hint="eastAsia"/>
          <w:spacing w:val="6"/>
          <w:sz w:val="21"/>
          <w:szCs w:val="21"/>
        </w:rPr>
        <w:t>如属于监狱企业，需提供由省级以上监狱管理局、戒毒管理局（含新疆生产建设兵团）出具的属于监狱企业的证明文件。</w:t>
      </w:r>
    </w:p>
    <w:p>
      <w:pPr>
        <w:pStyle w:val="41"/>
        <w:spacing w:before="0" w:beforeAutospacing="0" w:after="0" w:afterAutospacing="0"/>
        <w:ind w:firstLine="444" w:firstLineChars="200"/>
        <w:rPr>
          <w:spacing w:val="6"/>
          <w:sz w:val="21"/>
          <w:szCs w:val="21"/>
        </w:rPr>
      </w:pPr>
      <w:r>
        <w:rPr>
          <w:rFonts w:hint="eastAsia"/>
          <w:spacing w:val="6"/>
          <w:sz w:val="21"/>
          <w:szCs w:val="21"/>
        </w:rPr>
        <w:br w:type="page"/>
      </w:r>
    </w:p>
    <w:p>
      <w:pPr>
        <w:pStyle w:val="25"/>
        <w:ind w:left="0"/>
        <w:rPr>
          <w:rFonts w:ascii="宋体" w:hAnsi="宋体" w:cs="宋体"/>
          <w:spacing w:val="6"/>
          <w:kern w:val="0"/>
          <w:sz w:val="21"/>
          <w:szCs w:val="21"/>
        </w:rPr>
      </w:pPr>
      <w:bookmarkStart w:id="198" w:name="_Hlk109409373"/>
      <w:r>
        <w:rPr>
          <w:rFonts w:hint="eastAsia" w:ascii="宋体" w:hAnsi="宋体"/>
          <w:bCs/>
          <w:i w:val="0"/>
          <w:iCs w:val="0"/>
          <w:color w:val="000000" w:themeColor="text1"/>
          <w:sz w:val="28"/>
          <w:szCs w:val="28"/>
          <w14:textFill>
            <w14:solidFill>
              <w14:schemeClr w14:val="tx1"/>
            </w14:solidFill>
          </w14:textFill>
        </w:rPr>
        <w:t>附件16</w:t>
      </w:r>
      <w:r>
        <w:rPr>
          <w:rFonts w:hint="eastAsia" w:ascii="宋体" w:hAnsi="宋体" w:cs="宋体"/>
          <w:spacing w:val="6"/>
          <w:kern w:val="0"/>
          <w:sz w:val="21"/>
          <w:szCs w:val="21"/>
        </w:rPr>
        <w:t xml:space="preserve"> </w:t>
      </w:r>
    </w:p>
    <w:bookmarkEnd w:id="198"/>
    <w:p>
      <w:pPr>
        <w:pStyle w:val="41"/>
        <w:spacing w:beforeAutospacing="0" w:after="0" w:afterAutospacing="0" w:line="27" w:lineRule="atLeast"/>
        <w:jc w:val="center"/>
        <w:rPr>
          <w:rFonts w:ascii="-webkit-standard" w:hAnsi="-webkit-standard" w:eastAsia="-webkit-standard" w:cs="-webkit-standard"/>
          <w:color w:val="000000"/>
          <w:sz w:val="22"/>
          <w:szCs w:val="22"/>
        </w:rPr>
      </w:pPr>
      <w:r>
        <w:rPr>
          <w:rFonts w:ascii="Times New Roman" w:hAnsi="Times New Roman" w:eastAsia="-webkit-standard" w:cs="Times New Roman"/>
          <w:b/>
          <w:color w:val="000000"/>
          <w:sz w:val="22"/>
          <w:szCs w:val="22"/>
        </w:rPr>
        <w:t>政府采购政策情况表</w:t>
      </w:r>
    </w:p>
    <w:p>
      <w:pPr>
        <w:pStyle w:val="41"/>
        <w:spacing w:beforeAutospacing="0" w:after="0" w:afterAutospacing="0" w:line="324" w:lineRule="atLeast"/>
        <w:jc w:val="center"/>
        <w:rPr>
          <w:rFonts w:ascii="-webkit-standard" w:hAnsi="-webkit-standard" w:eastAsia="-webkit-standard" w:cs="-webkit-standard"/>
          <w:color w:val="000000"/>
          <w:sz w:val="22"/>
          <w:szCs w:val="22"/>
        </w:rPr>
      </w:pPr>
      <w:r>
        <w:rPr>
          <w:rFonts w:ascii="-webkit-standard" w:hAnsi="-webkit-standard" w:eastAsia="-webkit-standard" w:cs="-webkit-standard"/>
          <w:color w:val="000000"/>
          <w:sz w:val="22"/>
          <w:szCs w:val="22"/>
        </w:rPr>
        <w:t> </w:t>
      </w:r>
    </w:p>
    <w:p>
      <w:pPr>
        <w:pStyle w:val="41"/>
        <w:spacing w:beforeAutospacing="0" w:after="0" w:afterAutospacing="0" w:line="324" w:lineRule="atLeast"/>
        <w:jc w:val="both"/>
        <w:rPr>
          <w:rFonts w:ascii="-webkit-standard" w:hAnsi="-webkit-standard" w:eastAsia="-webkit-standard" w:cs="-webkit-standard"/>
          <w:color w:val="000000"/>
          <w:sz w:val="22"/>
          <w:szCs w:val="22"/>
        </w:rPr>
      </w:pPr>
      <w:r>
        <w:rPr>
          <w:rFonts w:hint="eastAsia"/>
          <w:color w:val="000000"/>
          <w:sz w:val="22"/>
          <w:szCs w:val="22"/>
        </w:rPr>
        <w:t>项目名称：</w:t>
      </w:r>
    </w:p>
    <w:p>
      <w:pPr>
        <w:pStyle w:val="41"/>
        <w:spacing w:beforeAutospacing="0" w:after="0" w:afterAutospacing="0" w:line="324" w:lineRule="atLeast"/>
        <w:jc w:val="both"/>
        <w:rPr>
          <w:rFonts w:ascii="-webkit-standard" w:hAnsi="-webkit-standard" w:eastAsia="-webkit-standard" w:cs="-webkit-standard"/>
          <w:color w:val="000000"/>
          <w:sz w:val="22"/>
          <w:szCs w:val="22"/>
        </w:rPr>
      </w:pPr>
      <w:r>
        <w:rPr>
          <w:rFonts w:hint="eastAsia"/>
          <w:color w:val="000000"/>
          <w:sz w:val="22"/>
          <w:szCs w:val="22"/>
        </w:rPr>
        <w:t>项目编号：</w:t>
      </w:r>
    </w:p>
    <w:p>
      <w:pPr>
        <w:pStyle w:val="41"/>
        <w:spacing w:beforeAutospacing="0" w:after="0" w:afterAutospacing="0" w:line="324" w:lineRule="atLeast"/>
        <w:jc w:val="both"/>
        <w:rPr>
          <w:rFonts w:ascii="-webkit-standard" w:hAnsi="-webkit-standard" w:eastAsia="-webkit-standard" w:cs="-webkit-standard"/>
          <w:color w:val="000000"/>
          <w:sz w:val="22"/>
          <w:szCs w:val="22"/>
        </w:rPr>
      </w:pPr>
      <w:r>
        <w:rPr>
          <w:rFonts w:hint="eastAsia"/>
          <w:color w:val="000000"/>
          <w:sz w:val="22"/>
          <w:szCs w:val="22"/>
        </w:rPr>
        <w:t>填报要求：</w:t>
      </w:r>
    </w:p>
    <w:p>
      <w:pPr>
        <w:pStyle w:val="41"/>
        <w:spacing w:beforeAutospacing="0" w:after="0" w:afterAutospacing="0" w:line="324" w:lineRule="atLeast"/>
        <w:jc w:val="both"/>
        <w:rPr>
          <w:rFonts w:ascii="-webkit-standard" w:hAnsi="-webkit-standard" w:eastAsia="-webkit-standard" w:cs="-webkit-standard"/>
          <w:color w:val="000000"/>
          <w:sz w:val="22"/>
          <w:szCs w:val="22"/>
        </w:rPr>
      </w:pPr>
      <w:r>
        <w:rPr>
          <w:rFonts w:hint="eastAsia"/>
          <w:color w:val="000000"/>
          <w:sz w:val="22"/>
          <w:szCs w:val="22"/>
        </w:rPr>
        <w:t>1.本表的产品名称、品牌型号、金额应与《投标报价明细表》一致。</w:t>
      </w:r>
    </w:p>
    <w:p>
      <w:pPr>
        <w:pStyle w:val="41"/>
        <w:spacing w:beforeAutospacing="0" w:after="0" w:afterAutospacing="0" w:line="324" w:lineRule="atLeast"/>
        <w:jc w:val="both"/>
        <w:rPr>
          <w:rFonts w:ascii="-webkit-standard" w:hAnsi="-webkit-standard" w:eastAsia="-webkit-standard" w:cs="-webkit-standard"/>
          <w:color w:val="000000"/>
          <w:sz w:val="22"/>
          <w:szCs w:val="22"/>
        </w:rPr>
      </w:pPr>
      <w:r>
        <w:rPr>
          <w:rFonts w:hint="eastAsia"/>
          <w:color w:val="000000"/>
          <w:sz w:val="22"/>
          <w:szCs w:val="22"/>
          <w:lang w:val="en-US" w:eastAsia="zh-CN"/>
        </w:rPr>
        <w:t>2</w:t>
      </w:r>
      <w:r>
        <w:rPr>
          <w:rFonts w:hint="eastAsia"/>
          <w:color w:val="000000"/>
          <w:sz w:val="22"/>
          <w:szCs w:val="22"/>
        </w:rPr>
        <w:t>.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pPr>
        <w:pStyle w:val="41"/>
        <w:spacing w:beforeAutospacing="0" w:after="0" w:afterAutospacing="0" w:line="324" w:lineRule="atLeast"/>
        <w:jc w:val="both"/>
        <w:rPr>
          <w:rFonts w:hint="eastAsia" w:ascii="-webkit-standard" w:hAnsi="-webkit-standard" w:cs="-webkit-standard"/>
          <w:color w:val="000000"/>
          <w:sz w:val="22"/>
          <w:szCs w:val="22"/>
        </w:rPr>
      </w:pPr>
      <w:r>
        <w:rPr>
          <w:rFonts w:hint="eastAsia"/>
          <w:color w:val="000000"/>
          <w:sz w:val="22"/>
          <w:szCs w:val="22"/>
          <w:lang w:val="en-US" w:eastAsia="zh-CN"/>
        </w:rPr>
        <w:t>3</w:t>
      </w:r>
      <w:r>
        <w:rPr>
          <w:rFonts w:hint="eastAsia"/>
          <w:color w:val="000000"/>
          <w:sz w:val="22"/>
          <w:szCs w:val="22"/>
        </w:rPr>
        <w:t>. 请投标人正确填写本表，所填内容将作为评审及符合性审查的依据。其内容或数据应与对应的证明资料相符，如果第一、第二部分填写不完整或填写有误，不再享受上述政策优惠。</w:t>
      </w:r>
    </w:p>
    <w:p>
      <w:pPr>
        <w:pStyle w:val="41"/>
        <w:spacing w:beforeAutospacing="0" w:after="0" w:afterAutospacing="0" w:line="324" w:lineRule="atLeast"/>
        <w:ind w:firstLine="4725"/>
        <w:jc w:val="both"/>
        <w:rPr>
          <w:rFonts w:ascii="-webkit-standard" w:hAnsi="-webkit-standard" w:eastAsia="-webkit-standard" w:cs="-webkit-standard"/>
          <w:color w:val="000000"/>
          <w:sz w:val="22"/>
          <w:szCs w:val="22"/>
        </w:rPr>
      </w:pPr>
      <w:r>
        <w:rPr>
          <w:rFonts w:hint="eastAsia"/>
          <w:color w:val="000000"/>
          <w:sz w:val="22"/>
          <w:szCs w:val="22"/>
        </w:rPr>
        <w:t>单位：元</w:t>
      </w:r>
    </w:p>
    <w:tbl>
      <w:tblPr>
        <w:tblStyle w:val="46"/>
        <w:tblW w:w="8640"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
      <w:tblGrid>
        <w:gridCol w:w="1440"/>
        <w:gridCol w:w="1440"/>
        <w:gridCol w:w="1440"/>
        <w:gridCol w:w="1440"/>
        <w:gridCol w:w="1440"/>
        <w:gridCol w:w="144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440" w:type="dxa"/>
            <w:vMerge w:val="restart"/>
            <w:tcBorders>
              <w:top w:val="single" w:color="000000" w:sz="2" w:space="0"/>
              <w:left w:val="single" w:color="000000" w:sz="2" w:space="0"/>
              <w:right w:val="single" w:color="000000" w:sz="2" w:space="0"/>
            </w:tcBorders>
            <w:shd w:val="clear" w:color="auto" w:fill="FFFFFF"/>
            <w:vAlign w:val="center"/>
          </w:tcPr>
          <w:p>
            <w:pPr>
              <w:pStyle w:val="41"/>
              <w:spacing w:before="0" w:beforeAutospacing="0" w:after="0" w:afterAutospacing="0" w:line="216" w:lineRule="atLeast"/>
              <w:jc w:val="center"/>
              <w:rPr>
                <w:sz w:val="22"/>
                <w:szCs w:val="22"/>
              </w:rPr>
            </w:pPr>
            <w:r>
              <w:rPr>
                <w:rFonts w:hint="eastAsia"/>
                <w:sz w:val="22"/>
                <w:szCs w:val="22"/>
              </w:rPr>
              <w:t>第一部分：环境标志产品</w:t>
            </w:r>
          </w:p>
          <w:p>
            <w:pPr>
              <w:pStyle w:val="41"/>
              <w:spacing w:before="0" w:beforeAutospacing="0" w:after="0" w:afterAutospacing="0" w:line="216" w:lineRule="atLeast"/>
              <w:jc w:val="center"/>
              <w:rPr>
                <w:sz w:val="22"/>
                <w:szCs w:val="22"/>
              </w:rPr>
            </w:pPr>
          </w:p>
          <w:p>
            <w:pPr>
              <w:pStyle w:val="41"/>
              <w:spacing w:before="0" w:beforeAutospacing="0" w:after="0" w:afterAutospacing="0" w:line="216" w:lineRule="atLeast"/>
              <w:jc w:val="center"/>
              <w:rPr>
                <w:sz w:val="22"/>
                <w:szCs w:val="22"/>
              </w:rPr>
            </w:pPr>
          </w:p>
          <w:p>
            <w:pPr>
              <w:pStyle w:val="41"/>
              <w:spacing w:before="0" w:beforeAutospacing="0" w:after="0" w:afterAutospacing="0" w:line="216" w:lineRule="atLeast"/>
              <w:jc w:val="center"/>
              <w:rPr>
                <w:sz w:val="22"/>
                <w:szCs w:val="22"/>
              </w:rPr>
            </w:pPr>
          </w:p>
          <w:p>
            <w:pPr>
              <w:pStyle w:val="41"/>
              <w:spacing w:before="0" w:beforeAutospacing="0" w:after="0" w:afterAutospacing="0" w:line="216" w:lineRule="atLeast"/>
              <w:jc w:val="center"/>
              <w:rPr>
                <w:sz w:val="22"/>
                <w:szCs w:val="22"/>
              </w:rPr>
            </w:pPr>
          </w:p>
          <w:p>
            <w:pPr>
              <w:pStyle w:val="41"/>
              <w:spacing w:before="0" w:beforeAutospacing="0" w:after="0" w:afterAutospacing="0" w:line="216" w:lineRule="atLeast"/>
              <w:jc w:val="center"/>
              <w:rPr>
                <w:sz w:val="22"/>
                <w:szCs w:val="22"/>
              </w:rPr>
            </w:pP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产品名称</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品牌型号</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制造商</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环境标志认证证书编号</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金额</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5760"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环境标志产品金额合计</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元</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5760"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比重（环境标志产品金额/所投包投标总价）*100%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440" w:type="dxa"/>
            <w:vMerge w:val="continue"/>
            <w:tcBorders>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7200" w:type="dxa"/>
            <w:gridSpan w:val="5"/>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环境标志产品证明材料见投标文件第至页。</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440" w:type="dxa"/>
            <w:vMerge w:val="restart"/>
            <w:tcBorders>
              <w:top w:val="single" w:color="000000" w:sz="2" w:space="0"/>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第二部分：节能产品（非强制节能产品）</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产品名称</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品牌型号</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制造商</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节能认证证书编号</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金额</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5760"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节能产品（不包括强制节能产品）金额合计</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元</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5760"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比重（节能产品金额/投标所投包总价）*100%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440" w:type="dxa"/>
            <w:vMerge w:val="continue"/>
            <w:tcBorders>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7200" w:type="dxa"/>
            <w:gridSpan w:val="5"/>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节能产品证明材料见投标文件第至页。</w:t>
            </w:r>
          </w:p>
        </w:tc>
      </w:tr>
    </w:tbl>
    <w:p>
      <w:pPr>
        <w:pStyle w:val="41"/>
        <w:spacing w:beforeAutospacing="0" w:after="0" w:afterAutospacing="0" w:line="27" w:lineRule="atLeast"/>
        <w:jc w:val="both"/>
        <w:rPr>
          <w:kern w:val="2"/>
          <w:sz w:val="21"/>
          <w:szCs w:val="21"/>
        </w:rPr>
      </w:pPr>
    </w:p>
    <w:p>
      <w:pPr>
        <w:pStyle w:val="41"/>
        <w:spacing w:beforeAutospacing="0" w:after="0" w:afterAutospacing="0" w:line="27" w:lineRule="atLeast"/>
        <w:jc w:val="both"/>
        <w:rPr>
          <w:kern w:val="2"/>
          <w:sz w:val="21"/>
          <w:szCs w:val="21"/>
        </w:rPr>
      </w:pPr>
      <w:r>
        <w:rPr>
          <w:rFonts w:hint="eastAsia"/>
          <w:kern w:val="2"/>
          <w:sz w:val="21"/>
          <w:szCs w:val="21"/>
        </w:rPr>
        <w:t>投标人（盖单位章）：</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u w:val="single"/>
        </w:rPr>
      </w:pPr>
      <w:r>
        <w:rPr>
          <w:rFonts w:hint="eastAsia" w:ascii="宋体" w:hAnsi="宋体" w:cs="宋体"/>
          <w:szCs w:val="21"/>
        </w:rPr>
        <w:t>法定代表人或其委托代理人签字：</w:t>
      </w:r>
      <w:r>
        <w:rPr>
          <w:rFonts w:hint="eastAsia" w:ascii="宋体" w:hAnsi="宋体" w:cs="宋体"/>
          <w:szCs w:val="21"/>
          <w:u w:val="single"/>
        </w:rPr>
        <w:t xml:space="preserve">       </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sectPr>
          <w:headerReference r:id="rId21" w:type="default"/>
          <w:pgSz w:w="11906" w:h="16838"/>
          <w:pgMar w:top="1440" w:right="1800" w:bottom="1440" w:left="1800" w:header="851" w:footer="992" w:gutter="0"/>
          <w:cols w:space="720" w:num="1"/>
          <w:docGrid w:type="lines" w:linePitch="312" w:charSpace="0"/>
        </w:sect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25"/>
        <w:ind w:left="0"/>
        <w:rPr>
          <w:rFonts w:ascii="宋体" w:hAnsi="宋体" w:cs="宋体"/>
          <w:spacing w:val="6"/>
          <w:kern w:val="0"/>
          <w:sz w:val="21"/>
          <w:szCs w:val="21"/>
        </w:rPr>
      </w:pPr>
      <w:r>
        <w:rPr>
          <w:rFonts w:hint="eastAsia" w:ascii="宋体" w:hAnsi="宋体"/>
          <w:bCs/>
          <w:i w:val="0"/>
          <w:iCs w:val="0"/>
          <w:color w:val="000000" w:themeColor="text1"/>
          <w:sz w:val="28"/>
          <w:szCs w:val="28"/>
          <w14:textFill>
            <w14:solidFill>
              <w14:schemeClr w14:val="tx1"/>
            </w14:solidFill>
          </w14:textFill>
        </w:rPr>
        <w:t>附件17</w:t>
      </w:r>
    </w:p>
    <w:p>
      <w:pPr>
        <w:autoSpaceDN w:val="0"/>
        <w:spacing w:line="360" w:lineRule="auto"/>
        <w:jc w:val="center"/>
        <w:rPr>
          <w:b/>
          <w:bCs/>
          <w:sz w:val="24"/>
        </w:rPr>
      </w:pPr>
      <w:r>
        <w:rPr>
          <w:rFonts w:hint="eastAsia"/>
          <w:b/>
          <w:bCs/>
          <w:sz w:val="24"/>
        </w:rPr>
        <w:t>实质性条款情况表</w:t>
      </w:r>
    </w:p>
    <w:p>
      <w:pPr>
        <w:spacing w:line="460" w:lineRule="exact"/>
        <w:rPr>
          <w:rFonts w:ascii="宋体" w:hAnsi="宋体" w:cs="宋体"/>
          <w:szCs w:val="21"/>
        </w:rPr>
      </w:pPr>
      <w:r>
        <w:rPr>
          <w:rFonts w:hint="eastAsia" w:ascii="宋体" w:hAnsi="宋体" w:cs="宋体"/>
          <w:szCs w:val="21"/>
        </w:rPr>
        <w:t>项目名称：</w:t>
      </w:r>
    </w:p>
    <w:p>
      <w:pPr>
        <w:spacing w:line="460" w:lineRule="exact"/>
        <w:rPr>
          <w:rFonts w:ascii="宋体" w:hAnsi="宋体" w:cs="宋体"/>
          <w:szCs w:val="21"/>
        </w:rPr>
      </w:pPr>
      <w:r>
        <w:rPr>
          <w:rFonts w:hint="eastAsia" w:ascii="宋体" w:hAnsi="宋体" w:cs="宋体"/>
          <w:szCs w:val="21"/>
        </w:rPr>
        <w:t>项目编号：</w:t>
      </w:r>
    </w:p>
    <w:tbl>
      <w:tblPr>
        <w:tblStyle w:val="46"/>
        <w:tblW w:w="8437"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1384"/>
        <w:gridCol w:w="1482"/>
        <w:gridCol w:w="206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37" w:type="dxa"/>
            <w:gridSpan w:val="5"/>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szCs w:val="21"/>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6" w:type="dxa"/>
            <w:shd w:val="clear" w:color="auto" w:fill="auto"/>
            <w:vAlign w:val="center"/>
          </w:tcPr>
          <w:p>
            <w:pPr>
              <w:pStyle w:val="326"/>
              <w:tabs>
                <w:tab w:val="left" w:pos="1260"/>
              </w:tabs>
              <w:adjustRightInd w:val="0"/>
              <w:snapToGrid w:val="0"/>
              <w:jc w:val="center"/>
              <w:rPr>
                <w:rFonts w:ascii="宋体" w:hAnsi="宋体" w:cs="宋体"/>
                <w:szCs w:val="21"/>
                <w:lang w:val="en-GB"/>
              </w:rPr>
            </w:pPr>
            <w:r>
              <w:rPr>
                <w:rFonts w:hint="eastAsia" w:ascii="宋体" w:hAnsi="宋体" w:cs="宋体"/>
                <w:szCs w:val="21"/>
                <w:lang w:val="en-GB"/>
              </w:rPr>
              <w:t>产品名称</w:t>
            </w:r>
          </w:p>
        </w:tc>
        <w:tc>
          <w:tcPr>
            <w:tcW w:w="4931" w:type="dxa"/>
            <w:gridSpan w:val="3"/>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szCs w:val="21"/>
              </w:rPr>
              <w:t>实质性需求条款</w:t>
            </w:r>
          </w:p>
        </w:tc>
        <w:tc>
          <w:tcPr>
            <w:tcW w:w="1620" w:type="dxa"/>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szCs w:val="21"/>
              </w:rPr>
              <w:t>是否满足（是/否）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6" w:type="dxa"/>
            <w:shd w:val="clear" w:color="auto" w:fill="auto"/>
            <w:vAlign w:val="center"/>
          </w:tcPr>
          <w:p>
            <w:pPr>
              <w:adjustRightInd w:val="0"/>
              <w:snapToGrid w:val="0"/>
              <w:spacing w:line="400" w:lineRule="exact"/>
              <w:jc w:val="center"/>
              <w:rPr>
                <w:rFonts w:ascii="宋体" w:hAnsi="宋体" w:cs="宋体"/>
                <w:szCs w:val="21"/>
                <w:lang w:val="en-GB"/>
              </w:rPr>
            </w:pPr>
            <w:r>
              <w:rPr>
                <w:rFonts w:hint="eastAsia" w:ascii="宋体" w:hAnsi="宋体" w:cs="宋体"/>
                <w:szCs w:val="21"/>
              </w:rPr>
              <w:t>供货</w:t>
            </w:r>
            <w:r>
              <w:rPr>
                <w:rFonts w:hint="eastAsia" w:ascii="宋体" w:hAnsi="宋体" w:cs="宋体"/>
                <w:szCs w:val="21"/>
                <w:lang w:val="en-GB"/>
              </w:rPr>
              <w:t>期限</w:t>
            </w:r>
          </w:p>
        </w:tc>
        <w:tc>
          <w:tcPr>
            <w:tcW w:w="4931" w:type="dxa"/>
            <w:gridSpan w:val="3"/>
            <w:shd w:val="clear" w:color="auto" w:fill="auto"/>
            <w:vAlign w:val="center"/>
          </w:tcPr>
          <w:p>
            <w:pPr>
              <w:adjustRightInd w:val="0"/>
              <w:snapToGrid w:val="0"/>
              <w:spacing w:line="400" w:lineRule="exact"/>
              <w:jc w:val="left"/>
              <w:rPr>
                <w:rFonts w:ascii="宋体" w:hAnsi="宋体" w:cs="宋体"/>
                <w:color w:val="FF0000"/>
                <w:szCs w:val="21"/>
                <w:lang w:val="en-GB"/>
              </w:rPr>
            </w:pPr>
            <w:r>
              <w:rPr>
                <w:rFonts w:hint="eastAsia" w:ascii="宋体" w:hAnsi="宋体" w:cs="宋体"/>
                <w:color w:val="FF0000"/>
                <w:szCs w:val="21"/>
                <w:lang w:val="en-GB"/>
              </w:rPr>
              <w:t>★</w:t>
            </w:r>
            <w:r>
              <w:rPr>
                <w:rFonts w:hint="eastAsia" w:ascii="宋体" w:hAnsi="宋体" w:cs="宋体"/>
                <w:color w:val="FF0000"/>
                <w:szCs w:val="21"/>
              </w:rPr>
              <w:t>签订合同后</w:t>
            </w:r>
            <w:r>
              <w:rPr>
                <w:rFonts w:ascii="宋体" w:hAnsi="宋体" w:cs="宋体"/>
                <w:color w:val="FF0000"/>
                <w:szCs w:val="21"/>
              </w:rPr>
              <w:t>60</w:t>
            </w:r>
            <w:r>
              <w:rPr>
                <w:rFonts w:hint="eastAsia" w:ascii="宋体" w:hAnsi="宋体" w:cs="宋体"/>
                <w:color w:val="FF0000"/>
                <w:szCs w:val="21"/>
              </w:rPr>
              <w:t>内</w:t>
            </w:r>
          </w:p>
        </w:tc>
        <w:tc>
          <w:tcPr>
            <w:tcW w:w="1620" w:type="dxa"/>
            <w:shd w:val="clear" w:color="auto" w:fill="auto"/>
            <w:vAlign w:val="center"/>
          </w:tcPr>
          <w:p>
            <w:pPr>
              <w:pStyle w:val="326"/>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6" w:type="dxa"/>
            <w:shd w:val="clear" w:color="auto" w:fill="auto"/>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质保期</w:t>
            </w:r>
          </w:p>
        </w:tc>
        <w:tc>
          <w:tcPr>
            <w:tcW w:w="4931" w:type="dxa"/>
            <w:gridSpan w:val="3"/>
            <w:shd w:val="clear" w:color="auto" w:fill="auto"/>
            <w:vAlign w:val="center"/>
          </w:tcPr>
          <w:p>
            <w:pPr>
              <w:adjustRightInd w:val="0"/>
              <w:snapToGrid w:val="0"/>
              <w:spacing w:line="400" w:lineRule="exact"/>
              <w:jc w:val="left"/>
              <w:rPr>
                <w:rFonts w:ascii="宋体" w:hAnsi="宋体" w:cs="宋体"/>
                <w:color w:val="FF0000"/>
                <w:szCs w:val="21"/>
                <w:lang w:val="en-GB"/>
              </w:rPr>
            </w:pPr>
            <w:r>
              <w:rPr>
                <w:rFonts w:hint="eastAsia" w:ascii="宋体" w:hAnsi="宋体" w:cs="宋体"/>
                <w:color w:val="FF0000"/>
                <w:szCs w:val="21"/>
                <w:lang w:val="en-GB"/>
              </w:rPr>
              <w:t>★验收合格后</w:t>
            </w:r>
            <w:r>
              <w:rPr>
                <w:rFonts w:ascii="宋体" w:hAnsi="宋体" w:cs="宋体"/>
                <w:color w:val="FF0000"/>
                <w:szCs w:val="21"/>
              </w:rPr>
              <w:t>2</w:t>
            </w:r>
            <w:r>
              <w:rPr>
                <w:rFonts w:hint="eastAsia" w:ascii="宋体" w:hAnsi="宋体" w:cs="宋体"/>
                <w:color w:val="FF0000"/>
                <w:szCs w:val="21"/>
              </w:rPr>
              <w:t>年</w:t>
            </w:r>
            <w:r>
              <w:rPr>
                <w:rFonts w:hint="eastAsia" w:ascii="宋体" w:hAnsi="宋体" w:cs="宋体"/>
                <w:color w:val="FF0000"/>
                <w:szCs w:val="21"/>
                <w:lang w:val="en-GB"/>
              </w:rPr>
              <w:t>内</w:t>
            </w:r>
          </w:p>
        </w:tc>
        <w:tc>
          <w:tcPr>
            <w:tcW w:w="1620" w:type="dxa"/>
            <w:shd w:val="clear" w:color="auto" w:fill="auto"/>
            <w:vAlign w:val="center"/>
          </w:tcPr>
          <w:p>
            <w:pPr>
              <w:pStyle w:val="326"/>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37" w:type="dxa"/>
            <w:gridSpan w:val="5"/>
            <w:shd w:val="clear" w:color="auto" w:fill="auto"/>
            <w:vAlign w:val="center"/>
          </w:tcPr>
          <w:p>
            <w:pPr>
              <w:pStyle w:val="326"/>
              <w:tabs>
                <w:tab w:val="left" w:pos="1260"/>
              </w:tabs>
              <w:adjustRightInd w:val="0"/>
              <w:snapToGrid w:val="0"/>
              <w:jc w:val="center"/>
              <w:rPr>
                <w:rFonts w:ascii="宋体" w:hAnsi="宋体" w:cs="宋体"/>
                <w:sz w:val="24"/>
              </w:rPr>
            </w:pPr>
            <w:r>
              <w:rPr>
                <w:rFonts w:hint="eastAsia" w:ascii="Helvetica" w:hAnsi="Helvetica" w:eastAsia="Helvetica" w:cs="Helvetica"/>
                <w:color w:val="000000"/>
                <w:szCs w:val="21"/>
                <w:shd w:val="clear" w:color="auto" w:fill="FFFFFF"/>
              </w:rPr>
              <w:t>强制节能产品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37" w:type="dxa"/>
            <w:gridSpan w:val="5"/>
            <w:shd w:val="clear" w:color="auto" w:fill="auto"/>
            <w:vAlign w:val="center"/>
          </w:tcPr>
          <w:p>
            <w:pPr>
              <w:pStyle w:val="326"/>
              <w:tabs>
                <w:tab w:val="left" w:pos="1260"/>
              </w:tabs>
              <w:adjustRightInd w:val="0"/>
              <w:snapToGrid w:val="0"/>
              <w:ind w:firstLine="420" w:firstLineChars="200"/>
              <w:jc w:val="left"/>
              <w:rPr>
                <w:rFonts w:ascii="宋体" w:hAnsi="宋体" w:cs="宋体"/>
                <w:szCs w:val="21"/>
              </w:rPr>
            </w:pPr>
            <w:r>
              <w:rPr>
                <w:rFonts w:hint="eastAsia" w:ascii="宋体" w:hAnsi="宋体" w:cs="宋体"/>
                <w:szCs w:val="21"/>
              </w:rPr>
              <w:t>依照</w:t>
            </w:r>
            <w:r>
              <w:rPr>
                <w:rFonts w:ascii="Helvetica" w:hAnsi="Helvetica" w:eastAsia="Helvetica" w:cs="Helvetica"/>
                <w:color w:val="000000"/>
                <w:szCs w:val="21"/>
                <w:shd w:val="clear" w:color="auto" w:fill="FFFFFF"/>
              </w:rPr>
              <w:t>《关于调整优化节能产品、环境标志产品政府采购执行机制的通知》（财库〔2019〕9号）</w:t>
            </w:r>
            <w:r>
              <w:rPr>
                <w:rFonts w:hint="eastAsia" w:ascii="Helvetica" w:hAnsi="Helvetica" w:cs="Helvetica"/>
                <w:color w:val="000000"/>
                <w:szCs w:val="21"/>
                <w:shd w:val="clear" w:color="auto" w:fill="FFFFFF"/>
              </w:rPr>
              <w:t>及</w:t>
            </w:r>
            <w:r>
              <w:rPr>
                <w:rFonts w:ascii="Helvetica" w:hAnsi="Helvetica" w:eastAsia="Helvetica" w:cs="Helvetica"/>
                <w:color w:val="000000"/>
                <w:szCs w:val="21"/>
                <w:shd w:val="clear" w:color="auto" w:fill="FFFFFF"/>
              </w:rPr>
              <w:t>《</w:t>
            </w:r>
            <w:r>
              <w:rPr>
                <w:rFonts w:hint="eastAsia" w:ascii="Helvetica" w:hAnsi="Helvetica" w:cs="Helvetica"/>
                <w:color w:val="000000"/>
                <w:szCs w:val="21"/>
                <w:shd w:val="clear" w:color="auto" w:fill="FFFFFF"/>
              </w:rPr>
              <w:t>关于印发</w:t>
            </w:r>
            <w:r>
              <w:rPr>
                <w:rFonts w:ascii="Helvetica" w:hAnsi="Helvetica" w:eastAsia="Helvetica" w:cs="Helvetica"/>
                <w:color w:val="000000"/>
                <w:szCs w:val="21"/>
                <w:shd w:val="clear" w:color="auto" w:fill="FFFFFF"/>
              </w:rPr>
              <w:t>节能产品政府采购品目清单</w:t>
            </w:r>
            <w:r>
              <w:rPr>
                <w:rFonts w:hint="eastAsia" w:ascii="Helvetica" w:hAnsi="Helvetica" w:cs="Helvetica"/>
                <w:color w:val="000000"/>
                <w:szCs w:val="21"/>
                <w:shd w:val="clear" w:color="auto" w:fill="FFFFFF"/>
              </w:rPr>
              <w:t>的通知</w:t>
            </w:r>
            <w:r>
              <w:rPr>
                <w:rFonts w:ascii="Helvetica" w:hAnsi="Helvetica" w:eastAsia="Helvetica" w:cs="Helvetica"/>
                <w:color w:val="000000"/>
                <w:szCs w:val="21"/>
                <w:shd w:val="clear" w:color="auto" w:fill="FFFFFF"/>
              </w:rPr>
              <w:t>》（财库〔2019〕</w:t>
            </w:r>
            <w:r>
              <w:rPr>
                <w:rFonts w:hint="eastAsia" w:ascii="Helvetica" w:hAnsi="Helvetica" w:cs="Helvetica"/>
                <w:color w:val="000000"/>
                <w:szCs w:val="21"/>
                <w:shd w:val="clear" w:color="auto" w:fill="FFFFFF"/>
              </w:rPr>
              <w:t>1</w:t>
            </w:r>
            <w:r>
              <w:rPr>
                <w:rFonts w:ascii="Helvetica" w:hAnsi="Helvetica" w:eastAsia="Helvetica" w:cs="Helvetica"/>
                <w:color w:val="000000"/>
                <w:szCs w:val="21"/>
                <w:shd w:val="clear" w:color="auto" w:fill="FFFFFF"/>
              </w:rPr>
              <w:t>9号）规定</w:t>
            </w:r>
            <w:r>
              <w:rPr>
                <w:rFonts w:hint="eastAsia" w:ascii="Helvetica" w:hAnsi="Helvetica" w:cs="Helvetica"/>
                <w:color w:val="000000"/>
                <w:szCs w:val="21"/>
                <w:shd w:val="clear" w:color="auto" w:fill="FFFFFF"/>
              </w:rPr>
              <w:t>，</w:t>
            </w:r>
            <w:r>
              <w:rPr>
                <w:rFonts w:ascii="Helvetica" w:hAnsi="Helvetica" w:eastAsia="Helvetica" w:cs="Helvetica"/>
                <w:color w:val="000000"/>
                <w:szCs w:val="21"/>
                <w:shd w:val="clear" w:color="auto" w:fill="FFFFFF"/>
              </w:rPr>
              <w:t>品目清单中标记星号的为强制采购产品，强制采购产品的投标产品必须有认证证书，否则投标无效。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6" w:type="dxa"/>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szCs w:val="21"/>
              </w:rPr>
              <w:t>序号</w:t>
            </w:r>
          </w:p>
        </w:tc>
        <w:tc>
          <w:tcPr>
            <w:tcW w:w="1384" w:type="dxa"/>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szCs w:val="21"/>
              </w:rPr>
              <w:t>产品名称</w:t>
            </w:r>
          </w:p>
        </w:tc>
        <w:tc>
          <w:tcPr>
            <w:tcW w:w="1482" w:type="dxa"/>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bCs/>
                <w:szCs w:val="21"/>
              </w:rPr>
              <w:t>编码</w:t>
            </w:r>
          </w:p>
        </w:tc>
        <w:tc>
          <w:tcPr>
            <w:tcW w:w="2065" w:type="dxa"/>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szCs w:val="21"/>
                <w:lang w:val="en-GB"/>
              </w:rPr>
              <w:t>节能认证证书编号</w:t>
            </w:r>
          </w:p>
        </w:tc>
        <w:tc>
          <w:tcPr>
            <w:tcW w:w="1620" w:type="dxa"/>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bCs/>
                <w:szCs w:val="21"/>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6" w:type="dxa"/>
            <w:shd w:val="clear" w:color="auto" w:fill="auto"/>
            <w:vAlign w:val="center"/>
          </w:tcPr>
          <w:p>
            <w:pPr>
              <w:pStyle w:val="326"/>
              <w:tabs>
                <w:tab w:val="left" w:pos="1260"/>
              </w:tabs>
              <w:adjustRightInd w:val="0"/>
              <w:snapToGrid w:val="0"/>
              <w:jc w:val="center"/>
              <w:rPr>
                <w:rFonts w:eastAsia="黑体"/>
                <w:color w:val="000000"/>
                <w:kern w:val="0"/>
                <w:sz w:val="20"/>
                <w:szCs w:val="20"/>
                <w:lang w:bidi="ar"/>
              </w:rPr>
            </w:pPr>
            <w:r>
              <w:rPr>
                <w:rFonts w:hint="eastAsia" w:eastAsia="黑体"/>
                <w:color w:val="000000"/>
                <w:kern w:val="0"/>
                <w:sz w:val="20"/>
                <w:szCs w:val="20"/>
                <w:lang w:bidi="ar"/>
              </w:rPr>
              <w:t>第五章 采购需求</w:t>
            </w:r>
            <w:r>
              <w:rPr>
                <w:rFonts w:eastAsia="黑体"/>
                <w:color w:val="000000"/>
                <w:kern w:val="0"/>
                <w:sz w:val="20"/>
                <w:szCs w:val="20"/>
                <w:lang w:bidi="ar"/>
              </w:rPr>
              <w:t>二、视频监控</w:t>
            </w:r>
          </w:p>
        </w:tc>
        <w:tc>
          <w:tcPr>
            <w:tcW w:w="1384" w:type="dxa"/>
            <w:shd w:val="clear" w:color="auto" w:fill="auto"/>
            <w:vAlign w:val="center"/>
          </w:tcPr>
          <w:p>
            <w:pPr>
              <w:pStyle w:val="326"/>
              <w:tabs>
                <w:tab w:val="left" w:pos="1260"/>
              </w:tabs>
              <w:adjustRightInd w:val="0"/>
              <w:snapToGrid w:val="0"/>
              <w:jc w:val="center"/>
              <w:rPr>
                <w:rFonts w:eastAsia="黑体"/>
                <w:color w:val="000000"/>
                <w:kern w:val="0"/>
                <w:sz w:val="20"/>
                <w:szCs w:val="20"/>
                <w:lang w:bidi="ar"/>
              </w:rPr>
            </w:pPr>
            <w:r>
              <w:rPr>
                <w:rFonts w:eastAsia="黑体"/>
                <w:color w:val="000000"/>
                <w:kern w:val="0"/>
                <w:sz w:val="20"/>
                <w:szCs w:val="20"/>
                <w:lang w:bidi="ar"/>
              </w:rPr>
              <w:t>显示设备</w:t>
            </w:r>
          </w:p>
        </w:tc>
        <w:tc>
          <w:tcPr>
            <w:tcW w:w="1482" w:type="dxa"/>
            <w:shd w:val="clear" w:color="auto" w:fill="auto"/>
            <w:vAlign w:val="center"/>
          </w:tcPr>
          <w:p>
            <w:pPr>
              <w:widowControl/>
              <w:jc w:val="center"/>
              <w:rPr>
                <w:rFonts w:eastAsia="黑体"/>
                <w:color w:val="000000"/>
                <w:kern w:val="0"/>
                <w:sz w:val="20"/>
                <w:szCs w:val="20"/>
                <w:lang w:bidi="ar"/>
              </w:rPr>
            </w:pPr>
            <w:r>
              <w:rPr>
                <w:rFonts w:hint="eastAsia" w:eastAsia="黑体"/>
                <w:color w:val="000000"/>
                <w:kern w:val="0"/>
                <w:sz w:val="20"/>
                <w:szCs w:val="20"/>
                <w:lang w:bidi="ar"/>
              </w:rPr>
              <w:t>A020910        电视设备</w:t>
            </w:r>
          </w:p>
        </w:tc>
        <w:tc>
          <w:tcPr>
            <w:tcW w:w="2065" w:type="dxa"/>
            <w:shd w:val="clear" w:color="auto" w:fill="auto"/>
            <w:vAlign w:val="center"/>
          </w:tcPr>
          <w:p>
            <w:pPr>
              <w:pStyle w:val="326"/>
              <w:tabs>
                <w:tab w:val="left" w:pos="1260"/>
              </w:tabs>
              <w:adjustRightInd w:val="0"/>
              <w:snapToGrid w:val="0"/>
              <w:jc w:val="center"/>
              <w:rPr>
                <w:rFonts w:eastAsia="黑体"/>
                <w:color w:val="000000"/>
                <w:kern w:val="0"/>
                <w:sz w:val="20"/>
                <w:szCs w:val="20"/>
                <w:lang w:bidi="ar"/>
              </w:rPr>
            </w:pPr>
          </w:p>
        </w:tc>
        <w:tc>
          <w:tcPr>
            <w:tcW w:w="1620" w:type="dxa"/>
            <w:shd w:val="clear" w:color="auto" w:fill="auto"/>
            <w:vAlign w:val="center"/>
          </w:tcPr>
          <w:p>
            <w:pPr>
              <w:pStyle w:val="326"/>
              <w:tabs>
                <w:tab w:val="left" w:pos="1260"/>
              </w:tabs>
              <w:adjustRightInd w:val="0"/>
              <w:snapToGrid w:val="0"/>
              <w:jc w:val="center"/>
              <w:rPr>
                <w:rFonts w:eastAsia="黑体"/>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6" w:type="dxa"/>
            <w:shd w:val="clear" w:color="auto" w:fill="auto"/>
            <w:vAlign w:val="center"/>
          </w:tcPr>
          <w:p>
            <w:pPr>
              <w:adjustRightInd w:val="0"/>
              <w:snapToGrid w:val="0"/>
              <w:jc w:val="center"/>
              <w:rPr>
                <w:rFonts w:eastAsia="黑体"/>
                <w:color w:val="000000"/>
                <w:kern w:val="0"/>
                <w:sz w:val="20"/>
                <w:szCs w:val="20"/>
                <w:lang w:bidi="ar"/>
              </w:rPr>
            </w:pPr>
            <w:r>
              <w:rPr>
                <w:rFonts w:hint="eastAsia" w:eastAsia="黑体"/>
                <w:color w:val="000000"/>
                <w:kern w:val="0"/>
                <w:sz w:val="20"/>
                <w:szCs w:val="20"/>
                <w:lang w:bidi="ar"/>
              </w:rPr>
              <w:t>第五章 采购需求</w:t>
            </w:r>
            <w:r>
              <w:rPr>
                <w:rFonts w:eastAsia="黑体"/>
                <w:color w:val="000000"/>
                <w:kern w:val="0"/>
                <w:sz w:val="20"/>
                <w:szCs w:val="20"/>
                <w:lang w:bidi="ar"/>
              </w:rPr>
              <w:t>二、视频监控</w:t>
            </w:r>
          </w:p>
        </w:tc>
        <w:tc>
          <w:tcPr>
            <w:tcW w:w="1384" w:type="dxa"/>
            <w:shd w:val="clear" w:color="auto" w:fill="auto"/>
            <w:vAlign w:val="center"/>
          </w:tcPr>
          <w:p>
            <w:pPr>
              <w:pStyle w:val="326"/>
              <w:tabs>
                <w:tab w:val="left" w:pos="1260"/>
              </w:tabs>
              <w:adjustRightInd w:val="0"/>
              <w:snapToGrid w:val="0"/>
              <w:jc w:val="center"/>
              <w:rPr>
                <w:rFonts w:eastAsia="黑体"/>
                <w:color w:val="000000"/>
                <w:kern w:val="0"/>
                <w:sz w:val="20"/>
                <w:szCs w:val="20"/>
                <w:lang w:bidi="ar"/>
              </w:rPr>
            </w:pPr>
            <w:r>
              <w:rPr>
                <w:rFonts w:eastAsia="黑体"/>
                <w:color w:val="000000"/>
                <w:kern w:val="0"/>
                <w:sz w:val="20"/>
                <w:szCs w:val="20"/>
                <w:lang w:bidi="ar"/>
              </w:rPr>
              <w:t>壁挂空调</w:t>
            </w:r>
          </w:p>
        </w:tc>
        <w:tc>
          <w:tcPr>
            <w:tcW w:w="1482" w:type="dxa"/>
            <w:shd w:val="clear" w:color="auto" w:fill="auto"/>
            <w:vAlign w:val="center"/>
          </w:tcPr>
          <w:p>
            <w:pPr>
              <w:widowControl/>
              <w:jc w:val="center"/>
              <w:rPr>
                <w:rFonts w:eastAsia="黑体"/>
                <w:color w:val="000000"/>
                <w:kern w:val="0"/>
                <w:sz w:val="20"/>
                <w:szCs w:val="20"/>
                <w:lang w:bidi="ar"/>
              </w:rPr>
            </w:pPr>
            <w:r>
              <w:rPr>
                <w:rFonts w:hint="eastAsia" w:eastAsia="黑体"/>
                <w:color w:val="000000"/>
                <w:kern w:val="0"/>
                <w:sz w:val="20"/>
                <w:szCs w:val="20"/>
                <w:lang w:bidi="ar"/>
              </w:rPr>
              <w:t>A0206180203    空调机</w:t>
            </w:r>
          </w:p>
        </w:tc>
        <w:tc>
          <w:tcPr>
            <w:tcW w:w="2065" w:type="dxa"/>
            <w:shd w:val="clear" w:color="auto" w:fill="auto"/>
            <w:vAlign w:val="center"/>
          </w:tcPr>
          <w:p>
            <w:pPr>
              <w:pStyle w:val="326"/>
              <w:tabs>
                <w:tab w:val="left" w:pos="1260"/>
              </w:tabs>
              <w:adjustRightInd w:val="0"/>
              <w:snapToGrid w:val="0"/>
              <w:ind w:firstLine="400" w:firstLineChars="200"/>
              <w:jc w:val="center"/>
              <w:rPr>
                <w:rFonts w:eastAsia="黑体"/>
                <w:color w:val="000000"/>
                <w:kern w:val="0"/>
                <w:sz w:val="20"/>
                <w:szCs w:val="20"/>
                <w:lang w:bidi="ar"/>
              </w:rPr>
            </w:pPr>
          </w:p>
        </w:tc>
        <w:tc>
          <w:tcPr>
            <w:tcW w:w="1620" w:type="dxa"/>
            <w:shd w:val="clear" w:color="auto" w:fill="auto"/>
            <w:vAlign w:val="center"/>
          </w:tcPr>
          <w:p>
            <w:pPr>
              <w:pStyle w:val="326"/>
              <w:tabs>
                <w:tab w:val="left" w:pos="1260"/>
              </w:tabs>
              <w:adjustRightInd w:val="0"/>
              <w:snapToGrid w:val="0"/>
              <w:ind w:firstLine="400" w:firstLineChars="200"/>
              <w:jc w:val="center"/>
              <w:rPr>
                <w:rFonts w:eastAsia="黑体"/>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6" w:type="dxa"/>
            <w:shd w:val="clear" w:color="auto" w:fill="auto"/>
            <w:vAlign w:val="center"/>
          </w:tcPr>
          <w:p>
            <w:pPr>
              <w:adjustRightInd w:val="0"/>
              <w:snapToGrid w:val="0"/>
              <w:jc w:val="center"/>
              <w:rPr>
                <w:rFonts w:hint="eastAsia" w:eastAsia="黑体"/>
                <w:color w:val="000000"/>
                <w:kern w:val="0"/>
                <w:sz w:val="20"/>
                <w:szCs w:val="20"/>
                <w:lang w:bidi="ar"/>
              </w:rPr>
            </w:pPr>
            <w:r>
              <w:rPr>
                <w:rFonts w:hint="eastAsia" w:eastAsia="黑体"/>
                <w:color w:val="000000"/>
                <w:kern w:val="0"/>
                <w:sz w:val="20"/>
                <w:szCs w:val="20"/>
                <w:lang w:bidi="ar"/>
              </w:rPr>
              <w:t>第五章 采购需求</w:t>
            </w:r>
            <w:r>
              <w:rPr>
                <w:rFonts w:eastAsia="黑体"/>
                <w:color w:val="000000"/>
                <w:kern w:val="0"/>
                <w:sz w:val="20"/>
                <w:szCs w:val="20"/>
                <w:lang w:bidi="ar"/>
              </w:rPr>
              <w:t>四、1210分拣线</w:t>
            </w:r>
          </w:p>
        </w:tc>
        <w:tc>
          <w:tcPr>
            <w:tcW w:w="1384" w:type="dxa"/>
            <w:shd w:val="clear" w:color="auto" w:fill="auto"/>
            <w:vAlign w:val="center"/>
          </w:tcPr>
          <w:p>
            <w:pPr>
              <w:pStyle w:val="326"/>
              <w:tabs>
                <w:tab w:val="left" w:pos="1260"/>
              </w:tabs>
              <w:adjustRightInd w:val="0"/>
              <w:snapToGrid w:val="0"/>
              <w:jc w:val="center"/>
              <w:rPr>
                <w:rFonts w:eastAsia="黑体"/>
                <w:color w:val="000000"/>
                <w:kern w:val="0"/>
                <w:sz w:val="20"/>
                <w:szCs w:val="20"/>
                <w:lang w:bidi="ar"/>
              </w:rPr>
            </w:pPr>
            <w:r>
              <w:rPr>
                <w:rFonts w:eastAsia="黑体"/>
                <w:color w:val="000000"/>
                <w:kern w:val="0"/>
                <w:sz w:val="20"/>
                <w:szCs w:val="20"/>
                <w:highlight w:val="none"/>
                <w:lang w:bidi="ar"/>
              </w:rPr>
              <w:t>输送控制系统工作站</w:t>
            </w:r>
          </w:p>
        </w:tc>
        <w:tc>
          <w:tcPr>
            <w:tcW w:w="1482" w:type="dxa"/>
            <w:shd w:val="clear" w:color="auto" w:fill="auto"/>
            <w:vAlign w:val="center"/>
          </w:tcPr>
          <w:p>
            <w:pPr>
              <w:widowControl/>
              <w:jc w:val="center"/>
              <w:rPr>
                <w:rFonts w:hint="eastAsia" w:eastAsia="黑体"/>
                <w:color w:val="000000"/>
                <w:kern w:val="0"/>
                <w:sz w:val="20"/>
                <w:szCs w:val="20"/>
                <w:lang w:bidi="ar"/>
              </w:rPr>
            </w:pPr>
            <w:r>
              <w:rPr>
                <w:rFonts w:hint="eastAsia" w:eastAsia="黑体"/>
                <w:color w:val="000000"/>
                <w:kern w:val="0"/>
                <w:sz w:val="20"/>
                <w:szCs w:val="20"/>
                <w:lang w:bidi="ar"/>
              </w:rPr>
              <w:t>A02010104       台式计算机</w:t>
            </w:r>
          </w:p>
        </w:tc>
        <w:tc>
          <w:tcPr>
            <w:tcW w:w="2065" w:type="dxa"/>
            <w:shd w:val="clear" w:color="auto" w:fill="auto"/>
            <w:vAlign w:val="center"/>
          </w:tcPr>
          <w:p>
            <w:pPr>
              <w:pStyle w:val="326"/>
              <w:tabs>
                <w:tab w:val="left" w:pos="1260"/>
              </w:tabs>
              <w:adjustRightInd w:val="0"/>
              <w:snapToGrid w:val="0"/>
              <w:ind w:firstLine="400" w:firstLineChars="200"/>
              <w:jc w:val="center"/>
              <w:rPr>
                <w:rFonts w:eastAsia="黑体"/>
                <w:color w:val="000000"/>
                <w:kern w:val="0"/>
                <w:sz w:val="20"/>
                <w:szCs w:val="20"/>
                <w:lang w:bidi="ar"/>
              </w:rPr>
            </w:pPr>
          </w:p>
        </w:tc>
        <w:tc>
          <w:tcPr>
            <w:tcW w:w="1620" w:type="dxa"/>
            <w:shd w:val="clear" w:color="auto" w:fill="auto"/>
            <w:vAlign w:val="center"/>
          </w:tcPr>
          <w:p>
            <w:pPr>
              <w:pStyle w:val="326"/>
              <w:tabs>
                <w:tab w:val="left" w:pos="1260"/>
              </w:tabs>
              <w:adjustRightInd w:val="0"/>
              <w:snapToGrid w:val="0"/>
              <w:ind w:firstLine="400" w:firstLineChars="200"/>
              <w:jc w:val="center"/>
              <w:rPr>
                <w:rFonts w:eastAsia="黑体"/>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6" w:type="dxa"/>
            <w:shd w:val="clear" w:color="auto" w:fill="auto"/>
            <w:vAlign w:val="center"/>
          </w:tcPr>
          <w:p>
            <w:pPr>
              <w:adjustRightInd w:val="0"/>
              <w:snapToGrid w:val="0"/>
              <w:jc w:val="center"/>
              <w:rPr>
                <w:rFonts w:eastAsia="黑体"/>
                <w:color w:val="000000"/>
                <w:kern w:val="0"/>
                <w:sz w:val="20"/>
                <w:szCs w:val="20"/>
                <w:lang w:bidi="ar"/>
              </w:rPr>
            </w:pPr>
            <w:r>
              <w:rPr>
                <w:rFonts w:hint="eastAsia" w:eastAsia="黑体"/>
                <w:color w:val="000000"/>
                <w:kern w:val="0"/>
                <w:sz w:val="20"/>
                <w:szCs w:val="20"/>
                <w:lang w:bidi="ar"/>
              </w:rPr>
              <w:t>第五章 采购需求</w:t>
            </w:r>
            <w:r>
              <w:rPr>
                <w:rFonts w:eastAsia="黑体"/>
                <w:color w:val="000000"/>
                <w:kern w:val="0"/>
                <w:sz w:val="20"/>
                <w:szCs w:val="20"/>
                <w:lang w:bidi="ar"/>
              </w:rPr>
              <w:t>九、9610网络改造</w:t>
            </w:r>
          </w:p>
        </w:tc>
        <w:tc>
          <w:tcPr>
            <w:tcW w:w="1384" w:type="dxa"/>
            <w:shd w:val="clear" w:color="auto" w:fill="auto"/>
            <w:vAlign w:val="center"/>
          </w:tcPr>
          <w:p>
            <w:pPr>
              <w:pStyle w:val="326"/>
              <w:tabs>
                <w:tab w:val="left" w:pos="1260"/>
              </w:tabs>
              <w:adjustRightInd w:val="0"/>
              <w:snapToGrid w:val="0"/>
              <w:jc w:val="center"/>
              <w:rPr>
                <w:rFonts w:eastAsia="黑体"/>
                <w:color w:val="000000"/>
                <w:kern w:val="0"/>
                <w:sz w:val="20"/>
                <w:szCs w:val="20"/>
                <w:lang w:bidi="ar"/>
              </w:rPr>
            </w:pPr>
            <w:r>
              <w:rPr>
                <w:rFonts w:eastAsia="黑体"/>
                <w:color w:val="000000"/>
                <w:kern w:val="0"/>
                <w:sz w:val="20"/>
                <w:szCs w:val="20"/>
                <w:lang w:bidi="ar"/>
              </w:rPr>
              <w:t>电脑</w:t>
            </w:r>
          </w:p>
        </w:tc>
        <w:tc>
          <w:tcPr>
            <w:tcW w:w="1482" w:type="dxa"/>
            <w:shd w:val="clear" w:color="auto" w:fill="auto"/>
            <w:vAlign w:val="center"/>
          </w:tcPr>
          <w:p>
            <w:pPr>
              <w:widowControl/>
              <w:jc w:val="center"/>
              <w:rPr>
                <w:rFonts w:eastAsia="黑体"/>
                <w:color w:val="000000"/>
                <w:kern w:val="0"/>
                <w:sz w:val="20"/>
                <w:szCs w:val="20"/>
                <w:lang w:bidi="ar"/>
              </w:rPr>
            </w:pPr>
            <w:r>
              <w:rPr>
                <w:rFonts w:hint="eastAsia" w:eastAsia="黑体"/>
                <w:color w:val="000000"/>
                <w:kern w:val="0"/>
                <w:sz w:val="20"/>
                <w:szCs w:val="20"/>
                <w:lang w:bidi="ar"/>
              </w:rPr>
              <w:t>A02010104       台式计算机</w:t>
            </w:r>
          </w:p>
        </w:tc>
        <w:tc>
          <w:tcPr>
            <w:tcW w:w="2065" w:type="dxa"/>
            <w:shd w:val="clear" w:color="auto" w:fill="auto"/>
            <w:vAlign w:val="center"/>
          </w:tcPr>
          <w:p>
            <w:pPr>
              <w:pStyle w:val="326"/>
              <w:tabs>
                <w:tab w:val="left" w:pos="1260"/>
              </w:tabs>
              <w:adjustRightInd w:val="0"/>
              <w:snapToGrid w:val="0"/>
              <w:ind w:firstLine="400" w:firstLineChars="200"/>
              <w:jc w:val="center"/>
              <w:rPr>
                <w:rFonts w:eastAsia="黑体"/>
                <w:color w:val="000000"/>
                <w:kern w:val="0"/>
                <w:sz w:val="20"/>
                <w:szCs w:val="20"/>
                <w:lang w:bidi="ar"/>
              </w:rPr>
            </w:pPr>
          </w:p>
        </w:tc>
        <w:tc>
          <w:tcPr>
            <w:tcW w:w="1620" w:type="dxa"/>
            <w:shd w:val="clear" w:color="auto" w:fill="auto"/>
            <w:vAlign w:val="center"/>
          </w:tcPr>
          <w:p>
            <w:pPr>
              <w:pStyle w:val="326"/>
              <w:tabs>
                <w:tab w:val="left" w:pos="1260"/>
              </w:tabs>
              <w:adjustRightInd w:val="0"/>
              <w:snapToGrid w:val="0"/>
              <w:ind w:firstLine="400" w:firstLineChars="200"/>
              <w:jc w:val="center"/>
              <w:rPr>
                <w:rFonts w:eastAsia="黑体"/>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37" w:type="dxa"/>
            <w:gridSpan w:val="5"/>
            <w:shd w:val="clear" w:color="auto" w:fill="auto"/>
            <w:vAlign w:val="center"/>
          </w:tcPr>
          <w:p>
            <w:pPr>
              <w:pStyle w:val="326"/>
              <w:tabs>
                <w:tab w:val="left" w:pos="1260"/>
              </w:tabs>
              <w:adjustRightInd w:val="0"/>
              <w:snapToGrid w:val="0"/>
              <w:ind w:firstLine="420" w:firstLineChars="200"/>
              <w:jc w:val="center"/>
              <w:rPr>
                <w:rFonts w:eastAsia="黑体"/>
                <w:color w:val="000000"/>
                <w:kern w:val="0"/>
                <w:sz w:val="20"/>
                <w:szCs w:val="20"/>
                <w:lang w:bidi="ar"/>
              </w:rPr>
            </w:pPr>
            <w:r>
              <w:rPr>
                <w:rFonts w:hint="eastAsia" w:ascii="宋体" w:hAnsi="宋体" w:cs="宋体"/>
                <w:szCs w:val="21"/>
              </w:rPr>
              <w:t>后附</w:t>
            </w:r>
            <w:r>
              <w:rPr>
                <w:rFonts w:hint="eastAsia" w:ascii="宋体" w:hAnsi="宋体" w:cs="宋体"/>
                <w:szCs w:val="21"/>
                <w:lang w:val="en-GB"/>
              </w:rPr>
              <w:t>节能产品</w:t>
            </w:r>
            <w:r>
              <w:rPr>
                <w:rFonts w:ascii="Helvetica" w:hAnsi="Helvetica" w:eastAsia="Helvetica" w:cs="Helvetica"/>
                <w:color w:val="000000"/>
                <w:szCs w:val="21"/>
                <w:shd w:val="clear" w:color="auto" w:fill="FFFFFF"/>
              </w:rPr>
              <w:t>认证证书</w:t>
            </w:r>
            <w:r>
              <w:rPr>
                <w:rFonts w:hint="eastAsia" w:ascii="宋体" w:hAnsi="宋体" w:cs="宋体"/>
                <w:szCs w:val="21"/>
              </w:rPr>
              <w:t>证明材料。</w:t>
            </w:r>
          </w:p>
        </w:tc>
      </w:tr>
    </w:tbl>
    <w:p>
      <w:pPr>
        <w:spacing w:line="460" w:lineRule="exact"/>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rPr>
        <w:t>投标人</w:t>
      </w:r>
      <w:r>
        <w:rPr>
          <w:rFonts w:hint="eastAsia" w:ascii="宋体" w:hAnsi="宋体" w:cs="宋体"/>
          <w:szCs w:val="21"/>
        </w:rPr>
        <w:t>（盖单位章）：</w:t>
      </w:r>
    </w:p>
    <w:p>
      <w:pPr>
        <w:adjustRightInd w:val="0"/>
        <w:snapToGrid w:val="0"/>
        <w:spacing w:line="360" w:lineRule="auto"/>
        <w:rPr>
          <w:rFonts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p>
    <w:p>
      <w:pPr>
        <w:spacing w:line="460" w:lineRule="exac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b/>
          <w:sz w:val="24"/>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431A6F-5BF5-4BB8-898F-A2DFF91892D8}"/>
  </w:font>
  <w:font w:name="黑体">
    <w:panose1 w:val="02010609060101010101"/>
    <w:charset w:val="86"/>
    <w:family w:val="auto"/>
    <w:pitch w:val="default"/>
    <w:sig w:usb0="800002BF" w:usb1="38CF7CFA" w:usb2="00000016" w:usb3="00000000" w:csb0="00040001" w:csb1="00000000"/>
    <w:embedRegular r:id="rId2" w:fontKey="{046C6C80-6395-4896-8447-87510A2ED621}"/>
  </w:font>
  <w:font w:name="Courier New">
    <w:panose1 w:val="02070309020205020404"/>
    <w:charset w:val="01"/>
    <w:family w:val="modern"/>
    <w:pitch w:val="default"/>
    <w:sig w:usb0="E0002EFF" w:usb1="C0007843" w:usb2="00000009" w:usb3="00000000" w:csb0="400001FF" w:csb1="FFFF0000"/>
    <w:embedRegular r:id="rId3" w:fontKey="{E438B4E3-A9E0-4FA5-8D45-8B1F274E9C5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03B73B0F-D18C-41AF-AA26-163FBA8E737C}"/>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5" w:fontKey="{D56C8372-607E-4F20-9E2C-C21C214A5ECD}"/>
  </w:font>
  <w:font w:name="仿宋_GB2312">
    <w:panose1 w:val="02010609030101010101"/>
    <w:charset w:val="86"/>
    <w:family w:val="modern"/>
    <w:pitch w:val="default"/>
    <w:sig w:usb0="00000001" w:usb1="080E0000" w:usb2="00000000" w:usb3="00000000" w:csb0="00040000" w:csb1="00000000"/>
    <w:embedRegular r:id="rId6" w:fontKey="{AA8F020D-ACE8-44F3-89AF-FD9123C8F896}"/>
  </w:font>
  <w:font w:name="楷体_GB2312">
    <w:panose1 w:val="02010609030101010101"/>
    <w:charset w:val="86"/>
    <w:family w:val="modern"/>
    <w:pitch w:val="default"/>
    <w:sig w:usb0="00000001" w:usb1="080E0000" w:usb2="00000000" w:usb3="00000000" w:csb0="00040000" w:csb1="00000000"/>
    <w:embedRegular r:id="rId7" w:fontKey="{C0B872B1-AB05-45BC-9349-92F2EDA1EBC2}"/>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8" w:fontKey="{296B4BAA-0A8B-47E7-8877-C50C610D5EED}"/>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长城仿宋">
    <w:altName w:val="黑体"/>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宋体-18030">
    <w:altName w:val="宋体"/>
    <w:panose1 w:val="00000000000000000000"/>
    <w:charset w:val="86"/>
    <w:family w:val="modern"/>
    <w:pitch w:val="default"/>
    <w:sig w:usb0="00000000" w:usb1="00000000" w:usb2="000A005E" w:usb3="00000000" w:csb0="00040001" w:csb1="00000000"/>
  </w:font>
  <w:font w:name="Arail">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webkit-standard">
    <w:altName w:val="Segoe Print"/>
    <w:panose1 w:val="00000000000000000000"/>
    <w:charset w:val="00"/>
    <w:family w:val="auto"/>
    <w:pitch w:val="default"/>
    <w:sig w:usb0="00000000" w:usb1="00000000" w:usb2="00000000" w:usb3="00000000" w:csb0="00000000" w:csb1="00000000"/>
    <w:embedRegular r:id="rId9" w:fontKey="{0E4B5CDB-0F49-4E4B-8B2D-CE301B7D74BC}"/>
  </w:font>
  <w:font w:name="Helvetica">
    <w:altName w:val="Arial"/>
    <w:panose1 w:val="020B0604020202020204"/>
    <w:charset w:val="00"/>
    <w:family w:val="auto"/>
    <w:pitch w:val="default"/>
    <w:sig w:usb0="00000000" w:usb1="00000000" w:usb2="00000000" w:usb3="00000000" w:csb0="00000000" w:csb1="00000000"/>
    <w:embedRegular r:id="rId10" w:fontKey="{91D5E446-2229-4AE5-B3C7-AFF0836657FC}"/>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180" w:hanging="180" w:hangingChars="100"/>
      <w:jc w:val="center"/>
      <w:rPr>
        <w:rFonts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ind w:left="180" w:hanging="180" w:hangingChars="100"/>
                            <w:jc w:val="center"/>
                          </w:pPr>
                          <w:r>
                            <w:rPr>
                              <w:rFonts w:eastAsia="楷体_GB2312"/>
                            </w:rPr>
                            <w:tab/>
                          </w:r>
                          <w:r>
                            <w:rPr>
                              <w:rFonts w:eastAsia="楷体_GB2312"/>
                            </w:rPr>
                            <w:t xml:space="preserve">- </w:t>
                          </w:r>
                          <w:r>
                            <w:rPr>
                              <w:rFonts w:eastAsia="楷体_GB2312"/>
                            </w:rPr>
                            <w:fldChar w:fldCharType="begin"/>
                          </w:r>
                          <w:r>
                            <w:rPr>
                              <w:rFonts w:eastAsia="楷体_GB2312"/>
                            </w:rPr>
                            <w:instrText xml:space="preserve"> PAGE </w:instrText>
                          </w:r>
                          <w:r>
                            <w:rPr>
                              <w:rFonts w:eastAsia="楷体_GB2312"/>
                            </w:rPr>
                            <w:fldChar w:fldCharType="separate"/>
                          </w:r>
                          <w:r>
                            <w:rPr>
                              <w:rFonts w:eastAsia="楷体_GB2312"/>
                            </w:rPr>
                            <w:t>21</w:t>
                          </w:r>
                          <w:r>
                            <w:rPr>
                              <w:rFonts w:eastAsia="楷体_GB2312"/>
                            </w:rPr>
                            <w:fldChar w:fldCharType="end"/>
                          </w:r>
                          <w:r>
                            <w:rPr>
                              <w:rFonts w:eastAsia="楷体_GB2312"/>
                            </w:rPr>
                            <w:t xml:space="preserve"> -</w:t>
                          </w:r>
                        </w:p>
                      </w:txbxContent>
                    </wps:txbx>
                    <wps:bodyPr wrap="none" lIns="0" tIns="0" rIns="0" bIns="0">
                      <a:spAutoFit/>
                    </wps:bodyPr>
                  </wps:wsp>
                </a:graphicData>
              </a:graphic>
            </wp:anchor>
          </w:drawing>
        </mc:Choice>
        <mc:Fallback>
          <w:pict>
            <v:shape id="文本框 51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N1QEa/NAQAAmgMAAA4AAAAAAAAAAQAgAAAAIgEAAGRy&#10;cy9lMm9Eb2MueG1sUEsFBgAAAAAGAAYAWQEAAGEFAAAAAA==&#10;">
              <v:fill on="f" focussize="0,0"/>
              <v:stroke on="f" weight="1.25pt"/>
              <v:imagedata o:title=""/>
              <o:lock v:ext="edit" aspectratio="f"/>
              <v:textbox inset="0mm,0mm,0mm,0mm" style="mso-fit-shape-to-text:t;">
                <w:txbxContent>
                  <w:p>
                    <w:pPr>
                      <w:pStyle w:val="31"/>
                      <w:ind w:left="180" w:hanging="180" w:hangingChars="100"/>
                      <w:jc w:val="center"/>
                    </w:pPr>
                    <w:r>
                      <w:rPr>
                        <w:rFonts w:eastAsia="楷体_GB2312"/>
                      </w:rPr>
                      <w:tab/>
                    </w:r>
                    <w:r>
                      <w:rPr>
                        <w:rFonts w:eastAsia="楷体_GB2312"/>
                      </w:rPr>
                      <w:t xml:space="preserve">- </w:t>
                    </w:r>
                    <w:r>
                      <w:rPr>
                        <w:rFonts w:eastAsia="楷体_GB2312"/>
                      </w:rPr>
                      <w:fldChar w:fldCharType="begin"/>
                    </w:r>
                    <w:r>
                      <w:rPr>
                        <w:rFonts w:eastAsia="楷体_GB2312"/>
                      </w:rPr>
                      <w:instrText xml:space="preserve"> PAGE </w:instrText>
                    </w:r>
                    <w:r>
                      <w:rPr>
                        <w:rFonts w:eastAsia="楷体_GB2312"/>
                      </w:rPr>
                      <w:fldChar w:fldCharType="separate"/>
                    </w:r>
                    <w:r>
                      <w:rPr>
                        <w:rFonts w:eastAsia="楷体_GB2312"/>
                      </w:rPr>
                      <w:t>21</w:t>
                    </w:r>
                    <w:r>
                      <w:rPr>
                        <w:rFonts w:eastAsia="楷体_GB2312"/>
                      </w:rPr>
                      <w:fldChar w:fldCharType="end"/>
                    </w:r>
                    <w:r>
                      <w:rPr>
                        <w:rFonts w:eastAsia="楷体_GB2312"/>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899"/>
        <w:tab w:val="clear" w:pos="4153"/>
        <w:tab w:val="clear" w:pos="8306"/>
      </w:tabs>
      <w:ind w:right="360"/>
      <w:rPr>
        <w:rFonts w:ascii="仿宋_GB2312" w:eastAsia="仿宋_GB2312"/>
        <w:b/>
        <w:i/>
      </w:rPr>
    </w:pPr>
    <w:r>
      <w:rPr>
        <w:rFonts w:ascii="仿宋_GB2312" w:eastAsia="仿宋_GB2312"/>
        <w:b/>
        <w: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570" cy="2787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15570" cy="278765"/>
                      </a:xfrm>
                      <a:prstGeom prst="rect">
                        <a:avLst/>
                      </a:prstGeom>
                      <a:noFill/>
                      <a:ln>
                        <a:noFill/>
                      </a:ln>
                    </wps:spPr>
                    <wps:txbx>
                      <w:txbxContent>
                        <w:p>
                          <w:pPr>
                            <w:pStyle w:val="31"/>
                            <w:jc w:val="center"/>
                          </w:pPr>
                          <w:r>
                            <w:fldChar w:fldCharType="begin"/>
                          </w:r>
                          <w:r>
                            <w:instrText xml:space="preserve">PAGE   \* MERGEFORMAT</w:instrText>
                          </w:r>
                          <w:r>
                            <w:fldChar w:fldCharType="separate"/>
                          </w:r>
                          <w:r>
                            <w:rPr>
                              <w:lang w:val="zh-CN"/>
                            </w:rPr>
                            <w:t>26</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21.95pt;width:9.1pt;mso-position-horizontal:center;mso-position-horizontal-relative:margin;mso-wrap-style:none;z-index:251660288;mso-width-relative:page;mso-height-relative:page;" filled="f" stroked="f" coordsize="21600,21600" o:gfxdata="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qWAzfRAAAAAwEAAA8AAAAAAAAAAQAgAAAAIgAAAGRycy9kb3du&#10;cmV2LnhtbFBLAQIUABQAAAAIAIdO4kAEgAvezQEAAJcDAAAOAAAAAAAAAAEAIAAAACABAABkcnMv&#10;ZTJvRG9jLnhtbFBLBQYAAAAABgAGAFkBAABfBQAAAAA=&#10;">
              <v:fill on="f" focussize="0,0"/>
              <v:stroke on="f"/>
              <v:imagedata o:title=""/>
              <o:lock v:ext="edit" aspectratio="f"/>
              <v:textbox inset="0mm,0mm,0mm,0mm" style="mso-fit-shape-to-text:t;">
                <w:txbxContent>
                  <w:p>
                    <w:pPr>
                      <w:pStyle w:val="31"/>
                      <w:jc w:val="center"/>
                    </w:pPr>
                    <w:r>
                      <w:fldChar w:fldCharType="begin"/>
                    </w:r>
                    <w:r>
                      <w:instrText xml:space="preserve">PAGE   \* MERGEFORMAT</w:instrText>
                    </w:r>
                    <w:r>
                      <w:fldChar w:fldCharType="separate"/>
                    </w:r>
                    <w:r>
                      <w:rPr>
                        <w:lang w:val="zh-CN"/>
                      </w:rPr>
                      <w:t>26</w:t>
                    </w:r>
                    <w:r>
                      <w:fldChar w:fldCharType="end"/>
                    </w:r>
                  </w:p>
                </w:txbxContent>
              </v:textbox>
            </v:shape>
          </w:pict>
        </mc:Fallback>
      </mc:AlternateContent>
    </w:r>
  </w:p>
  <w:p>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899"/>
        <w:tab w:val="clear" w:pos="4153"/>
        <w:tab w:val="clear" w:pos="8306"/>
      </w:tabs>
      <w:ind w:right="360"/>
      <w:rPr>
        <w:rFonts w:ascii="仿宋_GB2312" w:eastAsia="仿宋_GB2312"/>
        <w:b/>
        <w:i/>
      </w:rPr>
    </w:pPr>
    <w:r>
      <w:rPr>
        <w:rFonts w:ascii="仿宋_GB2312" w:eastAsia="仿宋_GB2312"/>
        <w:b/>
        <w:i/>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lear" w:pos="4153"/>
      </w:tabs>
      <w:ind w:right="-6"/>
      <w:jc w:val="center"/>
      <w:rPr>
        <w:rFonts w:ascii="仿宋_GB2312" w:eastAsia="仿宋_GB2312"/>
        <w:b/>
        <w:i/>
      </w:rPr>
    </w:pPr>
    <w:r>
      <w:rPr>
        <w:rFonts w:hint="eastAsia" w:ascii="仿宋_GB2312" w:eastAsia="仿宋_GB2312"/>
        <w:b/>
        <w:i/>
      </w:rPr>
      <w:t>28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899"/>
        <w:tab w:val="clear" w:pos="4153"/>
        <w:tab w:val="clear" w:pos="8306"/>
      </w:tabs>
      <w:ind w:right="360"/>
      <w:rPr>
        <w:rFonts w:ascii="仿宋_GB2312" w:eastAsia="仿宋_GB2312"/>
        <w:b/>
        <w:i/>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a:spAutoFit/>
                    </wps:bodyPr>
                  </wps:wsp>
                </a:graphicData>
              </a:graphic>
            </wp:anchor>
          </w:drawing>
        </mc:Choice>
        <mc:Fallback>
          <w:pict>
            <v:shape id="文本框 51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geL+TNAQAAmgMAAA4AAAAAAAAAAQAgAAAAIgEAAGRy&#10;cy9lMm9Eb2MueG1sUEsFBgAAAAAGAAYAWQEAAGEFAAAAAA==&#10;">
              <v:fill on="f" focussize="0,0"/>
              <v:stroke on="f" weight="1.2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r>
      <w:rPr>
        <w:rFonts w:ascii="仿宋_GB2312" w:eastAsia="仿宋_GB2312"/>
        <w:b/>
        <w:i/>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677"/>
        <w:tab w:val="clear" w:pos="4153"/>
      </w:tabs>
      <w:ind w:right="-6"/>
      <w:rPr>
        <w:rFonts w:ascii="仿宋_GB2312" w:eastAsia="仿宋_GB2312"/>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13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DoekiPNAQAAmgMAAA4AAAAAAAAAAQAgAAAAIgEAAGRy&#10;cy9lMm9Eb2MueG1sUEsFBgAAAAAGAAYAWQEAAGEFAAAAAA==&#10;">
              <v:fill on="f" focussize="0,0"/>
              <v:stroke on="f" weight="1.2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899"/>
        <w:tab w:val="clear" w:pos="4153"/>
        <w:tab w:val="clear" w:pos="8306"/>
      </w:tabs>
      <w:ind w:right="360"/>
      <w:rPr>
        <w:rFonts w:ascii="仿宋_GB2312" w:eastAsia="仿宋_GB2312"/>
        <w:b/>
        <w: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wrap="none" lIns="0" tIns="0" rIns="0" bIns="0">
                      <a:spAutoFit/>
                    </wps:bodyPr>
                  </wps:wsp>
                </a:graphicData>
              </a:graphic>
            </wp:anchor>
          </w:drawing>
        </mc:Choice>
        <mc:Fallback>
          <w:pict>
            <v:shape id="文本框 51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BHh77NAQAAmgMAAA4AAAAAAAAAAQAgAAAAIgEAAGRy&#10;cy9lMm9Eb2MueG1sUEsFBgAAAAAGAAYAWQEAAGEFAAAAAA==&#10;">
              <v:fill on="f" focussize="0,0"/>
              <v:stroke on="f" weight="1.2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r>
      <w:rPr>
        <w:rFonts w:ascii="仿宋_GB2312" w:eastAsia="仿宋_GB2312"/>
        <w:b/>
        <w:i/>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ind w:right="-82" w:rightChars="-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6"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rPr>
        <w:rFonts w:ascii="仿宋_GB2312" w:eastAsia="仿宋_GB2312"/>
        <w:b/>
        <w:i/>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6"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6"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C1D7B"/>
    <w:multiLevelType w:val="singleLevel"/>
    <w:tmpl w:val="857C1D7B"/>
    <w:lvl w:ilvl="0" w:tentative="0">
      <w:start w:val="1"/>
      <w:numFmt w:val="decimal"/>
      <w:suff w:val="space"/>
      <w:lvlText w:val="%1."/>
      <w:lvlJc w:val="left"/>
    </w:lvl>
  </w:abstractNum>
  <w:abstractNum w:abstractNumId="1">
    <w:nsid w:val="883C52C7"/>
    <w:multiLevelType w:val="singleLevel"/>
    <w:tmpl w:val="883C52C7"/>
    <w:lvl w:ilvl="0" w:tentative="0">
      <w:start w:val="5"/>
      <w:numFmt w:val="chineseCounting"/>
      <w:suff w:val="space"/>
      <w:lvlText w:val="第%1章"/>
      <w:lvlJc w:val="left"/>
      <w:rPr>
        <w:rFonts w:hint="eastAsia"/>
      </w:rPr>
    </w:lvl>
  </w:abstractNum>
  <w:abstractNum w:abstractNumId="2">
    <w:nsid w:val="E0DBCE4D"/>
    <w:multiLevelType w:val="singleLevel"/>
    <w:tmpl w:val="E0DBCE4D"/>
    <w:lvl w:ilvl="0" w:tentative="0">
      <w:start w:val="1"/>
      <w:numFmt w:val="decimal"/>
      <w:suff w:val="nothing"/>
      <w:lvlText w:val="（%1）"/>
      <w:lvlJc w:val="left"/>
    </w:lvl>
  </w:abstractNum>
  <w:abstractNum w:abstractNumId="3">
    <w:nsid w:val="E6ED2771"/>
    <w:multiLevelType w:val="singleLevel"/>
    <w:tmpl w:val="E6ED2771"/>
    <w:lvl w:ilvl="0" w:tentative="0">
      <w:start w:val="1"/>
      <w:numFmt w:val="decimal"/>
      <w:suff w:val="nothing"/>
      <w:lvlText w:val="%1、"/>
      <w:lvlJc w:val="left"/>
    </w:lvl>
  </w:abstractNum>
  <w:abstractNum w:abstractNumId="4">
    <w:nsid w:val="F417D1BC"/>
    <w:multiLevelType w:val="singleLevel"/>
    <w:tmpl w:val="F417D1BC"/>
    <w:lvl w:ilvl="0" w:tentative="0">
      <w:start w:val="1"/>
      <w:numFmt w:val="decimal"/>
      <w:suff w:val="space"/>
      <w:lvlText w:val="%1."/>
      <w:lvlJc w:val="left"/>
    </w:lvl>
  </w:abstractNum>
  <w:abstractNum w:abstractNumId="5">
    <w:nsid w:val="F8B62061"/>
    <w:multiLevelType w:val="singleLevel"/>
    <w:tmpl w:val="F8B62061"/>
    <w:lvl w:ilvl="0" w:tentative="0">
      <w:start w:val="1"/>
      <w:numFmt w:val="decimal"/>
      <w:suff w:val="nothing"/>
      <w:lvlText w:val="（%1）"/>
      <w:lvlJc w:val="left"/>
    </w:lvl>
  </w:abstractNum>
  <w:abstractNum w:abstractNumId="6">
    <w:nsid w:val="24E409BB"/>
    <w:multiLevelType w:val="multilevel"/>
    <w:tmpl w:val="24E409BB"/>
    <w:lvl w:ilvl="0" w:tentative="0">
      <w:start w:val="1"/>
      <w:numFmt w:val="decimal"/>
      <w:pStyle w:val="74"/>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94424DF"/>
    <w:multiLevelType w:val="multilevel"/>
    <w:tmpl w:val="294424DF"/>
    <w:lvl w:ilvl="0" w:tentative="0">
      <w:start w:val="1"/>
      <w:numFmt w:val="chineseCountingThousand"/>
      <w:lvlText w:val="%1、"/>
      <w:lvlJc w:val="left"/>
      <w:pPr>
        <w:tabs>
          <w:tab w:val="left" w:pos="893"/>
        </w:tabs>
        <w:ind w:left="893" w:hanging="413"/>
      </w:pPr>
      <w:rPr>
        <w:rFonts w:cs="Times New Roman"/>
      </w:rPr>
    </w:lvl>
    <w:lvl w:ilvl="1" w:tentative="0">
      <w:start w:val="1"/>
      <w:numFmt w:val="lowerLetter"/>
      <w:pStyle w:val="189"/>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8">
    <w:nsid w:val="46987AA2"/>
    <w:multiLevelType w:val="multilevel"/>
    <w:tmpl w:val="46987AA2"/>
    <w:lvl w:ilvl="0" w:tentative="0">
      <w:start w:val="1"/>
      <w:numFmt w:val="decimal"/>
      <w:pStyle w:val="150"/>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E789DED"/>
    <w:multiLevelType w:val="singleLevel"/>
    <w:tmpl w:val="4E789DED"/>
    <w:lvl w:ilvl="0" w:tentative="0">
      <w:start w:val="1"/>
      <w:numFmt w:val="decimal"/>
      <w:suff w:val="space"/>
      <w:lvlText w:val="%1."/>
      <w:lvlJc w:val="left"/>
    </w:lvl>
  </w:abstractNum>
  <w:abstractNum w:abstractNumId="10">
    <w:nsid w:val="569552D7"/>
    <w:multiLevelType w:val="singleLevel"/>
    <w:tmpl w:val="569552D7"/>
    <w:lvl w:ilvl="0" w:tentative="0">
      <w:start w:val="1"/>
      <w:numFmt w:val="decimal"/>
      <w:suff w:val="nothing"/>
      <w:lvlText w:val="%1、"/>
      <w:lvlJc w:val="left"/>
    </w:lvl>
  </w:abstractNum>
  <w:num w:numId="1">
    <w:abstractNumId w:val="6"/>
  </w:num>
  <w:num w:numId="2">
    <w:abstractNumId w:val="8"/>
  </w:num>
  <w:num w:numId="3">
    <w:abstractNumId w:val="7"/>
  </w:num>
  <w:num w:numId="4">
    <w:abstractNumId w:val="3"/>
  </w:num>
  <w:num w:numId="5">
    <w:abstractNumId w:val="1"/>
  </w:num>
  <w:num w:numId="6">
    <w:abstractNumId w:val="9"/>
  </w:num>
  <w:num w:numId="7">
    <w:abstractNumId w:val="4"/>
  </w:num>
  <w:num w:numId="8">
    <w:abstractNumId w:val="0"/>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ZGE2ZTI0MDUyMDYzMmFmMmNlNDdlOTlmOGRhOTQifQ=="/>
  </w:docVars>
  <w:rsids>
    <w:rsidRoot w:val="00172A27"/>
    <w:rsid w:val="0000022B"/>
    <w:rsid w:val="000002CE"/>
    <w:rsid w:val="00000685"/>
    <w:rsid w:val="00000B93"/>
    <w:rsid w:val="000012F9"/>
    <w:rsid w:val="000017CA"/>
    <w:rsid w:val="00002158"/>
    <w:rsid w:val="00002173"/>
    <w:rsid w:val="00002E2E"/>
    <w:rsid w:val="00003195"/>
    <w:rsid w:val="000039F2"/>
    <w:rsid w:val="00004FCD"/>
    <w:rsid w:val="00005167"/>
    <w:rsid w:val="00005D6C"/>
    <w:rsid w:val="00005F2F"/>
    <w:rsid w:val="0000640D"/>
    <w:rsid w:val="0001006F"/>
    <w:rsid w:val="00010D3E"/>
    <w:rsid w:val="00010E2F"/>
    <w:rsid w:val="00010F49"/>
    <w:rsid w:val="00011478"/>
    <w:rsid w:val="0001151E"/>
    <w:rsid w:val="00011C89"/>
    <w:rsid w:val="0001229E"/>
    <w:rsid w:val="00012934"/>
    <w:rsid w:val="00012CDE"/>
    <w:rsid w:val="00013303"/>
    <w:rsid w:val="0001367A"/>
    <w:rsid w:val="00013EA1"/>
    <w:rsid w:val="0001412A"/>
    <w:rsid w:val="00014CDC"/>
    <w:rsid w:val="000153FB"/>
    <w:rsid w:val="00015587"/>
    <w:rsid w:val="000155BE"/>
    <w:rsid w:val="00015750"/>
    <w:rsid w:val="00015A5C"/>
    <w:rsid w:val="00015C1F"/>
    <w:rsid w:val="0001658F"/>
    <w:rsid w:val="000166B6"/>
    <w:rsid w:val="00016DC7"/>
    <w:rsid w:val="000170A0"/>
    <w:rsid w:val="0001749B"/>
    <w:rsid w:val="000174C5"/>
    <w:rsid w:val="0001790E"/>
    <w:rsid w:val="00020CF9"/>
    <w:rsid w:val="0002118E"/>
    <w:rsid w:val="000211C9"/>
    <w:rsid w:val="0002220D"/>
    <w:rsid w:val="000225BF"/>
    <w:rsid w:val="000226BF"/>
    <w:rsid w:val="00022987"/>
    <w:rsid w:val="00023705"/>
    <w:rsid w:val="00023865"/>
    <w:rsid w:val="0002390D"/>
    <w:rsid w:val="000247DC"/>
    <w:rsid w:val="000253CD"/>
    <w:rsid w:val="00025C73"/>
    <w:rsid w:val="00027050"/>
    <w:rsid w:val="0002731F"/>
    <w:rsid w:val="0002754D"/>
    <w:rsid w:val="000276D8"/>
    <w:rsid w:val="00027B0F"/>
    <w:rsid w:val="00027CA3"/>
    <w:rsid w:val="00027FCB"/>
    <w:rsid w:val="0003019E"/>
    <w:rsid w:val="0003119A"/>
    <w:rsid w:val="00031920"/>
    <w:rsid w:val="00032514"/>
    <w:rsid w:val="0003291E"/>
    <w:rsid w:val="00032A18"/>
    <w:rsid w:val="00032C96"/>
    <w:rsid w:val="000336BA"/>
    <w:rsid w:val="00034A7B"/>
    <w:rsid w:val="00034E41"/>
    <w:rsid w:val="00034FB2"/>
    <w:rsid w:val="00035749"/>
    <w:rsid w:val="00035875"/>
    <w:rsid w:val="00035972"/>
    <w:rsid w:val="000361C9"/>
    <w:rsid w:val="00036D22"/>
    <w:rsid w:val="00036DB0"/>
    <w:rsid w:val="00036DB5"/>
    <w:rsid w:val="00036E1D"/>
    <w:rsid w:val="0003754E"/>
    <w:rsid w:val="000377EF"/>
    <w:rsid w:val="00037B47"/>
    <w:rsid w:val="000403A5"/>
    <w:rsid w:val="000403EE"/>
    <w:rsid w:val="00040453"/>
    <w:rsid w:val="00040AF0"/>
    <w:rsid w:val="000411A9"/>
    <w:rsid w:val="000415A2"/>
    <w:rsid w:val="00042388"/>
    <w:rsid w:val="000425E3"/>
    <w:rsid w:val="000428F2"/>
    <w:rsid w:val="00042B9E"/>
    <w:rsid w:val="00042DC9"/>
    <w:rsid w:val="00043251"/>
    <w:rsid w:val="000436A7"/>
    <w:rsid w:val="00043B4A"/>
    <w:rsid w:val="00043BAB"/>
    <w:rsid w:val="00043C90"/>
    <w:rsid w:val="000443EB"/>
    <w:rsid w:val="00044E73"/>
    <w:rsid w:val="00044F59"/>
    <w:rsid w:val="0004548D"/>
    <w:rsid w:val="000454DD"/>
    <w:rsid w:val="0004564E"/>
    <w:rsid w:val="0004648F"/>
    <w:rsid w:val="00046779"/>
    <w:rsid w:val="00046DE6"/>
    <w:rsid w:val="00047940"/>
    <w:rsid w:val="00047956"/>
    <w:rsid w:val="00047B7A"/>
    <w:rsid w:val="00047E38"/>
    <w:rsid w:val="00051796"/>
    <w:rsid w:val="0005243C"/>
    <w:rsid w:val="000524B2"/>
    <w:rsid w:val="00052E15"/>
    <w:rsid w:val="0005314D"/>
    <w:rsid w:val="00053812"/>
    <w:rsid w:val="00053C33"/>
    <w:rsid w:val="00053F6A"/>
    <w:rsid w:val="000540A7"/>
    <w:rsid w:val="0005441F"/>
    <w:rsid w:val="00054D4B"/>
    <w:rsid w:val="00054EC4"/>
    <w:rsid w:val="00056248"/>
    <w:rsid w:val="00056AE3"/>
    <w:rsid w:val="00056C4B"/>
    <w:rsid w:val="00057CFA"/>
    <w:rsid w:val="00060536"/>
    <w:rsid w:val="000607E0"/>
    <w:rsid w:val="00060C52"/>
    <w:rsid w:val="00060F83"/>
    <w:rsid w:val="00061300"/>
    <w:rsid w:val="00062839"/>
    <w:rsid w:val="0006285B"/>
    <w:rsid w:val="000629B1"/>
    <w:rsid w:val="00062BB5"/>
    <w:rsid w:val="00062CC1"/>
    <w:rsid w:val="00062CF4"/>
    <w:rsid w:val="00063CBA"/>
    <w:rsid w:val="00063E10"/>
    <w:rsid w:val="000651BD"/>
    <w:rsid w:val="000651DE"/>
    <w:rsid w:val="0006565B"/>
    <w:rsid w:val="0006581A"/>
    <w:rsid w:val="000658A3"/>
    <w:rsid w:val="000664B1"/>
    <w:rsid w:val="00066B81"/>
    <w:rsid w:val="000675D1"/>
    <w:rsid w:val="00067742"/>
    <w:rsid w:val="00067928"/>
    <w:rsid w:val="000679D0"/>
    <w:rsid w:val="0007008A"/>
    <w:rsid w:val="00070B35"/>
    <w:rsid w:val="00070C3D"/>
    <w:rsid w:val="00070EA7"/>
    <w:rsid w:val="000711EB"/>
    <w:rsid w:val="000722C5"/>
    <w:rsid w:val="00072B11"/>
    <w:rsid w:val="000733F7"/>
    <w:rsid w:val="00073A9F"/>
    <w:rsid w:val="00074442"/>
    <w:rsid w:val="00074D0A"/>
    <w:rsid w:val="00075A16"/>
    <w:rsid w:val="00075B5C"/>
    <w:rsid w:val="00075C29"/>
    <w:rsid w:val="00075C90"/>
    <w:rsid w:val="00075DB6"/>
    <w:rsid w:val="00076D6D"/>
    <w:rsid w:val="00077040"/>
    <w:rsid w:val="00077C06"/>
    <w:rsid w:val="000805A3"/>
    <w:rsid w:val="00081568"/>
    <w:rsid w:val="000815C8"/>
    <w:rsid w:val="000816E5"/>
    <w:rsid w:val="00081E25"/>
    <w:rsid w:val="000835A8"/>
    <w:rsid w:val="000835D0"/>
    <w:rsid w:val="00083F94"/>
    <w:rsid w:val="00084490"/>
    <w:rsid w:val="00084EEF"/>
    <w:rsid w:val="0008548E"/>
    <w:rsid w:val="00085DD7"/>
    <w:rsid w:val="00085E2E"/>
    <w:rsid w:val="00085F2D"/>
    <w:rsid w:val="00086E68"/>
    <w:rsid w:val="00087941"/>
    <w:rsid w:val="00087EB3"/>
    <w:rsid w:val="0009031A"/>
    <w:rsid w:val="00090AD0"/>
    <w:rsid w:val="00091A7C"/>
    <w:rsid w:val="00091B1E"/>
    <w:rsid w:val="0009244B"/>
    <w:rsid w:val="00092623"/>
    <w:rsid w:val="00093228"/>
    <w:rsid w:val="00094DA6"/>
    <w:rsid w:val="0009521D"/>
    <w:rsid w:val="000958A3"/>
    <w:rsid w:val="00095A71"/>
    <w:rsid w:val="00095DAA"/>
    <w:rsid w:val="00096252"/>
    <w:rsid w:val="00096356"/>
    <w:rsid w:val="0009666B"/>
    <w:rsid w:val="00096941"/>
    <w:rsid w:val="00096998"/>
    <w:rsid w:val="00096B1F"/>
    <w:rsid w:val="0009714B"/>
    <w:rsid w:val="00097379"/>
    <w:rsid w:val="000975C3"/>
    <w:rsid w:val="000976AB"/>
    <w:rsid w:val="000A09F1"/>
    <w:rsid w:val="000A0A84"/>
    <w:rsid w:val="000A0B23"/>
    <w:rsid w:val="000A1134"/>
    <w:rsid w:val="000A11C6"/>
    <w:rsid w:val="000A25B6"/>
    <w:rsid w:val="000A2A55"/>
    <w:rsid w:val="000A3369"/>
    <w:rsid w:val="000A3457"/>
    <w:rsid w:val="000A4671"/>
    <w:rsid w:val="000A4CBC"/>
    <w:rsid w:val="000A553E"/>
    <w:rsid w:val="000A577D"/>
    <w:rsid w:val="000A6C5F"/>
    <w:rsid w:val="000A6DE1"/>
    <w:rsid w:val="000A721C"/>
    <w:rsid w:val="000A7435"/>
    <w:rsid w:val="000A7A59"/>
    <w:rsid w:val="000B0383"/>
    <w:rsid w:val="000B0454"/>
    <w:rsid w:val="000B107C"/>
    <w:rsid w:val="000B10DC"/>
    <w:rsid w:val="000B1B99"/>
    <w:rsid w:val="000B23A1"/>
    <w:rsid w:val="000B25A0"/>
    <w:rsid w:val="000B2990"/>
    <w:rsid w:val="000B2BBE"/>
    <w:rsid w:val="000B2D05"/>
    <w:rsid w:val="000B36A1"/>
    <w:rsid w:val="000B37AD"/>
    <w:rsid w:val="000B3EEF"/>
    <w:rsid w:val="000B426D"/>
    <w:rsid w:val="000B521E"/>
    <w:rsid w:val="000B5821"/>
    <w:rsid w:val="000B5A30"/>
    <w:rsid w:val="000B6078"/>
    <w:rsid w:val="000B6466"/>
    <w:rsid w:val="000B749E"/>
    <w:rsid w:val="000C02AE"/>
    <w:rsid w:val="000C08A5"/>
    <w:rsid w:val="000C0B7C"/>
    <w:rsid w:val="000C0C40"/>
    <w:rsid w:val="000C0D7B"/>
    <w:rsid w:val="000C1035"/>
    <w:rsid w:val="000C1C73"/>
    <w:rsid w:val="000C1CF2"/>
    <w:rsid w:val="000C1ECD"/>
    <w:rsid w:val="000C2374"/>
    <w:rsid w:val="000C23E5"/>
    <w:rsid w:val="000C26FE"/>
    <w:rsid w:val="000C2A35"/>
    <w:rsid w:val="000C3020"/>
    <w:rsid w:val="000C3961"/>
    <w:rsid w:val="000C3A92"/>
    <w:rsid w:val="000C44A1"/>
    <w:rsid w:val="000C526B"/>
    <w:rsid w:val="000C59B4"/>
    <w:rsid w:val="000C63F6"/>
    <w:rsid w:val="000C6A29"/>
    <w:rsid w:val="000C71A7"/>
    <w:rsid w:val="000C72D0"/>
    <w:rsid w:val="000C78B7"/>
    <w:rsid w:val="000C7EA8"/>
    <w:rsid w:val="000C7EB3"/>
    <w:rsid w:val="000D00B1"/>
    <w:rsid w:val="000D00BF"/>
    <w:rsid w:val="000D048E"/>
    <w:rsid w:val="000D080D"/>
    <w:rsid w:val="000D15C6"/>
    <w:rsid w:val="000D1AA9"/>
    <w:rsid w:val="000D20DD"/>
    <w:rsid w:val="000D21BA"/>
    <w:rsid w:val="000D2371"/>
    <w:rsid w:val="000D29E3"/>
    <w:rsid w:val="000D34C7"/>
    <w:rsid w:val="000D3BDE"/>
    <w:rsid w:val="000D3CDA"/>
    <w:rsid w:val="000D50BC"/>
    <w:rsid w:val="000D5122"/>
    <w:rsid w:val="000D5ADF"/>
    <w:rsid w:val="000D5EE9"/>
    <w:rsid w:val="000D5F2E"/>
    <w:rsid w:val="000D683C"/>
    <w:rsid w:val="000D6FFB"/>
    <w:rsid w:val="000D71C0"/>
    <w:rsid w:val="000D73E2"/>
    <w:rsid w:val="000D7B50"/>
    <w:rsid w:val="000D7DF3"/>
    <w:rsid w:val="000E0357"/>
    <w:rsid w:val="000E0E69"/>
    <w:rsid w:val="000E1AC6"/>
    <w:rsid w:val="000E1F64"/>
    <w:rsid w:val="000E1FF8"/>
    <w:rsid w:val="000E23F0"/>
    <w:rsid w:val="000E2C07"/>
    <w:rsid w:val="000E2E99"/>
    <w:rsid w:val="000E3313"/>
    <w:rsid w:val="000E3335"/>
    <w:rsid w:val="000E4B89"/>
    <w:rsid w:val="000E5A27"/>
    <w:rsid w:val="000E60C1"/>
    <w:rsid w:val="000E650B"/>
    <w:rsid w:val="000E6F9A"/>
    <w:rsid w:val="000F05ED"/>
    <w:rsid w:val="000F1AF8"/>
    <w:rsid w:val="000F1F95"/>
    <w:rsid w:val="000F21BB"/>
    <w:rsid w:val="000F2C4A"/>
    <w:rsid w:val="000F33E3"/>
    <w:rsid w:val="000F3414"/>
    <w:rsid w:val="000F3D41"/>
    <w:rsid w:val="000F3F69"/>
    <w:rsid w:val="000F495B"/>
    <w:rsid w:val="000F55E9"/>
    <w:rsid w:val="000F5812"/>
    <w:rsid w:val="000F5AC2"/>
    <w:rsid w:val="000F5FFC"/>
    <w:rsid w:val="000F6082"/>
    <w:rsid w:val="000F6975"/>
    <w:rsid w:val="000F6AA7"/>
    <w:rsid w:val="000F77ED"/>
    <w:rsid w:val="000F7853"/>
    <w:rsid w:val="000F7880"/>
    <w:rsid w:val="000F78BD"/>
    <w:rsid w:val="001000C9"/>
    <w:rsid w:val="001002E4"/>
    <w:rsid w:val="001007D3"/>
    <w:rsid w:val="001008A5"/>
    <w:rsid w:val="00100C3B"/>
    <w:rsid w:val="00101736"/>
    <w:rsid w:val="00101EE8"/>
    <w:rsid w:val="001020E5"/>
    <w:rsid w:val="00102679"/>
    <w:rsid w:val="00102A12"/>
    <w:rsid w:val="00102B86"/>
    <w:rsid w:val="00102C7A"/>
    <w:rsid w:val="00103AED"/>
    <w:rsid w:val="00103C82"/>
    <w:rsid w:val="0010407A"/>
    <w:rsid w:val="00104EF5"/>
    <w:rsid w:val="0010567F"/>
    <w:rsid w:val="00105760"/>
    <w:rsid w:val="00106632"/>
    <w:rsid w:val="00106BC4"/>
    <w:rsid w:val="00107D40"/>
    <w:rsid w:val="0011047F"/>
    <w:rsid w:val="001107DC"/>
    <w:rsid w:val="00110AC0"/>
    <w:rsid w:val="0011341D"/>
    <w:rsid w:val="001140D5"/>
    <w:rsid w:val="0011476A"/>
    <w:rsid w:val="001148C0"/>
    <w:rsid w:val="00114968"/>
    <w:rsid w:val="00114D67"/>
    <w:rsid w:val="001153CF"/>
    <w:rsid w:val="0011551C"/>
    <w:rsid w:val="00115695"/>
    <w:rsid w:val="00115BB1"/>
    <w:rsid w:val="00116794"/>
    <w:rsid w:val="0011728A"/>
    <w:rsid w:val="001177A7"/>
    <w:rsid w:val="00117F2A"/>
    <w:rsid w:val="00120980"/>
    <w:rsid w:val="00120E06"/>
    <w:rsid w:val="00121127"/>
    <w:rsid w:val="00121842"/>
    <w:rsid w:val="00121CCB"/>
    <w:rsid w:val="00121D08"/>
    <w:rsid w:val="00121E0D"/>
    <w:rsid w:val="00122028"/>
    <w:rsid w:val="0012255C"/>
    <w:rsid w:val="001229BB"/>
    <w:rsid w:val="00122D60"/>
    <w:rsid w:val="00122E86"/>
    <w:rsid w:val="00123508"/>
    <w:rsid w:val="001244D4"/>
    <w:rsid w:val="00124B2F"/>
    <w:rsid w:val="00124F64"/>
    <w:rsid w:val="001250E4"/>
    <w:rsid w:val="001255AD"/>
    <w:rsid w:val="00126166"/>
    <w:rsid w:val="0012655C"/>
    <w:rsid w:val="00126A18"/>
    <w:rsid w:val="00126BEE"/>
    <w:rsid w:val="00126E91"/>
    <w:rsid w:val="001274CF"/>
    <w:rsid w:val="00127DF7"/>
    <w:rsid w:val="001300F1"/>
    <w:rsid w:val="00130212"/>
    <w:rsid w:val="00130C2F"/>
    <w:rsid w:val="0013122D"/>
    <w:rsid w:val="001317A7"/>
    <w:rsid w:val="00131C2C"/>
    <w:rsid w:val="00131FEB"/>
    <w:rsid w:val="0013201C"/>
    <w:rsid w:val="001332E2"/>
    <w:rsid w:val="0013386C"/>
    <w:rsid w:val="00133E51"/>
    <w:rsid w:val="0013488C"/>
    <w:rsid w:val="001348F0"/>
    <w:rsid w:val="00135197"/>
    <w:rsid w:val="0013522C"/>
    <w:rsid w:val="001356BD"/>
    <w:rsid w:val="001357D2"/>
    <w:rsid w:val="001360F2"/>
    <w:rsid w:val="0013629A"/>
    <w:rsid w:val="00136572"/>
    <w:rsid w:val="001369CD"/>
    <w:rsid w:val="00136CC3"/>
    <w:rsid w:val="001371B7"/>
    <w:rsid w:val="00137BF7"/>
    <w:rsid w:val="00137D02"/>
    <w:rsid w:val="00140D3C"/>
    <w:rsid w:val="00141171"/>
    <w:rsid w:val="00141421"/>
    <w:rsid w:val="0014173A"/>
    <w:rsid w:val="00141F23"/>
    <w:rsid w:val="0014244B"/>
    <w:rsid w:val="0014270E"/>
    <w:rsid w:val="00142B17"/>
    <w:rsid w:val="00142E67"/>
    <w:rsid w:val="00143196"/>
    <w:rsid w:val="00143A7E"/>
    <w:rsid w:val="00143E3B"/>
    <w:rsid w:val="0014405D"/>
    <w:rsid w:val="00144316"/>
    <w:rsid w:val="001443BC"/>
    <w:rsid w:val="00144A8C"/>
    <w:rsid w:val="00144C8D"/>
    <w:rsid w:val="00144C8E"/>
    <w:rsid w:val="00145163"/>
    <w:rsid w:val="0014530A"/>
    <w:rsid w:val="00145EC3"/>
    <w:rsid w:val="00145F94"/>
    <w:rsid w:val="0014649A"/>
    <w:rsid w:val="0014680A"/>
    <w:rsid w:val="00146B20"/>
    <w:rsid w:val="00146E7D"/>
    <w:rsid w:val="00146E8D"/>
    <w:rsid w:val="00147365"/>
    <w:rsid w:val="00147AA5"/>
    <w:rsid w:val="00150F49"/>
    <w:rsid w:val="00150FE9"/>
    <w:rsid w:val="0015146F"/>
    <w:rsid w:val="001519E9"/>
    <w:rsid w:val="00151DFE"/>
    <w:rsid w:val="00152395"/>
    <w:rsid w:val="00152579"/>
    <w:rsid w:val="00153487"/>
    <w:rsid w:val="001535D0"/>
    <w:rsid w:val="0015384A"/>
    <w:rsid w:val="00153BBE"/>
    <w:rsid w:val="00153C19"/>
    <w:rsid w:val="00154132"/>
    <w:rsid w:val="001543DD"/>
    <w:rsid w:val="00154823"/>
    <w:rsid w:val="00154E78"/>
    <w:rsid w:val="00155431"/>
    <w:rsid w:val="00155AEC"/>
    <w:rsid w:val="0015652D"/>
    <w:rsid w:val="0015694A"/>
    <w:rsid w:val="00156AA3"/>
    <w:rsid w:val="0015703B"/>
    <w:rsid w:val="00157A88"/>
    <w:rsid w:val="0016042D"/>
    <w:rsid w:val="00160B76"/>
    <w:rsid w:val="0016118A"/>
    <w:rsid w:val="0016196B"/>
    <w:rsid w:val="00161AA2"/>
    <w:rsid w:val="0016279F"/>
    <w:rsid w:val="001630AC"/>
    <w:rsid w:val="00163233"/>
    <w:rsid w:val="00163B4D"/>
    <w:rsid w:val="00163D30"/>
    <w:rsid w:val="00163D62"/>
    <w:rsid w:val="001642D0"/>
    <w:rsid w:val="00164DBB"/>
    <w:rsid w:val="0016512D"/>
    <w:rsid w:val="001661D9"/>
    <w:rsid w:val="00166611"/>
    <w:rsid w:val="00166FCC"/>
    <w:rsid w:val="00167554"/>
    <w:rsid w:val="001703CD"/>
    <w:rsid w:val="00170B58"/>
    <w:rsid w:val="00170B92"/>
    <w:rsid w:val="00171B6F"/>
    <w:rsid w:val="00172054"/>
    <w:rsid w:val="0017238B"/>
    <w:rsid w:val="001728FE"/>
    <w:rsid w:val="00172949"/>
    <w:rsid w:val="00172A27"/>
    <w:rsid w:val="0017340A"/>
    <w:rsid w:val="00174599"/>
    <w:rsid w:val="00174C60"/>
    <w:rsid w:val="00175AD9"/>
    <w:rsid w:val="0017688B"/>
    <w:rsid w:val="00177836"/>
    <w:rsid w:val="00177BE6"/>
    <w:rsid w:val="00180CB3"/>
    <w:rsid w:val="00180D7B"/>
    <w:rsid w:val="00181798"/>
    <w:rsid w:val="00181E0A"/>
    <w:rsid w:val="00182F53"/>
    <w:rsid w:val="0018308D"/>
    <w:rsid w:val="00184111"/>
    <w:rsid w:val="0018421C"/>
    <w:rsid w:val="00184CA7"/>
    <w:rsid w:val="001857F7"/>
    <w:rsid w:val="00185E1E"/>
    <w:rsid w:val="00185F11"/>
    <w:rsid w:val="0018682B"/>
    <w:rsid w:val="00186A30"/>
    <w:rsid w:val="00186E80"/>
    <w:rsid w:val="00187E98"/>
    <w:rsid w:val="00190A41"/>
    <w:rsid w:val="00191BE5"/>
    <w:rsid w:val="001922FB"/>
    <w:rsid w:val="00192941"/>
    <w:rsid w:val="00192E0E"/>
    <w:rsid w:val="00192E45"/>
    <w:rsid w:val="001930CB"/>
    <w:rsid w:val="00193269"/>
    <w:rsid w:val="0019353A"/>
    <w:rsid w:val="00193B9C"/>
    <w:rsid w:val="00194524"/>
    <w:rsid w:val="00194E94"/>
    <w:rsid w:val="0019547D"/>
    <w:rsid w:val="00196246"/>
    <w:rsid w:val="00196471"/>
    <w:rsid w:val="0019664F"/>
    <w:rsid w:val="00196E02"/>
    <w:rsid w:val="00196ED5"/>
    <w:rsid w:val="00197CB5"/>
    <w:rsid w:val="001A1854"/>
    <w:rsid w:val="001A1B7A"/>
    <w:rsid w:val="001A1C57"/>
    <w:rsid w:val="001A1F5E"/>
    <w:rsid w:val="001A3493"/>
    <w:rsid w:val="001A3932"/>
    <w:rsid w:val="001A397A"/>
    <w:rsid w:val="001A3BFA"/>
    <w:rsid w:val="001A42A2"/>
    <w:rsid w:val="001A4494"/>
    <w:rsid w:val="001A4736"/>
    <w:rsid w:val="001A51C1"/>
    <w:rsid w:val="001A6062"/>
    <w:rsid w:val="001A64D9"/>
    <w:rsid w:val="001A688D"/>
    <w:rsid w:val="001A6E2A"/>
    <w:rsid w:val="001A73ED"/>
    <w:rsid w:val="001A7739"/>
    <w:rsid w:val="001A7E66"/>
    <w:rsid w:val="001B0481"/>
    <w:rsid w:val="001B0539"/>
    <w:rsid w:val="001B06D1"/>
    <w:rsid w:val="001B0DC9"/>
    <w:rsid w:val="001B0EE0"/>
    <w:rsid w:val="001B1CAB"/>
    <w:rsid w:val="001B2BB2"/>
    <w:rsid w:val="001B2BFF"/>
    <w:rsid w:val="001B347B"/>
    <w:rsid w:val="001B3B74"/>
    <w:rsid w:val="001B4EE5"/>
    <w:rsid w:val="001B5044"/>
    <w:rsid w:val="001B563F"/>
    <w:rsid w:val="001B5DA3"/>
    <w:rsid w:val="001B5F62"/>
    <w:rsid w:val="001B61D2"/>
    <w:rsid w:val="001B62CA"/>
    <w:rsid w:val="001B643A"/>
    <w:rsid w:val="001B6A09"/>
    <w:rsid w:val="001B6BDA"/>
    <w:rsid w:val="001B6C2D"/>
    <w:rsid w:val="001B6D58"/>
    <w:rsid w:val="001B70D5"/>
    <w:rsid w:val="001B760B"/>
    <w:rsid w:val="001B77C2"/>
    <w:rsid w:val="001C0603"/>
    <w:rsid w:val="001C09D4"/>
    <w:rsid w:val="001C1080"/>
    <w:rsid w:val="001C209E"/>
    <w:rsid w:val="001C21A9"/>
    <w:rsid w:val="001C2461"/>
    <w:rsid w:val="001C2465"/>
    <w:rsid w:val="001C2D80"/>
    <w:rsid w:val="001C3493"/>
    <w:rsid w:val="001C3C92"/>
    <w:rsid w:val="001C485B"/>
    <w:rsid w:val="001C4EEA"/>
    <w:rsid w:val="001C53CC"/>
    <w:rsid w:val="001C540C"/>
    <w:rsid w:val="001C5A8C"/>
    <w:rsid w:val="001C5E47"/>
    <w:rsid w:val="001C633D"/>
    <w:rsid w:val="001C65C3"/>
    <w:rsid w:val="001C74EA"/>
    <w:rsid w:val="001C79A4"/>
    <w:rsid w:val="001D003F"/>
    <w:rsid w:val="001D1846"/>
    <w:rsid w:val="001D1AC9"/>
    <w:rsid w:val="001D2450"/>
    <w:rsid w:val="001D2938"/>
    <w:rsid w:val="001D323E"/>
    <w:rsid w:val="001D333A"/>
    <w:rsid w:val="001D3E3A"/>
    <w:rsid w:val="001D3EEC"/>
    <w:rsid w:val="001D3EEE"/>
    <w:rsid w:val="001D4178"/>
    <w:rsid w:val="001D4235"/>
    <w:rsid w:val="001D430C"/>
    <w:rsid w:val="001D513E"/>
    <w:rsid w:val="001D52EA"/>
    <w:rsid w:val="001D57AA"/>
    <w:rsid w:val="001D5FEE"/>
    <w:rsid w:val="001D6246"/>
    <w:rsid w:val="001D628D"/>
    <w:rsid w:val="001D64D4"/>
    <w:rsid w:val="001D64ED"/>
    <w:rsid w:val="001D72F7"/>
    <w:rsid w:val="001D7934"/>
    <w:rsid w:val="001D79CF"/>
    <w:rsid w:val="001E05BB"/>
    <w:rsid w:val="001E0821"/>
    <w:rsid w:val="001E15D2"/>
    <w:rsid w:val="001E208C"/>
    <w:rsid w:val="001E2910"/>
    <w:rsid w:val="001E2C6A"/>
    <w:rsid w:val="001E2DE0"/>
    <w:rsid w:val="001E3506"/>
    <w:rsid w:val="001E3740"/>
    <w:rsid w:val="001E4290"/>
    <w:rsid w:val="001E4649"/>
    <w:rsid w:val="001E48DD"/>
    <w:rsid w:val="001E49DE"/>
    <w:rsid w:val="001E566B"/>
    <w:rsid w:val="001E5C47"/>
    <w:rsid w:val="001E5FED"/>
    <w:rsid w:val="001E723B"/>
    <w:rsid w:val="001E7460"/>
    <w:rsid w:val="001E79C1"/>
    <w:rsid w:val="001F0356"/>
    <w:rsid w:val="001F06A4"/>
    <w:rsid w:val="001F0835"/>
    <w:rsid w:val="001F0B0B"/>
    <w:rsid w:val="001F104F"/>
    <w:rsid w:val="001F1089"/>
    <w:rsid w:val="001F15B1"/>
    <w:rsid w:val="001F17A3"/>
    <w:rsid w:val="001F1BD3"/>
    <w:rsid w:val="001F2789"/>
    <w:rsid w:val="001F2840"/>
    <w:rsid w:val="001F2C63"/>
    <w:rsid w:val="001F305A"/>
    <w:rsid w:val="001F381B"/>
    <w:rsid w:val="001F3984"/>
    <w:rsid w:val="001F3CC2"/>
    <w:rsid w:val="001F449A"/>
    <w:rsid w:val="001F4F0B"/>
    <w:rsid w:val="001F5B3A"/>
    <w:rsid w:val="001F5DB6"/>
    <w:rsid w:val="001F63F4"/>
    <w:rsid w:val="001F6DC7"/>
    <w:rsid w:val="0020016C"/>
    <w:rsid w:val="00200360"/>
    <w:rsid w:val="0020095F"/>
    <w:rsid w:val="00200F78"/>
    <w:rsid w:val="00200F7E"/>
    <w:rsid w:val="00201226"/>
    <w:rsid w:val="00201547"/>
    <w:rsid w:val="00201951"/>
    <w:rsid w:val="0020286B"/>
    <w:rsid w:val="00202E45"/>
    <w:rsid w:val="002034C2"/>
    <w:rsid w:val="00203869"/>
    <w:rsid w:val="00203E28"/>
    <w:rsid w:val="00204B56"/>
    <w:rsid w:val="00205077"/>
    <w:rsid w:val="00205095"/>
    <w:rsid w:val="00205B75"/>
    <w:rsid w:val="00207439"/>
    <w:rsid w:val="0020767D"/>
    <w:rsid w:val="0020783A"/>
    <w:rsid w:val="002109E1"/>
    <w:rsid w:val="0021113D"/>
    <w:rsid w:val="00211955"/>
    <w:rsid w:val="0021216A"/>
    <w:rsid w:val="00212189"/>
    <w:rsid w:val="00214A67"/>
    <w:rsid w:val="00214ECD"/>
    <w:rsid w:val="00216173"/>
    <w:rsid w:val="0021657A"/>
    <w:rsid w:val="00216701"/>
    <w:rsid w:val="00216EB5"/>
    <w:rsid w:val="002171FC"/>
    <w:rsid w:val="00217845"/>
    <w:rsid w:val="00217AB7"/>
    <w:rsid w:val="00217ACB"/>
    <w:rsid w:val="00217F2F"/>
    <w:rsid w:val="00220046"/>
    <w:rsid w:val="00220738"/>
    <w:rsid w:val="002218ED"/>
    <w:rsid w:val="00221DD1"/>
    <w:rsid w:val="00222444"/>
    <w:rsid w:val="00223437"/>
    <w:rsid w:val="00223E3C"/>
    <w:rsid w:val="002251D5"/>
    <w:rsid w:val="002259C0"/>
    <w:rsid w:val="00225D86"/>
    <w:rsid w:val="00225DEE"/>
    <w:rsid w:val="00226A10"/>
    <w:rsid w:val="00226A74"/>
    <w:rsid w:val="00226F13"/>
    <w:rsid w:val="00227044"/>
    <w:rsid w:val="00227089"/>
    <w:rsid w:val="00227DEC"/>
    <w:rsid w:val="00230B66"/>
    <w:rsid w:val="00230CA3"/>
    <w:rsid w:val="00230F89"/>
    <w:rsid w:val="0023179B"/>
    <w:rsid w:val="00231D52"/>
    <w:rsid w:val="002321E0"/>
    <w:rsid w:val="00232261"/>
    <w:rsid w:val="0023273E"/>
    <w:rsid w:val="00232817"/>
    <w:rsid w:val="00233173"/>
    <w:rsid w:val="002339D6"/>
    <w:rsid w:val="00233CB3"/>
    <w:rsid w:val="00234404"/>
    <w:rsid w:val="0023466D"/>
    <w:rsid w:val="00234DB4"/>
    <w:rsid w:val="002356B2"/>
    <w:rsid w:val="0023621D"/>
    <w:rsid w:val="00236532"/>
    <w:rsid w:val="00236875"/>
    <w:rsid w:val="00236AC0"/>
    <w:rsid w:val="00236B90"/>
    <w:rsid w:val="00237058"/>
    <w:rsid w:val="002370F0"/>
    <w:rsid w:val="002375DA"/>
    <w:rsid w:val="002400FD"/>
    <w:rsid w:val="00240139"/>
    <w:rsid w:val="00240860"/>
    <w:rsid w:val="00240B56"/>
    <w:rsid w:val="00240E63"/>
    <w:rsid w:val="002419CE"/>
    <w:rsid w:val="00241B5F"/>
    <w:rsid w:val="00243037"/>
    <w:rsid w:val="00243077"/>
    <w:rsid w:val="00243E2E"/>
    <w:rsid w:val="002443C5"/>
    <w:rsid w:val="00244D22"/>
    <w:rsid w:val="00244E2F"/>
    <w:rsid w:val="00245C3F"/>
    <w:rsid w:val="00245D70"/>
    <w:rsid w:val="00245F43"/>
    <w:rsid w:val="0024649F"/>
    <w:rsid w:val="00246855"/>
    <w:rsid w:val="00246DB5"/>
    <w:rsid w:val="002473AA"/>
    <w:rsid w:val="00247ABC"/>
    <w:rsid w:val="00247BE5"/>
    <w:rsid w:val="00247C10"/>
    <w:rsid w:val="00247D73"/>
    <w:rsid w:val="00250134"/>
    <w:rsid w:val="002507CF"/>
    <w:rsid w:val="00250AF7"/>
    <w:rsid w:val="00250BB5"/>
    <w:rsid w:val="00251552"/>
    <w:rsid w:val="00251ADE"/>
    <w:rsid w:val="00251CCD"/>
    <w:rsid w:val="00252072"/>
    <w:rsid w:val="00252EBA"/>
    <w:rsid w:val="00253A75"/>
    <w:rsid w:val="0025467E"/>
    <w:rsid w:val="002546E2"/>
    <w:rsid w:val="00255587"/>
    <w:rsid w:val="00255916"/>
    <w:rsid w:val="00256B46"/>
    <w:rsid w:val="00256BD3"/>
    <w:rsid w:val="00257AEA"/>
    <w:rsid w:val="00257CF1"/>
    <w:rsid w:val="0026079B"/>
    <w:rsid w:val="00260B55"/>
    <w:rsid w:val="00261C3A"/>
    <w:rsid w:val="002621C9"/>
    <w:rsid w:val="00262719"/>
    <w:rsid w:val="00262D8B"/>
    <w:rsid w:val="00263081"/>
    <w:rsid w:val="0026336B"/>
    <w:rsid w:val="002633CC"/>
    <w:rsid w:val="002637CC"/>
    <w:rsid w:val="0026392A"/>
    <w:rsid w:val="00263949"/>
    <w:rsid w:val="00263982"/>
    <w:rsid w:val="0026425B"/>
    <w:rsid w:val="0026489D"/>
    <w:rsid w:val="00265646"/>
    <w:rsid w:val="00265B9F"/>
    <w:rsid w:val="00265D61"/>
    <w:rsid w:val="00265F20"/>
    <w:rsid w:val="00266117"/>
    <w:rsid w:val="00266F8D"/>
    <w:rsid w:val="00267502"/>
    <w:rsid w:val="00267699"/>
    <w:rsid w:val="00267C61"/>
    <w:rsid w:val="00267F21"/>
    <w:rsid w:val="0027059C"/>
    <w:rsid w:val="00270BE0"/>
    <w:rsid w:val="002716DA"/>
    <w:rsid w:val="002741D6"/>
    <w:rsid w:val="002750B5"/>
    <w:rsid w:val="0027568A"/>
    <w:rsid w:val="00275AD1"/>
    <w:rsid w:val="00276828"/>
    <w:rsid w:val="0027733D"/>
    <w:rsid w:val="002774FF"/>
    <w:rsid w:val="002777FE"/>
    <w:rsid w:val="002779DA"/>
    <w:rsid w:val="00277CEA"/>
    <w:rsid w:val="0028022B"/>
    <w:rsid w:val="002806FA"/>
    <w:rsid w:val="00281005"/>
    <w:rsid w:val="002815E7"/>
    <w:rsid w:val="002816B1"/>
    <w:rsid w:val="00281D3C"/>
    <w:rsid w:val="0028207E"/>
    <w:rsid w:val="00282DA4"/>
    <w:rsid w:val="002836EB"/>
    <w:rsid w:val="00283A8C"/>
    <w:rsid w:val="00284653"/>
    <w:rsid w:val="002846AE"/>
    <w:rsid w:val="00284820"/>
    <w:rsid w:val="00284D0C"/>
    <w:rsid w:val="00285284"/>
    <w:rsid w:val="002862F2"/>
    <w:rsid w:val="00286933"/>
    <w:rsid w:val="00286CAB"/>
    <w:rsid w:val="002907B5"/>
    <w:rsid w:val="00291923"/>
    <w:rsid w:val="00291D79"/>
    <w:rsid w:val="0029255D"/>
    <w:rsid w:val="00292A6D"/>
    <w:rsid w:val="00292B25"/>
    <w:rsid w:val="00292DDF"/>
    <w:rsid w:val="00292EE5"/>
    <w:rsid w:val="002934A2"/>
    <w:rsid w:val="002937CF"/>
    <w:rsid w:val="00293BAF"/>
    <w:rsid w:val="00294254"/>
    <w:rsid w:val="0029460C"/>
    <w:rsid w:val="00294A38"/>
    <w:rsid w:val="00295401"/>
    <w:rsid w:val="00295EA9"/>
    <w:rsid w:val="002961C8"/>
    <w:rsid w:val="00296797"/>
    <w:rsid w:val="00296D71"/>
    <w:rsid w:val="002975F8"/>
    <w:rsid w:val="002A00D3"/>
    <w:rsid w:val="002A0326"/>
    <w:rsid w:val="002A0ECC"/>
    <w:rsid w:val="002A18BE"/>
    <w:rsid w:val="002A1D89"/>
    <w:rsid w:val="002A1D91"/>
    <w:rsid w:val="002A2189"/>
    <w:rsid w:val="002A2FA1"/>
    <w:rsid w:val="002A34E1"/>
    <w:rsid w:val="002A3EE7"/>
    <w:rsid w:val="002A4409"/>
    <w:rsid w:val="002A4F71"/>
    <w:rsid w:val="002A53A7"/>
    <w:rsid w:val="002A5563"/>
    <w:rsid w:val="002A57A7"/>
    <w:rsid w:val="002A5A83"/>
    <w:rsid w:val="002A5C35"/>
    <w:rsid w:val="002A5DDE"/>
    <w:rsid w:val="002A5FCD"/>
    <w:rsid w:val="002A6815"/>
    <w:rsid w:val="002B00DA"/>
    <w:rsid w:val="002B177B"/>
    <w:rsid w:val="002B1CBE"/>
    <w:rsid w:val="002B1F7E"/>
    <w:rsid w:val="002B24FB"/>
    <w:rsid w:val="002B252B"/>
    <w:rsid w:val="002B2B7C"/>
    <w:rsid w:val="002B2D57"/>
    <w:rsid w:val="002B394B"/>
    <w:rsid w:val="002B3BB0"/>
    <w:rsid w:val="002B3CC8"/>
    <w:rsid w:val="002B4282"/>
    <w:rsid w:val="002B43D0"/>
    <w:rsid w:val="002B484D"/>
    <w:rsid w:val="002B488E"/>
    <w:rsid w:val="002B6308"/>
    <w:rsid w:val="002B642F"/>
    <w:rsid w:val="002B64EC"/>
    <w:rsid w:val="002B6500"/>
    <w:rsid w:val="002B65CB"/>
    <w:rsid w:val="002B6620"/>
    <w:rsid w:val="002B6785"/>
    <w:rsid w:val="002B6911"/>
    <w:rsid w:val="002B6CF7"/>
    <w:rsid w:val="002B77C1"/>
    <w:rsid w:val="002C01E9"/>
    <w:rsid w:val="002C03C1"/>
    <w:rsid w:val="002C03D8"/>
    <w:rsid w:val="002C0432"/>
    <w:rsid w:val="002C061A"/>
    <w:rsid w:val="002C2580"/>
    <w:rsid w:val="002C3464"/>
    <w:rsid w:val="002C380E"/>
    <w:rsid w:val="002C39F7"/>
    <w:rsid w:val="002C4E1D"/>
    <w:rsid w:val="002C50D1"/>
    <w:rsid w:val="002C568B"/>
    <w:rsid w:val="002C596A"/>
    <w:rsid w:val="002C64BB"/>
    <w:rsid w:val="002C6C1E"/>
    <w:rsid w:val="002C6F3C"/>
    <w:rsid w:val="002C7731"/>
    <w:rsid w:val="002C79C0"/>
    <w:rsid w:val="002C7F56"/>
    <w:rsid w:val="002D03A6"/>
    <w:rsid w:val="002D04D4"/>
    <w:rsid w:val="002D0759"/>
    <w:rsid w:val="002D0A50"/>
    <w:rsid w:val="002D0C21"/>
    <w:rsid w:val="002D0ED6"/>
    <w:rsid w:val="002D190F"/>
    <w:rsid w:val="002D204F"/>
    <w:rsid w:val="002D2071"/>
    <w:rsid w:val="002D26E9"/>
    <w:rsid w:val="002D2B02"/>
    <w:rsid w:val="002D2D55"/>
    <w:rsid w:val="002D30A9"/>
    <w:rsid w:val="002D3461"/>
    <w:rsid w:val="002D3922"/>
    <w:rsid w:val="002D3B16"/>
    <w:rsid w:val="002D3C33"/>
    <w:rsid w:val="002D42B8"/>
    <w:rsid w:val="002D42FA"/>
    <w:rsid w:val="002D4751"/>
    <w:rsid w:val="002D4B91"/>
    <w:rsid w:val="002D5D3B"/>
    <w:rsid w:val="002D60F3"/>
    <w:rsid w:val="002D62F3"/>
    <w:rsid w:val="002D6B1C"/>
    <w:rsid w:val="002D6F3E"/>
    <w:rsid w:val="002D73E8"/>
    <w:rsid w:val="002D78FD"/>
    <w:rsid w:val="002D7B43"/>
    <w:rsid w:val="002E0193"/>
    <w:rsid w:val="002E03D3"/>
    <w:rsid w:val="002E096B"/>
    <w:rsid w:val="002E196F"/>
    <w:rsid w:val="002E1A39"/>
    <w:rsid w:val="002E1BFF"/>
    <w:rsid w:val="002E1D0D"/>
    <w:rsid w:val="002E1E15"/>
    <w:rsid w:val="002E1E8E"/>
    <w:rsid w:val="002E24A2"/>
    <w:rsid w:val="002E2A66"/>
    <w:rsid w:val="002E308A"/>
    <w:rsid w:val="002E3160"/>
    <w:rsid w:val="002E3B61"/>
    <w:rsid w:val="002E409E"/>
    <w:rsid w:val="002E4549"/>
    <w:rsid w:val="002E4633"/>
    <w:rsid w:val="002E480C"/>
    <w:rsid w:val="002E4F1A"/>
    <w:rsid w:val="002E5A29"/>
    <w:rsid w:val="002E601E"/>
    <w:rsid w:val="002E636E"/>
    <w:rsid w:val="002E6557"/>
    <w:rsid w:val="002E690C"/>
    <w:rsid w:val="002E776F"/>
    <w:rsid w:val="002E77FE"/>
    <w:rsid w:val="002E7D7D"/>
    <w:rsid w:val="002E7E83"/>
    <w:rsid w:val="002F0249"/>
    <w:rsid w:val="002F03D8"/>
    <w:rsid w:val="002F0579"/>
    <w:rsid w:val="002F09E3"/>
    <w:rsid w:val="002F0D1B"/>
    <w:rsid w:val="002F1390"/>
    <w:rsid w:val="002F2272"/>
    <w:rsid w:val="002F2A6E"/>
    <w:rsid w:val="002F2ABC"/>
    <w:rsid w:val="002F3856"/>
    <w:rsid w:val="002F3F7C"/>
    <w:rsid w:val="002F41C9"/>
    <w:rsid w:val="002F42C6"/>
    <w:rsid w:val="002F52DB"/>
    <w:rsid w:val="002F54F7"/>
    <w:rsid w:val="002F5CDE"/>
    <w:rsid w:val="002F6031"/>
    <w:rsid w:val="002F604F"/>
    <w:rsid w:val="002F6FBE"/>
    <w:rsid w:val="00300062"/>
    <w:rsid w:val="00300465"/>
    <w:rsid w:val="00300A29"/>
    <w:rsid w:val="00300D47"/>
    <w:rsid w:val="003013FB"/>
    <w:rsid w:val="00301726"/>
    <w:rsid w:val="00302053"/>
    <w:rsid w:val="0030244D"/>
    <w:rsid w:val="00303758"/>
    <w:rsid w:val="003038C4"/>
    <w:rsid w:val="0030412F"/>
    <w:rsid w:val="00304C61"/>
    <w:rsid w:val="00305616"/>
    <w:rsid w:val="00305A10"/>
    <w:rsid w:val="00305D78"/>
    <w:rsid w:val="0030614D"/>
    <w:rsid w:val="003065D1"/>
    <w:rsid w:val="00306A67"/>
    <w:rsid w:val="00306C38"/>
    <w:rsid w:val="00306EDB"/>
    <w:rsid w:val="00307517"/>
    <w:rsid w:val="00307A86"/>
    <w:rsid w:val="003100BB"/>
    <w:rsid w:val="00310BC1"/>
    <w:rsid w:val="00310C82"/>
    <w:rsid w:val="00310F4B"/>
    <w:rsid w:val="003112C0"/>
    <w:rsid w:val="00311852"/>
    <w:rsid w:val="003118F7"/>
    <w:rsid w:val="00311920"/>
    <w:rsid w:val="00311FB0"/>
    <w:rsid w:val="00312C64"/>
    <w:rsid w:val="003134C6"/>
    <w:rsid w:val="003145DD"/>
    <w:rsid w:val="00315111"/>
    <w:rsid w:val="00315522"/>
    <w:rsid w:val="0031574B"/>
    <w:rsid w:val="00315FEB"/>
    <w:rsid w:val="00317157"/>
    <w:rsid w:val="00317AED"/>
    <w:rsid w:val="00317F92"/>
    <w:rsid w:val="003202B2"/>
    <w:rsid w:val="003202DD"/>
    <w:rsid w:val="003204BE"/>
    <w:rsid w:val="003205C6"/>
    <w:rsid w:val="00320CE8"/>
    <w:rsid w:val="0032172C"/>
    <w:rsid w:val="003218D0"/>
    <w:rsid w:val="00321A5A"/>
    <w:rsid w:val="00321CDA"/>
    <w:rsid w:val="00321E07"/>
    <w:rsid w:val="00321EBF"/>
    <w:rsid w:val="00322281"/>
    <w:rsid w:val="003227CA"/>
    <w:rsid w:val="00322822"/>
    <w:rsid w:val="00323211"/>
    <w:rsid w:val="00323471"/>
    <w:rsid w:val="00323633"/>
    <w:rsid w:val="00323BF9"/>
    <w:rsid w:val="00323D56"/>
    <w:rsid w:val="00324BE0"/>
    <w:rsid w:val="00325334"/>
    <w:rsid w:val="00325FBF"/>
    <w:rsid w:val="00326625"/>
    <w:rsid w:val="00326EE0"/>
    <w:rsid w:val="003301AE"/>
    <w:rsid w:val="00330270"/>
    <w:rsid w:val="003304C6"/>
    <w:rsid w:val="00330A2D"/>
    <w:rsid w:val="00330EC1"/>
    <w:rsid w:val="00331242"/>
    <w:rsid w:val="0033134A"/>
    <w:rsid w:val="0033307D"/>
    <w:rsid w:val="003332B3"/>
    <w:rsid w:val="00333754"/>
    <w:rsid w:val="003337B3"/>
    <w:rsid w:val="00333AFD"/>
    <w:rsid w:val="003344AA"/>
    <w:rsid w:val="00334E2F"/>
    <w:rsid w:val="00335A83"/>
    <w:rsid w:val="00335C5F"/>
    <w:rsid w:val="00336190"/>
    <w:rsid w:val="00336272"/>
    <w:rsid w:val="0033635A"/>
    <w:rsid w:val="00336509"/>
    <w:rsid w:val="00336B82"/>
    <w:rsid w:val="00336EFA"/>
    <w:rsid w:val="00337BE2"/>
    <w:rsid w:val="00337CA5"/>
    <w:rsid w:val="00337EB8"/>
    <w:rsid w:val="0034040C"/>
    <w:rsid w:val="003406E4"/>
    <w:rsid w:val="00340955"/>
    <w:rsid w:val="00340D28"/>
    <w:rsid w:val="00340F1E"/>
    <w:rsid w:val="0034155F"/>
    <w:rsid w:val="003418D8"/>
    <w:rsid w:val="00341F0B"/>
    <w:rsid w:val="003426F2"/>
    <w:rsid w:val="00342717"/>
    <w:rsid w:val="003429DE"/>
    <w:rsid w:val="00342F59"/>
    <w:rsid w:val="00343067"/>
    <w:rsid w:val="00343A70"/>
    <w:rsid w:val="00344169"/>
    <w:rsid w:val="00344740"/>
    <w:rsid w:val="0034499B"/>
    <w:rsid w:val="00344CD6"/>
    <w:rsid w:val="003453FA"/>
    <w:rsid w:val="003458AF"/>
    <w:rsid w:val="00345C2F"/>
    <w:rsid w:val="00345DCA"/>
    <w:rsid w:val="00346301"/>
    <w:rsid w:val="0034697C"/>
    <w:rsid w:val="00346BC8"/>
    <w:rsid w:val="00346F67"/>
    <w:rsid w:val="0034768B"/>
    <w:rsid w:val="00347CCF"/>
    <w:rsid w:val="003505AD"/>
    <w:rsid w:val="0035099F"/>
    <w:rsid w:val="00350CE4"/>
    <w:rsid w:val="003513C2"/>
    <w:rsid w:val="0035147D"/>
    <w:rsid w:val="003516EF"/>
    <w:rsid w:val="003519F4"/>
    <w:rsid w:val="00351A3D"/>
    <w:rsid w:val="00351FE4"/>
    <w:rsid w:val="00352A50"/>
    <w:rsid w:val="00352D1B"/>
    <w:rsid w:val="00352D7D"/>
    <w:rsid w:val="003538E5"/>
    <w:rsid w:val="00353A8F"/>
    <w:rsid w:val="003545BE"/>
    <w:rsid w:val="00354BCE"/>
    <w:rsid w:val="00354EB3"/>
    <w:rsid w:val="003553C1"/>
    <w:rsid w:val="00355B35"/>
    <w:rsid w:val="00355B9E"/>
    <w:rsid w:val="00356955"/>
    <w:rsid w:val="00356AA6"/>
    <w:rsid w:val="003570E5"/>
    <w:rsid w:val="00357FA6"/>
    <w:rsid w:val="003602EA"/>
    <w:rsid w:val="0036039A"/>
    <w:rsid w:val="00362812"/>
    <w:rsid w:val="0036291F"/>
    <w:rsid w:val="0036300E"/>
    <w:rsid w:val="00363297"/>
    <w:rsid w:val="00363341"/>
    <w:rsid w:val="00363667"/>
    <w:rsid w:val="00363ACA"/>
    <w:rsid w:val="00364764"/>
    <w:rsid w:val="00364786"/>
    <w:rsid w:val="00364A33"/>
    <w:rsid w:val="0036558B"/>
    <w:rsid w:val="00365DA0"/>
    <w:rsid w:val="003664F6"/>
    <w:rsid w:val="003667E2"/>
    <w:rsid w:val="00366F6A"/>
    <w:rsid w:val="00367237"/>
    <w:rsid w:val="0036769B"/>
    <w:rsid w:val="00367759"/>
    <w:rsid w:val="003707AC"/>
    <w:rsid w:val="0037115B"/>
    <w:rsid w:val="00371216"/>
    <w:rsid w:val="0037199E"/>
    <w:rsid w:val="00372102"/>
    <w:rsid w:val="003723B4"/>
    <w:rsid w:val="00372439"/>
    <w:rsid w:val="00372B4E"/>
    <w:rsid w:val="003737EE"/>
    <w:rsid w:val="00373AAB"/>
    <w:rsid w:val="00374430"/>
    <w:rsid w:val="00374470"/>
    <w:rsid w:val="0037490C"/>
    <w:rsid w:val="0037537E"/>
    <w:rsid w:val="003758FA"/>
    <w:rsid w:val="00375BF2"/>
    <w:rsid w:val="00375D5C"/>
    <w:rsid w:val="00375DB1"/>
    <w:rsid w:val="0037649F"/>
    <w:rsid w:val="00376A83"/>
    <w:rsid w:val="00376C48"/>
    <w:rsid w:val="00377051"/>
    <w:rsid w:val="0037742C"/>
    <w:rsid w:val="003777E6"/>
    <w:rsid w:val="00377859"/>
    <w:rsid w:val="00377C94"/>
    <w:rsid w:val="00380044"/>
    <w:rsid w:val="003807FD"/>
    <w:rsid w:val="003808C3"/>
    <w:rsid w:val="00380EEB"/>
    <w:rsid w:val="00381A2C"/>
    <w:rsid w:val="00381A75"/>
    <w:rsid w:val="00381F71"/>
    <w:rsid w:val="00382188"/>
    <w:rsid w:val="00382FBE"/>
    <w:rsid w:val="003837F6"/>
    <w:rsid w:val="00384070"/>
    <w:rsid w:val="0038472D"/>
    <w:rsid w:val="003849E7"/>
    <w:rsid w:val="00384D4D"/>
    <w:rsid w:val="003854FF"/>
    <w:rsid w:val="003865FC"/>
    <w:rsid w:val="003866D7"/>
    <w:rsid w:val="00386854"/>
    <w:rsid w:val="00386A14"/>
    <w:rsid w:val="00387540"/>
    <w:rsid w:val="003877C1"/>
    <w:rsid w:val="00390676"/>
    <w:rsid w:val="003917DF"/>
    <w:rsid w:val="00391E4F"/>
    <w:rsid w:val="00392022"/>
    <w:rsid w:val="00392755"/>
    <w:rsid w:val="003928E2"/>
    <w:rsid w:val="00393C23"/>
    <w:rsid w:val="00393F26"/>
    <w:rsid w:val="00393FA8"/>
    <w:rsid w:val="00394AA6"/>
    <w:rsid w:val="0039502E"/>
    <w:rsid w:val="003955E8"/>
    <w:rsid w:val="003956EF"/>
    <w:rsid w:val="0039596F"/>
    <w:rsid w:val="00396A46"/>
    <w:rsid w:val="00396EC8"/>
    <w:rsid w:val="00396FB6"/>
    <w:rsid w:val="00397D83"/>
    <w:rsid w:val="00397E4E"/>
    <w:rsid w:val="003A005A"/>
    <w:rsid w:val="003A15C2"/>
    <w:rsid w:val="003A18D0"/>
    <w:rsid w:val="003A212F"/>
    <w:rsid w:val="003A21D1"/>
    <w:rsid w:val="003A22C3"/>
    <w:rsid w:val="003A22D6"/>
    <w:rsid w:val="003A27A7"/>
    <w:rsid w:val="003A2D96"/>
    <w:rsid w:val="003A2DFB"/>
    <w:rsid w:val="003A3523"/>
    <w:rsid w:val="003A3BFC"/>
    <w:rsid w:val="003A3FDE"/>
    <w:rsid w:val="003A52B2"/>
    <w:rsid w:val="003A5C66"/>
    <w:rsid w:val="003A63D4"/>
    <w:rsid w:val="003A6403"/>
    <w:rsid w:val="003A6782"/>
    <w:rsid w:val="003A6FED"/>
    <w:rsid w:val="003A7ACB"/>
    <w:rsid w:val="003A7B62"/>
    <w:rsid w:val="003B02A2"/>
    <w:rsid w:val="003B0727"/>
    <w:rsid w:val="003B0773"/>
    <w:rsid w:val="003B07B5"/>
    <w:rsid w:val="003B1626"/>
    <w:rsid w:val="003B1E5B"/>
    <w:rsid w:val="003B2386"/>
    <w:rsid w:val="003B25AA"/>
    <w:rsid w:val="003B2A96"/>
    <w:rsid w:val="003B3257"/>
    <w:rsid w:val="003B3760"/>
    <w:rsid w:val="003B3D9C"/>
    <w:rsid w:val="003B4C62"/>
    <w:rsid w:val="003B4D13"/>
    <w:rsid w:val="003B4EFC"/>
    <w:rsid w:val="003B4F4F"/>
    <w:rsid w:val="003B511D"/>
    <w:rsid w:val="003B5648"/>
    <w:rsid w:val="003B57CE"/>
    <w:rsid w:val="003B59D4"/>
    <w:rsid w:val="003B5CB3"/>
    <w:rsid w:val="003B5D59"/>
    <w:rsid w:val="003B707E"/>
    <w:rsid w:val="003B7E63"/>
    <w:rsid w:val="003C0051"/>
    <w:rsid w:val="003C02DF"/>
    <w:rsid w:val="003C1326"/>
    <w:rsid w:val="003C17AF"/>
    <w:rsid w:val="003C2340"/>
    <w:rsid w:val="003C3141"/>
    <w:rsid w:val="003C3258"/>
    <w:rsid w:val="003C3D39"/>
    <w:rsid w:val="003C40A4"/>
    <w:rsid w:val="003C4759"/>
    <w:rsid w:val="003C4A64"/>
    <w:rsid w:val="003C54D8"/>
    <w:rsid w:val="003C5A27"/>
    <w:rsid w:val="003C6091"/>
    <w:rsid w:val="003C69AB"/>
    <w:rsid w:val="003C6B14"/>
    <w:rsid w:val="003C70D3"/>
    <w:rsid w:val="003D04D6"/>
    <w:rsid w:val="003D0718"/>
    <w:rsid w:val="003D0FE3"/>
    <w:rsid w:val="003D1312"/>
    <w:rsid w:val="003D1BAC"/>
    <w:rsid w:val="003D2ED1"/>
    <w:rsid w:val="003D4295"/>
    <w:rsid w:val="003D47CC"/>
    <w:rsid w:val="003D6225"/>
    <w:rsid w:val="003D6404"/>
    <w:rsid w:val="003D727C"/>
    <w:rsid w:val="003D74F3"/>
    <w:rsid w:val="003E013E"/>
    <w:rsid w:val="003E09D9"/>
    <w:rsid w:val="003E0B5B"/>
    <w:rsid w:val="003E0C2B"/>
    <w:rsid w:val="003E1186"/>
    <w:rsid w:val="003E1498"/>
    <w:rsid w:val="003E16D1"/>
    <w:rsid w:val="003E1933"/>
    <w:rsid w:val="003E19D0"/>
    <w:rsid w:val="003E2FC8"/>
    <w:rsid w:val="003E30F5"/>
    <w:rsid w:val="003E3EE3"/>
    <w:rsid w:val="003E4180"/>
    <w:rsid w:val="003E43BA"/>
    <w:rsid w:val="003E44FB"/>
    <w:rsid w:val="003E4653"/>
    <w:rsid w:val="003E4D3B"/>
    <w:rsid w:val="003E5218"/>
    <w:rsid w:val="003E5338"/>
    <w:rsid w:val="003E5362"/>
    <w:rsid w:val="003E53D0"/>
    <w:rsid w:val="003E6249"/>
    <w:rsid w:val="003F099B"/>
    <w:rsid w:val="003F0DFF"/>
    <w:rsid w:val="003F0F80"/>
    <w:rsid w:val="003F1093"/>
    <w:rsid w:val="003F1F0E"/>
    <w:rsid w:val="003F2270"/>
    <w:rsid w:val="003F287C"/>
    <w:rsid w:val="003F2B95"/>
    <w:rsid w:val="003F380A"/>
    <w:rsid w:val="003F3B47"/>
    <w:rsid w:val="003F3C73"/>
    <w:rsid w:val="003F3DBB"/>
    <w:rsid w:val="003F4654"/>
    <w:rsid w:val="003F48AE"/>
    <w:rsid w:val="003F523D"/>
    <w:rsid w:val="003F562D"/>
    <w:rsid w:val="003F61D1"/>
    <w:rsid w:val="003F6233"/>
    <w:rsid w:val="003F64CF"/>
    <w:rsid w:val="003F6761"/>
    <w:rsid w:val="003F726A"/>
    <w:rsid w:val="003F73D3"/>
    <w:rsid w:val="003F777E"/>
    <w:rsid w:val="00401649"/>
    <w:rsid w:val="0040269A"/>
    <w:rsid w:val="004026C3"/>
    <w:rsid w:val="0040291F"/>
    <w:rsid w:val="00403D4E"/>
    <w:rsid w:val="004046C5"/>
    <w:rsid w:val="0040586C"/>
    <w:rsid w:val="00405C87"/>
    <w:rsid w:val="00405F07"/>
    <w:rsid w:val="00406249"/>
    <w:rsid w:val="004062E4"/>
    <w:rsid w:val="004067BC"/>
    <w:rsid w:val="004067FE"/>
    <w:rsid w:val="00406EFD"/>
    <w:rsid w:val="00407567"/>
    <w:rsid w:val="004078A8"/>
    <w:rsid w:val="0040792C"/>
    <w:rsid w:val="00407AE5"/>
    <w:rsid w:val="00407CED"/>
    <w:rsid w:val="00407D53"/>
    <w:rsid w:val="0041076C"/>
    <w:rsid w:val="0041082C"/>
    <w:rsid w:val="004111AA"/>
    <w:rsid w:val="00411941"/>
    <w:rsid w:val="00411C1F"/>
    <w:rsid w:val="00412205"/>
    <w:rsid w:val="004126F5"/>
    <w:rsid w:val="004130FA"/>
    <w:rsid w:val="004135CF"/>
    <w:rsid w:val="004138BA"/>
    <w:rsid w:val="004144D9"/>
    <w:rsid w:val="00414C53"/>
    <w:rsid w:val="00414FD8"/>
    <w:rsid w:val="004150E9"/>
    <w:rsid w:val="00415CCC"/>
    <w:rsid w:val="00415FC2"/>
    <w:rsid w:val="00417087"/>
    <w:rsid w:val="00420EDD"/>
    <w:rsid w:val="004212D4"/>
    <w:rsid w:val="00421F56"/>
    <w:rsid w:val="00422A96"/>
    <w:rsid w:val="00422D45"/>
    <w:rsid w:val="00422E2D"/>
    <w:rsid w:val="004231F8"/>
    <w:rsid w:val="004240DB"/>
    <w:rsid w:val="004251C7"/>
    <w:rsid w:val="004266D2"/>
    <w:rsid w:val="00426A21"/>
    <w:rsid w:val="00427B59"/>
    <w:rsid w:val="004300AA"/>
    <w:rsid w:val="004302B2"/>
    <w:rsid w:val="00430820"/>
    <w:rsid w:val="00430A33"/>
    <w:rsid w:val="00430C9D"/>
    <w:rsid w:val="00431669"/>
    <w:rsid w:val="00431798"/>
    <w:rsid w:val="00431A42"/>
    <w:rsid w:val="00431BB0"/>
    <w:rsid w:val="00432106"/>
    <w:rsid w:val="0043271F"/>
    <w:rsid w:val="004333C3"/>
    <w:rsid w:val="0043343E"/>
    <w:rsid w:val="00433501"/>
    <w:rsid w:val="00433814"/>
    <w:rsid w:val="0043415C"/>
    <w:rsid w:val="0043437D"/>
    <w:rsid w:val="00434700"/>
    <w:rsid w:val="00434CC0"/>
    <w:rsid w:val="00434DF7"/>
    <w:rsid w:val="00434EB0"/>
    <w:rsid w:val="00434F16"/>
    <w:rsid w:val="00435104"/>
    <w:rsid w:val="00436836"/>
    <w:rsid w:val="00436C32"/>
    <w:rsid w:val="00437498"/>
    <w:rsid w:val="00437710"/>
    <w:rsid w:val="00437E54"/>
    <w:rsid w:val="00437E6B"/>
    <w:rsid w:val="00440B3A"/>
    <w:rsid w:val="00440DF2"/>
    <w:rsid w:val="0044135A"/>
    <w:rsid w:val="00441F65"/>
    <w:rsid w:val="004424DB"/>
    <w:rsid w:val="00442857"/>
    <w:rsid w:val="00442C48"/>
    <w:rsid w:val="00442D2A"/>
    <w:rsid w:val="00443792"/>
    <w:rsid w:val="00443C0E"/>
    <w:rsid w:val="00444038"/>
    <w:rsid w:val="00444162"/>
    <w:rsid w:val="00444607"/>
    <w:rsid w:val="0044465E"/>
    <w:rsid w:val="0044483C"/>
    <w:rsid w:val="004456F5"/>
    <w:rsid w:val="00445863"/>
    <w:rsid w:val="00446294"/>
    <w:rsid w:val="00446862"/>
    <w:rsid w:val="00447028"/>
    <w:rsid w:val="00447912"/>
    <w:rsid w:val="00450A4D"/>
    <w:rsid w:val="00451B77"/>
    <w:rsid w:val="00451CAF"/>
    <w:rsid w:val="00451EC0"/>
    <w:rsid w:val="00452792"/>
    <w:rsid w:val="004528F5"/>
    <w:rsid w:val="00452A30"/>
    <w:rsid w:val="00452B14"/>
    <w:rsid w:val="004532E7"/>
    <w:rsid w:val="00454013"/>
    <w:rsid w:val="0045449E"/>
    <w:rsid w:val="0045452E"/>
    <w:rsid w:val="0045495C"/>
    <w:rsid w:val="00454D3E"/>
    <w:rsid w:val="00455069"/>
    <w:rsid w:val="0045545A"/>
    <w:rsid w:val="00455692"/>
    <w:rsid w:val="00455908"/>
    <w:rsid w:val="0045596E"/>
    <w:rsid w:val="004564A5"/>
    <w:rsid w:val="004567BB"/>
    <w:rsid w:val="0045700D"/>
    <w:rsid w:val="004570FC"/>
    <w:rsid w:val="004605CC"/>
    <w:rsid w:val="004608B5"/>
    <w:rsid w:val="00460E06"/>
    <w:rsid w:val="00460F15"/>
    <w:rsid w:val="00461CF2"/>
    <w:rsid w:val="00461EF9"/>
    <w:rsid w:val="00462F67"/>
    <w:rsid w:val="004632DE"/>
    <w:rsid w:val="004636C7"/>
    <w:rsid w:val="004639A8"/>
    <w:rsid w:val="0046416A"/>
    <w:rsid w:val="00464392"/>
    <w:rsid w:val="0046479F"/>
    <w:rsid w:val="00465260"/>
    <w:rsid w:val="004652F9"/>
    <w:rsid w:val="00465314"/>
    <w:rsid w:val="0046535E"/>
    <w:rsid w:val="00465A92"/>
    <w:rsid w:val="0046643D"/>
    <w:rsid w:val="00466E57"/>
    <w:rsid w:val="00467079"/>
    <w:rsid w:val="00467844"/>
    <w:rsid w:val="00470201"/>
    <w:rsid w:val="00471D13"/>
    <w:rsid w:val="00471DED"/>
    <w:rsid w:val="00472900"/>
    <w:rsid w:val="00472E5B"/>
    <w:rsid w:val="00472EBF"/>
    <w:rsid w:val="00473175"/>
    <w:rsid w:val="00473DE8"/>
    <w:rsid w:val="00473F6E"/>
    <w:rsid w:val="004743B3"/>
    <w:rsid w:val="00474C27"/>
    <w:rsid w:val="00474F97"/>
    <w:rsid w:val="0047697F"/>
    <w:rsid w:val="00476C17"/>
    <w:rsid w:val="00476D0D"/>
    <w:rsid w:val="004771B2"/>
    <w:rsid w:val="00477243"/>
    <w:rsid w:val="00477522"/>
    <w:rsid w:val="004801DB"/>
    <w:rsid w:val="004807DE"/>
    <w:rsid w:val="00480953"/>
    <w:rsid w:val="00480984"/>
    <w:rsid w:val="004809D9"/>
    <w:rsid w:val="0048171B"/>
    <w:rsid w:val="00481990"/>
    <w:rsid w:val="004824CB"/>
    <w:rsid w:val="00482800"/>
    <w:rsid w:val="00482858"/>
    <w:rsid w:val="00483856"/>
    <w:rsid w:val="0048440B"/>
    <w:rsid w:val="004846A1"/>
    <w:rsid w:val="00484852"/>
    <w:rsid w:val="00485BB6"/>
    <w:rsid w:val="00486313"/>
    <w:rsid w:val="004876E9"/>
    <w:rsid w:val="004877E5"/>
    <w:rsid w:val="004903E7"/>
    <w:rsid w:val="00490428"/>
    <w:rsid w:val="004905DD"/>
    <w:rsid w:val="00490DC9"/>
    <w:rsid w:val="004911D8"/>
    <w:rsid w:val="00491295"/>
    <w:rsid w:val="0049156D"/>
    <w:rsid w:val="00491898"/>
    <w:rsid w:val="00491A1E"/>
    <w:rsid w:val="00491C00"/>
    <w:rsid w:val="00491D7B"/>
    <w:rsid w:val="00491D96"/>
    <w:rsid w:val="00491DD3"/>
    <w:rsid w:val="004929E2"/>
    <w:rsid w:val="00492FAE"/>
    <w:rsid w:val="0049306F"/>
    <w:rsid w:val="00493142"/>
    <w:rsid w:val="00493E79"/>
    <w:rsid w:val="00496C7A"/>
    <w:rsid w:val="00496CF4"/>
    <w:rsid w:val="00497811"/>
    <w:rsid w:val="004978AC"/>
    <w:rsid w:val="00497EED"/>
    <w:rsid w:val="004A003D"/>
    <w:rsid w:val="004A04AF"/>
    <w:rsid w:val="004A05C6"/>
    <w:rsid w:val="004A0941"/>
    <w:rsid w:val="004A0C09"/>
    <w:rsid w:val="004A2B16"/>
    <w:rsid w:val="004A2BAD"/>
    <w:rsid w:val="004A304A"/>
    <w:rsid w:val="004A3A22"/>
    <w:rsid w:val="004A3BCC"/>
    <w:rsid w:val="004A3BFF"/>
    <w:rsid w:val="004A59CB"/>
    <w:rsid w:val="004A5D86"/>
    <w:rsid w:val="004A5E2A"/>
    <w:rsid w:val="004A6752"/>
    <w:rsid w:val="004A761A"/>
    <w:rsid w:val="004A7AAD"/>
    <w:rsid w:val="004A7FBF"/>
    <w:rsid w:val="004B007C"/>
    <w:rsid w:val="004B04FF"/>
    <w:rsid w:val="004B0D35"/>
    <w:rsid w:val="004B1F8C"/>
    <w:rsid w:val="004B26BE"/>
    <w:rsid w:val="004B27D0"/>
    <w:rsid w:val="004B2A66"/>
    <w:rsid w:val="004B2AEF"/>
    <w:rsid w:val="004B3517"/>
    <w:rsid w:val="004B416F"/>
    <w:rsid w:val="004B4883"/>
    <w:rsid w:val="004B52F6"/>
    <w:rsid w:val="004B59FF"/>
    <w:rsid w:val="004B5CBB"/>
    <w:rsid w:val="004B5EE6"/>
    <w:rsid w:val="004B5FEB"/>
    <w:rsid w:val="004B61DC"/>
    <w:rsid w:val="004B66F4"/>
    <w:rsid w:val="004B7263"/>
    <w:rsid w:val="004B7750"/>
    <w:rsid w:val="004B7B41"/>
    <w:rsid w:val="004B7D56"/>
    <w:rsid w:val="004B7EA2"/>
    <w:rsid w:val="004C01D3"/>
    <w:rsid w:val="004C02CF"/>
    <w:rsid w:val="004C0357"/>
    <w:rsid w:val="004C09B7"/>
    <w:rsid w:val="004C0D54"/>
    <w:rsid w:val="004C1C68"/>
    <w:rsid w:val="004C22DF"/>
    <w:rsid w:val="004C2525"/>
    <w:rsid w:val="004C257F"/>
    <w:rsid w:val="004C2844"/>
    <w:rsid w:val="004C2E6C"/>
    <w:rsid w:val="004C32C1"/>
    <w:rsid w:val="004C342E"/>
    <w:rsid w:val="004C3B77"/>
    <w:rsid w:val="004C3FFF"/>
    <w:rsid w:val="004C424F"/>
    <w:rsid w:val="004C452A"/>
    <w:rsid w:val="004C4C01"/>
    <w:rsid w:val="004C57A6"/>
    <w:rsid w:val="004C59F3"/>
    <w:rsid w:val="004C5A0D"/>
    <w:rsid w:val="004C6320"/>
    <w:rsid w:val="004C6466"/>
    <w:rsid w:val="004C66E1"/>
    <w:rsid w:val="004C6784"/>
    <w:rsid w:val="004C68BB"/>
    <w:rsid w:val="004C7C74"/>
    <w:rsid w:val="004D0442"/>
    <w:rsid w:val="004D0F58"/>
    <w:rsid w:val="004D120E"/>
    <w:rsid w:val="004D14BC"/>
    <w:rsid w:val="004D16A7"/>
    <w:rsid w:val="004D170E"/>
    <w:rsid w:val="004D1EC8"/>
    <w:rsid w:val="004D227B"/>
    <w:rsid w:val="004D2296"/>
    <w:rsid w:val="004D2E13"/>
    <w:rsid w:val="004D3142"/>
    <w:rsid w:val="004D3231"/>
    <w:rsid w:val="004D385E"/>
    <w:rsid w:val="004D3AD6"/>
    <w:rsid w:val="004D3BBA"/>
    <w:rsid w:val="004D461C"/>
    <w:rsid w:val="004D4C1A"/>
    <w:rsid w:val="004D5637"/>
    <w:rsid w:val="004D61E3"/>
    <w:rsid w:val="004D630D"/>
    <w:rsid w:val="004D6970"/>
    <w:rsid w:val="004D69BE"/>
    <w:rsid w:val="004D6A81"/>
    <w:rsid w:val="004D798C"/>
    <w:rsid w:val="004D7E85"/>
    <w:rsid w:val="004D7F44"/>
    <w:rsid w:val="004E0253"/>
    <w:rsid w:val="004E0619"/>
    <w:rsid w:val="004E07D7"/>
    <w:rsid w:val="004E08F3"/>
    <w:rsid w:val="004E1052"/>
    <w:rsid w:val="004E19FC"/>
    <w:rsid w:val="004E1F5F"/>
    <w:rsid w:val="004E27DC"/>
    <w:rsid w:val="004E2B52"/>
    <w:rsid w:val="004E2B7B"/>
    <w:rsid w:val="004E3A28"/>
    <w:rsid w:val="004E3C88"/>
    <w:rsid w:val="004E45F6"/>
    <w:rsid w:val="004E4804"/>
    <w:rsid w:val="004E489A"/>
    <w:rsid w:val="004E4B31"/>
    <w:rsid w:val="004E4B88"/>
    <w:rsid w:val="004E5469"/>
    <w:rsid w:val="004E55B3"/>
    <w:rsid w:val="004E61BF"/>
    <w:rsid w:val="004E62B2"/>
    <w:rsid w:val="004E666D"/>
    <w:rsid w:val="004E6CA7"/>
    <w:rsid w:val="004E6D02"/>
    <w:rsid w:val="004E6DA8"/>
    <w:rsid w:val="004E6F0A"/>
    <w:rsid w:val="004F022E"/>
    <w:rsid w:val="004F05EA"/>
    <w:rsid w:val="004F0C89"/>
    <w:rsid w:val="004F22A3"/>
    <w:rsid w:val="004F2538"/>
    <w:rsid w:val="004F2F5D"/>
    <w:rsid w:val="004F3430"/>
    <w:rsid w:val="004F371F"/>
    <w:rsid w:val="004F372D"/>
    <w:rsid w:val="004F3CB8"/>
    <w:rsid w:val="004F409A"/>
    <w:rsid w:val="004F5684"/>
    <w:rsid w:val="004F574C"/>
    <w:rsid w:val="004F5AF5"/>
    <w:rsid w:val="004F5B01"/>
    <w:rsid w:val="004F5B7A"/>
    <w:rsid w:val="004F73AF"/>
    <w:rsid w:val="004F7618"/>
    <w:rsid w:val="004F7EEC"/>
    <w:rsid w:val="00500E06"/>
    <w:rsid w:val="00501915"/>
    <w:rsid w:val="005024D9"/>
    <w:rsid w:val="00502BDF"/>
    <w:rsid w:val="00502E6A"/>
    <w:rsid w:val="00503051"/>
    <w:rsid w:val="00503754"/>
    <w:rsid w:val="00503B04"/>
    <w:rsid w:val="00503F82"/>
    <w:rsid w:val="005040E8"/>
    <w:rsid w:val="00504245"/>
    <w:rsid w:val="00504BD4"/>
    <w:rsid w:val="00505203"/>
    <w:rsid w:val="00505981"/>
    <w:rsid w:val="00506635"/>
    <w:rsid w:val="00506877"/>
    <w:rsid w:val="00507018"/>
    <w:rsid w:val="005075F4"/>
    <w:rsid w:val="0050775A"/>
    <w:rsid w:val="00507B7C"/>
    <w:rsid w:val="0051051F"/>
    <w:rsid w:val="005111D9"/>
    <w:rsid w:val="005114F4"/>
    <w:rsid w:val="005116B9"/>
    <w:rsid w:val="00511949"/>
    <w:rsid w:val="00511AB3"/>
    <w:rsid w:val="00511BC9"/>
    <w:rsid w:val="0051242E"/>
    <w:rsid w:val="00512532"/>
    <w:rsid w:val="005125FE"/>
    <w:rsid w:val="00512912"/>
    <w:rsid w:val="00513079"/>
    <w:rsid w:val="005136C8"/>
    <w:rsid w:val="00513AD9"/>
    <w:rsid w:val="005148DA"/>
    <w:rsid w:val="0051490F"/>
    <w:rsid w:val="00514A51"/>
    <w:rsid w:val="00514D45"/>
    <w:rsid w:val="00514EE3"/>
    <w:rsid w:val="00514EFC"/>
    <w:rsid w:val="00515584"/>
    <w:rsid w:val="0051573D"/>
    <w:rsid w:val="00515D27"/>
    <w:rsid w:val="00515DF5"/>
    <w:rsid w:val="00515FF2"/>
    <w:rsid w:val="00516270"/>
    <w:rsid w:val="00516475"/>
    <w:rsid w:val="00516A8F"/>
    <w:rsid w:val="00516AAA"/>
    <w:rsid w:val="005173C9"/>
    <w:rsid w:val="005206D4"/>
    <w:rsid w:val="00520C9B"/>
    <w:rsid w:val="00522106"/>
    <w:rsid w:val="00522555"/>
    <w:rsid w:val="00522853"/>
    <w:rsid w:val="00522961"/>
    <w:rsid w:val="00522B3A"/>
    <w:rsid w:val="00523354"/>
    <w:rsid w:val="00523E5B"/>
    <w:rsid w:val="00523F2F"/>
    <w:rsid w:val="005255DC"/>
    <w:rsid w:val="00525FD5"/>
    <w:rsid w:val="00526D95"/>
    <w:rsid w:val="00526F4F"/>
    <w:rsid w:val="00527BD0"/>
    <w:rsid w:val="00530AA4"/>
    <w:rsid w:val="00530CBF"/>
    <w:rsid w:val="005317A9"/>
    <w:rsid w:val="00531DC3"/>
    <w:rsid w:val="00531E5F"/>
    <w:rsid w:val="005322F4"/>
    <w:rsid w:val="00533566"/>
    <w:rsid w:val="00533A41"/>
    <w:rsid w:val="00533AD6"/>
    <w:rsid w:val="00533CB5"/>
    <w:rsid w:val="00533CD5"/>
    <w:rsid w:val="00533FD1"/>
    <w:rsid w:val="0053416B"/>
    <w:rsid w:val="005352BD"/>
    <w:rsid w:val="00535354"/>
    <w:rsid w:val="0053567C"/>
    <w:rsid w:val="0053584E"/>
    <w:rsid w:val="00535C81"/>
    <w:rsid w:val="00535F21"/>
    <w:rsid w:val="00535F62"/>
    <w:rsid w:val="005364CD"/>
    <w:rsid w:val="00536BF4"/>
    <w:rsid w:val="00537552"/>
    <w:rsid w:val="005377F7"/>
    <w:rsid w:val="00540246"/>
    <w:rsid w:val="0054042D"/>
    <w:rsid w:val="00540525"/>
    <w:rsid w:val="00540876"/>
    <w:rsid w:val="00540920"/>
    <w:rsid w:val="00540BA7"/>
    <w:rsid w:val="00540CDC"/>
    <w:rsid w:val="00541088"/>
    <w:rsid w:val="0054145F"/>
    <w:rsid w:val="0054151F"/>
    <w:rsid w:val="005418BD"/>
    <w:rsid w:val="00541B21"/>
    <w:rsid w:val="00541C8A"/>
    <w:rsid w:val="00542936"/>
    <w:rsid w:val="0054317E"/>
    <w:rsid w:val="0054369D"/>
    <w:rsid w:val="0054418E"/>
    <w:rsid w:val="00544A2E"/>
    <w:rsid w:val="00544D48"/>
    <w:rsid w:val="00544E7D"/>
    <w:rsid w:val="00544E91"/>
    <w:rsid w:val="00545372"/>
    <w:rsid w:val="00545E25"/>
    <w:rsid w:val="00546068"/>
    <w:rsid w:val="00546271"/>
    <w:rsid w:val="00546448"/>
    <w:rsid w:val="00546B5D"/>
    <w:rsid w:val="0054763B"/>
    <w:rsid w:val="005478EF"/>
    <w:rsid w:val="00547B29"/>
    <w:rsid w:val="00547BD1"/>
    <w:rsid w:val="00550373"/>
    <w:rsid w:val="00550C08"/>
    <w:rsid w:val="005510A7"/>
    <w:rsid w:val="005519F2"/>
    <w:rsid w:val="00552062"/>
    <w:rsid w:val="0055255B"/>
    <w:rsid w:val="005534A3"/>
    <w:rsid w:val="005536E8"/>
    <w:rsid w:val="00553788"/>
    <w:rsid w:val="00553ED9"/>
    <w:rsid w:val="005546C5"/>
    <w:rsid w:val="00555062"/>
    <w:rsid w:val="00555273"/>
    <w:rsid w:val="00555EF6"/>
    <w:rsid w:val="0055637D"/>
    <w:rsid w:val="00557657"/>
    <w:rsid w:val="00557E03"/>
    <w:rsid w:val="00557ED6"/>
    <w:rsid w:val="00560245"/>
    <w:rsid w:val="0056040C"/>
    <w:rsid w:val="00560676"/>
    <w:rsid w:val="00560F3E"/>
    <w:rsid w:val="005612A6"/>
    <w:rsid w:val="00561354"/>
    <w:rsid w:val="0056176E"/>
    <w:rsid w:val="005627A3"/>
    <w:rsid w:val="00562802"/>
    <w:rsid w:val="00563A15"/>
    <w:rsid w:val="005641D6"/>
    <w:rsid w:val="005648D3"/>
    <w:rsid w:val="0056522E"/>
    <w:rsid w:val="005654A5"/>
    <w:rsid w:val="00565945"/>
    <w:rsid w:val="00565DA1"/>
    <w:rsid w:val="005667E5"/>
    <w:rsid w:val="00566986"/>
    <w:rsid w:val="00566999"/>
    <w:rsid w:val="00566EC4"/>
    <w:rsid w:val="00567FC1"/>
    <w:rsid w:val="005703A1"/>
    <w:rsid w:val="00570558"/>
    <w:rsid w:val="00570843"/>
    <w:rsid w:val="005710BF"/>
    <w:rsid w:val="0057110A"/>
    <w:rsid w:val="00572EB0"/>
    <w:rsid w:val="005730EE"/>
    <w:rsid w:val="005731B4"/>
    <w:rsid w:val="00573D63"/>
    <w:rsid w:val="00574C01"/>
    <w:rsid w:val="00574C52"/>
    <w:rsid w:val="00574F45"/>
    <w:rsid w:val="00574FD3"/>
    <w:rsid w:val="005751AD"/>
    <w:rsid w:val="0057523B"/>
    <w:rsid w:val="005758DE"/>
    <w:rsid w:val="0057598F"/>
    <w:rsid w:val="00575BA2"/>
    <w:rsid w:val="00575FBC"/>
    <w:rsid w:val="005766C8"/>
    <w:rsid w:val="005777DD"/>
    <w:rsid w:val="00580136"/>
    <w:rsid w:val="00580145"/>
    <w:rsid w:val="00580673"/>
    <w:rsid w:val="00580823"/>
    <w:rsid w:val="005814BE"/>
    <w:rsid w:val="00581667"/>
    <w:rsid w:val="00581F77"/>
    <w:rsid w:val="00581F9F"/>
    <w:rsid w:val="00582949"/>
    <w:rsid w:val="00582D2D"/>
    <w:rsid w:val="00583223"/>
    <w:rsid w:val="005835C3"/>
    <w:rsid w:val="00583606"/>
    <w:rsid w:val="00584333"/>
    <w:rsid w:val="00584347"/>
    <w:rsid w:val="005845C6"/>
    <w:rsid w:val="00584939"/>
    <w:rsid w:val="005851AD"/>
    <w:rsid w:val="0058537C"/>
    <w:rsid w:val="00585444"/>
    <w:rsid w:val="00585768"/>
    <w:rsid w:val="00585ECA"/>
    <w:rsid w:val="00586C71"/>
    <w:rsid w:val="00587365"/>
    <w:rsid w:val="00587481"/>
    <w:rsid w:val="00587E54"/>
    <w:rsid w:val="00590104"/>
    <w:rsid w:val="0059040D"/>
    <w:rsid w:val="00590967"/>
    <w:rsid w:val="00590DB2"/>
    <w:rsid w:val="00591111"/>
    <w:rsid w:val="00591E89"/>
    <w:rsid w:val="00591EB8"/>
    <w:rsid w:val="0059297F"/>
    <w:rsid w:val="00592C87"/>
    <w:rsid w:val="00594347"/>
    <w:rsid w:val="0059496C"/>
    <w:rsid w:val="005949BE"/>
    <w:rsid w:val="00594FD2"/>
    <w:rsid w:val="00595285"/>
    <w:rsid w:val="00595E67"/>
    <w:rsid w:val="005960E5"/>
    <w:rsid w:val="00596C92"/>
    <w:rsid w:val="00596DD1"/>
    <w:rsid w:val="005972FC"/>
    <w:rsid w:val="00597767"/>
    <w:rsid w:val="00597AEE"/>
    <w:rsid w:val="005A0589"/>
    <w:rsid w:val="005A11EE"/>
    <w:rsid w:val="005A1E5E"/>
    <w:rsid w:val="005A1F6F"/>
    <w:rsid w:val="005A25AB"/>
    <w:rsid w:val="005A299E"/>
    <w:rsid w:val="005A3325"/>
    <w:rsid w:val="005A3585"/>
    <w:rsid w:val="005A393A"/>
    <w:rsid w:val="005A40BF"/>
    <w:rsid w:val="005A441A"/>
    <w:rsid w:val="005A47D6"/>
    <w:rsid w:val="005A5C4A"/>
    <w:rsid w:val="005A629D"/>
    <w:rsid w:val="005A78BD"/>
    <w:rsid w:val="005A7B86"/>
    <w:rsid w:val="005A7D7C"/>
    <w:rsid w:val="005B00F0"/>
    <w:rsid w:val="005B08D3"/>
    <w:rsid w:val="005B0AA1"/>
    <w:rsid w:val="005B0FBD"/>
    <w:rsid w:val="005B1420"/>
    <w:rsid w:val="005B15A6"/>
    <w:rsid w:val="005B1E6D"/>
    <w:rsid w:val="005B2A16"/>
    <w:rsid w:val="005B2B3A"/>
    <w:rsid w:val="005B31F1"/>
    <w:rsid w:val="005B328C"/>
    <w:rsid w:val="005B361A"/>
    <w:rsid w:val="005B3730"/>
    <w:rsid w:val="005B3EDE"/>
    <w:rsid w:val="005B3F30"/>
    <w:rsid w:val="005B3F84"/>
    <w:rsid w:val="005B4101"/>
    <w:rsid w:val="005B46AD"/>
    <w:rsid w:val="005B4971"/>
    <w:rsid w:val="005B49B5"/>
    <w:rsid w:val="005B5084"/>
    <w:rsid w:val="005B5290"/>
    <w:rsid w:val="005B5D01"/>
    <w:rsid w:val="005B5E7F"/>
    <w:rsid w:val="005B5F33"/>
    <w:rsid w:val="005B61A0"/>
    <w:rsid w:val="005B63DA"/>
    <w:rsid w:val="005B6F23"/>
    <w:rsid w:val="005B7195"/>
    <w:rsid w:val="005B7209"/>
    <w:rsid w:val="005B742D"/>
    <w:rsid w:val="005B7522"/>
    <w:rsid w:val="005B796D"/>
    <w:rsid w:val="005B7C49"/>
    <w:rsid w:val="005B7F3A"/>
    <w:rsid w:val="005C037B"/>
    <w:rsid w:val="005C0477"/>
    <w:rsid w:val="005C060F"/>
    <w:rsid w:val="005C19BD"/>
    <w:rsid w:val="005C1B75"/>
    <w:rsid w:val="005C1DD3"/>
    <w:rsid w:val="005C1F5D"/>
    <w:rsid w:val="005C2A60"/>
    <w:rsid w:val="005C2BC7"/>
    <w:rsid w:val="005C3189"/>
    <w:rsid w:val="005C318E"/>
    <w:rsid w:val="005C3836"/>
    <w:rsid w:val="005C3B4B"/>
    <w:rsid w:val="005C418D"/>
    <w:rsid w:val="005C445F"/>
    <w:rsid w:val="005C4C37"/>
    <w:rsid w:val="005C5252"/>
    <w:rsid w:val="005C53AA"/>
    <w:rsid w:val="005C5614"/>
    <w:rsid w:val="005C5DB3"/>
    <w:rsid w:val="005C5EB9"/>
    <w:rsid w:val="005C789D"/>
    <w:rsid w:val="005D0B3D"/>
    <w:rsid w:val="005D0D40"/>
    <w:rsid w:val="005D11A2"/>
    <w:rsid w:val="005D11AB"/>
    <w:rsid w:val="005D145B"/>
    <w:rsid w:val="005D219D"/>
    <w:rsid w:val="005D2345"/>
    <w:rsid w:val="005D23FA"/>
    <w:rsid w:val="005D2511"/>
    <w:rsid w:val="005D2667"/>
    <w:rsid w:val="005D2882"/>
    <w:rsid w:val="005D342D"/>
    <w:rsid w:val="005D3845"/>
    <w:rsid w:val="005D3B9E"/>
    <w:rsid w:val="005D4AD2"/>
    <w:rsid w:val="005D4EC6"/>
    <w:rsid w:val="005D4F35"/>
    <w:rsid w:val="005D552F"/>
    <w:rsid w:val="005D614C"/>
    <w:rsid w:val="005D6541"/>
    <w:rsid w:val="005D7830"/>
    <w:rsid w:val="005E00E4"/>
    <w:rsid w:val="005E176A"/>
    <w:rsid w:val="005E2607"/>
    <w:rsid w:val="005E3CF8"/>
    <w:rsid w:val="005E46B0"/>
    <w:rsid w:val="005E47DB"/>
    <w:rsid w:val="005E508C"/>
    <w:rsid w:val="005E536C"/>
    <w:rsid w:val="005E57F6"/>
    <w:rsid w:val="005E5953"/>
    <w:rsid w:val="005E6C96"/>
    <w:rsid w:val="005E7376"/>
    <w:rsid w:val="005E7445"/>
    <w:rsid w:val="005E7870"/>
    <w:rsid w:val="005E7ADF"/>
    <w:rsid w:val="005F076D"/>
    <w:rsid w:val="005F0AB4"/>
    <w:rsid w:val="005F1360"/>
    <w:rsid w:val="005F1479"/>
    <w:rsid w:val="005F1481"/>
    <w:rsid w:val="005F1DF6"/>
    <w:rsid w:val="005F2343"/>
    <w:rsid w:val="005F2679"/>
    <w:rsid w:val="005F2946"/>
    <w:rsid w:val="005F342A"/>
    <w:rsid w:val="005F37AB"/>
    <w:rsid w:val="005F42B1"/>
    <w:rsid w:val="005F47A1"/>
    <w:rsid w:val="005F5017"/>
    <w:rsid w:val="005F5317"/>
    <w:rsid w:val="005F54B6"/>
    <w:rsid w:val="005F6675"/>
    <w:rsid w:val="005F697B"/>
    <w:rsid w:val="005F6BF7"/>
    <w:rsid w:val="005F6E0F"/>
    <w:rsid w:val="005F72B3"/>
    <w:rsid w:val="0060002E"/>
    <w:rsid w:val="0060086A"/>
    <w:rsid w:val="00602303"/>
    <w:rsid w:val="00603343"/>
    <w:rsid w:val="00603419"/>
    <w:rsid w:val="006038AE"/>
    <w:rsid w:val="00603DDC"/>
    <w:rsid w:val="00604077"/>
    <w:rsid w:val="006042E7"/>
    <w:rsid w:val="00604CAF"/>
    <w:rsid w:val="006050F2"/>
    <w:rsid w:val="006051E9"/>
    <w:rsid w:val="0060643C"/>
    <w:rsid w:val="00606581"/>
    <w:rsid w:val="00606D61"/>
    <w:rsid w:val="006079E8"/>
    <w:rsid w:val="00607B4B"/>
    <w:rsid w:val="00607D2D"/>
    <w:rsid w:val="00610064"/>
    <w:rsid w:val="0061010B"/>
    <w:rsid w:val="00610ED7"/>
    <w:rsid w:val="00611580"/>
    <w:rsid w:val="00611721"/>
    <w:rsid w:val="00611FA4"/>
    <w:rsid w:val="006124FC"/>
    <w:rsid w:val="00612921"/>
    <w:rsid w:val="0061300A"/>
    <w:rsid w:val="006130C4"/>
    <w:rsid w:val="00613298"/>
    <w:rsid w:val="006134CB"/>
    <w:rsid w:val="00613A4B"/>
    <w:rsid w:val="00613CC7"/>
    <w:rsid w:val="00614203"/>
    <w:rsid w:val="0061424A"/>
    <w:rsid w:val="006144AC"/>
    <w:rsid w:val="006148FF"/>
    <w:rsid w:val="00615376"/>
    <w:rsid w:val="006153A3"/>
    <w:rsid w:val="00615747"/>
    <w:rsid w:val="00616195"/>
    <w:rsid w:val="0061660F"/>
    <w:rsid w:val="0061673F"/>
    <w:rsid w:val="006171E1"/>
    <w:rsid w:val="00617399"/>
    <w:rsid w:val="00617ACB"/>
    <w:rsid w:val="00617B6C"/>
    <w:rsid w:val="00620422"/>
    <w:rsid w:val="00621D3D"/>
    <w:rsid w:val="006233B0"/>
    <w:rsid w:val="00623C67"/>
    <w:rsid w:val="00623CAB"/>
    <w:rsid w:val="006243B6"/>
    <w:rsid w:val="00624B74"/>
    <w:rsid w:val="00625873"/>
    <w:rsid w:val="0062688C"/>
    <w:rsid w:val="00627EC6"/>
    <w:rsid w:val="00627EF5"/>
    <w:rsid w:val="006300A9"/>
    <w:rsid w:val="00630333"/>
    <w:rsid w:val="006305F3"/>
    <w:rsid w:val="00630DD4"/>
    <w:rsid w:val="006310F1"/>
    <w:rsid w:val="0063133C"/>
    <w:rsid w:val="00631503"/>
    <w:rsid w:val="0063167C"/>
    <w:rsid w:val="00631F98"/>
    <w:rsid w:val="006343F4"/>
    <w:rsid w:val="006347F9"/>
    <w:rsid w:val="006348F2"/>
    <w:rsid w:val="00634A10"/>
    <w:rsid w:val="00635108"/>
    <w:rsid w:val="006355D0"/>
    <w:rsid w:val="00635E1C"/>
    <w:rsid w:val="006366D9"/>
    <w:rsid w:val="00636F56"/>
    <w:rsid w:val="00637311"/>
    <w:rsid w:val="0063767B"/>
    <w:rsid w:val="00637936"/>
    <w:rsid w:val="0064050C"/>
    <w:rsid w:val="0064071B"/>
    <w:rsid w:val="006414AE"/>
    <w:rsid w:val="006419D5"/>
    <w:rsid w:val="00641CD4"/>
    <w:rsid w:val="00642881"/>
    <w:rsid w:val="00642973"/>
    <w:rsid w:val="00643891"/>
    <w:rsid w:val="00644875"/>
    <w:rsid w:val="0064494A"/>
    <w:rsid w:val="0064583C"/>
    <w:rsid w:val="006458CE"/>
    <w:rsid w:val="00645B95"/>
    <w:rsid w:val="00646266"/>
    <w:rsid w:val="00646389"/>
    <w:rsid w:val="00646861"/>
    <w:rsid w:val="00646AEA"/>
    <w:rsid w:val="00646C15"/>
    <w:rsid w:val="00647183"/>
    <w:rsid w:val="0064724D"/>
    <w:rsid w:val="0064739F"/>
    <w:rsid w:val="00647BD2"/>
    <w:rsid w:val="00647DFE"/>
    <w:rsid w:val="006504D7"/>
    <w:rsid w:val="006508C3"/>
    <w:rsid w:val="00650B11"/>
    <w:rsid w:val="006515A9"/>
    <w:rsid w:val="00651841"/>
    <w:rsid w:val="00651C47"/>
    <w:rsid w:val="00651F2B"/>
    <w:rsid w:val="006525A0"/>
    <w:rsid w:val="00653B67"/>
    <w:rsid w:val="00653E0B"/>
    <w:rsid w:val="00654048"/>
    <w:rsid w:val="00654FD2"/>
    <w:rsid w:val="006550FE"/>
    <w:rsid w:val="00655C36"/>
    <w:rsid w:val="00656180"/>
    <w:rsid w:val="00656556"/>
    <w:rsid w:val="00657F0C"/>
    <w:rsid w:val="0066021F"/>
    <w:rsid w:val="006602BC"/>
    <w:rsid w:val="006605AA"/>
    <w:rsid w:val="0066083A"/>
    <w:rsid w:val="00660874"/>
    <w:rsid w:val="006608D0"/>
    <w:rsid w:val="00660A55"/>
    <w:rsid w:val="00660A6E"/>
    <w:rsid w:val="00661BDF"/>
    <w:rsid w:val="00663ADB"/>
    <w:rsid w:val="00663D22"/>
    <w:rsid w:val="00663E0C"/>
    <w:rsid w:val="00663EC5"/>
    <w:rsid w:val="00664175"/>
    <w:rsid w:val="006643DE"/>
    <w:rsid w:val="00664FA9"/>
    <w:rsid w:val="006650FF"/>
    <w:rsid w:val="00665153"/>
    <w:rsid w:val="006656FA"/>
    <w:rsid w:val="0066589A"/>
    <w:rsid w:val="00665A75"/>
    <w:rsid w:val="00665D50"/>
    <w:rsid w:val="00666370"/>
    <w:rsid w:val="00666471"/>
    <w:rsid w:val="00666BFE"/>
    <w:rsid w:val="00666F24"/>
    <w:rsid w:val="00667548"/>
    <w:rsid w:val="00667FCA"/>
    <w:rsid w:val="00670478"/>
    <w:rsid w:val="00670645"/>
    <w:rsid w:val="00670BC6"/>
    <w:rsid w:val="00671742"/>
    <w:rsid w:val="00671744"/>
    <w:rsid w:val="00671CD7"/>
    <w:rsid w:val="00671F82"/>
    <w:rsid w:val="0067264F"/>
    <w:rsid w:val="00672F69"/>
    <w:rsid w:val="0067304F"/>
    <w:rsid w:val="006739F7"/>
    <w:rsid w:val="00673B9C"/>
    <w:rsid w:val="00673CDE"/>
    <w:rsid w:val="00674416"/>
    <w:rsid w:val="00674AAA"/>
    <w:rsid w:val="00674BF4"/>
    <w:rsid w:val="00675563"/>
    <w:rsid w:val="006755AF"/>
    <w:rsid w:val="006760B8"/>
    <w:rsid w:val="0067610F"/>
    <w:rsid w:val="006764F0"/>
    <w:rsid w:val="006765E0"/>
    <w:rsid w:val="00676651"/>
    <w:rsid w:val="00676A66"/>
    <w:rsid w:val="00676BA4"/>
    <w:rsid w:val="0067749E"/>
    <w:rsid w:val="00677D13"/>
    <w:rsid w:val="00677D61"/>
    <w:rsid w:val="00680478"/>
    <w:rsid w:val="00680782"/>
    <w:rsid w:val="00681050"/>
    <w:rsid w:val="00681834"/>
    <w:rsid w:val="00681865"/>
    <w:rsid w:val="00681E82"/>
    <w:rsid w:val="00681F66"/>
    <w:rsid w:val="0068255B"/>
    <w:rsid w:val="00682F59"/>
    <w:rsid w:val="00683056"/>
    <w:rsid w:val="006833D3"/>
    <w:rsid w:val="0068390A"/>
    <w:rsid w:val="00683B78"/>
    <w:rsid w:val="0068403E"/>
    <w:rsid w:val="00684565"/>
    <w:rsid w:val="00684BDE"/>
    <w:rsid w:val="00685266"/>
    <w:rsid w:val="0068572D"/>
    <w:rsid w:val="00686055"/>
    <w:rsid w:val="00686259"/>
    <w:rsid w:val="00686708"/>
    <w:rsid w:val="0068687B"/>
    <w:rsid w:val="0068751B"/>
    <w:rsid w:val="00687C68"/>
    <w:rsid w:val="0069009F"/>
    <w:rsid w:val="00690293"/>
    <w:rsid w:val="00690806"/>
    <w:rsid w:val="00690F53"/>
    <w:rsid w:val="006928C8"/>
    <w:rsid w:val="00692A0A"/>
    <w:rsid w:val="00692B5F"/>
    <w:rsid w:val="006941BA"/>
    <w:rsid w:val="00694563"/>
    <w:rsid w:val="0069497C"/>
    <w:rsid w:val="0069612D"/>
    <w:rsid w:val="00697FCC"/>
    <w:rsid w:val="006A00FA"/>
    <w:rsid w:val="006A0374"/>
    <w:rsid w:val="006A062F"/>
    <w:rsid w:val="006A088E"/>
    <w:rsid w:val="006A0B56"/>
    <w:rsid w:val="006A1376"/>
    <w:rsid w:val="006A1CE7"/>
    <w:rsid w:val="006A3344"/>
    <w:rsid w:val="006A3F2B"/>
    <w:rsid w:val="006A4A61"/>
    <w:rsid w:val="006A6097"/>
    <w:rsid w:val="006A6EB3"/>
    <w:rsid w:val="006A6F18"/>
    <w:rsid w:val="006A72FC"/>
    <w:rsid w:val="006A731D"/>
    <w:rsid w:val="006A76B1"/>
    <w:rsid w:val="006B0A9D"/>
    <w:rsid w:val="006B0DEA"/>
    <w:rsid w:val="006B1C8D"/>
    <w:rsid w:val="006B337F"/>
    <w:rsid w:val="006B456F"/>
    <w:rsid w:val="006B4C9E"/>
    <w:rsid w:val="006B543D"/>
    <w:rsid w:val="006B55A9"/>
    <w:rsid w:val="006B55D2"/>
    <w:rsid w:val="006B67DB"/>
    <w:rsid w:val="006B72AA"/>
    <w:rsid w:val="006B76D3"/>
    <w:rsid w:val="006B7D69"/>
    <w:rsid w:val="006C02FC"/>
    <w:rsid w:val="006C18BB"/>
    <w:rsid w:val="006C1BFB"/>
    <w:rsid w:val="006C25C3"/>
    <w:rsid w:val="006C281C"/>
    <w:rsid w:val="006C28D0"/>
    <w:rsid w:val="006C5B17"/>
    <w:rsid w:val="006C6605"/>
    <w:rsid w:val="006C699B"/>
    <w:rsid w:val="006C724C"/>
    <w:rsid w:val="006C74FD"/>
    <w:rsid w:val="006C7505"/>
    <w:rsid w:val="006C7A4F"/>
    <w:rsid w:val="006C7A73"/>
    <w:rsid w:val="006C7B1E"/>
    <w:rsid w:val="006C7DA8"/>
    <w:rsid w:val="006D02A2"/>
    <w:rsid w:val="006D15C8"/>
    <w:rsid w:val="006D1F9E"/>
    <w:rsid w:val="006D2189"/>
    <w:rsid w:val="006D28A3"/>
    <w:rsid w:val="006D3469"/>
    <w:rsid w:val="006D3E85"/>
    <w:rsid w:val="006D40EF"/>
    <w:rsid w:val="006D4776"/>
    <w:rsid w:val="006D488C"/>
    <w:rsid w:val="006D4A55"/>
    <w:rsid w:val="006D584C"/>
    <w:rsid w:val="006D6054"/>
    <w:rsid w:val="006D6AB9"/>
    <w:rsid w:val="006D75AA"/>
    <w:rsid w:val="006D75FC"/>
    <w:rsid w:val="006D77AB"/>
    <w:rsid w:val="006D7FD9"/>
    <w:rsid w:val="006E0583"/>
    <w:rsid w:val="006E076D"/>
    <w:rsid w:val="006E08C4"/>
    <w:rsid w:val="006E08D6"/>
    <w:rsid w:val="006E0E38"/>
    <w:rsid w:val="006E1CC2"/>
    <w:rsid w:val="006E1D6D"/>
    <w:rsid w:val="006E1E58"/>
    <w:rsid w:val="006E1EE5"/>
    <w:rsid w:val="006E1F53"/>
    <w:rsid w:val="006E2095"/>
    <w:rsid w:val="006E2171"/>
    <w:rsid w:val="006E2588"/>
    <w:rsid w:val="006E2628"/>
    <w:rsid w:val="006E2642"/>
    <w:rsid w:val="006E3099"/>
    <w:rsid w:val="006E35AA"/>
    <w:rsid w:val="006E4C00"/>
    <w:rsid w:val="006E51FC"/>
    <w:rsid w:val="006E572B"/>
    <w:rsid w:val="006E5A86"/>
    <w:rsid w:val="006E5AD0"/>
    <w:rsid w:val="006E6376"/>
    <w:rsid w:val="006E6AB5"/>
    <w:rsid w:val="006E7155"/>
    <w:rsid w:val="006E77DF"/>
    <w:rsid w:val="006E7B9B"/>
    <w:rsid w:val="006E7C1A"/>
    <w:rsid w:val="006E7DE8"/>
    <w:rsid w:val="006F0179"/>
    <w:rsid w:val="006F0702"/>
    <w:rsid w:val="006F0EC2"/>
    <w:rsid w:val="006F0ED0"/>
    <w:rsid w:val="006F2C4D"/>
    <w:rsid w:val="006F2C95"/>
    <w:rsid w:val="006F3045"/>
    <w:rsid w:val="006F3217"/>
    <w:rsid w:val="006F348E"/>
    <w:rsid w:val="006F377A"/>
    <w:rsid w:val="006F3947"/>
    <w:rsid w:val="006F3CEA"/>
    <w:rsid w:val="006F426B"/>
    <w:rsid w:val="006F4A94"/>
    <w:rsid w:val="006F4BCE"/>
    <w:rsid w:val="006F4CF9"/>
    <w:rsid w:val="006F4FD3"/>
    <w:rsid w:val="006F5C69"/>
    <w:rsid w:val="006F5EDC"/>
    <w:rsid w:val="006F60F6"/>
    <w:rsid w:val="006F6396"/>
    <w:rsid w:val="006F696B"/>
    <w:rsid w:val="006F69E0"/>
    <w:rsid w:val="006F6B62"/>
    <w:rsid w:val="006F7595"/>
    <w:rsid w:val="00701745"/>
    <w:rsid w:val="00702A73"/>
    <w:rsid w:val="00702D4C"/>
    <w:rsid w:val="00703952"/>
    <w:rsid w:val="007044B1"/>
    <w:rsid w:val="00705A02"/>
    <w:rsid w:val="00706122"/>
    <w:rsid w:val="00706402"/>
    <w:rsid w:val="007064B3"/>
    <w:rsid w:val="00707D03"/>
    <w:rsid w:val="0071013E"/>
    <w:rsid w:val="00710150"/>
    <w:rsid w:val="00710AAA"/>
    <w:rsid w:val="00711ABD"/>
    <w:rsid w:val="00711DEA"/>
    <w:rsid w:val="007123AF"/>
    <w:rsid w:val="00712943"/>
    <w:rsid w:val="00712AE7"/>
    <w:rsid w:val="00713500"/>
    <w:rsid w:val="00713C95"/>
    <w:rsid w:val="00713E51"/>
    <w:rsid w:val="00714133"/>
    <w:rsid w:val="00714440"/>
    <w:rsid w:val="00714778"/>
    <w:rsid w:val="007147DA"/>
    <w:rsid w:val="00714DE2"/>
    <w:rsid w:val="007151BE"/>
    <w:rsid w:val="007154A5"/>
    <w:rsid w:val="0071576F"/>
    <w:rsid w:val="00716420"/>
    <w:rsid w:val="00716531"/>
    <w:rsid w:val="00716DB9"/>
    <w:rsid w:val="00716DEA"/>
    <w:rsid w:val="00716E37"/>
    <w:rsid w:val="0071729F"/>
    <w:rsid w:val="00717858"/>
    <w:rsid w:val="00717956"/>
    <w:rsid w:val="00717D3A"/>
    <w:rsid w:val="0072020F"/>
    <w:rsid w:val="00720EA4"/>
    <w:rsid w:val="00721CB5"/>
    <w:rsid w:val="00722134"/>
    <w:rsid w:val="00722B0F"/>
    <w:rsid w:val="007234E0"/>
    <w:rsid w:val="0072451E"/>
    <w:rsid w:val="00724699"/>
    <w:rsid w:val="00724740"/>
    <w:rsid w:val="00724DF6"/>
    <w:rsid w:val="007251F6"/>
    <w:rsid w:val="00725293"/>
    <w:rsid w:val="00725742"/>
    <w:rsid w:val="007262CD"/>
    <w:rsid w:val="007264CC"/>
    <w:rsid w:val="00726D2B"/>
    <w:rsid w:val="007279A5"/>
    <w:rsid w:val="00727DD1"/>
    <w:rsid w:val="007308ED"/>
    <w:rsid w:val="00731743"/>
    <w:rsid w:val="00731E9B"/>
    <w:rsid w:val="007326C4"/>
    <w:rsid w:val="0073289A"/>
    <w:rsid w:val="00732B92"/>
    <w:rsid w:val="0073305E"/>
    <w:rsid w:val="0073444B"/>
    <w:rsid w:val="007345B1"/>
    <w:rsid w:val="007352A9"/>
    <w:rsid w:val="0073535C"/>
    <w:rsid w:val="007355A4"/>
    <w:rsid w:val="007355D4"/>
    <w:rsid w:val="007360B0"/>
    <w:rsid w:val="007360EA"/>
    <w:rsid w:val="00736C01"/>
    <w:rsid w:val="00736E36"/>
    <w:rsid w:val="00737203"/>
    <w:rsid w:val="007408EC"/>
    <w:rsid w:val="00740FB5"/>
    <w:rsid w:val="007413C8"/>
    <w:rsid w:val="007418BE"/>
    <w:rsid w:val="00741A10"/>
    <w:rsid w:val="00741AEE"/>
    <w:rsid w:val="00741F5F"/>
    <w:rsid w:val="007439F3"/>
    <w:rsid w:val="00743C2E"/>
    <w:rsid w:val="0074450B"/>
    <w:rsid w:val="007445F8"/>
    <w:rsid w:val="00744ACF"/>
    <w:rsid w:val="00744F86"/>
    <w:rsid w:val="0074518A"/>
    <w:rsid w:val="00745395"/>
    <w:rsid w:val="00745C8F"/>
    <w:rsid w:val="007461AC"/>
    <w:rsid w:val="00746CC5"/>
    <w:rsid w:val="00747ACA"/>
    <w:rsid w:val="00747C99"/>
    <w:rsid w:val="00747EB5"/>
    <w:rsid w:val="007500E6"/>
    <w:rsid w:val="00751F8C"/>
    <w:rsid w:val="007522D4"/>
    <w:rsid w:val="007528B2"/>
    <w:rsid w:val="00752BDC"/>
    <w:rsid w:val="00753B88"/>
    <w:rsid w:val="007546EB"/>
    <w:rsid w:val="007554A7"/>
    <w:rsid w:val="00755661"/>
    <w:rsid w:val="00755D59"/>
    <w:rsid w:val="007562DC"/>
    <w:rsid w:val="00756E18"/>
    <w:rsid w:val="0075755C"/>
    <w:rsid w:val="00757678"/>
    <w:rsid w:val="00757BA4"/>
    <w:rsid w:val="00757FB8"/>
    <w:rsid w:val="007603E3"/>
    <w:rsid w:val="00760707"/>
    <w:rsid w:val="007608FD"/>
    <w:rsid w:val="00760AD7"/>
    <w:rsid w:val="00761680"/>
    <w:rsid w:val="00761744"/>
    <w:rsid w:val="00762135"/>
    <w:rsid w:val="00762378"/>
    <w:rsid w:val="007623A3"/>
    <w:rsid w:val="007633E1"/>
    <w:rsid w:val="0076359B"/>
    <w:rsid w:val="00763859"/>
    <w:rsid w:val="00763A92"/>
    <w:rsid w:val="00763CA0"/>
    <w:rsid w:val="00764135"/>
    <w:rsid w:val="00764317"/>
    <w:rsid w:val="00764731"/>
    <w:rsid w:val="007650F1"/>
    <w:rsid w:val="00765C04"/>
    <w:rsid w:val="00765C6B"/>
    <w:rsid w:val="0076649C"/>
    <w:rsid w:val="00766555"/>
    <w:rsid w:val="00766F30"/>
    <w:rsid w:val="007672DE"/>
    <w:rsid w:val="007673BD"/>
    <w:rsid w:val="00770332"/>
    <w:rsid w:val="00770450"/>
    <w:rsid w:val="00770F1F"/>
    <w:rsid w:val="0077111A"/>
    <w:rsid w:val="007711B8"/>
    <w:rsid w:val="00771597"/>
    <w:rsid w:val="00771CE8"/>
    <w:rsid w:val="00771CFA"/>
    <w:rsid w:val="00771E3B"/>
    <w:rsid w:val="00772937"/>
    <w:rsid w:val="007736E7"/>
    <w:rsid w:val="00773F36"/>
    <w:rsid w:val="00774294"/>
    <w:rsid w:val="007745EC"/>
    <w:rsid w:val="00774D0F"/>
    <w:rsid w:val="0077502C"/>
    <w:rsid w:val="0077547F"/>
    <w:rsid w:val="00775ACE"/>
    <w:rsid w:val="007765D6"/>
    <w:rsid w:val="00776BC7"/>
    <w:rsid w:val="00777AA1"/>
    <w:rsid w:val="00777B97"/>
    <w:rsid w:val="00780292"/>
    <w:rsid w:val="0078073E"/>
    <w:rsid w:val="00781511"/>
    <w:rsid w:val="0078178F"/>
    <w:rsid w:val="007819EC"/>
    <w:rsid w:val="0078201C"/>
    <w:rsid w:val="00782841"/>
    <w:rsid w:val="00782B48"/>
    <w:rsid w:val="0078332B"/>
    <w:rsid w:val="00783A68"/>
    <w:rsid w:val="00785242"/>
    <w:rsid w:val="00785889"/>
    <w:rsid w:val="00786C85"/>
    <w:rsid w:val="007877BE"/>
    <w:rsid w:val="007878A7"/>
    <w:rsid w:val="00787B24"/>
    <w:rsid w:val="00787CC3"/>
    <w:rsid w:val="0079038F"/>
    <w:rsid w:val="00790DF8"/>
    <w:rsid w:val="007910F3"/>
    <w:rsid w:val="0079117D"/>
    <w:rsid w:val="00791C3D"/>
    <w:rsid w:val="00792773"/>
    <w:rsid w:val="00793263"/>
    <w:rsid w:val="00793468"/>
    <w:rsid w:val="007934A2"/>
    <w:rsid w:val="007935AF"/>
    <w:rsid w:val="00793610"/>
    <w:rsid w:val="00793AB5"/>
    <w:rsid w:val="00794C94"/>
    <w:rsid w:val="00794CDD"/>
    <w:rsid w:val="00794D54"/>
    <w:rsid w:val="00794D83"/>
    <w:rsid w:val="00794E53"/>
    <w:rsid w:val="00795836"/>
    <w:rsid w:val="0079648C"/>
    <w:rsid w:val="00796A13"/>
    <w:rsid w:val="00797184"/>
    <w:rsid w:val="00797757"/>
    <w:rsid w:val="007977B7"/>
    <w:rsid w:val="007A0694"/>
    <w:rsid w:val="007A1704"/>
    <w:rsid w:val="007A186E"/>
    <w:rsid w:val="007A1A12"/>
    <w:rsid w:val="007A1BCF"/>
    <w:rsid w:val="007A2E3A"/>
    <w:rsid w:val="007A497C"/>
    <w:rsid w:val="007A4997"/>
    <w:rsid w:val="007A4CFF"/>
    <w:rsid w:val="007A61AE"/>
    <w:rsid w:val="007A6275"/>
    <w:rsid w:val="007A6496"/>
    <w:rsid w:val="007A6583"/>
    <w:rsid w:val="007A689D"/>
    <w:rsid w:val="007A6BE0"/>
    <w:rsid w:val="007A740D"/>
    <w:rsid w:val="007A76D4"/>
    <w:rsid w:val="007A7975"/>
    <w:rsid w:val="007B03A6"/>
    <w:rsid w:val="007B08DE"/>
    <w:rsid w:val="007B0AD4"/>
    <w:rsid w:val="007B0BB6"/>
    <w:rsid w:val="007B0DC4"/>
    <w:rsid w:val="007B1098"/>
    <w:rsid w:val="007B16BD"/>
    <w:rsid w:val="007B1A74"/>
    <w:rsid w:val="007B1C5C"/>
    <w:rsid w:val="007B2345"/>
    <w:rsid w:val="007B27A6"/>
    <w:rsid w:val="007B314E"/>
    <w:rsid w:val="007B35C6"/>
    <w:rsid w:val="007B375B"/>
    <w:rsid w:val="007B3B8C"/>
    <w:rsid w:val="007B3F9B"/>
    <w:rsid w:val="007B4188"/>
    <w:rsid w:val="007B455C"/>
    <w:rsid w:val="007B47B1"/>
    <w:rsid w:val="007B4912"/>
    <w:rsid w:val="007B4A70"/>
    <w:rsid w:val="007B51CE"/>
    <w:rsid w:val="007B556B"/>
    <w:rsid w:val="007B57AA"/>
    <w:rsid w:val="007B5C8E"/>
    <w:rsid w:val="007B624D"/>
    <w:rsid w:val="007B627C"/>
    <w:rsid w:val="007B6493"/>
    <w:rsid w:val="007B6A98"/>
    <w:rsid w:val="007B6A9F"/>
    <w:rsid w:val="007B6EA1"/>
    <w:rsid w:val="007B6EB5"/>
    <w:rsid w:val="007B7677"/>
    <w:rsid w:val="007B79AD"/>
    <w:rsid w:val="007B7BAC"/>
    <w:rsid w:val="007C0121"/>
    <w:rsid w:val="007C036E"/>
    <w:rsid w:val="007C03E9"/>
    <w:rsid w:val="007C062C"/>
    <w:rsid w:val="007C0725"/>
    <w:rsid w:val="007C0986"/>
    <w:rsid w:val="007C0AA9"/>
    <w:rsid w:val="007C0F4C"/>
    <w:rsid w:val="007C1461"/>
    <w:rsid w:val="007C1B36"/>
    <w:rsid w:val="007C228E"/>
    <w:rsid w:val="007C2420"/>
    <w:rsid w:val="007C2607"/>
    <w:rsid w:val="007C31E9"/>
    <w:rsid w:val="007C407A"/>
    <w:rsid w:val="007C4D10"/>
    <w:rsid w:val="007C5176"/>
    <w:rsid w:val="007C5209"/>
    <w:rsid w:val="007C5F7A"/>
    <w:rsid w:val="007C6885"/>
    <w:rsid w:val="007C6E5B"/>
    <w:rsid w:val="007C7D26"/>
    <w:rsid w:val="007C7DF6"/>
    <w:rsid w:val="007C7DF7"/>
    <w:rsid w:val="007D0960"/>
    <w:rsid w:val="007D1306"/>
    <w:rsid w:val="007D18F6"/>
    <w:rsid w:val="007D2B31"/>
    <w:rsid w:val="007D2D45"/>
    <w:rsid w:val="007D33A0"/>
    <w:rsid w:val="007D4304"/>
    <w:rsid w:val="007D4C14"/>
    <w:rsid w:val="007D66F1"/>
    <w:rsid w:val="007D6D73"/>
    <w:rsid w:val="007D7005"/>
    <w:rsid w:val="007D71E7"/>
    <w:rsid w:val="007D734E"/>
    <w:rsid w:val="007D73A8"/>
    <w:rsid w:val="007D7537"/>
    <w:rsid w:val="007D7E7A"/>
    <w:rsid w:val="007E004D"/>
    <w:rsid w:val="007E0D47"/>
    <w:rsid w:val="007E1166"/>
    <w:rsid w:val="007E1E1D"/>
    <w:rsid w:val="007E2217"/>
    <w:rsid w:val="007E2BF3"/>
    <w:rsid w:val="007E2C5A"/>
    <w:rsid w:val="007E2C5F"/>
    <w:rsid w:val="007E3219"/>
    <w:rsid w:val="007E3730"/>
    <w:rsid w:val="007E475E"/>
    <w:rsid w:val="007E57D8"/>
    <w:rsid w:val="007E57FF"/>
    <w:rsid w:val="007E7433"/>
    <w:rsid w:val="007E7929"/>
    <w:rsid w:val="007F09E3"/>
    <w:rsid w:val="007F0A2D"/>
    <w:rsid w:val="007F0DF2"/>
    <w:rsid w:val="007F12D6"/>
    <w:rsid w:val="007F1995"/>
    <w:rsid w:val="007F1A96"/>
    <w:rsid w:val="007F1E88"/>
    <w:rsid w:val="007F242D"/>
    <w:rsid w:val="007F2DD6"/>
    <w:rsid w:val="007F2EC8"/>
    <w:rsid w:val="007F31B3"/>
    <w:rsid w:val="007F3214"/>
    <w:rsid w:val="007F32FB"/>
    <w:rsid w:val="007F35FB"/>
    <w:rsid w:val="007F387B"/>
    <w:rsid w:val="007F428F"/>
    <w:rsid w:val="007F4A20"/>
    <w:rsid w:val="007F5142"/>
    <w:rsid w:val="007F524F"/>
    <w:rsid w:val="007F547C"/>
    <w:rsid w:val="007F54FC"/>
    <w:rsid w:val="007F6132"/>
    <w:rsid w:val="007F7D9F"/>
    <w:rsid w:val="007F7FF0"/>
    <w:rsid w:val="00800695"/>
    <w:rsid w:val="008006D1"/>
    <w:rsid w:val="00801B23"/>
    <w:rsid w:val="00801F7A"/>
    <w:rsid w:val="00802705"/>
    <w:rsid w:val="00802C34"/>
    <w:rsid w:val="00802CE0"/>
    <w:rsid w:val="00802D1E"/>
    <w:rsid w:val="008031A9"/>
    <w:rsid w:val="00803BA0"/>
    <w:rsid w:val="00803BF6"/>
    <w:rsid w:val="00803E02"/>
    <w:rsid w:val="00803F9F"/>
    <w:rsid w:val="00804467"/>
    <w:rsid w:val="00804942"/>
    <w:rsid w:val="00804C51"/>
    <w:rsid w:val="00805362"/>
    <w:rsid w:val="008055F6"/>
    <w:rsid w:val="00805657"/>
    <w:rsid w:val="00806FB0"/>
    <w:rsid w:val="00810250"/>
    <w:rsid w:val="00810415"/>
    <w:rsid w:val="00810748"/>
    <w:rsid w:val="00810A0B"/>
    <w:rsid w:val="00810B49"/>
    <w:rsid w:val="00811635"/>
    <w:rsid w:val="0081196F"/>
    <w:rsid w:val="00811C2D"/>
    <w:rsid w:val="00811C87"/>
    <w:rsid w:val="00811F41"/>
    <w:rsid w:val="00812A7C"/>
    <w:rsid w:val="00812BBA"/>
    <w:rsid w:val="00812C25"/>
    <w:rsid w:val="00812FA0"/>
    <w:rsid w:val="00813047"/>
    <w:rsid w:val="0081385A"/>
    <w:rsid w:val="0081389A"/>
    <w:rsid w:val="0081391A"/>
    <w:rsid w:val="008139FD"/>
    <w:rsid w:val="00813F60"/>
    <w:rsid w:val="00813FF6"/>
    <w:rsid w:val="00814195"/>
    <w:rsid w:val="0081466D"/>
    <w:rsid w:val="00815603"/>
    <w:rsid w:val="008158F4"/>
    <w:rsid w:val="00817155"/>
    <w:rsid w:val="0081717A"/>
    <w:rsid w:val="00817260"/>
    <w:rsid w:val="00820201"/>
    <w:rsid w:val="008203F0"/>
    <w:rsid w:val="00820C8F"/>
    <w:rsid w:val="0082279F"/>
    <w:rsid w:val="00822A35"/>
    <w:rsid w:val="00822F75"/>
    <w:rsid w:val="00823DF8"/>
    <w:rsid w:val="00823F04"/>
    <w:rsid w:val="008240C5"/>
    <w:rsid w:val="00824F8C"/>
    <w:rsid w:val="008259F3"/>
    <w:rsid w:val="00825D79"/>
    <w:rsid w:val="00825DE3"/>
    <w:rsid w:val="008261D2"/>
    <w:rsid w:val="0082629E"/>
    <w:rsid w:val="008266D8"/>
    <w:rsid w:val="008269AC"/>
    <w:rsid w:val="00830AC8"/>
    <w:rsid w:val="00831B3D"/>
    <w:rsid w:val="00831DF8"/>
    <w:rsid w:val="00832065"/>
    <w:rsid w:val="00832AA2"/>
    <w:rsid w:val="00832B4C"/>
    <w:rsid w:val="00832EEF"/>
    <w:rsid w:val="008335FF"/>
    <w:rsid w:val="00833BE3"/>
    <w:rsid w:val="00834659"/>
    <w:rsid w:val="008346BE"/>
    <w:rsid w:val="008349D6"/>
    <w:rsid w:val="00834F73"/>
    <w:rsid w:val="00835410"/>
    <w:rsid w:val="00836387"/>
    <w:rsid w:val="00836685"/>
    <w:rsid w:val="0083679F"/>
    <w:rsid w:val="00837169"/>
    <w:rsid w:val="0083736E"/>
    <w:rsid w:val="008373AF"/>
    <w:rsid w:val="0084009C"/>
    <w:rsid w:val="0084058C"/>
    <w:rsid w:val="00840A4E"/>
    <w:rsid w:val="00841C17"/>
    <w:rsid w:val="00841F77"/>
    <w:rsid w:val="00842FEB"/>
    <w:rsid w:val="00843669"/>
    <w:rsid w:val="00843FD0"/>
    <w:rsid w:val="00844D24"/>
    <w:rsid w:val="00845954"/>
    <w:rsid w:val="00845E22"/>
    <w:rsid w:val="008462D6"/>
    <w:rsid w:val="00846E99"/>
    <w:rsid w:val="0084717A"/>
    <w:rsid w:val="008474D3"/>
    <w:rsid w:val="00847D4C"/>
    <w:rsid w:val="00850180"/>
    <w:rsid w:val="008509D2"/>
    <w:rsid w:val="00850CAD"/>
    <w:rsid w:val="00851409"/>
    <w:rsid w:val="008514C2"/>
    <w:rsid w:val="00851703"/>
    <w:rsid w:val="00851D9F"/>
    <w:rsid w:val="0085245C"/>
    <w:rsid w:val="0085358B"/>
    <w:rsid w:val="0085382A"/>
    <w:rsid w:val="00854187"/>
    <w:rsid w:val="00854371"/>
    <w:rsid w:val="008545E3"/>
    <w:rsid w:val="0085490C"/>
    <w:rsid w:val="008554D7"/>
    <w:rsid w:val="008555FE"/>
    <w:rsid w:val="00855BBD"/>
    <w:rsid w:val="00855ED0"/>
    <w:rsid w:val="00856329"/>
    <w:rsid w:val="0085633E"/>
    <w:rsid w:val="008569CD"/>
    <w:rsid w:val="00856C2D"/>
    <w:rsid w:val="00856C9A"/>
    <w:rsid w:val="008574BF"/>
    <w:rsid w:val="00857AB5"/>
    <w:rsid w:val="00857D35"/>
    <w:rsid w:val="0086116E"/>
    <w:rsid w:val="00861BED"/>
    <w:rsid w:val="00861D28"/>
    <w:rsid w:val="00861DEF"/>
    <w:rsid w:val="00862519"/>
    <w:rsid w:val="0086258E"/>
    <w:rsid w:val="0086305C"/>
    <w:rsid w:val="008633D3"/>
    <w:rsid w:val="008637FC"/>
    <w:rsid w:val="0086410F"/>
    <w:rsid w:val="008642F0"/>
    <w:rsid w:val="0086451B"/>
    <w:rsid w:val="00865147"/>
    <w:rsid w:val="0086585F"/>
    <w:rsid w:val="00865C6E"/>
    <w:rsid w:val="00865D56"/>
    <w:rsid w:val="00865DE6"/>
    <w:rsid w:val="00866197"/>
    <w:rsid w:val="00866305"/>
    <w:rsid w:val="008667A8"/>
    <w:rsid w:val="00866D23"/>
    <w:rsid w:val="008675D6"/>
    <w:rsid w:val="00870577"/>
    <w:rsid w:val="00870BBE"/>
    <w:rsid w:val="00871299"/>
    <w:rsid w:val="00871405"/>
    <w:rsid w:val="00871518"/>
    <w:rsid w:val="00872844"/>
    <w:rsid w:val="00872A52"/>
    <w:rsid w:val="00872B4C"/>
    <w:rsid w:val="00872C7C"/>
    <w:rsid w:val="00872CE8"/>
    <w:rsid w:val="008743FB"/>
    <w:rsid w:val="008745C3"/>
    <w:rsid w:val="0087465F"/>
    <w:rsid w:val="00874E6C"/>
    <w:rsid w:val="00874EFF"/>
    <w:rsid w:val="0087528C"/>
    <w:rsid w:val="008756F2"/>
    <w:rsid w:val="00875AC1"/>
    <w:rsid w:val="00876097"/>
    <w:rsid w:val="00876181"/>
    <w:rsid w:val="008763D2"/>
    <w:rsid w:val="00877707"/>
    <w:rsid w:val="0087793D"/>
    <w:rsid w:val="008779A8"/>
    <w:rsid w:val="00877C9F"/>
    <w:rsid w:val="008806CA"/>
    <w:rsid w:val="00880BBA"/>
    <w:rsid w:val="00880D8D"/>
    <w:rsid w:val="00880DA4"/>
    <w:rsid w:val="00881057"/>
    <w:rsid w:val="00881126"/>
    <w:rsid w:val="00881354"/>
    <w:rsid w:val="00881A3A"/>
    <w:rsid w:val="00881BBF"/>
    <w:rsid w:val="00881C66"/>
    <w:rsid w:val="008821E8"/>
    <w:rsid w:val="00882575"/>
    <w:rsid w:val="0088284F"/>
    <w:rsid w:val="00882E4B"/>
    <w:rsid w:val="00883011"/>
    <w:rsid w:val="0088314D"/>
    <w:rsid w:val="00883A1D"/>
    <w:rsid w:val="00883A80"/>
    <w:rsid w:val="00883F49"/>
    <w:rsid w:val="008845D5"/>
    <w:rsid w:val="00885DAC"/>
    <w:rsid w:val="00886514"/>
    <w:rsid w:val="00886D43"/>
    <w:rsid w:val="0088742E"/>
    <w:rsid w:val="00887B7C"/>
    <w:rsid w:val="00887E62"/>
    <w:rsid w:val="00890E19"/>
    <w:rsid w:val="008910BE"/>
    <w:rsid w:val="00891A81"/>
    <w:rsid w:val="00891B61"/>
    <w:rsid w:val="0089202F"/>
    <w:rsid w:val="008922B0"/>
    <w:rsid w:val="008925C9"/>
    <w:rsid w:val="00892D32"/>
    <w:rsid w:val="008932CA"/>
    <w:rsid w:val="00894093"/>
    <w:rsid w:val="00894417"/>
    <w:rsid w:val="00894445"/>
    <w:rsid w:val="00894C83"/>
    <w:rsid w:val="00894CC7"/>
    <w:rsid w:val="00895420"/>
    <w:rsid w:val="0089552B"/>
    <w:rsid w:val="008962CA"/>
    <w:rsid w:val="00896789"/>
    <w:rsid w:val="00896A21"/>
    <w:rsid w:val="00897B89"/>
    <w:rsid w:val="008A00AA"/>
    <w:rsid w:val="008A00FC"/>
    <w:rsid w:val="008A02BC"/>
    <w:rsid w:val="008A0BA7"/>
    <w:rsid w:val="008A0C10"/>
    <w:rsid w:val="008A0D6F"/>
    <w:rsid w:val="008A1405"/>
    <w:rsid w:val="008A199B"/>
    <w:rsid w:val="008A25DE"/>
    <w:rsid w:val="008A28B7"/>
    <w:rsid w:val="008A2E04"/>
    <w:rsid w:val="008A3E32"/>
    <w:rsid w:val="008A3FD2"/>
    <w:rsid w:val="008A510B"/>
    <w:rsid w:val="008A562A"/>
    <w:rsid w:val="008A5C6E"/>
    <w:rsid w:val="008A5CD8"/>
    <w:rsid w:val="008A641F"/>
    <w:rsid w:val="008A647C"/>
    <w:rsid w:val="008A6E98"/>
    <w:rsid w:val="008B026C"/>
    <w:rsid w:val="008B0E5D"/>
    <w:rsid w:val="008B128B"/>
    <w:rsid w:val="008B162C"/>
    <w:rsid w:val="008B1A4E"/>
    <w:rsid w:val="008B1E93"/>
    <w:rsid w:val="008B2C75"/>
    <w:rsid w:val="008B2F6D"/>
    <w:rsid w:val="008B2F75"/>
    <w:rsid w:val="008B30B2"/>
    <w:rsid w:val="008B3240"/>
    <w:rsid w:val="008B449B"/>
    <w:rsid w:val="008B48AE"/>
    <w:rsid w:val="008B4911"/>
    <w:rsid w:val="008B52B4"/>
    <w:rsid w:val="008B54AA"/>
    <w:rsid w:val="008B5D73"/>
    <w:rsid w:val="008B6430"/>
    <w:rsid w:val="008B65F4"/>
    <w:rsid w:val="008B717D"/>
    <w:rsid w:val="008B7862"/>
    <w:rsid w:val="008C045A"/>
    <w:rsid w:val="008C0781"/>
    <w:rsid w:val="008C0796"/>
    <w:rsid w:val="008C0DDF"/>
    <w:rsid w:val="008C1530"/>
    <w:rsid w:val="008C161F"/>
    <w:rsid w:val="008C1797"/>
    <w:rsid w:val="008C1D3F"/>
    <w:rsid w:val="008C22C7"/>
    <w:rsid w:val="008C28D8"/>
    <w:rsid w:val="008C2B69"/>
    <w:rsid w:val="008C2F0C"/>
    <w:rsid w:val="008C375E"/>
    <w:rsid w:val="008C3CD7"/>
    <w:rsid w:val="008C4A61"/>
    <w:rsid w:val="008C4DF1"/>
    <w:rsid w:val="008C575A"/>
    <w:rsid w:val="008C5C3E"/>
    <w:rsid w:val="008C5FE4"/>
    <w:rsid w:val="008C6498"/>
    <w:rsid w:val="008C6C2B"/>
    <w:rsid w:val="008C719D"/>
    <w:rsid w:val="008C73C1"/>
    <w:rsid w:val="008D0684"/>
    <w:rsid w:val="008D09EA"/>
    <w:rsid w:val="008D107D"/>
    <w:rsid w:val="008D1412"/>
    <w:rsid w:val="008D1A48"/>
    <w:rsid w:val="008D218A"/>
    <w:rsid w:val="008D2369"/>
    <w:rsid w:val="008D23A4"/>
    <w:rsid w:val="008D2565"/>
    <w:rsid w:val="008D29F3"/>
    <w:rsid w:val="008D3403"/>
    <w:rsid w:val="008D3D6F"/>
    <w:rsid w:val="008D3F89"/>
    <w:rsid w:val="008D40F3"/>
    <w:rsid w:val="008D445C"/>
    <w:rsid w:val="008D4485"/>
    <w:rsid w:val="008D479B"/>
    <w:rsid w:val="008D50D2"/>
    <w:rsid w:val="008D653D"/>
    <w:rsid w:val="008D664A"/>
    <w:rsid w:val="008D6BC0"/>
    <w:rsid w:val="008D6EFF"/>
    <w:rsid w:val="008D7080"/>
    <w:rsid w:val="008D70AE"/>
    <w:rsid w:val="008D7261"/>
    <w:rsid w:val="008D7964"/>
    <w:rsid w:val="008D7C50"/>
    <w:rsid w:val="008E0521"/>
    <w:rsid w:val="008E0BEE"/>
    <w:rsid w:val="008E0E51"/>
    <w:rsid w:val="008E132B"/>
    <w:rsid w:val="008E1715"/>
    <w:rsid w:val="008E1B59"/>
    <w:rsid w:val="008E2271"/>
    <w:rsid w:val="008E259E"/>
    <w:rsid w:val="008E2731"/>
    <w:rsid w:val="008E2B35"/>
    <w:rsid w:val="008E2C63"/>
    <w:rsid w:val="008E2E31"/>
    <w:rsid w:val="008E2E7A"/>
    <w:rsid w:val="008E43D8"/>
    <w:rsid w:val="008E45E4"/>
    <w:rsid w:val="008E4606"/>
    <w:rsid w:val="008E518C"/>
    <w:rsid w:val="008E5F0C"/>
    <w:rsid w:val="008E5F25"/>
    <w:rsid w:val="008E6831"/>
    <w:rsid w:val="008E6869"/>
    <w:rsid w:val="008E7407"/>
    <w:rsid w:val="008E74CB"/>
    <w:rsid w:val="008E76FF"/>
    <w:rsid w:val="008E7B91"/>
    <w:rsid w:val="008F138A"/>
    <w:rsid w:val="008F15E2"/>
    <w:rsid w:val="008F1D6B"/>
    <w:rsid w:val="008F2108"/>
    <w:rsid w:val="008F25AC"/>
    <w:rsid w:val="008F2BA8"/>
    <w:rsid w:val="008F2FD4"/>
    <w:rsid w:val="008F30CE"/>
    <w:rsid w:val="008F3C2A"/>
    <w:rsid w:val="008F4426"/>
    <w:rsid w:val="008F57E3"/>
    <w:rsid w:val="008F5A89"/>
    <w:rsid w:val="008F616E"/>
    <w:rsid w:val="008F6606"/>
    <w:rsid w:val="008F6913"/>
    <w:rsid w:val="008F6C7A"/>
    <w:rsid w:val="008F6C7E"/>
    <w:rsid w:val="008F77B0"/>
    <w:rsid w:val="008F784A"/>
    <w:rsid w:val="008F79DA"/>
    <w:rsid w:val="008F7A5F"/>
    <w:rsid w:val="00900246"/>
    <w:rsid w:val="009009FC"/>
    <w:rsid w:val="00900C4F"/>
    <w:rsid w:val="009028CC"/>
    <w:rsid w:val="00902975"/>
    <w:rsid w:val="00902AF4"/>
    <w:rsid w:val="0090389D"/>
    <w:rsid w:val="00903DE6"/>
    <w:rsid w:val="00903FC6"/>
    <w:rsid w:val="009040EA"/>
    <w:rsid w:val="00904271"/>
    <w:rsid w:val="00904A3A"/>
    <w:rsid w:val="00904C28"/>
    <w:rsid w:val="00905612"/>
    <w:rsid w:val="0090572E"/>
    <w:rsid w:val="00905AA2"/>
    <w:rsid w:val="00905CE1"/>
    <w:rsid w:val="00906166"/>
    <w:rsid w:val="009061C8"/>
    <w:rsid w:val="00906619"/>
    <w:rsid w:val="00907292"/>
    <w:rsid w:val="0090771C"/>
    <w:rsid w:val="009107A5"/>
    <w:rsid w:val="009108E3"/>
    <w:rsid w:val="00910948"/>
    <w:rsid w:val="009113E0"/>
    <w:rsid w:val="00911ACC"/>
    <w:rsid w:val="00912119"/>
    <w:rsid w:val="00912814"/>
    <w:rsid w:val="00912FAC"/>
    <w:rsid w:val="00913DFB"/>
    <w:rsid w:val="00913FA4"/>
    <w:rsid w:val="00914235"/>
    <w:rsid w:val="009142AC"/>
    <w:rsid w:val="0091437D"/>
    <w:rsid w:val="009148A6"/>
    <w:rsid w:val="00914E41"/>
    <w:rsid w:val="00914EAA"/>
    <w:rsid w:val="00914FA5"/>
    <w:rsid w:val="009152B1"/>
    <w:rsid w:val="009152E2"/>
    <w:rsid w:val="009156BC"/>
    <w:rsid w:val="00915A76"/>
    <w:rsid w:val="0091607B"/>
    <w:rsid w:val="00916507"/>
    <w:rsid w:val="00916EF2"/>
    <w:rsid w:val="009171E7"/>
    <w:rsid w:val="0091745E"/>
    <w:rsid w:val="009175A4"/>
    <w:rsid w:val="00917DF2"/>
    <w:rsid w:val="00920A2B"/>
    <w:rsid w:val="00920ACA"/>
    <w:rsid w:val="00921634"/>
    <w:rsid w:val="00922382"/>
    <w:rsid w:val="00922CD4"/>
    <w:rsid w:val="0092358C"/>
    <w:rsid w:val="0092372B"/>
    <w:rsid w:val="00923A35"/>
    <w:rsid w:val="00923CF0"/>
    <w:rsid w:val="00923E78"/>
    <w:rsid w:val="0092411D"/>
    <w:rsid w:val="0092458E"/>
    <w:rsid w:val="00924A10"/>
    <w:rsid w:val="00924B79"/>
    <w:rsid w:val="00924E75"/>
    <w:rsid w:val="00925114"/>
    <w:rsid w:val="00925D74"/>
    <w:rsid w:val="00925FC6"/>
    <w:rsid w:val="00926925"/>
    <w:rsid w:val="00927160"/>
    <w:rsid w:val="00927293"/>
    <w:rsid w:val="00927C16"/>
    <w:rsid w:val="00927F88"/>
    <w:rsid w:val="009303BA"/>
    <w:rsid w:val="00930900"/>
    <w:rsid w:val="00930A86"/>
    <w:rsid w:val="009314D5"/>
    <w:rsid w:val="00931B20"/>
    <w:rsid w:val="00931DD4"/>
    <w:rsid w:val="00932A61"/>
    <w:rsid w:val="00932AAA"/>
    <w:rsid w:val="00932BC0"/>
    <w:rsid w:val="009338DB"/>
    <w:rsid w:val="00934CAC"/>
    <w:rsid w:val="00935790"/>
    <w:rsid w:val="0093588D"/>
    <w:rsid w:val="009358FA"/>
    <w:rsid w:val="009359E9"/>
    <w:rsid w:val="00935D45"/>
    <w:rsid w:val="00935E49"/>
    <w:rsid w:val="00936359"/>
    <w:rsid w:val="009366EE"/>
    <w:rsid w:val="00936E78"/>
    <w:rsid w:val="00937652"/>
    <w:rsid w:val="00937754"/>
    <w:rsid w:val="00937F10"/>
    <w:rsid w:val="0094034C"/>
    <w:rsid w:val="009404EC"/>
    <w:rsid w:val="00940699"/>
    <w:rsid w:val="009407DB"/>
    <w:rsid w:val="00940CF6"/>
    <w:rsid w:val="0094132D"/>
    <w:rsid w:val="00941574"/>
    <w:rsid w:val="009421F7"/>
    <w:rsid w:val="00942249"/>
    <w:rsid w:val="00942713"/>
    <w:rsid w:val="009432C9"/>
    <w:rsid w:val="0094432C"/>
    <w:rsid w:val="0094444A"/>
    <w:rsid w:val="00944466"/>
    <w:rsid w:val="009444CF"/>
    <w:rsid w:val="00945275"/>
    <w:rsid w:val="00946222"/>
    <w:rsid w:val="0094688E"/>
    <w:rsid w:val="0094690D"/>
    <w:rsid w:val="0094751E"/>
    <w:rsid w:val="0094775A"/>
    <w:rsid w:val="00947986"/>
    <w:rsid w:val="009505AF"/>
    <w:rsid w:val="0095083D"/>
    <w:rsid w:val="0095109B"/>
    <w:rsid w:val="00951109"/>
    <w:rsid w:val="0095124A"/>
    <w:rsid w:val="009513E4"/>
    <w:rsid w:val="00951666"/>
    <w:rsid w:val="009517A1"/>
    <w:rsid w:val="00951E25"/>
    <w:rsid w:val="00951E85"/>
    <w:rsid w:val="00952B18"/>
    <w:rsid w:val="00954EBD"/>
    <w:rsid w:val="00955605"/>
    <w:rsid w:val="00955958"/>
    <w:rsid w:val="009559AD"/>
    <w:rsid w:val="009560F5"/>
    <w:rsid w:val="0095649A"/>
    <w:rsid w:val="00956E66"/>
    <w:rsid w:val="009574DE"/>
    <w:rsid w:val="009576D6"/>
    <w:rsid w:val="00957C3B"/>
    <w:rsid w:val="00957FFC"/>
    <w:rsid w:val="00960557"/>
    <w:rsid w:val="00960955"/>
    <w:rsid w:val="0096099B"/>
    <w:rsid w:val="00960B72"/>
    <w:rsid w:val="00961B99"/>
    <w:rsid w:val="0096297A"/>
    <w:rsid w:val="009629F7"/>
    <w:rsid w:val="00963DBB"/>
    <w:rsid w:val="009644A0"/>
    <w:rsid w:val="00965A42"/>
    <w:rsid w:val="00965FEB"/>
    <w:rsid w:val="00966201"/>
    <w:rsid w:val="00966D53"/>
    <w:rsid w:val="00966EE3"/>
    <w:rsid w:val="009707FF"/>
    <w:rsid w:val="00970AB5"/>
    <w:rsid w:val="0097135D"/>
    <w:rsid w:val="00971384"/>
    <w:rsid w:val="00971912"/>
    <w:rsid w:val="00971B61"/>
    <w:rsid w:val="0097327E"/>
    <w:rsid w:val="009738F3"/>
    <w:rsid w:val="00973916"/>
    <w:rsid w:val="009739F6"/>
    <w:rsid w:val="009748C6"/>
    <w:rsid w:val="009754DC"/>
    <w:rsid w:val="00975858"/>
    <w:rsid w:val="00975A1C"/>
    <w:rsid w:val="00975B14"/>
    <w:rsid w:val="009761DA"/>
    <w:rsid w:val="00977A5C"/>
    <w:rsid w:val="009810BC"/>
    <w:rsid w:val="009818D5"/>
    <w:rsid w:val="00981FF3"/>
    <w:rsid w:val="00982DFB"/>
    <w:rsid w:val="00982F08"/>
    <w:rsid w:val="00983502"/>
    <w:rsid w:val="009835CA"/>
    <w:rsid w:val="009840CB"/>
    <w:rsid w:val="009857BA"/>
    <w:rsid w:val="00985B13"/>
    <w:rsid w:val="00985B40"/>
    <w:rsid w:val="00985FCC"/>
    <w:rsid w:val="00985FDB"/>
    <w:rsid w:val="009866FC"/>
    <w:rsid w:val="00987212"/>
    <w:rsid w:val="0098789C"/>
    <w:rsid w:val="00990085"/>
    <w:rsid w:val="00990431"/>
    <w:rsid w:val="00990543"/>
    <w:rsid w:val="0099070E"/>
    <w:rsid w:val="009907C5"/>
    <w:rsid w:val="00990C87"/>
    <w:rsid w:val="00990F10"/>
    <w:rsid w:val="00991695"/>
    <w:rsid w:val="00991A61"/>
    <w:rsid w:val="00991D99"/>
    <w:rsid w:val="00991DD4"/>
    <w:rsid w:val="0099269F"/>
    <w:rsid w:val="00992C2B"/>
    <w:rsid w:val="009932AF"/>
    <w:rsid w:val="00993A5F"/>
    <w:rsid w:val="00993B05"/>
    <w:rsid w:val="00993C96"/>
    <w:rsid w:val="00993EFA"/>
    <w:rsid w:val="0099448E"/>
    <w:rsid w:val="00994DAD"/>
    <w:rsid w:val="00995411"/>
    <w:rsid w:val="009959B3"/>
    <w:rsid w:val="00995A47"/>
    <w:rsid w:val="00995F5D"/>
    <w:rsid w:val="0099668E"/>
    <w:rsid w:val="009968C0"/>
    <w:rsid w:val="00996AB5"/>
    <w:rsid w:val="009970A8"/>
    <w:rsid w:val="009970DD"/>
    <w:rsid w:val="00997167"/>
    <w:rsid w:val="0099726D"/>
    <w:rsid w:val="00997A9C"/>
    <w:rsid w:val="00997C33"/>
    <w:rsid w:val="00997CE0"/>
    <w:rsid w:val="00997DED"/>
    <w:rsid w:val="009A0B61"/>
    <w:rsid w:val="009A0FD0"/>
    <w:rsid w:val="009A124B"/>
    <w:rsid w:val="009A14C7"/>
    <w:rsid w:val="009A2C54"/>
    <w:rsid w:val="009A307B"/>
    <w:rsid w:val="009A30FB"/>
    <w:rsid w:val="009A39D2"/>
    <w:rsid w:val="009A3E3D"/>
    <w:rsid w:val="009A45B4"/>
    <w:rsid w:val="009A46EA"/>
    <w:rsid w:val="009A4F4E"/>
    <w:rsid w:val="009A5429"/>
    <w:rsid w:val="009A5D9E"/>
    <w:rsid w:val="009A63D6"/>
    <w:rsid w:val="009A69C9"/>
    <w:rsid w:val="009A6D9C"/>
    <w:rsid w:val="009A7632"/>
    <w:rsid w:val="009A7AD1"/>
    <w:rsid w:val="009A7F9E"/>
    <w:rsid w:val="009B15BD"/>
    <w:rsid w:val="009B1B1E"/>
    <w:rsid w:val="009B1ED8"/>
    <w:rsid w:val="009B2042"/>
    <w:rsid w:val="009B28F0"/>
    <w:rsid w:val="009B32AA"/>
    <w:rsid w:val="009B3D33"/>
    <w:rsid w:val="009B3EE5"/>
    <w:rsid w:val="009B4FBB"/>
    <w:rsid w:val="009B5204"/>
    <w:rsid w:val="009B52C4"/>
    <w:rsid w:val="009B55B3"/>
    <w:rsid w:val="009B5C4E"/>
    <w:rsid w:val="009B645B"/>
    <w:rsid w:val="009B686B"/>
    <w:rsid w:val="009B6CE2"/>
    <w:rsid w:val="009B7386"/>
    <w:rsid w:val="009B771C"/>
    <w:rsid w:val="009C0077"/>
    <w:rsid w:val="009C05E7"/>
    <w:rsid w:val="009C0700"/>
    <w:rsid w:val="009C0754"/>
    <w:rsid w:val="009C0A6C"/>
    <w:rsid w:val="009C0D21"/>
    <w:rsid w:val="009C12CD"/>
    <w:rsid w:val="009C16AF"/>
    <w:rsid w:val="009C16FD"/>
    <w:rsid w:val="009C1A13"/>
    <w:rsid w:val="009C24D7"/>
    <w:rsid w:val="009C2B97"/>
    <w:rsid w:val="009C3182"/>
    <w:rsid w:val="009C3327"/>
    <w:rsid w:val="009C3A2A"/>
    <w:rsid w:val="009C444C"/>
    <w:rsid w:val="009C4DD1"/>
    <w:rsid w:val="009C575D"/>
    <w:rsid w:val="009C5774"/>
    <w:rsid w:val="009C5C55"/>
    <w:rsid w:val="009C5C66"/>
    <w:rsid w:val="009C5CCE"/>
    <w:rsid w:val="009C5D24"/>
    <w:rsid w:val="009C5FDF"/>
    <w:rsid w:val="009C611F"/>
    <w:rsid w:val="009C6CBC"/>
    <w:rsid w:val="009C7632"/>
    <w:rsid w:val="009C7637"/>
    <w:rsid w:val="009C79EB"/>
    <w:rsid w:val="009C7CDA"/>
    <w:rsid w:val="009D015D"/>
    <w:rsid w:val="009D0A97"/>
    <w:rsid w:val="009D1410"/>
    <w:rsid w:val="009D1578"/>
    <w:rsid w:val="009D18E6"/>
    <w:rsid w:val="009D2137"/>
    <w:rsid w:val="009D38E7"/>
    <w:rsid w:val="009D3BFF"/>
    <w:rsid w:val="009D3DDF"/>
    <w:rsid w:val="009D3E8F"/>
    <w:rsid w:val="009D4329"/>
    <w:rsid w:val="009D4C7D"/>
    <w:rsid w:val="009D4DA1"/>
    <w:rsid w:val="009D522D"/>
    <w:rsid w:val="009D5A0B"/>
    <w:rsid w:val="009D5A60"/>
    <w:rsid w:val="009D5C3D"/>
    <w:rsid w:val="009D5F44"/>
    <w:rsid w:val="009D6322"/>
    <w:rsid w:val="009D697F"/>
    <w:rsid w:val="009D69E3"/>
    <w:rsid w:val="009D6CDF"/>
    <w:rsid w:val="009D6FC8"/>
    <w:rsid w:val="009D7060"/>
    <w:rsid w:val="009D73D5"/>
    <w:rsid w:val="009D7E8F"/>
    <w:rsid w:val="009E0AD0"/>
    <w:rsid w:val="009E1275"/>
    <w:rsid w:val="009E1421"/>
    <w:rsid w:val="009E188D"/>
    <w:rsid w:val="009E1F6F"/>
    <w:rsid w:val="009E2245"/>
    <w:rsid w:val="009E2C79"/>
    <w:rsid w:val="009E2D29"/>
    <w:rsid w:val="009E2D85"/>
    <w:rsid w:val="009E3A2E"/>
    <w:rsid w:val="009E3E06"/>
    <w:rsid w:val="009E4975"/>
    <w:rsid w:val="009E646F"/>
    <w:rsid w:val="009E67F0"/>
    <w:rsid w:val="009E68D3"/>
    <w:rsid w:val="009E6BE3"/>
    <w:rsid w:val="009E6CD6"/>
    <w:rsid w:val="009E6EA9"/>
    <w:rsid w:val="009E734B"/>
    <w:rsid w:val="009E7807"/>
    <w:rsid w:val="009F08F4"/>
    <w:rsid w:val="009F0C56"/>
    <w:rsid w:val="009F1536"/>
    <w:rsid w:val="009F169F"/>
    <w:rsid w:val="009F1DD3"/>
    <w:rsid w:val="009F2AE7"/>
    <w:rsid w:val="009F30E9"/>
    <w:rsid w:val="009F321D"/>
    <w:rsid w:val="009F323A"/>
    <w:rsid w:val="009F381B"/>
    <w:rsid w:val="009F3964"/>
    <w:rsid w:val="009F41AC"/>
    <w:rsid w:val="009F4323"/>
    <w:rsid w:val="009F4F31"/>
    <w:rsid w:val="009F55BC"/>
    <w:rsid w:val="009F7829"/>
    <w:rsid w:val="009F7867"/>
    <w:rsid w:val="009F7E68"/>
    <w:rsid w:val="009F7F50"/>
    <w:rsid w:val="00A00002"/>
    <w:rsid w:val="00A00286"/>
    <w:rsid w:val="00A0066F"/>
    <w:rsid w:val="00A00C94"/>
    <w:rsid w:val="00A00F61"/>
    <w:rsid w:val="00A01D8C"/>
    <w:rsid w:val="00A01DFC"/>
    <w:rsid w:val="00A02341"/>
    <w:rsid w:val="00A02770"/>
    <w:rsid w:val="00A028E8"/>
    <w:rsid w:val="00A029B9"/>
    <w:rsid w:val="00A037AD"/>
    <w:rsid w:val="00A03F2B"/>
    <w:rsid w:val="00A047EF"/>
    <w:rsid w:val="00A05425"/>
    <w:rsid w:val="00A05496"/>
    <w:rsid w:val="00A0557E"/>
    <w:rsid w:val="00A06054"/>
    <w:rsid w:val="00A067B5"/>
    <w:rsid w:val="00A06924"/>
    <w:rsid w:val="00A06C39"/>
    <w:rsid w:val="00A06C5D"/>
    <w:rsid w:val="00A07AD5"/>
    <w:rsid w:val="00A10355"/>
    <w:rsid w:val="00A1070C"/>
    <w:rsid w:val="00A10A16"/>
    <w:rsid w:val="00A10B67"/>
    <w:rsid w:val="00A10B8F"/>
    <w:rsid w:val="00A113FB"/>
    <w:rsid w:val="00A11CCD"/>
    <w:rsid w:val="00A12ABA"/>
    <w:rsid w:val="00A12C3A"/>
    <w:rsid w:val="00A12E31"/>
    <w:rsid w:val="00A1340F"/>
    <w:rsid w:val="00A13AAC"/>
    <w:rsid w:val="00A13BDD"/>
    <w:rsid w:val="00A13FDD"/>
    <w:rsid w:val="00A142D6"/>
    <w:rsid w:val="00A143D3"/>
    <w:rsid w:val="00A14776"/>
    <w:rsid w:val="00A14FB5"/>
    <w:rsid w:val="00A15305"/>
    <w:rsid w:val="00A15D9A"/>
    <w:rsid w:val="00A16A9E"/>
    <w:rsid w:val="00A16E85"/>
    <w:rsid w:val="00A17839"/>
    <w:rsid w:val="00A20F6E"/>
    <w:rsid w:val="00A20FFF"/>
    <w:rsid w:val="00A210A4"/>
    <w:rsid w:val="00A213E6"/>
    <w:rsid w:val="00A22BC0"/>
    <w:rsid w:val="00A22EC7"/>
    <w:rsid w:val="00A23057"/>
    <w:rsid w:val="00A2324C"/>
    <w:rsid w:val="00A236C0"/>
    <w:rsid w:val="00A2383F"/>
    <w:rsid w:val="00A23EF9"/>
    <w:rsid w:val="00A24D9A"/>
    <w:rsid w:val="00A25411"/>
    <w:rsid w:val="00A25C2A"/>
    <w:rsid w:val="00A266E2"/>
    <w:rsid w:val="00A2671D"/>
    <w:rsid w:val="00A26CBB"/>
    <w:rsid w:val="00A26CD4"/>
    <w:rsid w:val="00A26D7F"/>
    <w:rsid w:val="00A26FAD"/>
    <w:rsid w:val="00A270C3"/>
    <w:rsid w:val="00A301D3"/>
    <w:rsid w:val="00A30241"/>
    <w:rsid w:val="00A30733"/>
    <w:rsid w:val="00A31050"/>
    <w:rsid w:val="00A31435"/>
    <w:rsid w:val="00A31B2E"/>
    <w:rsid w:val="00A32012"/>
    <w:rsid w:val="00A321DA"/>
    <w:rsid w:val="00A322A2"/>
    <w:rsid w:val="00A322EE"/>
    <w:rsid w:val="00A325E2"/>
    <w:rsid w:val="00A32B27"/>
    <w:rsid w:val="00A3342E"/>
    <w:rsid w:val="00A33AE7"/>
    <w:rsid w:val="00A34171"/>
    <w:rsid w:val="00A34D26"/>
    <w:rsid w:val="00A35194"/>
    <w:rsid w:val="00A35392"/>
    <w:rsid w:val="00A3563E"/>
    <w:rsid w:val="00A35ABA"/>
    <w:rsid w:val="00A35BFC"/>
    <w:rsid w:val="00A366AF"/>
    <w:rsid w:val="00A37BF5"/>
    <w:rsid w:val="00A37D96"/>
    <w:rsid w:val="00A37F84"/>
    <w:rsid w:val="00A40182"/>
    <w:rsid w:val="00A40253"/>
    <w:rsid w:val="00A40D12"/>
    <w:rsid w:val="00A41B32"/>
    <w:rsid w:val="00A4273C"/>
    <w:rsid w:val="00A42869"/>
    <w:rsid w:val="00A4366B"/>
    <w:rsid w:val="00A45408"/>
    <w:rsid w:val="00A45E00"/>
    <w:rsid w:val="00A46912"/>
    <w:rsid w:val="00A46BAD"/>
    <w:rsid w:val="00A470D4"/>
    <w:rsid w:val="00A47175"/>
    <w:rsid w:val="00A473CC"/>
    <w:rsid w:val="00A5075D"/>
    <w:rsid w:val="00A5077D"/>
    <w:rsid w:val="00A50819"/>
    <w:rsid w:val="00A510E9"/>
    <w:rsid w:val="00A51728"/>
    <w:rsid w:val="00A519DE"/>
    <w:rsid w:val="00A51DBE"/>
    <w:rsid w:val="00A52B55"/>
    <w:rsid w:val="00A5304F"/>
    <w:rsid w:val="00A5309A"/>
    <w:rsid w:val="00A535ED"/>
    <w:rsid w:val="00A54274"/>
    <w:rsid w:val="00A54ABE"/>
    <w:rsid w:val="00A54BBA"/>
    <w:rsid w:val="00A553E7"/>
    <w:rsid w:val="00A5578A"/>
    <w:rsid w:val="00A55946"/>
    <w:rsid w:val="00A56044"/>
    <w:rsid w:val="00A56435"/>
    <w:rsid w:val="00A5664C"/>
    <w:rsid w:val="00A5669F"/>
    <w:rsid w:val="00A56C7D"/>
    <w:rsid w:val="00A57715"/>
    <w:rsid w:val="00A57EC5"/>
    <w:rsid w:val="00A57F81"/>
    <w:rsid w:val="00A6104B"/>
    <w:rsid w:val="00A61832"/>
    <w:rsid w:val="00A61C89"/>
    <w:rsid w:val="00A620C9"/>
    <w:rsid w:val="00A62715"/>
    <w:rsid w:val="00A62E44"/>
    <w:rsid w:val="00A62F40"/>
    <w:rsid w:val="00A634F3"/>
    <w:rsid w:val="00A63AC1"/>
    <w:rsid w:val="00A64467"/>
    <w:rsid w:val="00A65900"/>
    <w:rsid w:val="00A6625B"/>
    <w:rsid w:val="00A66722"/>
    <w:rsid w:val="00A668DD"/>
    <w:rsid w:val="00A669CC"/>
    <w:rsid w:val="00A66AAD"/>
    <w:rsid w:val="00A66B24"/>
    <w:rsid w:val="00A66DEB"/>
    <w:rsid w:val="00A672C2"/>
    <w:rsid w:val="00A674E1"/>
    <w:rsid w:val="00A676FD"/>
    <w:rsid w:val="00A67FEF"/>
    <w:rsid w:val="00A709BB"/>
    <w:rsid w:val="00A70ACE"/>
    <w:rsid w:val="00A7294D"/>
    <w:rsid w:val="00A744CC"/>
    <w:rsid w:val="00A74B5A"/>
    <w:rsid w:val="00A7577D"/>
    <w:rsid w:val="00A75841"/>
    <w:rsid w:val="00A76042"/>
    <w:rsid w:val="00A760A0"/>
    <w:rsid w:val="00A761E0"/>
    <w:rsid w:val="00A76A06"/>
    <w:rsid w:val="00A7734B"/>
    <w:rsid w:val="00A801CB"/>
    <w:rsid w:val="00A80E67"/>
    <w:rsid w:val="00A80F6A"/>
    <w:rsid w:val="00A8165F"/>
    <w:rsid w:val="00A81C2D"/>
    <w:rsid w:val="00A81D52"/>
    <w:rsid w:val="00A83619"/>
    <w:rsid w:val="00A83673"/>
    <w:rsid w:val="00A836A3"/>
    <w:rsid w:val="00A83C89"/>
    <w:rsid w:val="00A84220"/>
    <w:rsid w:val="00A845AE"/>
    <w:rsid w:val="00A85040"/>
    <w:rsid w:val="00A851BC"/>
    <w:rsid w:val="00A85937"/>
    <w:rsid w:val="00A861FF"/>
    <w:rsid w:val="00A866B1"/>
    <w:rsid w:val="00A86725"/>
    <w:rsid w:val="00A86ABA"/>
    <w:rsid w:val="00A86CD4"/>
    <w:rsid w:val="00A87511"/>
    <w:rsid w:val="00A87743"/>
    <w:rsid w:val="00A87B3F"/>
    <w:rsid w:val="00A87D4D"/>
    <w:rsid w:val="00A90128"/>
    <w:rsid w:val="00A90470"/>
    <w:rsid w:val="00A90784"/>
    <w:rsid w:val="00A915BD"/>
    <w:rsid w:val="00A93D73"/>
    <w:rsid w:val="00A9460C"/>
    <w:rsid w:val="00A94AC8"/>
    <w:rsid w:val="00A9581B"/>
    <w:rsid w:val="00A95AC9"/>
    <w:rsid w:val="00A95BB2"/>
    <w:rsid w:val="00A96CF8"/>
    <w:rsid w:val="00A970E9"/>
    <w:rsid w:val="00A9721C"/>
    <w:rsid w:val="00A977A7"/>
    <w:rsid w:val="00AA0147"/>
    <w:rsid w:val="00AA0BB6"/>
    <w:rsid w:val="00AA0E70"/>
    <w:rsid w:val="00AA11F4"/>
    <w:rsid w:val="00AA1391"/>
    <w:rsid w:val="00AA16C1"/>
    <w:rsid w:val="00AA2A17"/>
    <w:rsid w:val="00AA3048"/>
    <w:rsid w:val="00AA342F"/>
    <w:rsid w:val="00AA3A97"/>
    <w:rsid w:val="00AA439B"/>
    <w:rsid w:val="00AA4960"/>
    <w:rsid w:val="00AA55E5"/>
    <w:rsid w:val="00AA57E1"/>
    <w:rsid w:val="00AA5A14"/>
    <w:rsid w:val="00AA5C4A"/>
    <w:rsid w:val="00AA627C"/>
    <w:rsid w:val="00AA65BE"/>
    <w:rsid w:val="00AA6879"/>
    <w:rsid w:val="00AA69C0"/>
    <w:rsid w:val="00AA6FA6"/>
    <w:rsid w:val="00AA7AA9"/>
    <w:rsid w:val="00AA7CF0"/>
    <w:rsid w:val="00AA7D47"/>
    <w:rsid w:val="00AB0CEB"/>
    <w:rsid w:val="00AB0D59"/>
    <w:rsid w:val="00AB1204"/>
    <w:rsid w:val="00AB195E"/>
    <w:rsid w:val="00AB2E27"/>
    <w:rsid w:val="00AB34ED"/>
    <w:rsid w:val="00AB42D4"/>
    <w:rsid w:val="00AB49B0"/>
    <w:rsid w:val="00AB4CFE"/>
    <w:rsid w:val="00AB55F5"/>
    <w:rsid w:val="00AB57D2"/>
    <w:rsid w:val="00AB57E6"/>
    <w:rsid w:val="00AB5870"/>
    <w:rsid w:val="00AB5A2F"/>
    <w:rsid w:val="00AB5AD7"/>
    <w:rsid w:val="00AB5B42"/>
    <w:rsid w:val="00AB5C14"/>
    <w:rsid w:val="00AB6333"/>
    <w:rsid w:val="00AB6F21"/>
    <w:rsid w:val="00AB7664"/>
    <w:rsid w:val="00AB7DE5"/>
    <w:rsid w:val="00AB7E01"/>
    <w:rsid w:val="00AC16C9"/>
    <w:rsid w:val="00AC1B2F"/>
    <w:rsid w:val="00AC23D8"/>
    <w:rsid w:val="00AC354D"/>
    <w:rsid w:val="00AC37B0"/>
    <w:rsid w:val="00AC3F34"/>
    <w:rsid w:val="00AC4341"/>
    <w:rsid w:val="00AC451E"/>
    <w:rsid w:val="00AC4785"/>
    <w:rsid w:val="00AC4ABE"/>
    <w:rsid w:val="00AC4C52"/>
    <w:rsid w:val="00AC4FCF"/>
    <w:rsid w:val="00AC4FE7"/>
    <w:rsid w:val="00AC5182"/>
    <w:rsid w:val="00AC5723"/>
    <w:rsid w:val="00AC6FF5"/>
    <w:rsid w:val="00AC7155"/>
    <w:rsid w:val="00AC77B7"/>
    <w:rsid w:val="00AC7C6D"/>
    <w:rsid w:val="00AC7FDA"/>
    <w:rsid w:val="00AD0FCF"/>
    <w:rsid w:val="00AD1026"/>
    <w:rsid w:val="00AD350B"/>
    <w:rsid w:val="00AD37D9"/>
    <w:rsid w:val="00AD3ABF"/>
    <w:rsid w:val="00AD4442"/>
    <w:rsid w:val="00AD4A0A"/>
    <w:rsid w:val="00AD4B29"/>
    <w:rsid w:val="00AD5008"/>
    <w:rsid w:val="00AD5FA3"/>
    <w:rsid w:val="00AD6C02"/>
    <w:rsid w:val="00AD6D7F"/>
    <w:rsid w:val="00AD6FC5"/>
    <w:rsid w:val="00AD7013"/>
    <w:rsid w:val="00AE03A5"/>
    <w:rsid w:val="00AE0B05"/>
    <w:rsid w:val="00AE101C"/>
    <w:rsid w:val="00AE121B"/>
    <w:rsid w:val="00AE1759"/>
    <w:rsid w:val="00AE205B"/>
    <w:rsid w:val="00AE22B7"/>
    <w:rsid w:val="00AE26AD"/>
    <w:rsid w:val="00AE278C"/>
    <w:rsid w:val="00AE27D0"/>
    <w:rsid w:val="00AE3506"/>
    <w:rsid w:val="00AE351D"/>
    <w:rsid w:val="00AE36A5"/>
    <w:rsid w:val="00AE3715"/>
    <w:rsid w:val="00AE3EFD"/>
    <w:rsid w:val="00AE4610"/>
    <w:rsid w:val="00AE4D72"/>
    <w:rsid w:val="00AE4EC1"/>
    <w:rsid w:val="00AE4F59"/>
    <w:rsid w:val="00AE4FEE"/>
    <w:rsid w:val="00AE544C"/>
    <w:rsid w:val="00AE5AD8"/>
    <w:rsid w:val="00AE5BDE"/>
    <w:rsid w:val="00AE5C3A"/>
    <w:rsid w:val="00AE64CF"/>
    <w:rsid w:val="00AE6626"/>
    <w:rsid w:val="00AE73E9"/>
    <w:rsid w:val="00AF0DBC"/>
    <w:rsid w:val="00AF2575"/>
    <w:rsid w:val="00AF2C4A"/>
    <w:rsid w:val="00AF2E6E"/>
    <w:rsid w:val="00AF3059"/>
    <w:rsid w:val="00AF3060"/>
    <w:rsid w:val="00AF3684"/>
    <w:rsid w:val="00AF381E"/>
    <w:rsid w:val="00AF40D0"/>
    <w:rsid w:val="00AF431E"/>
    <w:rsid w:val="00AF4B49"/>
    <w:rsid w:val="00AF4E42"/>
    <w:rsid w:val="00AF51C3"/>
    <w:rsid w:val="00AF543F"/>
    <w:rsid w:val="00AF58B8"/>
    <w:rsid w:val="00AF633F"/>
    <w:rsid w:val="00AF6B41"/>
    <w:rsid w:val="00AF6E8C"/>
    <w:rsid w:val="00AF6EC8"/>
    <w:rsid w:val="00AF6F23"/>
    <w:rsid w:val="00B0014B"/>
    <w:rsid w:val="00B00601"/>
    <w:rsid w:val="00B00E6F"/>
    <w:rsid w:val="00B010B7"/>
    <w:rsid w:val="00B01743"/>
    <w:rsid w:val="00B02EE5"/>
    <w:rsid w:val="00B030A4"/>
    <w:rsid w:val="00B04075"/>
    <w:rsid w:val="00B04A48"/>
    <w:rsid w:val="00B04C17"/>
    <w:rsid w:val="00B05027"/>
    <w:rsid w:val="00B05505"/>
    <w:rsid w:val="00B05BC8"/>
    <w:rsid w:val="00B05E50"/>
    <w:rsid w:val="00B05F1D"/>
    <w:rsid w:val="00B05F2E"/>
    <w:rsid w:val="00B060F2"/>
    <w:rsid w:val="00B06183"/>
    <w:rsid w:val="00B068A6"/>
    <w:rsid w:val="00B069BA"/>
    <w:rsid w:val="00B06D29"/>
    <w:rsid w:val="00B1015E"/>
    <w:rsid w:val="00B101D6"/>
    <w:rsid w:val="00B10E91"/>
    <w:rsid w:val="00B11485"/>
    <w:rsid w:val="00B1160E"/>
    <w:rsid w:val="00B12421"/>
    <w:rsid w:val="00B12513"/>
    <w:rsid w:val="00B1285C"/>
    <w:rsid w:val="00B12860"/>
    <w:rsid w:val="00B12885"/>
    <w:rsid w:val="00B129E0"/>
    <w:rsid w:val="00B137BB"/>
    <w:rsid w:val="00B13AF7"/>
    <w:rsid w:val="00B13C7A"/>
    <w:rsid w:val="00B140A1"/>
    <w:rsid w:val="00B1430A"/>
    <w:rsid w:val="00B145CC"/>
    <w:rsid w:val="00B1486C"/>
    <w:rsid w:val="00B148D0"/>
    <w:rsid w:val="00B15216"/>
    <w:rsid w:val="00B15B27"/>
    <w:rsid w:val="00B17039"/>
    <w:rsid w:val="00B174C6"/>
    <w:rsid w:val="00B17C9E"/>
    <w:rsid w:val="00B207C1"/>
    <w:rsid w:val="00B20EAE"/>
    <w:rsid w:val="00B2131C"/>
    <w:rsid w:val="00B213C6"/>
    <w:rsid w:val="00B21902"/>
    <w:rsid w:val="00B21E85"/>
    <w:rsid w:val="00B2205F"/>
    <w:rsid w:val="00B22A9D"/>
    <w:rsid w:val="00B23252"/>
    <w:rsid w:val="00B2328A"/>
    <w:rsid w:val="00B23324"/>
    <w:rsid w:val="00B234EB"/>
    <w:rsid w:val="00B242C6"/>
    <w:rsid w:val="00B2450E"/>
    <w:rsid w:val="00B24EAB"/>
    <w:rsid w:val="00B2567C"/>
    <w:rsid w:val="00B25894"/>
    <w:rsid w:val="00B25A5A"/>
    <w:rsid w:val="00B26123"/>
    <w:rsid w:val="00B261A7"/>
    <w:rsid w:val="00B26A22"/>
    <w:rsid w:val="00B26F98"/>
    <w:rsid w:val="00B27A6F"/>
    <w:rsid w:val="00B27B83"/>
    <w:rsid w:val="00B30475"/>
    <w:rsid w:val="00B304F4"/>
    <w:rsid w:val="00B30EEC"/>
    <w:rsid w:val="00B3165C"/>
    <w:rsid w:val="00B31A62"/>
    <w:rsid w:val="00B31AB7"/>
    <w:rsid w:val="00B31FFE"/>
    <w:rsid w:val="00B32113"/>
    <w:rsid w:val="00B33861"/>
    <w:rsid w:val="00B340D5"/>
    <w:rsid w:val="00B34689"/>
    <w:rsid w:val="00B34A84"/>
    <w:rsid w:val="00B3503F"/>
    <w:rsid w:val="00B352F1"/>
    <w:rsid w:val="00B35514"/>
    <w:rsid w:val="00B3642B"/>
    <w:rsid w:val="00B365CC"/>
    <w:rsid w:val="00B36BCB"/>
    <w:rsid w:val="00B36FDC"/>
    <w:rsid w:val="00B37097"/>
    <w:rsid w:val="00B37618"/>
    <w:rsid w:val="00B37AB3"/>
    <w:rsid w:val="00B40BAF"/>
    <w:rsid w:val="00B425F1"/>
    <w:rsid w:val="00B42AD4"/>
    <w:rsid w:val="00B42EC0"/>
    <w:rsid w:val="00B4432C"/>
    <w:rsid w:val="00B44958"/>
    <w:rsid w:val="00B451E6"/>
    <w:rsid w:val="00B45220"/>
    <w:rsid w:val="00B45330"/>
    <w:rsid w:val="00B45AE9"/>
    <w:rsid w:val="00B45EC7"/>
    <w:rsid w:val="00B46384"/>
    <w:rsid w:val="00B47149"/>
    <w:rsid w:val="00B47A7D"/>
    <w:rsid w:val="00B47D66"/>
    <w:rsid w:val="00B47EAA"/>
    <w:rsid w:val="00B5022C"/>
    <w:rsid w:val="00B50BD8"/>
    <w:rsid w:val="00B50EAF"/>
    <w:rsid w:val="00B51E04"/>
    <w:rsid w:val="00B52045"/>
    <w:rsid w:val="00B521AB"/>
    <w:rsid w:val="00B52D47"/>
    <w:rsid w:val="00B53762"/>
    <w:rsid w:val="00B53C9A"/>
    <w:rsid w:val="00B54D4E"/>
    <w:rsid w:val="00B54FC1"/>
    <w:rsid w:val="00B5500B"/>
    <w:rsid w:val="00B55199"/>
    <w:rsid w:val="00B5553B"/>
    <w:rsid w:val="00B558CE"/>
    <w:rsid w:val="00B55C59"/>
    <w:rsid w:val="00B56544"/>
    <w:rsid w:val="00B56A08"/>
    <w:rsid w:val="00B56A34"/>
    <w:rsid w:val="00B570D9"/>
    <w:rsid w:val="00B577D0"/>
    <w:rsid w:val="00B578E7"/>
    <w:rsid w:val="00B57952"/>
    <w:rsid w:val="00B6007F"/>
    <w:rsid w:val="00B60B2E"/>
    <w:rsid w:val="00B61127"/>
    <w:rsid w:val="00B614AE"/>
    <w:rsid w:val="00B61B6B"/>
    <w:rsid w:val="00B61CB0"/>
    <w:rsid w:val="00B61FB3"/>
    <w:rsid w:val="00B628B1"/>
    <w:rsid w:val="00B637C7"/>
    <w:rsid w:val="00B639D7"/>
    <w:rsid w:val="00B63A2C"/>
    <w:rsid w:val="00B63B9E"/>
    <w:rsid w:val="00B63CE9"/>
    <w:rsid w:val="00B64CB0"/>
    <w:rsid w:val="00B64FDF"/>
    <w:rsid w:val="00B652BB"/>
    <w:rsid w:val="00B65BF4"/>
    <w:rsid w:val="00B65EA4"/>
    <w:rsid w:val="00B663E3"/>
    <w:rsid w:val="00B66692"/>
    <w:rsid w:val="00B66F51"/>
    <w:rsid w:val="00B6739C"/>
    <w:rsid w:val="00B70815"/>
    <w:rsid w:val="00B70BE3"/>
    <w:rsid w:val="00B712CD"/>
    <w:rsid w:val="00B719A9"/>
    <w:rsid w:val="00B71A75"/>
    <w:rsid w:val="00B71D3A"/>
    <w:rsid w:val="00B71DFC"/>
    <w:rsid w:val="00B71F1F"/>
    <w:rsid w:val="00B720CF"/>
    <w:rsid w:val="00B72343"/>
    <w:rsid w:val="00B72684"/>
    <w:rsid w:val="00B73A3D"/>
    <w:rsid w:val="00B73E3F"/>
    <w:rsid w:val="00B742C5"/>
    <w:rsid w:val="00B769CE"/>
    <w:rsid w:val="00B769F5"/>
    <w:rsid w:val="00B76AF7"/>
    <w:rsid w:val="00B76E5C"/>
    <w:rsid w:val="00B76EF5"/>
    <w:rsid w:val="00B7702B"/>
    <w:rsid w:val="00B80470"/>
    <w:rsid w:val="00B808F9"/>
    <w:rsid w:val="00B80EA9"/>
    <w:rsid w:val="00B825DE"/>
    <w:rsid w:val="00B828AB"/>
    <w:rsid w:val="00B83692"/>
    <w:rsid w:val="00B83F50"/>
    <w:rsid w:val="00B84200"/>
    <w:rsid w:val="00B84865"/>
    <w:rsid w:val="00B84FB3"/>
    <w:rsid w:val="00B85882"/>
    <w:rsid w:val="00B86F38"/>
    <w:rsid w:val="00B87AF2"/>
    <w:rsid w:val="00B87D3E"/>
    <w:rsid w:val="00B90283"/>
    <w:rsid w:val="00B906A5"/>
    <w:rsid w:val="00B9138E"/>
    <w:rsid w:val="00B91BBC"/>
    <w:rsid w:val="00B920B1"/>
    <w:rsid w:val="00B926F4"/>
    <w:rsid w:val="00B935D1"/>
    <w:rsid w:val="00B93FDD"/>
    <w:rsid w:val="00B94575"/>
    <w:rsid w:val="00B94B9E"/>
    <w:rsid w:val="00B95CB5"/>
    <w:rsid w:val="00B95ED8"/>
    <w:rsid w:val="00B96754"/>
    <w:rsid w:val="00B9685E"/>
    <w:rsid w:val="00B96A99"/>
    <w:rsid w:val="00B96C81"/>
    <w:rsid w:val="00B96E3A"/>
    <w:rsid w:val="00B97079"/>
    <w:rsid w:val="00B97894"/>
    <w:rsid w:val="00B979C7"/>
    <w:rsid w:val="00B97B88"/>
    <w:rsid w:val="00B97D5A"/>
    <w:rsid w:val="00B97F2E"/>
    <w:rsid w:val="00BA02A3"/>
    <w:rsid w:val="00BA031A"/>
    <w:rsid w:val="00BA06F4"/>
    <w:rsid w:val="00BA0DA2"/>
    <w:rsid w:val="00BA1272"/>
    <w:rsid w:val="00BA1D73"/>
    <w:rsid w:val="00BA27C5"/>
    <w:rsid w:val="00BA3CA7"/>
    <w:rsid w:val="00BA4AF9"/>
    <w:rsid w:val="00BA4EDB"/>
    <w:rsid w:val="00BA512E"/>
    <w:rsid w:val="00BA52F1"/>
    <w:rsid w:val="00BA53A2"/>
    <w:rsid w:val="00BA5823"/>
    <w:rsid w:val="00BA58D9"/>
    <w:rsid w:val="00BA65EC"/>
    <w:rsid w:val="00BA69E0"/>
    <w:rsid w:val="00BA7CB2"/>
    <w:rsid w:val="00BA7DDF"/>
    <w:rsid w:val="00BA7EDD"/>
    <w:rsid w:val="00BA7FBA"/>
    <w:rsid w:val="00BB11CF"/>
    <w:rsid w:val="00BB1590"/>
    <w:rsid w:val="00BB1E2A"/>
    <w:rsid w:val="00BB21E1"/>
    <w:rsid w:val="00BB2FEC"/>
    <w:rsid w:val="00BB45F8"/>
    <w:rsid w:val="00BB5C0C"/>
    <w:rsid w:val="00BB5DD9"/>
    <w:rsid w:val="00BB6278"/>
    <w:rsid w:val="00BB6AB9"/>
    <w:rsid w:val="00BB6CC3"/>
    <w:rsid w:val="00BB6D97"/>
    <w:rsid w:val="00BB701E"/>
    <w:rsid w:val="00BB72A4"/>
    <w:rsid w:val="00BB7A98"/>
    <w:rsid w:val="00BB7AE4"/>
    <w:rsid w:val="00BB7E92"/>
    <w:rsid w:val="00BC0E1B"/>
    <w:rsid w:val="00BC0F72"/>
    <w:rsid w:val="00BC1758"/>
    <w:rsid w:val="00BC1854"/>
    <w:rsid w:val="00BC218F"/>
    <w:rsid w:val="00BC23A9"/>
    <w:rsid w:val="00BC2869"/>
    <w:rsid w:val="00BC2E2A"/>
    <w:rsid w:val="00BC30BD"/>
    <w:rsid w:val="00BC34E3"/>
    <w:rsid w:val="00BC38E0"/>
    <w:rsid w:val="00BC3EF2"/>
    <w:rsid w:val="00BC4073"/>
    <w:rsid w:val="00BC47C6"/>
    <w:rsid w:val="00BC4D86"/>
    <w:rsid w:val="00BC52F1"/>
    <w:rsid w:val="00BC5848"/>
    <w:rsid w:val="00BC58B1"/>
    <w:rsid w:val="00BC64F0"/>
    <w:rsid w:val="00BC6C35"/>
    <w:rsid w:val="00BC73F7"/>
    <w:rsid w:val="00BC7912"/>
    <w:rsid w:val="00BC7A20"/>
    <w:rsid w:val="00BD0095"/>
    <w:rsid w:val="00BD0271"/>
    <w:rsid w:val="00BD0B9D"/>
    <w:rsid w:val="00BD17DD"/>
    <w:rsid w:val="00BD1B2C"/>
    <w:rsid w:val="00BD1FB2"/>
    <w:rsid w:val="00BD211E"/>
    <w:rsid w:val="00BD22A7"/>
    <w:rsid w:val="00BD22EF"/>
    <w:rsid w:val="00BD253A"/>
    <w:rsid w:val="00BD2901"/>
    <w:rsid w:val="00BD3428"/>
    <w:rsid w:val="00BD3593"/>
    <w:rsid w:val="00BD5286"/>
    <w:rsid w:val="00BD52D7"/>
    <w:rsid w:val="00BD6FBB"/>
    <w:rsid w:val="00BE0B5F"/>
    <w:rsid w:val="00BE100D"/>
    <w:rsid w:val="00BE233C"/>
    <w:rsid w:val="00BE2DEA"/>
    <w:rsid w:val="00BE30E0"/>
    <w:rsid w:val="00BE31D7"/>
    <w:rsid w:val="00BE3452"/>
    <w:rsid w:val="00BE3F3D"/>
    <w:rsid w:val="00BE4068"/>
    <w:rsid w:val="00BE42E4"/>
    <w:rsid w:val="00BE444E"/>
    <w:rsid w:val="00BE47E6"/>
    <w:rsid w:val="00BE50C9"/>
    <w:rsid w:val="00BE51CC"/>
    <w:rsid w:val="00BE5431"/>
    <w:rsid w:val="00BE5793"/>
    <w:rsid w:val="00BE5B6B"/>
    <w:rsid w:val="00BE5EB0"/>
    <w:rsid w:val="00BE5F79"/>
    <w:rsid w:val="00BE65B8"/>
    <w:rsid w:val="00BE6B5D"/>
    <w:rsid w:val="00BE7054"/>
    <w:rsid w:val="00BE778A"/>
    <w:rsid w:val="00BE7994"/>
    <w:rsid w:val="00BE7BF5"/>
    <w:rsid w:val="00BE7ECF"/>
    <w:rsid w:val="00BF075E"/>
    <w:rsid w:val="00BF08A2"/>
    <w:rsid w:val="00BF0A0B"/>
    <w:rsid w:val="00BF0BF6"/>
    <w:rsid w:val="00BF0C80"/>
    <w:rsid w:val="00BF0C9D"/>
    <w:rsid w:val="00BF0D06"/>
    <w:rsid w:val="00BF13F4"/>
    <w:rsid w:val="00BF1721"/>
    <w:rsid w:val="00BF1930"/>
    <w:rsid w:val="00BF1B8D"/>
    <w:rsid w:val="00BF1D4E"/>
    <w:rsid w:val="00BF2268"/>
    <w:rsid w:val="00BF24B4"/>
    <w:rsid w:val="00BF2EF4"/>
    <w:rsid w:val="00BF3033"/>
    <w:rsid w:val="00BF31C8"/>
    <w:rsid w:val="00BF3521"/>
    <w:rsid w:val="00BF3955"/>
    <w:rsid w:val="00BF39EB"/>
    <w:rsid w:val="00BF3F94"/>
    <w:rsid w:val="00BF410F"/>
    <w:rsid w:val="00BF4312"/>
    <w:rsid w:val="00BF503C"/>
    <w:rsid w:val="00BF52FA"/>
    <w:rsid w:val="00BF5713"/>
    <w:rsid w:val="00BF5D6A"/>
    <w:rsid w:val="00BF5DF7"/>
    <w:rsid w:val="00BF77A3"/>
    <w:rsid w:val="00BF7922"/>
    <w:rsid w:val="00BF79AF"/>
    <w:rsid w:val="00BF79CA"/>
    <w:rsid w:val="00BF7CAF"/>
    <w:rsid w:val="00C00388"/>
    <w:rsid w:val="00C005A1"/>
    <w:rsid w:val="00C01363"/>
    <w:rsid w:val="00C0145B"/>
    <w:rsid w:val="00C018F9"/>
    <w:rsid w:val="00C01F56"/>
    <w:rsid w:val="00C02038"/>
    <w:rsid w:val="00C023DF"/>
    <w:rsid w:val="00C028F0"/>
    <w:rsid w:val="00C02EE9"/>
    <w:rsid w:val="00C03001"/>
    <w:rsid w:val="00C03306"/>
    <w:rsid w:val="00C035C5"/>
    <w:rsid w:val="00C037DE"/>
    <w:rsid w:val="00C03EA4"/>
    <w:rsid w:val="00C040EA"/>
    <w:rsid w:val="00C04887"/>
    <w:rsid w:val="00C0502B"/>
    <w:rsid w:val="00C05118"/>
    <w:rsid w:val="00C05159"/>
    <w:rsid w:val="00C077F0"/>
    <w:rsid w:val="00C1027A"/>
    <w:rsid w:val="00C11686"/>
    <w:rsid w:val="00C11CB6"/>
    <w:rsid w:val="00C11DFB"/>
    <w:rsid w:val="00C12160"/>
    <w:rsid w:val="00C1238A"/>
    <w:rsid w:val="00C1255C"/>
    <w:rsid w:val="00C12666"/>
    <w:rsid w:val="00C128FD"/>
    <w:rsid w:val="00C1312C"/>
    <w:rsid w:val="00C1385A"/>
    <w:rsid w:val="00C13931"/>
    <w:rsid w:val="00C140CF"/>
    <w:rsid w:val="00C14428"/>
    <w:rsid w:val="00C14FE7"/>
    <w:rsid w:val="00C15025"/>
    <w:rsid w:val="00C159BB"/>
    <w:rsid w:val="00C15CEA"/>
    <w:rsid w:val="00C15D47"/>
    <w:rsid w:val="00C15EFA"/>
    <w:rsid w:val="00C15F2E"/>
    <w:rsid w:val="00C163DB"/>
    <w:rsid w:val="00C17604"/>
    <w:rsid w:val="00C17A1F"/>
    <w:rsid w:val="00C20349"/>
    <w:rsid w:val="00C2096F"/>
    <w:rsid w:val="00C20B6F"/>
    <w:rsid w:val="00C20F95"/>
    <w:rsid w:val="00C2184E"/>
    <w:rsid w:val="00C2197D"/>
    <w:rsid w:val="00C222A2"/>
    <w:rsid w:val="00C2275A"/>
    <w:rsid w:val="00C22FF8"/>
    <w:rsid w:val="00C23001"/>
    <w:rsid w:val="00C23034"/>
    <w:rsid w:val="00C2309E"/>
    <w:rsid w:val="00C23516"/>
    <w:rsid w:val="00C23A76"/>
    <w:rsid w:val="00C23B84"/>
    <w:rsid w:val="00C2438D"/>
    <w:rsid w:val="00C246C3"/>
    <w:rsid w:val="00C24813"/>
    <w:rsid w:val="00C24878"/>
    <w:rsid w:val="00C25350"/>
    <w:rsid w:val="00C254A5"/>
    <w:rsid w:val="00C257F8"/>
    <w:rsid w:val="00C25B19"/>
    <w:rsid w:val="00C25D92"/>
    <w:rsid w:val="00C26821"/>
    <w:rsid w:val="00C2742E"/>
    <w:rsid w:val="00C2780C"/>
    <w:rsid w:val="00C27EDB"/>
    <w:rsid w:val="00C30241"/>
    <w:rsid w:val="00C3029C"/>
    <w:rsid w:val="00C30567"/>
    <w:rsid w:val="00C30AEE"/>
    <w:rsid w:val="00C30D51"/>
    <w:rsid w:val="00C31545"/>
    <w:rsid w:val="00C31C59"/>
    <w:rsid w:val="00C31CE9"/>
    <w:rsid w:val="00C31F4A"/>
    <w:rsid w:val="00C3205F"/>
    <w:rsid w:val="00C326A7"/>
    <w:rsid w:val="00C33D30"/>
    <w:rsid w:val="00C342B1"/>
    <w:rsid w:val="00C34554"/>
    <w:rsid w:val="00C34696"/>
    <w:rsid w:val="00C34B8E"/>
    <w:rsid w:val="00C35790"/>
    <w:rsid w:val="00C357E3"/>
    <w:rsid w:val="00C360F7"/>
    <w:rsid w:val="00C365EA"/>
    <w:rsid w:val="00C3668A"/>
    <w:rsid w:val="00C36E43"/>
    <w:rsid w:val="00C37560"/>
    <w:rsid w:val="00C37F1F"/>
    <w:rsid w:val="00C40210"/>
    <w:rsid w:val="00C403E8"/>
    <w:rsid w:val="00C40DF9"/>
    <w:rsid w:val="00C42229"/>
    <w:rsid w:val="00C4264A"/>
    <w:rsid w:val="00C4299D"/>
    <w:rsid w:val="00C429D2"/>
    <w:rsid w:val="00C4321D"/>
    <w:rsid w:val="00C44346"/>
    <w:rsid w:val="00C447EA"/>
    <w:rsid w:val="00C4497A"/>
    <w:rsid w:val="00C44CB0"/>
    <w:rsid w:val="00C45343"/>
    <w:rsid w:val="00C455FE"/>
    <w:rsid w:val="00C45652"/>
    <w:rsid w:val="00C45B12"/>
    <w:rsid w:val="00C462C7"/>
    <w:rsid w:val="00C470CD"/>
    <w:rsid w:val="00C50518"/>
    <w:rsid w:val="00C50A24"/>
    <w:rsid w:val="00C511C2"/>
    <w:rsid w:val="00C52589"/>
    <w:rsid w:val="00C52654"/>
    <w:rsid w:val="00C53005"/>
    <w:rsid w:val="00C54088"/>
    <w:rsid w:val="00C5496F"/>
    <w:rsid w:val="00C54CC0"/>
    <w:rsid w:val="00C54E36"/>
    <w:rsid w:val="00C55408"/>
    <w:rsid w:val="00C5593E"/>
    <w:rsid w:val="00C55F5E"/>
    <w:rsid w:val="00C55FAE"/>
    <w:rsid w:val="00C55FC1"/>
    <w:rsid w:val="00C5608B"/>
    <w:rsid w:val="00C56732"/>
    <w:rsid w:val="00C56DE9"/>
    <w:rsid w:val="00C57A35"/>
    <w:rsid w:val="00C600E0"/>
    <w:rsid w:val="00C603A8"/>
    <w:rsid w:val="00C607A4"/>
    <w:rsid w:val="00C60BE0"/>
    <w:rsid w:val="00C61757"/>
    <w:rsid w:val="00C626DC"/>
    <w:rsid w:val="00C62FD6"/>
    <w:rsid w:val="00C630AF"/>
    <w:rsid w:val="00C63183"/>
    <w:rsid w:val="00C63323"/>
    <w:rsid w:val="00C638D0"/>
    <w:rsid w:val="00C64A7A"/>
    <w:rsid w:val="00C658AB"/>
    <w:rsid w:val="00C66410"/>
    <w:rsid w:val="00C6688C"/>
    <w:rsid w:val="00C66CE4"/>
    <w:rsid w:val="00C671AB"/>
    <w:rsid w:val="00C67972"/>
    <w:rsid w:val="00C67DF1"/>
    <w:rsid w:val="00C67E3F"/>
    <w:rsid w:val="00C67EC2"/>
    <w:rsid w:val="00C7025C"/>
    <w:rsid w:val="00C71287"/>
    <w:rsid w:val="00C7157E"/>
    <w:rsid w:val="00C71A5F"/>
    <w:rsid w:val="00C71BE1"/>
    <w:rsid w:val="00C71D23"/>
    <w:rsid w:val="00C721B6"/>
    <w:rsid w:val="00C72429"/>
    <w:rsid w:val="00C726A7"/>
    <w:rsid w:val="00C73780"/>
    <w:rsid w:val="00C73985"/>
    <w:rsid w:val="00C7434B"/>
    <w:rsid w:val="00C74B91"/>
    <w:rsid w:val="00C74CD3"/>
    <w:rsid w:val="00C74EB8"/>
    <w:rsid w:val="00C75CF1"/>
    <w:rsid w:val="00C75D87"/>
    <w:rsid w:val="00C75ED5"/>
    <w:rsid w:val="00C760EB"/>
    <w:rsid w:val="00C7650B"/>
    <w:rsid w:val="00C76654"/>
    <w:rsid w:val="00C76914"/>
    <w:rsid w:val="00C769D1"/>
    <w:rsid w:val="00C76B48"/>
    <w:rsid w:val="00C803B5"/>
    <w:rsid w:val="00C806F4"/>
    <w:rsid w:val="00C8093F"/>
    <w:rsid w:val="00C80AAE"/>
    <w:rsid w:val="00C81998"/>
    <w:rsid w:val="00C81C85"/>
    <w:rsid w:val="00C81C9A"/>
    <w:rsid w:val="00C81DDD"/>
    <w:rsid w:val="00C82B00"/>
    <w:rsid w:val="00C82BFB"/>
    <w:rsid w:val="00C846B4"/>
    <w:rsid w:val="00C84990"/>
    <w:rsid w:val="00C8551F"/>
    <w:rsid w:val="00C85623"/>
    <w:rsid w:val="00C85807"/>
    <w:rsid w:val="00C861A3"/>
    <w:rsid w:val="00C86883"/>
    <w:rsid w:val="00C868E0"/>
    <w:rsid w:val="00C86B2F"/>
    <w:rsid w:val="00C86DE0"/>
    <w:rsid w:val="00C870AE"/>
    <w:rsid w:val="00C87954"/>
    <w:rsid w:val="00C87AA9"/>
    <w:rsid w:val="00C87E59"/>
    <w:rsid w:val="00C9004D"/>
    <w:rsid w:val="00C900CF"/>
    <w:rsid w:val="00C903D9"/>
    <w:rsid w:val="00C9063E"/>
    <w:rsid w:val="00C90A85"/>
    <w:rsid w:val="00C90B76"/>
    <w:rsid w:val="00C912E0"/>
    <w:rsid w:val="00C9140D"/>
    <w:rsid w:val="00C91431"/>
    <w:rsid w:val="00C9149A"/>
    <w:rsid w:val="00C920AC"/>
    <w:rsid w:val="00C9211D"/>
    <w:rsid w:val="00C921C4"/>
    <w:rsid w:val="00C9247A"/>
    <w:rsid w:val="00C92771"/>
    <w:rsid w:val="00C92773"/>
    <w:rsid w:val="00C92933"/>
    <w:rsid w:val="00C92B89"/>
    <w:rsid w:val="00C9310C"/>
    <w:rsid w:val="00C93202"/>
    <w:rsid w:val="00C93473"/>
    <w:rsid w:val="00C93541"/>
    <w:rsid w:val="00C93951"/>
    <w:rsid w:val="00C93E2C"/>
    <w:rsid w:val="00C93E4A"/>
    <w:rsid w:val="00C93FA0"/>
    <w:rsid w:val="00C94863"/>
    <w:rsid w:val="00C94A27"/>
    <w:rsid w:val="00C94C6D"/>
    <w:rsid w:val="00C94F07"/>
    <w:rsid w:val="00C95A48"/>
    <w:rsid w:val="00C95B23"/>
    <w:rsid w:val="00C95EFE"/>
    <w:rsid w:val="00C95F5E"/>
    <w:rsid w:val="00C96073"/>
    <w:rsid w:val="00C964BD"/>
    <w:rsid w:val="00C969C6"/>
    <w:rsid w:val="00C96F15"/>
    <w:rsid w:val="00C97D93"/>
    <w:rsid w:val="00CA05BE"/>
    <w:rsid w:val="00CA1816"/>
    <w:rsid w:val="00CA24B3"/>
    <w:rsid w:val="00CA2BE5"/>
    <w:rsid w:val="00CA2FC4"/>
    <w:rsid w:val="00CA3A85"/>
    <w:rsid w:val="00CA3E17"/>
    <w:rsid w:val="00CA44C8"/>
    <w:rsid w:val="00CA4BE1"/>
    <w:rsid w:val="00CA55AE"/>
    <w:rsid w:val="00CA572C"/>
    <w:rsid w:val="00CA5A10"/>
    <w:rsid w:val="00CA5AB1"/>
    <w:rsid w:val="00CA60AD"/>
    <w:rsid w:val="00CA63A1"/>
    <w:rsid w:val="00CB0895"/>
    <w:rsid w:val="00CB1101"/>
    <w:rsid w:val="00CB13D2"/>
    <w:rsid w:val="00CB22FB"/>
    <w:rsid w:val="00CB26F6"/>
    <w:rsid w:val="00CB2CE8"/>
    <w:rsid w:val="00CB398A"/>
    <w:rsid w:val="00CB49CD"/>
    <w:rsid w:val="00CB5239"/>
    <w:rsid w:val="00CB5DE2"/>
    <w:rsid w:val="00CB5FBC"/>
    <w:rsid w:val="00CB76F4"/>
    <w:rsid w:val="00CB7BF7"/>
    <w:rsid w:val="00CB7BF9"/>
    <w:rsid w:val="00CC026B"/>
    <w:rsid w:val="00CC09E8"/>
    <w:rsid w:val="00CC0AFF"/>
    <w:rsid w:val="00CC0C1E"/>
    <w:rsid w:val="00CC0E2F"/>
    <w:rsid w:val="00CC1B50"/>
    <w:rsid w:val="00CC1C89"/>
    <w:rsid w:val="00CC1DF1"/>
    <w:rsid w:val="00CC257D"/>
    <w:rsid w:val="00CC27D3"/>
    <w:rsid w:val="00CC3D96"/>
    <w:rsid w:val="00CC461F"/>
    <w:rsid w:val="00CC47C1"/>
    <w:rsid w:val="00CC4A33"/>
    <w:rsid w:val="00CC4B62"/>
    <w:rsid w:val="00CC58DE"/>
    <w:rsid w:val="00CC5CC2"/>
    <w:rsid w:val="00CC5E99"/>
    <w:rsid w:val="00CC6F66"/>
    <w:rsid w:val="00CC6FAB"/>
    <w:rsid w:val="00CC7103"/>
    <w:rsid w:val="00CC78C8"/>
    <w:rsid w:val="00CC7B82"/>
    <w:rsid w:val="00CC7C72"/>
    <w:rsid w:val="00CC7F7B"/>
    <w:rsid w:val="00CD0590"/>
    <w:rsid w:val="00CD05A7"/>
    <w:rsid w:val="00CD06CF"/>
    <w:rsid w:val="00CD0B90"/>
    <w:rsid w:val="00CD16AF"/>
    <w:rsid w:val="00CD1A2C"/>
    <w:rsid w:val="00CD1D80"/>
    <w:rsid w:val="00CD2650"/>
    <w:rsid w:val="00CD2FD5"/>
    <w:rsid w:val="00CD35A8"/>
    <w:rsid w:val="00CD3C50"/>
    <w:rsid w:val="00CD3E5D"/>
    <w:rsid w:val="00CD4489"/>
    <w:rsid w:val="00CD4762"/>
    <w:rsid w:val="00CD4B4E"/>
    <w:rsid w:val="00CD4FF2"/>
    <w:rsid w:val="00CD5231"/>
    <w:rsid w:val="00CD58C4"/>
    <w:rsid w:val="00CD5B3D"/>
    <w:rsid w:val="00CD5B55"/>
    <w:rsid w:val="00CD68DB"/>
    <w:rsid w:val="00CD7049"/>
    <w:rsid w:val="00CD7D4D"/>
    <w:rsid w:val="00CE088F"/>
    <w:rsid w:val="00CE0FF6"/>
    <w:rsid w:val="00CE15E8"/>
    <w:rsid w:val="00CE1CB7"/>
    <w:rsid w:val="00CE231A"/>
    <w:rsid w:val="00CE28E1"/>
    <w:rsid w:val="00CE2A5F"/>
    <w:rsid w:val="00CE2D9A"/>
    <w:rsid w:val="00CE2DDB"/>
    <w:rsid w:val="00CE3586"/>
    <w:rsid w:val="00CE36FB"/>
    <w:rsid w:val="00CE416C"/>
    <w:rsid w:val="00CE4514"/>
    <w:rsid w:val="00CE45A5"/>
    <w:rsid w:val="00CE5223"/>
    <w:rsid w:val="00CE542E"/>
    <w:rsid w:val="00CE59F3"/>
    <w:rsid w:val="00CE5EE5"/>
    <w:rsid w:val="00CE64A3"/>
    <w:rsid w:val="00CE6B2E"/>
    <w:rsid w:val="00CE7B9E"/>
    <w:rsid w:val="00CF00AB"/>
    <w:rsid w:val="00CF0408"/>
    <w:rsid w:val="00CF12CA"/>
    <w:rsid w:val="00CF2956"/>
    <w:rsid w:val="00CF3328"/>
    <w:rsid w:val="00CF33A1"/>
    <w:rsid w:val="00CF34DA"/>
    <w:rsid w:val="00CF3C26"/>
    <w:rsid w:val="00CF3F13"/>
    <w:rsid w:val="00CF40AC"/>
    <w:rsid w:val="00CF45A9"/>
    <w:rsid w:val="00CF4D79"/>
    <w:rsid w:val="00CF50AE"/>
    <w:rsid w:val="00CF5548"/>
    <w:rsid w:val="00CF61F4"/>
    <w:rsid w:val="00CF671E"/>
    <w:rsid w:val="00CF6817"/>
    <w:rsid w:val="00CF6853"/>
    <w:rsid w:val="00CF7A66"/>
    <w:rsid w:val="00CF7B88"/>
    <w:rsid w:val="00CF7C95"/>
    <w:rsid w:val="00CF7F9A"/>
    <w:rsid w:val="00D00F66"/>
    <w:rsid w:val="00D01537"/>
    <w:rsid w:val="00D01FCC"/>
    <w:rsid w:val="00D0200B"/>
    <w:rsid w:val="00D0208D"/>
    <w:rsid w:val="00D02261"/>
    <w:rsid w:val="00D02729"/>
    <w:rsid w:val="00D02F1D"/>
    <w:rsid w:val="00D03D20"/>
    <w:rsid w:val="00D04B0A"/>
    <w:rsid w:val="00D04E9D"/>
    <w:rsid w:val="00D05E45"/>
    <w:rsid w:val="00D05E9B"/>
    <w:rsid w:val="00D05F15"/>
    <w:rsid w:val="00D061E8"/>
    <w:rsid w:val="00D06F40"/>
    <w:rsid w:val="00D07D3C"/>
    <w:rsid w:val="00D07EB6"/>
    <w:rsid w:val="00D100BD"/>
    <w:rsid w:val="00D10A4C"/>
    <w:rsid w:val="00D10FBA"/>
    <w:rsid w:val="00D11B3E"/>
    <w:rsid w:val="00D128CA"/>
    <w:rsid w:val="00D12B37"/>
    <w:rsid w:val="00D12B7B"/>
    <w:rsid w:val="00D12E8A"/>
    <w:rsid w:val="00D134B0"/>
    <w:rsid w:val="00D1365C"/>
    <w:rsid w:val="00D139A2"/>
    <w:rsid w:val="00D13D45"/>
    <w:rsid w:val="00D13FA4"/>
    <w:rsid w:val="00D142ED"/>
    <w:rsid w:val="00D14771"/>
    <w:rsid w:val="00D14BF1"/>
    <w:rsid w:val="00D16606"/>
    <w:rsid w:val="00D16D54"/>
    <w:rsid w:val="00D17520"/>
    <w:rsid w:val="00D17A2D"/>
    <w:rsid w:val="00D17E50"/>
    <w:rsid w:val="00D205B3"/>
    <w:rsid w:val="00D205CE"/>
    <w:rsid w:val="00D209AB"/>
    <w:rsid w:val="00D20CC9"/>
    <w:rsid w:val="00D21E80"/>
    <w:rsid w:val="00D22152"/>
    <w:rsid w:val="00D22271"/>
    <w:rsid w:val="00D226DD"/>
    <w:rsid w:val="00D22E70"/>
    <w:rsid w:val="00D22EAB"/>
    <w:rsid w:val="00D23008"/>
    <w:rsid w:val="00D235C9"/>
    <w:rsid w:val="00D23F86"/>
    <w:rsid w:val="00D240BE"/>
    <w:rsid w:val="00D244BF"/>
    <w:rsid w:val="00D248A8"/>
    <w:rsid w:val="00D24A26"/>
    <w:rsid w:val="00D24FB7"/>
    <w:rsid w:val="00D25061"/>
    <w:rsid w:val="00D25950"/>
    <w:rsid w:val="00D26598"/>
    <w:rsid w:val="00D26A2A"/>
    <w:rsid w:val="00D26DFA"/>
    <w:rsid w:val="00D27260"/>
    <w:rsid w:val="00D2781D"/>
    <w:rsid w:val="00D3007B"/>
    <w:rsid w:val="00D3014D"/>
    <w:rsid w:val="00D31194"/>
    <w:rsid w:val="00D31225"/>
    <w:rsid w:val="00D3135E"/>
    <w:rsid w:val="00D32542"/>
    <w:rsid w:val="00D3327C"/>
    <w:rsid w:val="00D33303"/>
    <w:rsid w:val="00D3352F"/>
    <w:rsid w:val="00D33578"/>
    <w:rsid w:val="00D33773"/>
    <w:rsid w:val="00D3387D"/>
    <w:rsid w:val="00D3426F"/>
    <w:rsid w:val="00D3494C"/>
    <w:rsid w:val="00D35077"/>
    <w:rsid w:val="00D352BC"/>
    <w:rsid w:val="00D36778"/>
    <w:rsid w:val="00D36D4C"/>
    <w:rsid w:val="00D36D50"/>
    <w:rsid w:val="00D37674"/>
    <w:rsid w:val="00D37860"/>
    <w:rsid w:val="00D37989"/>
    <w:rsid w:val="00D37A15"/>
    <w:rsid w:val="00D37B8C"/>
    <w:rsid w:val="00D37D9D"/>
    <w:rsid w:val="00D37E97"/>
    <w:rsid w:val="00D40142"/>
    <w:rsid w:val="00D401B1"/>
    <w:rsid w:val="00D40D82"/>
    <w:rsid w:val="00D413B1"/>
    <w:rsid w:val="00D41C58"/>
    <w:rsid w:val="00D41CB2"/>
    <w:rsid w:val="00D430D4"/>
    <w:rsid w:val="00D43B7B"/>
    <w:rsid w:val="00D44463"/>
    <w:rsid w:val="00D448C9"/>
    <w:rsid w:val="00D44B62"/>
    <w:rsid w:val="00D44CAC"/>
    <w:rsid w:val="00D461B4"/>
    <w:rsid w:val="00D464FA"/>
    <w:rsid w:val="00D46799"/>
    <w:rsid w:val="00D468A4"/>
    <w:rsid w:val="00D46CB6"/>
    <w:rsid w:val="00D46CD0"/>
    <w:rsid w:val="00D46EF8"/>
    <w:rsid w:val="00D47095"/>
    <w:rsid w:val="00D470B2"/>
    <w:rsid w:val="00D47458"/>
    <w:rsid w:val="00D478FA"/>
    <w:rsid w:val="00D50648"/>
    <w:rsid w:val="00D51977"/>
    <w:rsid w:val="00D523F3"/>
    <w:rsid w:val="00D52F0D"/>
    <w:rsid w:val="00D5351B"/>
    <w:rsid w:val="00D53913"/>
    <w:rsid w:val="00D53CA2"/>
    <w:rsid w:val="00D5413A"/>
    <w:rsid w:val="00D5434E"/>
    <w:rsid w:val="00D54727"/>
    <w:rsid w:val="00D54D04"/>
    <w:rsid w:val="00D54D46"/>
    <w:rsid w:val="00D54D5E"/>
    <w:rsid w:val="00D54E7A"/>
    <w:rsid w:val="00D5516B"/>
    <w:rsid w:val="00D555B5"/>
    <w:rsid w:val="00D560B7"/>
    <w:rsid w:val="00D5646F"/>
    <w:rsid w:val="00D56657"/>
    <w:rsid w:val="00D56DA8"/>
    <w:rsid w:val="00D5706B"/>
    <w:rsid w:val="00D570BB"/>
    <w:rsid w:val="00D575C4"/>
    <w:rsid w:val="00D606C7"/>
    <w:rsid w:val="00D608C8"/>
    <w:rsid w:val="00D609E9"/>
    <w:rsid w:val="00D61C88"/>
    <w:rsid w:val="00D62220"/>
    <w:rsid w:val="00D62725"/>
    <w:rsid w:val="00D6287C"/>
    <w:rsid w:val="00D63FCB"/>
    <w:rsid w:val="00D64593"/>
    <w:rsid w:val="00D64A76"/>
    <w:rsid w:val="00D64BB3"/>
    <w:rsid w:val="00D64DB6"/>
    <w:rsid w:val="00D659EA"/>
    <w:rsid w:val="00D664A4"/>
    <w:rsid w:val="00D6719B"/>
    <w:rsid w:val="00D67D91"/>
    <w:rsid w:val="00D67E0E"/>
    <w:rsid w:val="00D7081F"/>
    <w:rsid w:val="00D72150"/>
    <w:rsid w:val="00D723AF"/>
    <w:rsid w:val="00D72CA4"/>
    <w:rsid w:val="00D7362C"/>
    <w:rsid w:val="00D74C06"/>
    <w:rsid w:val="00D74E22"/>
    <w:rsid w:val="00D75166"/>
    <w:rsid w:val="00D75381"/>
    <w:rsid w:val="00D75E2E"/>
    <w:rsid w:val="00D7639F"/>
    <w:rsid w:val="00D764C2"/>
    <w:rsid w:val="00D76542"/>
    <w:rsid w:val="00D76DD3"/>
    <w:rsid w:val="00D77776"/>
    <w:rsid w:val="00D77BAB"/>
    <w:rsid w:val="00D801B7"/>
    <w:rsid w:val="00D80AD9"/>
    <w:rsid w:val="00D81075"/>
    <w:rsid w:val="00D816BE"/>
    <w:rsid w:val="00D8188E"/>
    <w:rsid w:val="00D828EA"/>
    <w:rsid w:val="00D8314F"/>
    <w:rsid w:val="00D837EB"/>
    <w:rsid w:val="00D83889"/>
    <w:rsid w:val="00D83C79"/>
    <w:rsid w:val="00D83CDA"/>
    <w:rsid w:val="00D844A0"/>
    <w:rsid w:val="00D84A30"/>
    <w:rsid w:val="00D84E6D"/>
    <w:rsid w:val="00D84F35"/>
    <w:rsid w:val="00D8523B"/>
    <w:rsid w:val="00D854CE"/>
    <w:rsid w:val="00D85847"/>
    <w:rsid w:val="00D858FC"/>
    <w:rsid w:val="00D85E40"/>
    <w:rsid w:val="00D861A2"/>
    <w:rsid w:val="00D86559"/>
    <w:rsid w:val="00D86717"/>
    <w:rsid w:val="00D86DB3"/>
    <w:rsid w:val="00D86E9C"/>
    <w:rsid w:val="00D873BF"/>
    <w:rsid w:val="00D87C49"/>
    <w:rsid w:val="00D87DDA"/>
    <w:rsid w:val="00D906D4"/>
    <w:rsid w:val="00D906D5"/>
    <w:rsid w:val="00D90A8B"/>
    <w:rsid w:val="00D90AEF"/>
    <w:rsid w:val="00D90D0C"/>
    <w:rsid w:val="00D90DF1"/>
    <w:rsid w:val="00D90F24"/>
    <w:rsid w:val="00D910A5"/>
    <w:rsid w:val="00D910B7"/>
    <w:rsid w:val="00D9128B"/>
    <w:rsid w:val="00D91769"/>
    <w:rsid w:val="00D9220D"/>
    <w:rsid w:val="00D926CD"/>
    <w:rsid w:val="00D933B7"/>
    <w:rsid w:val="00D93615"/>
    <w:rsid w:val="00D9371A"/>
    <w:rsid w:val="00D93E1A"/>
    <w:rsid w:val="00D9413B"/>
    <w:rsid w:val="00D941A9"/>
    <w:rsid w:val="00D947EC"/>
    <w:rsid w:val="00D9485D"/>
    <w:rsid w:val="00D948DA"/>
    <w:rsid w:val="00D94B32"/>
    <w:rsid w:val="00D95442"/>
    <w:rsid w:val="00D95798"/>
    <w:rsid w:val="00D960C5"/>
    <w:rsid w:val="00D97221"/>
    <w:rsid w:val="00D97B7C"/>
    <w:rsid w:val="00D97C77"/>
    <w:rsid w:val="00D97DE5"/>
    <w:rsid w:val="00DA032C"/>
    <w:rsid w:val="00DA04F6"/>
    <w:rsid w:val="00DA09FF"/>
    <w:rsid w:val="00DA16A6"/>
    <w:rsid w:val="00DA1F94"/>
    <w:rsid w:val="00DA2656"/>
    <w:rsid w:val="00DA28CF"/>
    <w:rsid w:val="00DA2CB8"/>
    <w:rsid w:val="00DA2F11"/>
    <w:rsid w:val="00DA2F17"/>
    <w:rsid w:val="00DA2F9B"/>
    <w:rsid w:val="00DA3201"/>
    <w:rsid w:val="00DA39A9"/>
    <w:rsid w:val="00DA3C0B"/>
    <w:rsid w:val="00DA3F84"/>
    <w:rsid w:val="00DA41C9"/>
    <w:rsid w:val="00DA44FA"/>
    <w:rsid w:val="00DA4960"/>
    <w:rsid w:val="00DA4E15"/>
    <w:rsid w:val="00DA5018"/>
    <w:rsid w:val="00DA51F5"/>
    <w:rsid w:val="00DA5220"/>
    <w:rsid w:val="00DA55FE"/>
    <w:rsid w:val="00DA586A"/>
    <w:rsid w:val="00DA5CB0"/>
    <w:rsid w:val="00DA5E46"/>
    <w:rsid w:val="00DA63F6"/>
    <w:rsid w:val="00DA6DD0"/>
    <w:rsid w:val="00DA7958"/>
    <w:rsid w:val="00DA7B1D"/>
    <w:rsid w:val="00DA7DBC"/>
    <w:rsid w:val="00DA7FA4"/>
    <w:rsid w:val="00DB071F"/>
    <w:rsid w:val="00DB0761"/>
    <w:rsid w:val="00DB0821"/>
    <w:rsid w:val="00DB0921"/>
    <w:rsid w:val="00DB0F52"/>
    <w:rsid w:val="00DB1939"/>
    <w:rsid w:val="00DB19FF"/>
    <w:rsid w:val="00DB26B0"/>
    <w:rsid w:val="00DB2FE1"/>
    <w:rsid w:val="00DB34A9"/>
    <w:rsid w:val="00DB395F"/>
    <w:rsid w:val="00DB3C91"/>
    <w:rsid w:val="00DB4592"/>
    <w:rsid w:val="00DB52D1"/>
    <w:rsid w:val="00DB55F2"/>
    <w:rsid w:val="00DB68C6"/>
    <w:rsid w:val="00DB6BA1"/>
    <w:rsid w:val="00DB7977"/>
    <w:rsid w:val="00DB7A04"/>
    <w:rsid w:val="00DC10A1"/>
    <w:rsid w:val="00DC1A07"/>
    <w:rsid w:val="00DC1A81"/>
    <w:rsid w:val="00DC1ABC"/>
    <w:rsid w:val="00DC1D6E"/>
    <w:rsid w:val="00DC1F24"/>
    <w:rsid w:val="00DC28C7"/>
    <w:rsid w:val="00DC2A74"/>
    <w:rsid w:val="00DC2B5B"/>
    <w:rsid w:val="00DC3521"/>
    <w:rsid w:val="00DC358B"/>
    <w:rsid w:val="00DC36CF"/>
    <w:rsid w:val="00DC3708"/>
    <w:rsid w:val="00DC42B2"/>
    <w:rsid w:val="00DC4354"/>
    <w:rsid w:val="00DC4398"/>
    <w:rsid w:val="00DC4C13"/>
    <w:rsid w:val="00DC5A10"/>
    <w:rsid w:val="00DC6DB0"/>
    <w:rsid w:val="00DC77AC"/>
    <w:rsid w:val="00DC7DD7"/>
    <w:rsid w:val="00DD05E4"/>
    <w:rsid w:val="00DD0683"/>
    <w:rsid w:val="00DD0B3A"/>
    <w:rsid w:val="00DD0F2C"/>
    <w:rsid w:val="00DD0F3F"/>
    <w:rsid w:val="00DD0F91"/>
    <w:rsid w:val="00DD1B29"/>
    <w:rsid w:val="00DD2317"/>
    <w:rsid w:val="00DD4496"/>
    <w:rsid w:val="00DD49C9"/>
    <w:rsid w:val="00DD4CE1"/>
    <w:rsid w:val="00DD5015"/>
    <w:rsid w:val="00DD5538"/>
    <w:rsid w:val="00DD55D1"/>
    <w:rsid w:val="00DD6AF7"/>
    <w:rsid w:val="00DD6B82"/>
    <w:rsid w:val="00DD6C03"/>
    <w:rsid w:val="00DD71C3"/>
    <w:rsid w:val="00DD72FE"/>
    <w:rsid w:val="00DD735B"/>
    <w:rsid w:val="00DD7401"/>
    <w:rsid w:val="00DE014C"/>
    <w:rsid w:val="00DE0715"/>
    <w:rsid w:val="00DE078E"/>
    <w:rsid w:val="00DE09DF"/>
    <w:rsid w:val="00DE0E53"/>
    <w:rsid w:val="00DE13E6"/>
    <w:rsid w:val="00DE1995"/>
    <w:rsid w:val="00DE2193"/>
    <w:rsid w:val="00DE2784"/>
    <w:rsid w:val="00DE34D6"/>
    <w:rsid w:val="00DE3788"/>
    <w:rsid w:val="00DE3B14"/>
    <w:rsid w:val="00DE40CD"/>
    <w:rsid w:val="00DE443C"/>
    <w:rsid w:val="00DE450E"/>
    <w:rsid w:val="00DE45C3"/>
    <w:rsid w:val="00DE4A10"/>
    <w:rsid w:val="00DE4E3B"/>
    <w:rsid w:val="00DE4EF1"/>
    <w:rsid w:val="00DE66E6"/>
    <w:rsid w:val="00DE6AA9"/>
    <w:rsid w:val="00DE6BE6"/>
    <w:rsid w:val="00DF0488"/>
    <w:rsid w:val="00DF05FD"/>
    <w:rsid w:val="00DF121E"/>
    <w:rsid w:val="00DF1BF5"/>
    <w:rsid w:val="00DF1F93"/>
    <w:rsid w:val="00DF2785"/>
    <w:rsid w:val="00DF289A"/>
    <w:rsid w:val="00DF2A55"/>
    <w:rsid w:val="00DF2DDA"/>
    <w:rsid w:val="00DF342D"/>
    <w:rsid w:val="00DF3847"/>
    <w:rsid w:val="00DF39E5"/>
    <w:rsid w:val="00DF409B"/>
    <w:rsid w:val="00DF48A6"/>
    <w:rsid w:val="00DF4EF7"/>
    <w:rsid w:val="00DF5331"/>
    <w:rsid w:val="00DF59ED"/>
    <w:rsid w:val="00DF6DC7"/>
    <w:rsid w:val="00DF7447"/>
    <w:rsid w:val="00DF7548"/>
    <w:rsid w:val="00DF7977"/>
    <w:rsid w:val="00DF7AF3"/>
    <w:rsid w:val="00DF7C0C"/>
    <w:rsid w:val="00E00D93"/>
    <w:rsid w:val="00E00DF6"/>
    <w:rsid w:val="00E00EE1"/>
    <w:rsid w:val="00E01775"/>
    <w:rsid w:val="00E017FE"/>
    <w:rsid w:val="00E01941"/>
    <w:rsid w:val="00E01A71"/>
    <w:rsid w:val="00E01BCF"/>
    <w:rsid w:val="00E01E1A"/>
    <w:rsid w:val="00E01E72"/>
    <w:rsid w:val="00E02272"/>
    <w:rsid w:val="00E025F2"/>
    <w:rsid w:val="00E02F22"/>
    <w:rsid w:val="00E02FAB"/>
    <w:rsid w:val="00E038A7"/>
    <w:rsid w:val="00E03BA6"/>
    <w:rsid w:val="00E042B9"/>
    <w:rsid w:val="00E044C5"/>
    <w:rsid w:val="00E04F41"/>
    <w:rsid w:val="00E05E4B"/>
    <w:rsid w:val="00E05E7F"/>
    <w:rsid w:val="00E065C7"/>
    <w:rsid w:val="00E065EE"/>
    <w:rsid w:val="00E06D17"/>
    <w:rsid w:val="00E06E20"/>
    <w:rsid w:val="00E07D17"/>
    <w:rsid w:val="00E106F2"/>
    <w:rsid w:val="00E10746"/>
    <w:rsid w:val="00E1077B"/>
    <w:rsid w:val="00E1131F"/>
    <w:rsid w:val="00E11414"/>
    <w:rsid w:val="00E11572"/>
    <w:rsid w:val="00E11EE4"/>
    <w:rsid w:val="00E12C64"/>
    <w:rsid w:val="00E12F67"/>
    <w:rsid w:val="00E13614"/>
    <w:rsid w:val="00E136F6"/>
    <w:rsid w:val="00E144B1"/>
    <w:rsid w:val="00E14529"/>
    <w:rsid w:val="00E148BD"/>
    <w:rsid w:val="00E14DE7"/>
    <w:rsid w:val="00E14E4F"/>
    <w:rsid w:val="00E1543B"/>
    <w:rsid w:val="00E15AC2"/>
    <w:rsid w:val="00E15F44"/>
    <w:rsid w:val="00E15FF3"/>
    <w:rsid w:val="00E1610D"/>
    <w:rsid w:val="00E1629F"/>
    <w:rsid w:val="00E172F7"/>
    <w:rsid w:val="00E17A48"/>
    <w:rsid w:val="00E20533"/>
    <w:rsid w:val="00E20F1C"/>
    <w:rsid w:val="00E211AB"/>
    <w:rsid w:val="00E21832"/>
    <w:rsid w:val="00E22DB8"/>
    <w:rsid w:val="00E23259"/>
    <w:rsid w:val="00E23608"/>
    <w:rsid w:val="00E24FA7"/>
    <w:rsid w:val="00E2560C"/>
    <w:rsid w:val="00E256D6"/>
    <w:rsid w:val="00E25955"/>
    <w:rsid w:val="00E26274"/>
    <w:rsid w:val="00E2664F"/>
    <w:rsid w:val="00E269CC"/>
    <w:rsid w:val="00E279A7"/>
    <w:rsid w:val="00E303B0"/>
    <w:rsid w:val="00E303D0"/>
    <w:rsid w:val="00E3062C"/>
    <w:rsid w:val="00E30EBD"/>
    <w:rsid w:val="00E3153C"/>
    <w:rsid w:val="00E31627"/>
    <w:rsid w:val="00E31D1F"/>
    <w:rsid w:val="00E3273E"/>
    <w:rsid w:val="00E32D4D"/>
    <w:rsid w:val="00E332A4"/>
    <w:rsid w:val="00E3345E"/>
    <w:rsid w:val="00E34297"/>
    <w:rsid w:val="00E34976"/>
    <w:rsid w:val="00E35941"/>
    <w:rsid w:val="00E3664D"/>
    <w:rsid w:val="00E36AF5"/>
    <w:rsid w:val="00E3743A"/>
    <w:rsid w:val="00E37E38"/>
    <w:rsid w:val="00E409AA"/>
    <w:rsid w:val="00E40D2D"/>
    <w:rsid w:val="00E4103B"/>
    <w:rsid w:val="00E41382"/>
    <w:rsid w:val="00E4138B"/>
    <w:rsid w:val="00E42CA1"/>
    <w:rsid w:val="00E4393B"/>
    <w:rsid w:val="00E44036"/>
    <w:rsid w:val="00E44680"/>
    <w:rsid w:val="00E446D2"/>
    <w:rsid w:val="00E448FD"/>
    <w:rsid w:val="00E44A13"/>
    <w:rsid w:val="00E44BC6"/>
    <w:rsid w:val="00E44C0B"/>
    <w:rsid w:val="00E4543F"/>
    <w:rsid w:val="00E4583E"/>
    <w:rsid w:val="00E4666A"/>
    <w:rsid w:val="00E46A18"/>
    <w:rsid w:val="00E472A1"/>
    <w:rsid w:val="00E4735E"/>
    <w:rsid w:val="00E47CFA"/>
    <w:rsid w:val="00E47D9C"/>
    <w:rsid w:val="00E47E8D"/>
    <w:rsid w:val="00E50E48"/>
    <w:rsid w:val="00E514EC"/>
    <w:rsid w:val="00E51A7D"/>
    <w:rsid w:val="00E524B4"/>
    <w:rsid w:val="00E524DF"/>
    <w:rsid w:val="00E528D3"/>
    <w:rsid w:val="00E52E39"/>
    <w:rsid w:val="00E53070"/>
    <w:rsid w:val="00E5315B"/>
    <w:rsid w:val="00E531A6"/>
    <w:rsid w:val="00E53640"/>
    <w:rsid w:val="00E53C50"/>
    <w:rsid w:val="00E540C3"/>
    <w:rsid w:val="00E5466C"/>
    <w:rsid w:val="00E54678"/>
    <w:rsid w:val="00E55948"/>
    <w:rsid w:val="00E55A64"/>
    <w:rsid w:val="00E56792"/>
    <w:rsid w:val="00E56852"/>
    <w:rsid w:val="00E56D6C"/>
    <w:rsid w:val="00E570AF"/>
    <w:rsid w:val="00E577F3"/>
    <w:rsid w:val="00E607D6"/>
    <w:rsid w:val="00E609FC"/>
    <w:rsid w:val="00E60B79"/>
    <w:rsid w:val="00E61049"/>
    <w:rsid w:val="00E616B8"/>
    <w:rsid w:val="00E61A2C"/>
    <w:rsid w:val="00E61B1D"/>
    <w:rsid w:val="00E61D42"/>
    <w:rsid w:val="00E61E1B"/>
    <w:rsid w:val="00E6288E"/>
    <w:rsid w:val="00E628A7"/>
    <w:rsid w:val="00E62B99"/>
    <w:rsid w:val="00E63028"/>
    <w:rsid w:val="00E63792"/>
    <w:rsid w:val="00E6379C"/>
    <w:rsid w:val="00E638BD"/>
    <w:rsid w:val="00E638C0"/>
    <w:rsid w:val="00E66E9D"/>
    <w:rsid w:val="00E67914"/>
    <w:rsid w:val="00E7029C"/>
    <w:rsid w:val="00E704A6"/>
    <w:rsid w:val="00E705A2"/>
    <w:rsid w:val="00E70717"/>
    <w:rsid w:val="00E70951"/>
    <w:rsid w:val="00E71260"/>
    <w:rsid w:val="00E71774"/>
    <w:rsid w:val="00E71996"/>
    <w:rsid w:val="00E72D3A"/>
    <w:rsid w:val="00E72F61"/>
    <w:rsid w:val="00E73102"/>
    <w:rsid w:val="00E73126"/>
    <w:rsid w:val="00E7370A"/>
    <w:rsid w:val="00E739C8"/>
    <w:rsid w:val="00E73E36"/>
    <w:rsid w:val="00E73E3C"/>
    <w:rsid w:val="00E7483F"/>
    <w:rsid w:val="00E75802"/>
    <w:rsid w:val="00E75B2F"/>
    <w:rsid w:val="00E75EA4"/>
    <w:rsid w:val="00E75FF9"/>
    <w:rsid w:val="00E76403"/>
    <w:rsid w:val="00E7692E"/>
    <w:rsid w:val="00E76D61"/>
    <w:rsid w:val="00E772E3"/>
    <w:rsid w:val="00E779D2"/>
    <w:rsid w:val="00E77E74"/>
    <w:rsid w:val="00E77F2F"/>
    <w:rsid w:val="00E801DA"/>
    <w:rsid w:val="00E80369"/>
    <w:rsid w:val="00E8071E"/>
    <w:rsid w:val="00E81087"/>
    <w:rsid w:val="00E81B64"/>
    <w:rsid w:val="00E81C71"/>
    <w:rsid w:val="00E81CE3"/>
    <w:rsid w:val="00E81E91"/>
    <w:rsid w:val="00E8222E"/>
    <w:rsid w:val="00E82830"/>
    <w:rsid w:val="00E82EBE"/>
    <w:rsid w:val="00E837D5"/>
    <w:rsid w:val="00E846F1"/>
    <w:rsid w:val="00E84C41"/>
    <w:rsid w:val="00E851EC"/>
    <w:rsid w:val="00E8541B"/>
    <w:rsid w:val="00E8546A"/>
    <w:rsid w:val="00E855ED"/>
    <w:rsid w:val="00E8577D"/>
    <w:rsid w:val="00E85807"/>
    <w:rsid w:val="00E85D55"/>
    <w:rsid w:val="00E85E15"/>
    <w:rsid w:val="00E86014"/>
    <w:rsid w:val="00E860CC"/>
    <w:rsid w:val="00E869A1"/>
    <w:rsid w:val="00E86D71"/>
    <w:rsid w:val="00E86F30"/>
    <w:rsid w:val="00E86F35"/>
    <w:rsid w:val="00E87114"/>
    <w:rsid w:val="00E8798B"/>
    <w:rsid w:val="00E87C6B"/>
    <w:rsid w:val="00E87F46"/>
    <w:rsid w:val="00E90042"/>
    <w:rsid w:val="00E905DF"/>
    <w:rsid w:val="00E90C68"/>
    <w:rsid w:val="00E914BC"/>
    <w:rsid w:val="00E91568"/>
    <w:rsid w:val="00E916B8"/>
    <w:rsid w:val="00E917D5"/>
    <w:rsid w:val="00E92141"/>
    <w:rsid w:val="00E9219E"/>
    <w:rsid w:val="00E92675"/>
    <w:rsid w:val="00E93043"/>
    <w:rsid w:val="00E93C86"/>
    <w:rsid w:val="00E94117"/>
    <w:rsid w:val="00E941D8"/>
    <w:rsid w:val="00E9482D"/>
    <w:rsid w:val="00E949A1"/>
    <w:rsid w:val="00E951FE"/>
    <w:rsid w:val="00E953F3"/>
    <w:rsid w:val="00E954E3"/>
    <w:rsid w:val="00E95D4C"/>
    <w:rsid w:val="00E96051"/>
    <w:rsid w:val="00E96196"/>
    <w:rsid w:val="00E97083"/>
    <w:rsid w:val="00E97AA4"/>
    <w:rsid w:val="00EA03A9"/>
    <w:rsid w:val="00EA0D7F"/>
    <w:rsid w:val="00EA159C"/>
    <w:rsid w:val="00EA1B8F"/>
    <w:rsid w:val="00EA1D3E"/>
    <w:rsid w:val="00EA236E"/>
    <w:rsid w:val="00EA239D"/>
    <w:rsid w:val="00EA24A1"/>
    <w:rsid w:val="00EA2504"/>
    <w:rsid w:val="00EA2CE1"/>
    <w:rsid w:val="00EA3B0D"/>
    <w:rsid w:val="00EA3B11"/>
    <w:rsid w:val="00EA3C3E"/>
    <w:rsid w:val="00EA3E40"/>
    <w:rsid w:val="00EA3EAC"/>
    <w:rsid w:val="00EA46F0"/>
    <w:rsid w:val="00EA48A4"/>
    <w:rsid w:val="00EA49A0"/>
    <w:rsid w:val="00EA4AFF"/>
    <w:rsid w:val="00EA5589"/>
    <w:rsid w:val="00EA59C4"/>
    <w:rsid w:val="00EA5F48"/>
    <w:rsid w:val="00EA6155"/>
    <w:rsid w:val="00EA680C"/>
    <w:rsid w:val="00EA6B2C"/>
    <w:rsid w:val="00EA6DE9"/>
    <w:rsid w:val="00EA6EB0"/>
    <w:rsid w:val="00EA787E"/>
    <w:rsid w:val="00EA7FE3"/>
    <w:rsid w:val="00EB03DB"/>
    <w:rsid w:val="00EB0A83"/>
    <w:rsid w:val="00EB0D63"/>
    <w:rsid w:val="00EB1167"/>
    <w:rsid w:val="00EB154D"/>
    <w:rsid w:val="00EB181E"/>
    <w:rsid w:val="00EB1B33"/>
    <w:rsid w:val="00EB1D89"/>
    <w:rsid w:val="00EB1DB0"/>
    <w:rsid w:val="00EB2393"/>
    <w:rsid w:val="00EB2616"/>
    <w:rsid w:val="00EB26D9"/>
    <w:rsid w:val="00EB2900"/>
    <w:rsid w:val="00EB2D69"/>
    <w:rsid w:val="00EB2ED8"/>
    <w:rsid w:val="00EB375C"/>
    <w:rsid w:val="00EB4184"/>
    <w:rsid w:val="00EB4803"/>
    <w:rsid w:val="00EB4A0D"/>
    <w:rsid w:val="00EB612A"/>
    <w:rsid w:val="00EB673D"/>
    <w:rsid w:val="00EB6C51"/>
    <w:rsid w:val="00EB783A"/>
    <w:rsid w:val="00EC0D79"/>
    <w:rsid w:val="00EC12E2"/>
    <w:rsid w:val="00EC155E"/>
    <w:rsid w:val="00EC1AD8"/>
    <w:rsid w:val="00EC1D7B"/>
    <w:rsid w:val="00EC234D"/>
    <w:rsid w:val="00EC3364"/>
    <w:rsid w:val="00EC44D8"/>
    <w:rsid w:val="00EC44FA"/>
    <w:rsid w:val="00EC462F"/>
    <w:rsid w:val="00EC4BBE"/>
    <w:rsid w:val="00EC56DE"/>
    <w:rsid w:val="00EC5CB9"/>
    <w:rsid w:val="00EC6001"/>
    <w:rsid w:val="00EC68DB"/>
    <w:rsid w:val="00EC6BEF"/>
    <w:rsid w:val="00EC7383"/>
    <w:rsid w:val="00EC7AF9"/>
    <w:rsid w:val="00EC7F43"/>
    <w:rsid w:val="00ED075F"/>
    <w:rsid w:val="00ED08A1"/>
    <w:rsid w:val="00ED09EA"/>
    <w:rsid w:val="00ED0A66"/>
    <w:rsid w:val="00ED0F24"/>
    <w:rsid w:val="00ED1653"/>
    <w:rsid w:val="00ED16EB"/>
    <w:rsid w:val="00ED1880"/>
    <w:rsid w:val="00ED22FD"/>
    <w:rsid w:val="00ED25C4"/>
    <w:rsid w:val="00ED3504"/>
    <w:rsid w:val="00ED3825"/>
    <w:rsid w:val="00ED438D"/>
    <w:rsid w:val="00ED5139"/>
    <w:rsid w:val="00ED51CA"/>
    <w:rsid w:val="00ED610E"/>
    <w:rsid w:val="00ED6E86"/>
    <w:rsid w:val="00ED71D3"/>
    <w:rsid w:val="00ED7AFA"/>
    <w:rsid w:val="00ED7EEF"/>
    <w:rsid w:val="00EE0225"/>
    <w:rsid w:val="00EE0BCF"/>
    <w:rsid w:val="00EE0CB6"/>
    <w:rsid w:val="00EE0D91"/>
    <w:rsid w:val="00EE195C"/>
    <w:rsid w:val="00EE1A68"/>
    <w:rsid w:val="00EE1C17"/>
    <w:rsid w:val="00EE1DB5"/>
    <w:rsid w:val="00EE21A6"/>
    <w:rsid w:val="00EE21D5"/>
    <w:rsid w:val="00EE2365"/>
    <w:rsid w:val="00EE39C9"/>
    <w:rsid w:val="00EE3B09"/>
    <w:rsid w:val="00EE3EBF"/>
    <w:rsid w:val="00EE3FCC"/>
    <w:rsid w:val="00EE42FE"/>
    <w:rsid w:val="00EE46AD"/>
    <w:rsid w:val="00EE470B"/>
    <w:rsid w:val="00EE5573"/>
    <w:rsid w:val="00EE5F1E"/>
    <w:rsid w:val="00EE6594"/>
    <w:rsid w:val="00EE69A4"/>
    <w:rsid w:val="00EE6A16"/>
    <w:rsid w:val="00EE7732"/>
    <w:rsid w:val="00EF000C"/>
    <w:rsid w:val="00EF064E"/>
    <w:rsid w:val="00EF0677"/>
    <w:rsid w:val="00EF0B1A"/>
    <w:rsid w:val="00EF0B94"/>
    <w:rsid w:val="00EF0C2F"/>
    <w:rsid w:val="00EF2936"/>
    <w:rsid w:val="00EF310B"/>
    <w:rsid w:val="00EF318E"/>
    <w:rsid w:val="00EF37F3"/>
    <w:rsid w:val="00EF383E"/>
    <w:rsid w:val="00EF3852"/>
    <w:rsid w:val="00EF3AA3"/>
    <w:rsid w:val="00EF3EBC"/>
    <w:rsid w:val="00EF4172"/>
    <w:rsid w:val="00EF4465"/>
    <w:rsid w:val="00EF4B44"/>
    <w:rsid w:val="00EF526E"/>
    <w:rsid w:val="00EF5450"/>
    <w:rsid w:val="00EF5665"/>
    <w:rsid w:val="00EF5738"/>
    <w:rsid w:val="00EF66AD"/>
    <w:rsid w:val="00EF69F7"/>
    <w:rsid w:val="00EF6CFB"/>
    <w:rsid w:val="00EF6F6D"/>
    <w:rsid w:val="00EF7F82"/>
    <w:rsid w:val="00F00976"/>
    <w:rsid w:val="00F0101C"/>
    <w:rsid w:val="00F01FB1"/>
    <w:rsid w:val="00F029BA"/>
    <w:rsid w:val="00F029C6"/>
    <w:rsid w:val="00F02A1B"/>
    <w:rsid w:val="00F032A7"/>
    <w:rsid w:val="00F037B9"/>
    <w:rsid w:val="00F038B4"/>
    <w:rsid w:val="00F04260"/>
    <w:rsid w:val="00F045E6"/>
    <w:rsid w:val="00F04DA6"/>
    <w:rsid w:val="00F05024"/>
    <w:rsid w:val="00F05330"/>
    <w:rsid w:val="00F05525"/>
    <w:rsid w:val="00F063AA"/>
    <w:rsid w:val="00F0759F"/>
    <w:rsid w:val="00F07CF2"/>
    <w:rsid w:val="00F1023C"/>
    <w:rsid w:val="00F10AA7"/>
    <w:rsid w:val="00F12FCD"/>
    <w:rsid w:val="00F131E8"/>
    <w:rsid w:val="00F132C8"/>
    <w:rsid w:val="00F1393D"/>
    <w:rsid w:val="00F13F5B"/>
    <w:rsid w:val="00F14190"/>
    <w:rsid w:val="00F146EC"/>
    <w:rsid w:val="00F15B0D"/>
    <w:rsid w:val="00F15BDB"/>
    <w:rsid w:val="00F15C7A"/>
    <w:rsid w:val="00F15CEF"/>
    <w:rsid w:val="00F16A9D"/>
    <w:rsid w:val="00F16B39"/>
    <w:rsid w:val="00F16CDC"/>
    <w:rsid w:val="00F16D7C"/>
    <w:rsid w:val="00F16E36"/>
    <w:rsid w:val="00F16FD9"/>
    <w:rsid w:val="00F170C1"/>
    <w:rsid w:val="00F17EB4"/>
    <w:rsid w:val="00F2041E"/>
    <w:rsid w:val="00F20592"/>
    <w:rsid w:val="00F20DBF"/>
    <w:rsid w:val="00F21438"/>
    <w:rsid w:val="00F21484"/>
    <w:rsid w:val="00F2162E"/>
    <w:rsid w:val="00F221D8"/>
    <w:rsid w:val="00F226A3"/>
    <w:rsid w:val="00F22D48"/>
    <w:rsid w:val="00F243A5"/>
    <w:rsid w:val="00F244B8"/>
    <w:rsid w:val="00F248C8"/>
    <w:rsid w:val="00F252E1"/>
    <w:rsid w:val="00F253D4"/>
    <w:rsid w:val="00F25926"/>
    <w:rsid w:val="00F25B41"/>
    <w:rsid w:val="00F26053"/>
    <w:rsid w:val="00F26A77"/>
    <w:rsid w:val="00F2794F"/>
    <w:rsid w:val="00F300DA"/>
    <w:rsid w:val="00F3065A"/>
    <w:rsid w:val="00F30784"/>
    <w:rsid w:val="00F30A6C"/>
    <w:rsid w:val="00F312B1"/>
    <w:rsid w:val="00F312C4"/>
    <w:rsid w:val="00F318E6"/>
    <w:rsid w:val="00F31936"/>
    <w:rsid w:val="00F3226A"/>
    <w:rsid w:val="00F32801"/>
    <w:rsid w:val="00F331DA"/>
    <w:rsid w:val="00F33758"/>
    <w:rsid w:val="00F36A95"/>
    <w:rsid w:val="00F37080"/>
    <w:rsid w:val="00F37182"/>
    <w:rsid w:val="00F37598"/>
    <w:rsid w:val="00F4032C"/>
    <w:rsid w:val="00F404F4"/>
    <w:rsid w:val="00F409F0"/>
    <w:rsid w:val="00F40D1C"/>
    <w:rsid w:val="00F40F98"/>
    <w:rsid w:val="00F410F6"/>
    <w:rsid w:val="00F410F8"/>
    <w:rsid w:val="00F422C9"/>
    <w:rsid w:val="00F425A7"/>
    <w:rsid w:val="00F4273C"/>
    <w:rsid w:val="00F434BB"/>
    <w:rsid w:val="00F4390A"/>
    <w:rsid w:val="00F43BDA"/>
    <w:rsid w:val="00F44A6E"/>
    <w:rsid w:val="00F44BC9"/>
    <w:rsid w:val="00F45895"/>
    <w:rsid w:val="00F46040"/>
    <w:rsid w:val="00F4643E"/>
    <w:rsid w:val="00F46809"/>
    <w:rsid w:val="00F474C1"/>
    <w:rsid w:val="00F47BA6"/>
    <w:rsid w:val="00F47F70"/>
    <w:rsid w:val="00F5023E"/>
    <w:rsid w:val="00F50472"/>
    <w:rsid w:val="00F5204B"/>
    <w:rsid w:val="00F520EC"/>
    <w:rsid w:val="00F53AD9"/>
    <w:rsid w:val="00F54598"/>
    <w:rsid w:val="00F54A4C"/>
    <w:rsid w:val="00F5504D"/>
    <w:rsid w:val="00F5522D"/>
    <w:rsid w:val="00F55483"/>
    <w:rsid w:val="00F55490"/>
    <w:rsid w:val="00F556A9"/>
    <w:rsid w:val="00F56515"/>
    <w:rsid w:val="00F56588"/>
    <w:rsid w:val="00F573AE"/>
    <w:rsid w:val="00F57936"/>
    <w:rsid w:val="00F57E17"/>
    <w:rsid w:val="00F60279"/>
    <w:rsid w:val="00F606D8"/>
    <w:rsid w:val="00F60CD6"/>
    <w:rsid w:val="00F60FB8"/>
    <w:rsid w:val="00F613EA"/>
    <w:rsid w:val="00F61440"/>
    <w:rsid w:val="00F6160D"/>
    <w:rsid w:val="00F617CC"/>
    <w:rsid w:val="00F61839"/>
    <w:rsid w:val="00F61DB9"/>
    <w:rsid w:val="00F61E02"/>
    <w:rsid w:val="00F61EB1"/>
    <w:rsid w:val="00F6202C"/>
    <w:rsid w:val="00F6207F"/>
    <w:rsid w:val="00F62801"/>
    <w:rsid w:val="00F62DF2"/>
    <w:rsid w:val="00F62F84"/>
    <w:rsid w:val="00F63071"/>
    <w:rsid w:val="00F64571"/>
    <w:rsid w:val="00F6520F"/>
    <w:rsid w:val="00F6562C"/>
    <w:rsid w:val="00F65AFF"/>
    <w:rsid w:val="00F65C2A"/>
    <w:rsid w:val="00F65C75"/>
    <w:rsid w:val="00F668A9"/>
    <w:rsid w:val="00F668C7"/>
    <w:rsid w:val="00F66F17"/>
    <w:rsid w:val="00F67181"/>
    <w:rsid w:val="00F6723C"/>
    <w:rsid w:val="00F672AF"/>
    <w:rsid w:val="00F679C4"/>
    <w:rsid w:val="00F67EF3"/>
    <w:rsid w:val="00F70674"/>
    <w:rsid w:val="00F70A0C"/>
    <w:rsid w:val="00F70D1D"/>
    <w:rsid w:val="00F70F01"/>
    <w:rsid w:val="00F711AC"/>
    <w:rsid w:val="00F71B75"/>
    <w:rsid w:val="00F71D5D"/>
    <w:rsid w:val="00F71F62"/>
    <w:rsid w:val="00F720FA"/>
    <w:rsid w:val="00F72B0E"/>
    <w:rsid w:val="00F73660"/>
    <w:rsid w:val="00F73D9B"/>
    <w:rsid w:val="00F73F86"/>
    <w:rsid w:val="00F74B00"/>
    <w:rsid w:val="00F74F3E"/>
    <w:rsid w:val="00F763CB"/>
    <w:rsid w:val="00F76635"/>
    <w:rsid w:val="00F7727F"/>
    <w:rsid w:val="00F77CA7"/>
    <w:rsid w:val="00F77EBE"/>
    <w:rsid w:val="00F80605"/>
    <w:rsid w:val="00F80878"/>
    <w:rsid w:val="00F8118A"/>
    <w:rsid w:val="00F8148C"/>
    <w:rsid w:val="00F81673"/>
    <w:rsid w:val="00F818F2"/>
    <w:rsid w:val="00F820A1"/>
    <w:rsid w:val="00F823F0"/>
    <w:rsid w:val="00F827DA"/>
    <w:rsid w:val="00F82DE3"/>
    <w:rsid w:val="00F8318A"/>
    <w:rsid w:val="00F8371F"/>
    <w:rsid w:val="00F838C2"/>
    <w:rsid w:val="00F84315"/>
    <w:rsid w:val="00F8483E"/>
    <w:rsid w:val="00F84B8E"/>
    <w:rsid w:val="00F85288"/>
    <w:rsid w:val="00F85289"/>
    <w:rsid w:val="00F85A4F"/>
    <w:rsid w:val="00F85B5E"/>
    <w:rsid w:val="00F85BE7"/>
    <w:rsid w:val="00F86102"/>
    <w:rsid w:val="00F86E60"/>
    <w:rsid w:val="00F879B2"/>
    <w:rsid w:val="00F87F96"/>
    <w:rsid w:val="00F90E14"/>
    <w:rsid w:val="00F9106E"/>
    <w:rsid w:val="00F912FF"/>
    <w:rsid w:val="00F91396"/>
    <w:rsid w:val="00F91D2E"/>
    <w:rsid w:val="00F9233A"/>
    <w:rsid w:val="00F923D5"/>
    <w:rsid w:val="00F9297A"/>
    <w:rsid w:val="00F929AE"/>
    <w:rsid w:val="00F94130"/>
    <w:rsid w:val="00F9420F"/>
    <w:rsid w:val="00F946FE"/>
    <w:rsid w:val="00F94DDF"/>
    <w:rsid w:val="00F95992"/>
    <w:rsid w:val="00F95C83"/>
    <w:rsid w:val="00F96E68"/>
    <w:rsid w:val="00F979CF"/>
    <w:rsid w:val="00F97FED"/>
    <w:rsid w:val="00FA06FD"/>
    <w:rsid w:val="00FA0B2E"/>
    <w:rsid w:val="00FA0D98"/>
    <w:rsid w:val="00FA0FF1"/>
    <w:rsid w:val="00FA12E4"/>
    <w:rsid w:val="00FA156E"/>
    <w:rsid w:val="00FA1618"/>
    <w:rsid w:val="00FA167C"/>
    <w:rsid w:val="00FA1C24"/>
    <w:rsid w:val="00FA2231"/>
    <w:rsid w:val="00FA263D"/>
    <w:rsid w:val="00FA3A42"/>
    <w:rsid w:val="00FA4E14"/>
    <w:rsid w:val="00FA5AA6"/>
    <w:rsid w:val="00FA5C89"/>
    <w:rsid w:val="00FA5F8D"/>
    <w:rsid w:val="00FA79FB"/>
    <w:rsid w:val="00FA7A21"/>
    <w:rsid w:val="00FA7F64"/>
    <w:rsid w:val="00FA7FB4"/>
    <w:rsid w:val="00FB06D4"/>
    <w:rsid w:val="00FB0884"/>
    <w:rsid w:val="00FB0CCD"/>
    <w:rsid w:val="00FB1011"/>
    <w:rsid w:val="00FB1321"/>
    <w:rsid w:val="00FB193D"/>
    <w:rsid w:val="00FB1B18"/>
    <w:rsid w:val="00FB1C58"/>
    <w:rsid w:val="00FB25AF"/>
    <w:rsid w:val="00FB2D94"/>
    <w:rsid w:val="00FB38DA"/>
    <w:rsid w:val="00FB3D71"/>
    <w:rsid w:val="00FB4083"/>
    <w:rsid w:val="00FB4186"/>
    <w:rsid w:val="00FB41A5"/>
    <w:rsid w:val="00FB459E"/>
    <w:rsid w:val="00FB4BE7"/>
    <w:rsid w:val="00FB4DE4"/>
    <w:rsid w:val="00FB4ED8"/>
    <w:rsid w:val="00FB5328"/>
    <w:rsid w:val="00FB607E"/>
    <w:rsid w:val="00FB65A2"/>
    <w:rsid w:val="00FB68B3"/>
    <w:rsid w:val="00FB6AD0"/>
    <w:rsid w:val="00FB6DE1"/>
    <w:rsid w:val="00FB6E46"/>
    <w:rsid w:val="00FB6E67"/>
    <w:rsid w:val="00FB6E7B"/>
    <w:rsid w:val="00FB7176"/>
    <w:rsid w:val="00FB7492"/>
    <w:rsid w:val="00FC01F3"/>
    <w:rsid w:val="00FC1992"/>
    <w:rsid w:val="00FC1D9C"/>
    <w:rsid w:val="00FC2D12"/>
    <w:rsid w:val="00FC31B3"/>
    <w:rsid w:val="00FC324B"/>
    <w:rsid w:val="00FC37D1"/>
    <w:rsid w:val="00FC3A69"/>
    <w:rsid w:val="00FC48BA"/>
    <w:rsid w:val="00FC4D10"/>
    <w:rsid w:val="00FC4E0C"/>
    <w:rsid w:val="00FC4E22"/>
    <w:rsid w:val="00FC4EF5"/>
    <w:rsid w:val="00FC55BE"/>
    <w:rsid w:val="00FC5693"/>
    <w:rsid w:val="00FC69CA"/>
    <w:rsid w:val="00FC6B43"/>
    <w:rsid w:val="00FC6C68"/>
    <w:rsid w:val="00FC7224"/>
    <w:rsid w:val="00FC72C7"/>
    <w:rsid w:val="00FC7D7C"/>
    <w:rsid w:val="00FD0308"/>
    <w:rsid w:val="00FD093E"/>
    <w:rsid w:val="00FD0D3C"/>
    <w:rsid w:val="00FD1223"/>
    <w:rsid w:val="00FD125C"/>
    <w:rsid w:val="00FD185B"/>
    <w:rsid w:val="00FD1DD3"/>
    <w:rsid w:val="00FD2972"/>
    <w:rsid w:val="00FD2C33"/>
    <w:rsid w:val="00FD320A"/>
    <w:rsid w:val="00FD344A"/>
    <w:rsid w:val="00FD34B5"/>
    <w:rsid w:val="00FD37F2"/>
    <w:rsid w:val="00FD3CA9"/>
    <w:rsid w:val="00FD3CC3"/>
    <w:rsid w:val="00FD43D7"/>
    <w:rsid w:val="00FD5B2C"/>
    <w:rsid w:val="00FD5B7D"/>
    <w:rsid w:val="00FD6170"/>
    <w:rsid w:val="00FD6DA5"/>
    <w:rsid w:val="00FE0447"/>
    <w:rsid w:val="00FE08C3"/>
    <w:rsid w:val="00FE0938"/>
    <w:rsid w:val="00FE09CB"/>
    <w:rsid w:val="00FE09D4"/>
    <w:rsid w:val="00FE0EAE"/>
    <w:rsid w:val="00FE101A"/>
    <w:rsid w:val="00FE1113"/>
    <w:rsid w:val="00FE1469"/>
    <w:rsid w:val="00FE14A2"/>
    <w:rsid w:val="00FE1E19"/>
    <w:rsid w:val="00FE2859"/>
    <w:rsid w:val="00FE33D3"/>
    <w:rsid w:val="00FE3F2A"/>
    <w:rsid w:val="00FE424C"/>
    <w:rsid w:val="00FE4429"/>
    <w:rsid w:val="00FE4584"/>
    <w:rsid w:val="00FE4734"/>
    <w:rsid w:val="00FE51DF"/>
    <w:rsid w:val="00FE65C6"/>
    <w:rsid w:val="00FE6CCF"/>
    <w:rsid w:val="00FE792A"/>
    <w:rsid w:val="00FF0CB3"/>
    <w:rsid w:val="00FF0E57"/>
    <w:rsid w:val="00FF15D8"/>
    <w:rsid w:val="00FF1B59"/>
    <w:rsid w:val="00FF20FE"/>
    <w:rsid w:val="00FF2F18"/>
    <w:rsid w:val="00FF2F1B"/>
    <w:rsid w:val="00FF3227"/>
    <w:rsid w:val="00FF3BFB"/>
    <w:rsid w:val="00FF43DD"/>
    <w:rsid w:val="00FF559F"/>
    <w:rsid w:val="00FF59D1"/>
    <w:rsid w:val="00FF68ED"/>
    <w:rsid w:val="00FF7471"/>
    <w:rsid w:val="00FF78D4"/>
    <w:rsid w:val="010A06C2"/>
    <w:rsid w:val="011078C7"/>
    <w:rsid w:val="01374999"/>
    <w:rsid w:val="0156739D"/>
    <w:rsid w:val="01EB2055"/>
    <w:rsid w:val="0225344D"/>
    <w:rsid w:val="022B3402"/>
    <w:rsid w:val="026833DE"/>
    <w:rsid w:val="026C25ED"/>
    <w:rsid w:val="02B27B76"/>
    <w:rsid w:val="02B95056"/>
    <w:rsid w:val="02F02A6C"/>
    <w:rsid w:val="031A1660"/>
    <w:rsid w:val="031C7316"/>
    <w:rsid w:val="03492409"/>
    <w:rsid w:val="034C7D17"/>
    <w:rsid w:val="034F0AEC"/>
    <w:rsid w:val="037A64E2"/>
    <w:rsid w:val="039362CF"/>
    <w:rsid w:val="03A44FE3"/>
    <w:rsid w:val="03B218ED"/>
    <w:rsid w:val="03CC366A"/>
    <w:rsid w:val="03E93513"/>
    <w:rsid w:val="03F82FC0"/>
    <w:rsid w:val="03F920AC"/>
    <w:rsid w:val="0404740B"/>
    <w:rsid w:val="040D28FD"/>
    <w:rsid w:val="043851AC"/>
    <w:rsid w:val="043869A1"/>
    <w:rsid w:val="043E78BF"/>
    <w:rsid w:val="0454284E"/>
    <w:rsid w:val="045D0679"/>
    <w:rsid w:val="04674227"/>
    <w:rsid w:val="047102F1"/>
    <w:rsid w:val="047C10E8"/>
    <w:rsid w:val="048512CB"/>
    <w:rsid w:val="04E424E1"/>
    <w:rsid w:val="04F32E5C"/>
    <w:rsid w:val="04FF2D6E"/>
    <w:rsid w:val="0514407E"/>
    <w:rsid w:val="0579124F"/>
    <w:rsid w:val="05B15E0C"/>
    <w:rsid w:val="05C2270C"/>
    <w:rsid w:val="060E4295"/>
    <w:rsid w:val="065A06BB"/>
    <w:rsid w:val="066606B5"/>
    <w:rsid w:val="068F0E79"/>
    <w:rsid w:val="069D1A8E"/>
    <w:rsid w:val="069E6B28"/>
    <w:rsid w:val="06AA5A15"/>
    <w:rsid w:val="06B47275"/>
    <w:rsid w:val="06BD5DFB"/>
    <w:rsid w:val="06C76C7A"/>
    <w:rsid w:val="06D1503C"/>
    <w:rsid w:val="07051CE9"/>
    <w:rsid w:val="07136BF8"/>
    <w:rsid w:val="071F6359"/>
    <w:rsid w:val="0745760B"/>
    <w:rsid w:val="076E14AC"/>
    <w:rsid w:val="07866291"/>
    <w:rsid w:val="07A83B64"/>
    <w:rsid w:val="07BF6290"/>
    <w:rsid w:val="07CA07CF"/>
    <w:rsid w:val="080121A1"/>
    <w:rsid w:val="08341DE6"/>
    <w:rsid w:val="085E6148"/>
    <w:rsid w:val="08943887"/>
    <w:rsid w:val="08B56EC4"/>
    <w:rsid w:val="08FF26FB"/>
    <w:rsid w:val="090226A5"/>
    <w:rsid w:val="093D2DCA"/>
    <w:rsid w:val="09770B79"/>
    <w:rsid w:val="098D613B"/>
    <w:rsid w:val="098D722C"/>
    <w:rsid w:val="09A11861"/>
    <w:rsid w:val="09A20317"/>
    <w:rsid w:val="09A66DDF"/>
    <w:rsid w:val="09A84F4C"/>
    <w:rsid w:val="09B54319"/>
    <w:rsid w:val="09F21854"/>
    <w:rsid w:val="0A1806FB"/>
    <w:rsid w:val="0A31473A"/>
    <w:rsid w:val="0A3B5C46"/>
    <w:rsid w:val="0A615BA7"/>
    <w:rsid w:val="0A6D20F4"/>
    <w:rsid w:val="0AD41965"/>
    <w:rsid w:val="0AD54E8D"/>
    <w:rsid w:val="0ADC1249"/>
    <w:rsid w:val="0AE10175"/>
    <w:rsid w:val="0AEA69B2"/>
    <w:rsid w:val="0AFF78B9"/>
    <w:rsid w:val="0B116753"/>
    <w:rsid w:val="0B3444FE"/>
    <w:rsid w:val="0B4565BF"/>
    <w:rsid w:val="0B474D69"/>
    <w:rsid w:val="0B5952AE"/>
    <w:rsid w:val="0B602A5E"/>
    <w:rsid w:val="0B6647F5"/>
    <w:rsid w:val="0B6D0673"/>
    <w:rsid w:val="0B8D64CA"/>
    <w:rsid w:val="0B972349"/>
    <w:rsid w:val="0BD22024"/>
    <w:rsid w:val="0BD46710"/>
    <w:rsid w:val="0BD55101"/>
    <w:rsid w:val="0BEB7903"/>
    <w:rsid w:val="0C231F55"/>
    <w:rsid w:val="0C28640C"/>
    <w:rsid w:val="0C3433EF"/>
    <w:rsid w:val="0C3C5271"/>
    <w:rsid w:val="0C4560CD"/>
    <w:rsid w:val="0C493EDF"/>
    <w:rsid w:val="0C850278"/>
    <w:rsid w:val="0C87019E"/>
    <w:rsid w:val="0CA1283B"/>
    <w:rsid w:val="0CA148D6"/>
    <w:rsid w:val="0CB67F0A"/>
    <w:rsid w:val="0CDB2AD7"/>
    <w:rsid w:val="0D0129A0"/>
    <w:rsid w:val="0D0E6815"/>
    <w:rsid w:val="0D107BB4"/>
    <w:rsid w:val="0D1268DA"/>
    <w:rsid w:val="0D1E479F"/>
    <w:rsid w:val="0D2F61FF"/>
    <w:rsid w:val="0D3D0944"/>
    <w:rsid w:val="0D554754"/>
    <w:rsid w:val="0D69521C"/>
    <w:rsid w:val="0D7B28D2"/>
    <w:rsid w:val="0DA1438C"/>
    <w:rsid w:val="0DEB3353"/>
    <w:rsid w:val="0E067D91"/>
    <w:rsid w:val="0E184FF9"/>
    <w:rsid w:val="0E2563B0"/>
    <w:rsid w:val="0E673CAF"/>
    <w:rsid w:val="0E6E4E48"/>
    <w:rsid w:val="0E9B4C0B"/>
    <w:rsid w:val="0EA155CB"/>
    <w:rsid w:val="0EC75F9B"/>
    <w:rsid w:val="0EE338A7"/>
    <w:rsid w:val="0EE91E83"/>
    <w:rsid w:val="0F212678"/>
    <w:rsid w:val="0F270BDB"/>
    <w:rsid w:val="0F2D7E66"/>
    <w:rsid w:val="0F576789"/>
    <w:rsid w:val="0F731D7F"/>
    <w:rsid w:val="0F791782"/>
    <w:rsid w:val="0F811194"/>
    <w:rsid w:val="0FA34AF5"/>
    <w:rsid w:val="0FD2577F"/>
    <w:rsid w:val="0FDE5D62"/>
    <w:rsid w:val="0FED109F"/>
    <w:rsid w:val="103233B6"/>
    <w:rsid w:val="10440C5D"/>
    <w:rsid w:val="1045133B"/>
    <w:rsid w:val="104706AA"/>
    <w:rsid w:val="10593979"/>
    <w:rsid w:val="10633BB0"/>
    <w:rsid w:val="106A486C"/>
    <w:rsid w:val="1071549B"/>
    <w:rsid w:val="10A02B30"/>
    <w:rsid w:val="10BA0625"/>
    <w:rsid w:val="10BF304F"/>
    <w:rsid w:val="10C20BDE"/>
    <w:rsid w:val="10E8616A"/>
    <w:rsid w:val="113136FB"/>
    <w:rsid w:val="1131673B"/>
    <w:rsid w:val="114E499C"/>
    <w:rsid w:val="11910393"/>
    <w:rsid w:val="1197535B"/>
    <w:rsid w:val="11977440"/>
    <w:rsid w:val="11A35DB3"/>
    <w:rsid w:val="11A643DC"/>
    <w:rsid w:val="11B33C8B"/>
    <w:rsid w:val="11D05DBD"/>
    <w:rsid w:val="11D94D1F"/>
    <w:rsid w:val="11E36682"/>
    <w:rsid w:val="11E51D82"/>
    <w:rsid w:val="1201388A"/>
    <w:rsid w:val="12767E9C"/>
    <w:rsid w:val="12C55F16"/>
    <w:rsid w:val="12CB4527"/>
    <w:rsid w:val="1304359F"/>
    <w:rsid w:val="13106C3E"/>
    <w:rsid w:val="135468A6"/>
    <w:rsid w:val="136B6282"/>
    <w:rsid w:val="137E0AD5"/>
    <w:rsid w:val="13C77038"/>
    <w:rsid w:val="13DF4D92"/>
    <w:rsid w:val="13E17B66"/>
    <w:rsid w:val="13E64D83"/>
    <w:rsid w:val="13F07B51"/>
    <w:rsid w:val="13FC6C2B"/>
    <w:rsid w:val="1400737E"/>
    <w:rsid w:val="14045069"/>
    <w:rsid w:val="142231E2"/>
    <w:rsid w:val="14244048"/>
    <w:rsid w:val="1426378D"/>
    <w:rsid w:val="142B6A9A"/>
    <w:rsid w:val="143C2AFF"/>
    <w:rsid w:val="144D2DA8"/>
    <w:rsid w:val="145C72EC"/>
    <w:rsid w:val="147132CB"/>
    <w:rsid w:val="14B20F69"/>
    <w:rsid w:val="14C307F1"/>
    <w:rsid w:val="14C66CB8"/>
    <w:rsid w:val="14C97064"/>
    <w:rsid w:val="14CB6FC4"/>
    <w:rsid w:val="151013FA"/>
    <w:rsid w:val="15186C7F"/>
    <w:rsid w:val="153A5F2D"/>
    <w:rsid w:val="1588061B"/>
    <w:rsid w:val="158846B5"/>
    <w:rsid w:val="1598292C"/>
    <w:rsid w:val="15B679C4"/>
    <w:rsid w:val="15C34826"/>
    <w:rsid w:val="15D01DD3"/>
    <w:rsid w:val="15F84ADF"/>
    <w:rsid w:val="16060668"/>
    <w:rsid w:val="161E60BA"/>
    <w:rsid w:val="162B0FD3"/>
    <w:rsid w:val="163043AC"/>
    <w:rsid w:val="16391F0E"/>
    <w:rsid w:val="165805A8"/>
    <w:rsid w:val="16A24CA6"/>
    <w:rsid w:val="1763208E"/>
    <w:rsid w:val="17B317DF"/>
    <w:rsid w:val="17B649CE"/>
    <w:rsid w:val="17F6303F"/>
    <w:rsid w:val="180A4C18"/>
    <w:rsid w:val="1824593D"/>
    <w:rsid w:val="18480562"/>
    <w:rsid w:val="184A2F3D"/>
    <w:rsid w:val="18552E0A"/>
    <w:rsid w:val="18657D9B"/>
    <w:rsid w:val="18697D44"/>
    <w:rsid w:val="18804B27"/>
    <w:rsid w:val="18AC1764"/>
    <w:rsid w:val="18B758A9"/>
    <w:rsid w:val="18C64FE3"/>
    <w:rsid w:val="18DD40DB"/>
    <w:rsid w:val="18DE6F13"/>
    <w:rsid w:val="18DF52AB"/>
    <w:rsid w:val="18FB6712"/>
    <w:rsid w:val="1909322E"/>
    <w:rsid w:val="19124B9E"/>
    <w:rsid w:val="192A6574"/>
    <w:rsid w:val="195D6EAA"/>
    <w:rsid w:val="197A146C"/>
    <w:rsid w:val="198E123C"/>
    <w:rsid w:val="19A22C78"/>
    <w:rsid w:val="19E938F2"/>
    <w:rsid w:val="19F87038"/>
    <w:rsid w:val="1A0221B6"/>
    <w:rsid w:val="1A2244FD"/>
    <w:rsid w:val="1A43621A"/>
    <w:rsid w:val="1A46462D"/>
    <w:rsid w:val="1A5328A6"/>
    <w:rsid w:val="1AA51E34"/>
    <w:rsid w:val="1AD86BFF"/>
    <w:rsid w:val="1B18764C"/>
    <w:rsid w:val="1B866CAC"/>
    <w:rsid w:val="1B8C380D"/>
    <w:rsid w:val="1BF91AF2"/>
    <w:rsid w:val="1BFB31F6"/>
    <w:rsid w:val="1C097901"/>
    <w:rsid w:val="1C12601D"/>
    <w:rsid w:val="1C173894"/>
    <w:rsid w:val="1C1D7ED3"/>
    <w:rsid w:val="1C273B5F"/>
    <w:rsid w:val="1C4F4F2E"/>
    <w:rsid w:val="1CAA1904"/>
    <w:rsid w:val="1CEF36DB"/>
    <w:rsid w:val="1D074838"/>
    <w:rsid w:val="1D087CBD"/>
    <w:rsid w:val="1D2C2A37"/>
    <w:rsid w:val="1D2E2452"/>
    <w:rsid w:val="1D3615E0"/>
    <w:rsid w:val="1D497F91"/>
    <w:rsid w:val="1DBF33B9"/>
    <w:rsid w:val="1E183F7D"/>
    <w:rsid w:val="1E256945"/>
    <w:rsid w:val="1E265F76"/>
    <w:rsid w:val="1E5C7C81"/>
    <w:rsid w:val="1E672BF1"/>
    <w:rsid w:val="1E6E4079"/>
    <w:rsid w:val="1EC71AC1"/>
    <w:rsid w:val="1F44009F"/>
    <w:rsid w:val="1F5C0F91"/>
    <w:rsid w:val="1F6B6074"/>
    <w:rsid w:val="1FE81CE3"/>
    <w:rsid w:val="1FFF520E"/>
    <w:rsid w:val="203E38F2"/>
    <w:rsid w:val="207C5644"/>
    <w:rsid w:val="209C715C"/>
    <w:rsid w:val="209D0D1F"/>
    <w:rsid w:val="20B229CF"/>
    <w:rsid w:val="20C056C0"/>
    <w:rsid w:val="20F621DE"/>
    <w:rsid w:val="21107C5B"/>
    <w:rsid w:val="21287782"/>
    <w:rsid w:val="21446D4E"/>
    <w:rsid w:val="21627873"/>
    <w:rsid w:val="21663B4F"/>
    <w:rsid w:val="21792A9A"/>
    <w:rsid w:val="21837197"/>
    <w:rsid w:val="218E0668"/>
    <w:rsid w:val="219A2D05"/>
    <w:rsid w:val="21AC7197"/>
    <w:rsid w:val="21DC4975"/>
    <w:rsid w:val="21F17A7A"/>
    <w:rsid w:val="21F17FDE"/>
    <w:rsid w:val="21F915FF"/>
    <w:rsid w:val="222873D6"/>
    <w:rsid w:val="225B679C"/>
    <w:rsid w:val="229C312B"/>
    <w:rsid w:val="22AD0A51"/>
    <w:rsid w:val="22BD1BBE"/>
    <w:rsid w:val="230B23E3"/>
    <w:rsid w:val="233F657B"/>
    <w:rsid w:val="2359506F"/>
    <w:rsid w:val="236A6209"/>
    <w:rsid w:val="2370574A"/>
    <w:rsid w:val="23731667"/>
    <w:rsid w:val="23A4414A"/>
    <w:rsid w:val="23AF41E6"/>
    <w:rsid w:val="23B56FA3"/>
    <w:rsid w:val="23B7221E"/>
    <w:rsid w:val="23D835E2"/>
    <w:rsid w:val="23DA134A"/>
    <w:rsid w:val="23FB54AD"/>
    <w:rsid w:val="23FE5D0F"/>
    <w:rsid w:val="240D1129"/>
    <w:rsid w:val="24266775"/>
    <w:rsid w:val="24456239"/>
    <w:rsid w:val="24620E1F"/>
    <w:rsid w:val="247359EA"/>
    <w:rsid w:val="249C5BA8"/>
    <w:rsid w:val="24A36A67"/>
    <w:rsid w:val="24D61270"/>
    <w:rsid w:val="24D765B0"/>
    <w:rsid w:val="24DD17A0"/>
    <w:rsid w:val="24E56460"/>
    <w:rsid w:val="24F24CF5"/>
    <w:rsid w:val="250739E9"/>
    <w:rsid w:val="250C24BD"/>
    <w:rsid w:val="252C0D36"/>
    <w:rsid w:val="25352B21"/>
    <w:rsid w:val="25493C7D"/>
    <w:rsid w:val="25650EC7"/>
    <w:rsid w:val="256D4C5A"/>
    <w:rsid w:val="25794E00"/>
    <w:rsid w:val="25974CB3"/>
    <w:rsid w:val="259F7409"/>
    <w:rsid w:val="25A71CF8"/>
    <w:rsid w:val="25AC6046"/>
    <w:rsid w:val="25C70F0A"/>
    <w:rsid w:val="25CE6C15"/>
    <w:rsid w:val="25D65F01"/>
    <w:rsid w:val="260610A5"/>
    <w:rsid w:val="26133EE0"/>
    <w:rsid w:val="261A1F06"/>
    <w:rsid w:val="26203A8A"/>
    <w:rsid w:val="265D7770"/>
    <w:rsid w:val="268607B1"/>
    <w:rsid w:val="26D162D0"/>
    <w:rsid w:val="26D835C6"/>
    <w:rsid w:val="26DE073C"/>
    <w:rsid w:val="26EA689B"/>
    <w:rsid w:val="26ED063E"/>
    <w:rsid w:val="26EE4083"/>
    <w:rsid w:val="26FA478D"/>
    <w:rsid w:val="27092480"/>
    <w:rsid w:val="27280F23"/>
    <w:rsid w:val="273419E0"/>
    <w:rsid w:val="275F557D"/>
    <w:rsid w:val="27701D9E"/>
    <w:rsid w:val="279F0337"/>
    <w:rsid w:val="27CE5AD6"/>
    <w:rsid w:val="27E06EEF"/>
    <w:rsid w:val="28085B7D"/>
    <w:rsid w:val="2890758D"/>
    <w:rsid w:val="28982F99"/>
    <w:rsid w:val="28A131A7"/>
    <w:rsid w:val="28B26037"/>
    <w:rsid w:val="28C05E75"/>
    <w:rsid w:val="28C50E13"/>
    <w:rsid w:val="28C54C0D"/>
    <w:rsid w:val="28D54AB4"/>
    <w:rsid w:val="28ED2D2E"/>
    <w:rsid w:val="28FE2E2A"/>
    <w:rsid w:val="29496228"/>
    <w:rsid w:val="295D61C1"/>
    <w:rsid w:val="297A561D"/>
    <w:rsid w:val="298C2462"/>
    <w:rsid w:val="29994C34"/>
    <w:rsid w:val="29A21154"/>
    <w:rsid w:val="29AD2097"/>
    <w:rsid w:val="29AF0D67"/>
    <w:rsid w:val="29C9356B"/>
    <w:rsid w:val="29DF2197"/>
    <w:rsid w:val="29EA30DE"/>
    <w:rsid w:val="2A1101F3"/>
    <w:rsid w:val="2A1251F8"/>
    <w:rsid w:val="2A587767"/>
    <w:rsid w:val="2A686D4B"/>
    <w:rsid w:val="2A820D14"/>
    <w:rsid w:val="2A826EED"/>
    <w:rsid w:val="2A845BDC"/>
    <w:rsid w:val="2A917F56"/>
    <w:rsid w:val="2AB96107"/>
    <w:rsid w:val="2AC11AAE"/>
    <w:rsid w:val="2ACF1CDE"/>
    <w:rsid w:val="2B135780"/>
    <w:rsid w:val="2B296DC8"/>
    <w:rsid w:val="2B3037A3"/>
    <w:rsid w:val="2B5A2C7C"/>
    <w:rsid w:val="2B7C72ED"/>
    <w:rsid w:val="2B894FDF"/>
    <w:rsid w:val="2BA91F09"/>
    <w:rsid w:val="2BCF4DE2"/>
    <w:rsid w:val="2BDE7133"/>
    <w:rsid w:val="2BE53186"/>
    <w:rsid w:val="2BF4095A"/>
    <w:rsid w:val="2C3105E3"/>
    <w:rsid w:val="2C38077F"/>
    <w:rsid w:val="2C5A4A93"/>
    <w:rsid w:val="2C6650F6"/>
    <w:rsid w:val="2C7E26DD"/>
    <w:rsid w:val="2C871290"/>
    <w:rsid w:val="2C9666B5"/>
    <w:rsid w:val="2CA7123F"/>
    <w:rsid w:val="2CB047AC"/>
    <w:rsid w:val="2CB53C8E"/>
    <w:rsid w:val="2CB75A97"/>
    <w:rsid w:val="2CDB5D69"/>
    <w:rsid w:val="2D045273"/>
    <w:rsid w:val="2D4D13D7"/>
    <w:rsid w:val="2D66545A"/>
    <w:rsid w:val="2D7B0E76"/>
    <w:rsid w:val="2D8D2E08"/>
    <w:rsid w:val="2DD117A1"/>
    <w:rsid w:val="2DDE3FEB"/>
    <w:rsid w:val="2DF6381D"/>
    <w:rsid w:val="2E002782"/>
    <w:rsid w:val="2E0C76F0"/>
    <w:rsid w:val="2E513149"/>
    <w:rsid w:val="2E624259"/>
    <w:rsid w:val="2E8E49B8"/>
    <w:rsid w:val="2E8F0E6F"/>
    <w:rsid w:val="2EA014A9"/>
    <w:rsid w:val="2EB15F6F"/>
    <w:rsid w:val="2ED65046"/>
    <w:rsid w:val="2EE10F5B"/>
    <w:rsid w:val="2F101F2F"/>
    <w:rsid w:val="2F10269B"/>
    <w:rsid w:val="2F2E07A5"/>
    <w:rsid w:val="2F355B4F"/>
    <w:rsid w:val="2F497843"/>
    <w:rsid w:val="2F5E40B2"/>
    <w:rsid w:val="2F643BAC"/>
    <w:rsid w:val="2F6D5E81"/>
    <w:rsid w:val="2F6F0265"/>
    <w:rsid w:val="2F940650"/>
    <w:rsid w:val="2F9F25B4"/>
    <w:rsid w:val="2FAF35CD"/>
    <w:rsid w:val="2FDE346C"/>
    <w:rsid w:val="2FE57299"/>
    <w:rsid w:val="2FEA1A4D"/>
    <w:rsid w:val="2FF37D41"/>
    <w:rsid w:val="300761B5"/>
    <w:rsid w:val="30145257"/>
    <w:rsid w:val="304C79CF"/>
    <w:rsid w:val="305722BA"/>
    <w:rsid w:val="30714F60"/>
    <w:rsid w:val="3081071C"/>
    <w:rsid w:val="308D1DAF"/>
    <w:rsid w:val="309C27EF"/>
    <w:rsid w:val="30C1666C"/>
    <w:rsid w:val="30C45D4E"/>
    <w:rsid w:val="30C7479B"/>
    <w:rsid w:val="30DC375D"/>
    <w:rsid w:val="30DC45D9"/>
    <w:rsid w:val="30E13887"/>
    <w:rsid w:val="310A0DB1"/>
    <w:rsid w:val="312B4C65"/>
    <w:rsid w:val="312D6459"/>
    <w:rsid w:val="3138453F"/>
    <w:rsid w:val="3145042C"/>
    <w:rsid w:val="3150593A"/>
    <w:rsid w:val="31833605"/>
    <w:rsid w:val="31872810"/>
    <w:rsid w:val="319F1533"/>
    <w:rsid w:val="31A825E0"/>
    <w:rsid w:val="31DD3C99"/>
    <w:rsid w:val="32002EBC"/>
    <w:rsid w:val="32162868"/>
    <w:rsid w:val="321C2A95"/>
    <w:rsid w:val="32255EF9"/>
    <w:rsid w:val="32274DD3"/>
    <w:rsid w:val="32354BE5"/>
    <w:rsid w:val="326C0E83"/>
    <w:rsid w:val="326D1A82"/>
    <w:rsid w:val="32923788"/>
    <w:rsid w:val="329A0A14"/>
    <w:rsid w:val="32B52611"/>
    <w:rsid w:val="32CF5E49"/>
    <w:rsid w:val="32CF5F60"/>
    <w:rsid w:val="32DA6624"/>
    <w:rsid w:val="32E0071A"/>
    <w:rsid w:val="32E12FEA"/>
    <w:rsid w:val="33156E95"/>
    <w:rsid w:val="33341186"/>
    <w:rsid w:val="33345F02"/>
    <w:rsid w:val="33416B88"/>
    <w:rsid w:val="33530283"/>
    <w:rsid w:val="335F150D"/>
    <w:rsid w:val="336A1D5B"/>
    <w:rsid w:val="33B455B4"/>
    <w:rsid w:val="33D57F7A"/>
    <w:rsid w:val="33EA5BD2"/>
    <w:rsid w:val="342422C0"/>
    <w:rsid w:val="34296A63"/>
    <w:rsid w:val="34344FAE"/>
    <w:rsid w:val="34384482"/>
    <w:rsid w:val="344C2E2B"/>
    <w:rsid w:val="347F68D3"/>
    <w:rsid w:val="34F01505"/>
    <w:rsid w:val="35002ABB"/>
    <w:rsid w:val="351146C3"/>
    <w:rsid w:val="35163C4E"/>
    <w:rsid w:val="35172F96"/>
    <w:rsid w:val="351F7903"/>
    <w:rsid w:val="35254470"/>
    <w:rsid w:val="35531910"/>
    <w:rsid w:val="35577DD4"/>
    <w:rsid w:val="355A28E3"/>
    <w:rsid w:val="355F2018"/>
    <w:rsid w:val="358B2FCE"/>
    <w:rsid w:val="358B5193"/>
    <w:rsid w:val="358E07DF"/>
    <w:rsid w:val="359B2592"/>
    <w:rsid w:val="35A609B2"/>
    <w:rsid w:val="35AD693D"/>
    <w:rsid w:val="35B00755"/>
    <w:rsid w:val="35C773D6"/>
    <w:rsid w:val="35E4260B"/>
    <w:rsid w:val="362D624A"/>
    <w:rsid w:val="36407CAD"/>
    <w:rsid w:val="36575075"/>
    <w:rsid w:val="36626153"/>
    <w:rsid w:val="36646BB9"/>
    <w:rsid w:val="36672BAD"/>
    <w:rsid w:val="3699368D"/>
    <w:rsid w:val="36A81661"/>
    <w:rsid w:val="36B275B6"/>
    <w:rsid w:val="36E3525A"/>
    <w:rsid w:val="36E96EE2"/>
    <w:rsid w:val="36F92459"/>
    <w:rsid w:val="36FB33D8"/>
    <w:rsid w:val="36FC517F"/>
    <w:rsid w:val="37001569"/>
    <w:rsid w:val="37052D23"/>
    <w:rsid w:val="3717270E"/>
    <w:rsid w:val="37255C51"/>
    <w:rsid w:val="374C1A9B"/>
    <w:rsid w:val="37566593"/>
    <w:rsid w:val="3768214D"/>
    <w:rsid w:val="376B2052"/>
    <w:rsid w:val="37931A55"/>
    <w:rsid w:val="37CC31C3"/>
    <w:rsid w:val="37E82428"/>
    <w:rsid w:val="37EB29D8"/>
    <w:rsid w:val="37F87429"/>
    <w:rsid w:val="381F2104"/>
    <w:rsid w:val="382864CB"/>
    <w:rsid w:val="383672B3"/>
    <w:rsid w:val="387362B6"/>
    <w:rsid w:val="389F03C0"/>
    <w:rsid w:val="38AA38FF"/>
    <w:rsid w:val="38C721F5"/>
    <w:rsid w:val="38C74734"/>
    <w:rsid w:val="38C9005C"/>
    <w:rsid w:val="393548CC"/>
    <w:rsid w:val="394E3ED6"/>
    <w:rsid w:val="39684483"/>
    <w:rsid w:val="39684EB4"/>
    <w:rsid w:val="39BA6B13"/>
    <w:rsid w:val="39BD2EB0"/>
    <w:rsid w:val="39E10297"/>
    <w:rsid w:val="39E3441A"/>
    <w:rsid w:val="3A122D27"/>
    <w:rsid w:val="3A6D5E23"/>
    <w:rsid w:val="3A7206CF"/>
    <w:rsid w:val="3AA40553"/>
    <w:rsid w:val="3AB03232"/>
    <w:rsid w:val="3ACE31C4"/>
    <w:rsid w:val="3AD26B6E"/>
    <w:rsid w:val="3AE448A5"/>
    <w:rsid w:val="3AEB37DF"/>
    <w:rsid w:val="3AF845D9"/>
    <w:rsid w:val="3B090D0F"/>
    <w:rsid w:val="3B2C087E"/>
    <w:rsid w:val="3B2C74EE"/>
    <w:rsid w:val="3B433C53"/>
    <w:rsid w:val="3B4723E0"/>
    <w:rsid w:val="3B5D1DC7"/>
    <w:rsid w:val="3B6D7A69"/>
    <w:rsid w:val="3B710EF3"/>
    <w:rsid w:val="3B7A06F2"/>
    <w:rsid w:val="3B8E376C"/>
    <w:rsid w:val="3BA37C08"/>
    <w:rsid w:val="3BA527DC"/>
    <w:rsid w:val="3BA70186"/>
    <w:rsid w:val="3BAD6B2E"/>
    <w:rsid w:val="3BC60A9D"/>
    <w:rsid w:val="3C215398"/>
    <w:rsid w:val="3C461E13"/>
    <w:rsid w:val="3C574A7F"/>
    <w:rsid w:val="3C70780D"/>
    <w:rsid w:val="3CBC6EBE"/>
    <w:rsid w:val="3CD075B6"/>
    <w:rsid w:val="3CE47625"/>
    <w:rsid w:val="3CF31E2B"/>
    <w:rsid w:val="3D0A74C7"/>
    <w:rsid w:val="3D2F63EE"/>
    <w:rsid w:val="3D3B0062"/>
    <w:rsid w:val="3D5A765E"/>
    <w:rsid w:val="3D612BD3"/>
    <w:rsid w:val="3D69430A"/>
    <w:rsid w:val="3D72628E"/>
    <w:rsid w:val="3D8448FD"/>
    <w:rsid w:val="3D915310"/>
    <w:rsid w:val="3DA32778"/>
    <w:rsid w:val="3DB868D1"/>
    <w:rsid w:val="3DC172E3"/>
    <w:rsid w:val="3DD0707B"/>
    <w:rsid w:val="3DF8153F"/>
    <w:rsid w:val="3DFC46DA"/>
    <w:rsid w:val="3E0128FA"/>
    <w:rsid w:val="3E1718BC"/>
    <w:rsid w:val="3E1E02D5"/>
    <w:rsid w:val="3E330BCB"/>
    <w:rsid w:val="3E4420C8"/>
    <w:rsid w:val="3E4619B8"/>
    <w:rsid w:val="3E504536"/>
    <w:rsid w:val="3E595488"/>
    <w:rsid w:val="3E6309B5"/>
    <w:rsid w:val="3E6640F9"/>
    <w:rsid w:val="3E6D02C8"/>
    <w:rsid w:val="3E8C2EE2"/>
    <w:rsid w:val="3E9D6613"/>
    <w:rsid w:val="3E9E51A8"/>
    <w:rsid w:val="3ECD4772"/>
    <w:rsid w:val="3EED6609"/>
    <w:rsid w:val="3F0B4F6F"/>
    <w:rsid w:val="3F6C5CC3"/>
    <w:rsid w:val="3F6E1604"/>
    <w:rsid w:val="3F75355D"/>
    <w:rsid w:val="3F832EE3"/>
    <w:rsid w:val="3F8669AB"/>
    <w:rsid w:val="3F88629F"/>
    <w:rsid w:val="3FBA566B"/>
    <w:rsid w:val="3FD53316"/>
    <w:rsid w:val="40093CF1"/>
    <w:rsid w:val="401470C0"/>
    <w:rsid w:val="401A27A9"/>
    <w:rsid w:val="402126D8"/>
    <w:rsid w:val="403378F8"/>
    <w:rsid w:val="406406DC"/>
    <w:rsid w:val="406F5BA7"/>
    <w:rsid w:val="408342FD"/>
    <w:rsid w:val="40B454EF"/>
    <w:rsid w:val="40BC700F"/>
    <w:rsid w:val="40DE3CAA"/>
    <w:rsid w:val="40F938F8"/>
    <w:rsid w:val="40FC7159"/>
    <w:rsid w:val="40FE4846"/>
    <w:rsid w:val="41322BD5"/>
    <w:rsid w:val="417E482D"/>
    <w:rsid w:val="41867134"/>
    <w:rsid w:val="41947EA6"/>
    <w:rsid w:val="41B13116"/>
    <w:rsid w:val="41BB18BC"/>
    <w:rsid w:val="41C90E09"/>
    <w:rsid w:val="425B4FD2"/>
    <w:rsid w:val="42613503"/>
    <w:rsid w:val="4279315E"/>
    <w:rsid w:val="42852F4A"/>
    <w:rsid w:val="42A92B57"/>
    <w:rsid w:val="42AA56F1"/>
    <w:rsid w:val="42CE06C9"/>
    <w:rsid w:val="42E3189D"/>
    <w:rsid w:val="42F8746F"/>
    <w:rsid w:val="43062D47"/>
    <w:rsid w:val="43325B44"/>
    <w:rsid w:val="43486B61"/>
    <w:rsid w:val="43813731"/>
    <w:rsid w:val="43BB18DF"/>
    <w:rsid w:val="43BB4A6B"/>
    <w:rsid w:val="43BB7995"/>
    <w:rsid w:val="43F333CB"/>
    <w:rsid w:val="44091ACF"/>
    <w:rsid w:val="441853A0"/>
    <w:rsid w:val="441D71ED"/>
    <w:rsid w:val="442D6535"/>
    <w:rsid w:val="44381BDD"/>
    <w:rsid w:val="44421CCE"/>
    <w:rsid w:val="447074F5"/>
    <w:rsid w:val="44974D8D"/>
    <w:rsid w:val="449E6E4E"/>
    <w:rsid w:val="44DD5FCC"/>
    <w:rsid w:val="450736A6"/>
    <w:rsid w:val="451543E4"/>
    <w:rsid w:val="45173EB4"/>
    <w:rsid w:val="45424DB6"/>
    <w:rsid w:val="45530036"/>
    <w:rsid w:val="455343B1"/>
    <w:rsid w:val="459E4B6D"/>
    <w:rsid w:val="459F2FDB"/>
    <w:rsid w:val="45DD4E52"/>
    <w:rsid w:val="46286C71"/>
    <w:rsid w:val="462A0FE0"/>
    <w:rsid w:val="46492E6C"/>
    <w:rsid w:val="46585B30"/>
    <w:rsid w:val="46BE0184"/>
    <w:rsid w:val="46CC1167"/>
    <w:rsid w:val="4718229D"/>
    <w:rsid w:val="47203892"/>
    <w:rsid w:val="47283033"/>
    <w:rsid w:val="47443E74"/>
    <w:rsid w:val="474F3C06"/>
    <w:rsid w:val="4775369C"/>
    <w:rsid w:val="477810B1"/>
    <w:rsid w:val="47AB3E15"/>
    <w:rsid w:val="47AC0CF7"/>
    <w:rsid w:val="47D86555"/>
    <w:rsid w:val="47F24B53"/>
    <w:rsid w:val="48541414"/>
    <w:rsid w:val="485B27A2"/>
    <w:rsid w:val="48786A80"/>
    <w:rsid w:val="4886454F"/>
    <w:rsid w:val="48C72D96"/>
    <w:rsid w:val="48CD5F8B"/>
    <w:rsid w:val="48D8234C"/>
    <w:rsid w:val="48EF4234"/>
    <w:rsid w:val="491D2237"/>
    <w:rsid w:val="49212350"/>
    <w:rsid w:val="49456604"/>
    <w:rsid w:val="49754B83"/>
    <w:rsid w:val="49C85417"/>
    <w:rsid w:val="4A0D21F0"/>
    <w:rsid w:val="4A126AF2"/>
    <w:rsid w:val="4A207DAF"/>
    <w:rsid w:val="4A301E2A"/>
    <w:rsid w:val="4A37426C"/>
    <w:rsid w:val="4A4515E8"/>
    <w:rsid w:val="4A797DE0"/>
    <w:rsid w:val="4A7C3271"/>
    <w:rsid w:val="4A837AA7"/>
    <w:rsid w:val="4A87463D"/>
    <w:rsid w:val="4A897A9B"/>
    <w:rsid w:val="4A921BB5"/>
    <w:rsid w:val="4AE00116"/>
    <w:rsid w:val="4AF0272B"/>
    <w:rsid w:val="4B1E053C"/>
    <w:rsid w:val="4B3B68BB"/>
    <w:rsid w:val="4B4022CA"/>
    <w:rsid w:val="4B6A06D7"/>
    <w:rsid w:val="4BAF0CF3"/>
    <w:rsid w:val="4BBD36A5"/>
    <w:rsid w:val="4BD36E74"/>
    <w:rsid w:val="4BD56B0D"/>
    <w:rsid w:val="4BD86BCF"/>
    <w:rsid w:val="4BD94AE8"/>
    <w:rsid w:val="4BE807F1"/>
    <w:rsid w:val="4BFC24EE"/>
    <w:rsid w:val="4C204A5F"/>
    <w:rsid w:val="4C2B6270"/>
    <w:rsid w:val="4C395EA2"/>
    <w:rsid w:val="4C4F7238"/>
    <w:rsid w:val="4C5228AF"/>
    <w:rsid w:val="4C6C748E"/>
    <w:rsid w:val="4C862F35"/>
    <w:rsid w:val="4CC44709"/>
    <w:rsid w:val="4CF94F2A"/>
    <w:rsid w:val="4D0D2293"/>
    <w:rsid w:val="4D453EA9"/>
    <w:rsid w:val="4D5A1753"/>
    <w:rsid w:val="4D5C572C"/>
    <w:rsid w:val="4D64620A"/>
    <w:rsid w:val="4D67326A"/>
    <w:rsid w:val="4D762DFA"/>
    <w:rsid w:val="4D913434"/>
    <w:rsid w:val="4DB73025"/>
    <w:rsid w:val="4DC61011"/>
    <w:rsid w:val="4DCD449A"/>
    <w:rsid w:val="4DD91E2A"/>
    <w:rsid w:val="4DDA516B"/>
    <w:rsid w:val="4DE47EEE"/>
    <w:rsid w:val="4DFD1420"/>
    <w:rsid w:val="4E371081"/>
    <w:rsid w:val="4E415F53"/>
    <w:rsid w:val="4E437F61"/>
    <w:rsid w:val="4E8E65C1"/>
    <w:rsid w:val="4E9C2745"/>
    <w:rsid w:val="4EB57F69"/>
    <w:rsid w:val="4ED33D31"/>
    <w:rsid w:val="4EE1479C"/>
    <w:rsid w:val="4F243492"/>
    <w:rsid w:val="4F332395"/>
    <w:rsid w:val="4F375E64"/>
    <w:rsid w:val="4F647C31"/>
    <w:rsid w:val="4F900303"/>
    <w:rsid w:val="4F9B7A88"/>
    <w:rsid w:val="4FE7781D"/>
    <w:rsid w:val="50012D7C"/>
    <w:rsid w:val="500E369B"/>
    <w:rsid w:val="501B6D91"/>
    <w:rsid w:val="502B07C5"/>
    <w:rsid w:val="5035615B"/>
    <w:rsid w:val="50372296"/>
    <w:rsid w:val="505A4E4D"/>
    <w:rsid w:val="50847B34"/>
    <w:rsid w:val="50EA0150"/>
    <w:rsid w:val="512572D9"/>
    <w:rsid w:val="51446493"/>
    <w:rsid w:val="51A74466"/>
    <w:rsid w:val="51FC581B"/>
    <w:rsid w:val="520F10EE"/>
    <w:rsid w:val="52384225"/>
    <w:rsid w:val="523A1F04"/>
    <w:rsid w:val="524B75A8"/>
    <w:rsid w:val="525433AE"/>
    <w:rsid w:val="52783FF0"/>
    <w:rsid w:val="527C215F"/>
    <w:rsid w:val="527E5EED"/>
    <w:rsid w:val="52882463"/>
    <w:rsid w:val="528A2602"/>
    <w:rsid w:val="52BB11DC"/>
    <w:rsid w:val="52CB6EA0"/>
    <w:rsid w:val="52E678FD"/>
    <w:rsid w:val="52FF4591"/>
    <w:rsid w:val="531473B0"/>
    <w:rsid w:val="531B3A9C"/>
    <w:rsid w:val="5321243D"/>
    <w:rsid w:val="53431A96"/>
    <w:rsid w:val="53543569"/>
    <w:rsid w:val="53751745"/>
    <w:rsid w:val="53773018"/>
    <w:rsid w:val="537B18F4"/>
    <w:rsid w:val="53876BCA"/>
    <w:rsid w:val="53955ABA"/>
    <w:rsid w:val="53A67D82"/>
    <w:rsid w:val="53DE6642"/>
    <w:rsid w:val="53EF0739"/>
    <w:rsid w:val="540918A0"/>
    <w:rsid w:val="543A1E06"/>
    <w:rsid w:val="54522ADC"/>
    <w:rsid w:val="54755AA4"/>
    <w:rsid w:val="547938FD"/>
    <w:rsid w:val="54976648"/>
    <w:rsid w:val="54A10126"/>
    <w:rsid w:val="54A565DB"/>
    <w:rsid w:val="54B575F1"/>
    <w:rsid w:val="54B94986"/>
    <w:rsid w:val="54E7647B"/>
    <w:rsid w:val="54EF2699"/>
    <w:rsid w:val="55002B2F"/>
    <w:rsid w:val="55133BF8"/>
    <w:rsid w:val="552E5704"/>
    <w:rsid w:val="555D3430"/>
    <w:rsid w:val="555E3ADC"/>
    <w:rsid w:val="557F1C1A"/>
    <w:rsid w:val="55A5299F"/>
    <w:rsid w:val="55AB5EB5"/>
    <w:rsid w:val="55CE3B25"/>
    <w:rsid w:val="55D20EC3"/>
    <w:rsid w:val="55ED243A"/>
    <w:rsid w:val="55F43387"/>
    <w:rsid w:val="560257B6"/>
    <w:rsid w:val="56025C0C"/>
    <w:rsid w:val="56032A93"/>
    <w:rsid w:val="560E7C25"/>
    <w:rsid w:val="5620313B"/>
    <w:rsid w:val="56443F1D"/>
    <w:rsid w:val="564D5B7B"/>
    <w:rsid w:val="565B7ED3"/>
    <w:rsid w:val="56970EE5"/>
    <w:rsid w:val="56B25162"/>
    <w:rsid w:val="56B464CF"/>
    <w:rsid w:val="56B636B6"/>
    <w:rsid w:val="56F918AE"/>
    <w:rsid w:val="56F9392F"/>
    <w:rsid w:val="570B4455"/>
    <w:rsid w:val="573F7673"/>
    <w:rsid w:val="576F6428"/>
    <w:rsid w:val="579B67A6"/>
    <w:rsid w:val="57A443F1"/>
    <w:rsid w:val="57AE3907"/>
    <w:rsid w:val="57F0169B"/>
    <w:rsid w:val="57F867D4"/>
    <w:rsid w:val="58094510"/>
    <w:rsid w:val="58342AEA"/>
    <w:rsid w:val="58355A1D"/>
    <w:rsid w:val="583640C7"/>
    <w:rsid w:val="584C6F04"/>
    <w:rsid w:val="58513B89"/>
    <w:rsid w:val="585D30A3"/>
    <w:rsid w:val="58603A1D"/>
    <w:rsid w:val="586E4313"/>
    <w:rsid w:val="58C37202"/>
    <w:rsid w:val="58E754F6"/>
    <w:rsid w:val="591E6566"/>
    <w:rsid w:val="595266CF"/>
    <w:rsid w:val="59835FFD"/>
    <w:rsid w:val="59A36822"/>
    <w:rsid w:val="59D64BE3"/>
    <w:rsid w:val="59E34EE1"/>
    <w:rsid w:val="5A2A55E3"/>
    <w:rsid w:val="5A4965A7"/>
    <w:rsid w:val="5A8754E4"/>
    <w:rsid w:val="5A935D25"/>
    <w:rsid w:val="5A9802B8"/>
    <w:rsid w:val="5AB1147E"/>
    <w:rsid w:val="5ABF7DCF"/>
    <w:rsid w:val="5AC47A09"/>
    <w:rsid w:val="5AE23BA6"/>
    <w:rsid w:val="5AE6129F"/>
    <w:rsid w:val="5AE63D9C"/>
    <w:rsid w:val="5B2C1016"/>
    <w:rsid w:val="5BC46468"/>
    <w:rsid w:val="5BDC46AC"/>
    <w:rsid w:val="5BFB013E"/>
    <w:rsid w:val="5C0E4B21"/>
    <w:rsid w:val="5C295EBD"/>
    <w:rsid w:val="5C3B325D"/>
    <w:rsid w:val="5C686014"/>
    <w:rsid w:val="5CAF2F3F"/>
    <w:rsid w:val="5CC21EBE"/>
    <w:rsid w:val="5CC626AD"/>
    <w:rsid w:val="5D412426"/>
    <w:rsid w:val="5D7325A7"/>
    <w:rsid w:val="5DC37E86"/>
    <w:rsid w:val="5E1A63C8"/>
    <w:rsid w:val="5E4808E0"/>
    <w:rsid w:val="5E581D9A"/>
    <w:rsid w:val="5E8A70A4"/>
    <w:rsid w:val="5E984253"/>
    <w:rsid w:val="5EB503FB"/>
    <w:rsid w:val="5EEC557A"/>
    <w:rsid w:val="5EF56103"/>
    <w:rsid w:val="5F15191F"/>
    <w:rsid w:val="5F213553"/>
    <w:rsid w:val="5F217EAB"/>
    <w:rsid w:val="5F2820D8"/>
    <w:rsid w:val="5F5F2403"/>
    <w:rsid w:val="5F6D31CF"/>
    <w:rsid w:val="5F81422C"/>
    <w:rsid w:val="5F8B33B2"/>
    <w:rsid w:val="5FA27873"/>
    <w:rsid w:val="5FB760DA"/>
    <w:rsid w:val="5FD83283"/>
    <w:rsid w:val="5FF61144"/>
    <w:rsid w:val="60142561"/>
    <w:rsid w:val="60146A0A"/>
    <w:rsid w:val="60194C8D"/>
    <w:rsid w:val="603A5FDA"/>
    <w:rsid w:val="60475E6F"/>
    <w:rsid w:val="604C0FCC"/>
    <w:rsid w:val="60530BE2"/>
    <w:rsid w:val="60757551"/>
    <w:rsid w:val="60811859"/>
    <w:rsid w:val="60866B31"/>
    <w:rsid w:val="6097059A"/>
    <w:rsid w:val="609954A7"/>
    <w:rsid w:val="60A40029"/>
    <w:rsid w:val="610139B4"/>
    <w:rsid w:val="61044D9D"/>
    <w:rsid w:val="61076583"/>
    <w:rsid w:val="6117451E"/>
    <w:rsid w:val="61293E18"/>
    <w:rsid w:val="61307A04"/>
    <w:rsid w:val="61332F3B"/>
    <w:rsid w:val="613C2058"/>
    <w:rsid w:val="61444126"/>
    <w:rsid w:val="614632BC"/>
    <w:rsid w:val="614D6D74"/>
    <w:rsid w:val="615E6755"/>
    <w:rsid w:val="615F64AA"/>
    <w:rsid w:val="61722A56"/>
    <w:rsid w:val="61897B1C"/>
    <w:rsid w:val="619F4950"/>
    <w:rsid w:val="62090287"/>
    <w:rsid w:val="62353C0D"/>
    <w:rsid w:val="624F41B6"/>
    <w:rsid w:val="626A7D5A"/>
    <w:rsid w:val="62DE2DF3"/>
    <w:rsid w:val="62F612A3"/>
    <w:rsid w:val="62F95B8C"/>
    <w:rsid w:val="63100986"/>
    <w:rsid w:val="63911317"/>
    <w:rsid w:val="63975A8A"/>
    <w:rsid w:val="63A46B8A"/>
    <w:rsid w:val="63AB687C"/>
    <w:rsid w:val="63B9109C"/>
    <w:rsid w:val="63D8215D"/>
    <w:rsid w:val="63DF2C7F"/>
    <w:rsid w:val="63E043BE"/>
    <w:rsid w:val="63FA4747"/>
    <w:rsid w:val="641B2C86"/>
    <w:rsid w:val="641C4869"/>
    <w:rsid w:val="64354398"/>
    <w:rsid w:val="64416D79"/>
    <w:rsid w:val="64535899"/>
    <w:rsid w:val="64956FE9"/>
    <w:rsid w:val="64BB2625"/>
    <w:rsid w:val="64D277E0"/>
    <w:rsid w:val="64D37E39"/>
    <w:rsid w:val="64EA5182"/>
    <w:rsid w:val="65122EE6"/>
    <w:rsid w:val="652371EE"/>
    <w:rsid w:val="654D0E1B"/>
    <w:rsid w:val="655443A7"/>
    <w:rsid w:val="6558144A"/>
    <w:rsid w:val="657E7978"/>
    <w:rsid w:val="65B3079D"/>
    <w:rsid w:val="65E7603D"/>
    <w:rsid w:val="66141426"/>
    <w:rsid w:val="662F0B5B"/>
    <w:rsid w:val="663D77BB"/>
    <w:rsid w:val="66410DD2"/>
    <w:rsid w:val="667444A2"/>
    <w:rsid w:val="66863968"/>
    <w:rsid w:val="668F31AA"/>
    <w:rsid w:val="66952D51"/>
    <w:rsid w:val="669E6F11"/>
    <w:rsid w:val="66AA1CAB"/>
    <w:rsid w:val="67151FB4"/>
    <w:rsid w:val="67256944"/>
    <w:rsid w:val="673A09E8"/>
    <w:rsid w:val="67601DF0"/>
    <w:rsid w:val="67756F44"/>
    <w:rsid w:val="677F4B46"/>
    <w:rsid w:val="67D07731"/>
    <w:rsid w:val="67D30D98"/>
    <w:rsid w:val="67D905AF"/>
    <w:rsid w:val="67DC2A62"/>
    <w:rsid w:val="67E765D9"/>
    <w:rsid w:val="6807561B"/>
    <w:rsid w:val="681A7B2C"/>
    <w:rsid w:val="683A0295"/>
    <w:rsid w:val="683A57FD"/>
    <w:rsid w:val="68630BDC"/>
    <w:rsid w:val="686A3FBE"/>
    <w:rsid w:val="68CA3301"/>
    <w:rsid w:val="68D41CEC"/>
    <w:rsid w:val="68D5023B"/>
    <w:rsid w:val="68EE4149"/>
    <w:rsid w:val="68F27E6D"/>
    <w:rsid w:val="68F9670E"/>
    <w:rsid w:val="693F3519"/>
    <w:rsid w:val="69461C0C"/>
    <w:rsid w:val="69692CE5"/>
    <w:rsid w:val="69767ACB"/>
    <w:rsid w:val="69772A38"/>
    <w:rsid w:val="69834D81"/>
    <w:rsid w:val="69BC2922"/>
    <w:rsid w:val="69CA1E3D"/>
    <w:rsid w:val="69F01770"/>
    <w:rsid w:val="6A0E1913"/>
    <w:rsid w:val="6A2771FC"/>
    <w:rsid w:val="6A4E7A76"/>
    <w:rsid w:val="6A512508"/>
    <w:rsid w:val="6A8123F9"/>
    <w:rsid w:val="6A86611B"/>
    <w:rsid w:val="6A9A5AB8"/>
    <w:rsid w:val="6AA65AD0"/>
    <w:rsid w:val="6AC15313"/>
    <w:rsid w:val="6ADB59ED"/>
    <w:rsid w:val="6AF43AD4"/>
    <w:rsid w:val="6B002E1D"/>
    <w:rsid w:val="6B032473"/>
    <w:rsid w:val="6B0E11C2"/>
    <w:rsid w:val="6B1947DD"/>
    <w:rsid w:val="6B9F68DE"/>
    <w:rsid w:val="6BD60B25"/>
    <w:rsid w:val="6C2246B3"/>
    <w:rsid w:val="6C6275A3"/>
    <w:rsid w:val="6C691899"/>
    <w:rsid w:val="6C6E4322"/>
    <w:rsid w:val="6C6F382E"/>
    <w:rsid w:val="6C804D16"/>
    <w:rsid w:val="6C861AE2"/>
    <w:rsid w:val="6CED7757"/>
    <w:rsid w:val="6CFE7A1D"/>
    <w:rsid w:val="6D5D4E82"/>
    <w:rsid w:val="6D605355"/>
    <w:rsid w:val="6D70022B"/>
    <w:rsid w:val="6DC629D0"/>
    <w:rsid w:val="6DC81DD9"/>
    <w:rsid w:val="6DCF524F"/>
    <w:rsid w:val="6DCF7418"/>
    <w:rsid w:val="6DD85C34"/>
    <w:rsid w:val="6E026768"/>
    <w:rsid w:val="6E4F595C"/>
    <w:rsid w:val="6E60660F"/>
    <w:rsid w:val="6E891812"/>
    <w:rsid w:val="6E8A49EB"/>
    <w:rsid w:val="6E8C6D02"/>
    <w:rsid w:val="6EA116F1"/>
    <w:rsid w:val="6EB31AE7"/>
    <w:rsid w:val="6EC627E3"/>
    <w:rsid w:val="6EE24E2D"/>
    <w:rsid w:val="6F1218C9"/>
    <w:rsid w:val="6F4505D9"/>
    <w:rsid w:val="6F4932D2"/>
    <w:rsid w:val="6F6F56FA"/>
    <w:rsid w:val="6F7366D6"/>
    <w:rsid w:val="6F781500"/>
    <w:rsid w:val="6F7B2B66"/>
    <w:rsid w:val="6F9838A8"/>
    <w:rsid w:val="6FF03205"/>
    <w:rsid w:val="6FF06591"/>
    <w:rsid w:val="6FF27B0C"/>
    <w:rsid w:val="700B4959"/>
    <w:rsid w:val="70192C40"/>
    <w:rsid w:val="70230CE9"/>
    <w:rsid w:val="704B508B"/>
    <w:rsid w:val="70666050"/>
    <w:rsid w:val="707A6B92"/>
    <w:rsid w:val="707E3779"/>
    <w:rsid w:val="70DC1B60"/>
    <w:rsid w:val="70F15A31"/>
    <w:rsid w:val="711B26AA"/>
    <w:rsid w:val="712E0333"/>
    <w:rsid w:val="712E42B7"/>
    <w:rsid w:val="715D5DDF"/>
    <w:rsid w:val="7191688A"/>
    <w:rsid w:val="71A66CC4"/>
    <w:rsid w:val="71C214A8"/>
    <w:rsid w:val="71E641B3"/>
    <w:rsid w:val="71F77ACE"/>
    <w:rsid w:val="71FD5C6E"/>
    <w:rsid w:val="720106F5"/>
    <w:rsid w:val="722B1E56"/>
    <w:rsid w:val="7235714F"/>
    <w:rsid w:val="723B7870"/>
    <w:rsid w:val="72787485"/>
    <w:rsid w:val="727E42BF"/>
    <w:rsid w:val="728E24C1"/>
    <w:rsid w:val="72AA5080"/>
    <w:rsid w:val="72E93CC5"/>
    <w:rsid w:val="72F56066"/>
    <w:rsid w:val="72FA6ACB"/>
    <w:rsid w:val="7313322C"/>
    <w:rsid w:val="73197BB8"/>
    <w:rsid w:val="73335381"/>
    <w:rsid w:val="734103B0"/>
    <w:rsid w:val="73487C44"/>
    <w:rsid w:val="735302BC"/>
    <w:rsid w:val="737C487D"/>
    <w:rsid w:val="738E5E7B"/>
    <w:rsid w:val="738F5872"/>
    <w:rsid w:val="73A37FFF"/>
    <w:rsid w:val="73BF0A26"/>
    <w:rsid w:val="73C64D7F"/>
    <w:rsid w:val="73C7191B"/>
    <w:rsid w:val="74074C5D"/>
    <w:rsid w:val="74143CF0"/>
    <w:rsid w:val="741702D0"/>
    <w:rsid w:val="74381A66"/>
    <w:rsid w:val="74477EFB"/>
    <w:rsid w:val="74617ED7"/>
    <w:rsid w:val="74832968"/>
    <w:rsid w:val="748849D8"/>
    <w:rsid w:val="749A745D"/>
    <w:rsid w:val="75344B8A"/>
    <w:rsid w:val="75516BF7"/>
    <w:rsid w:val="75606F89"/>
    <w:rsid w:val="758C2041"/>
    <w:rsid w:val="75B22ED4"/>
    <w:rsid w:val="75DB7C59"/>
    <w:rsid w:val="75DC0684"/>
    <w:rsid w:val="75DC65A5"/>
    <w:rsid w:val="75F22372"/>
    <w:rsid w:val="75F5786E"/>
    <w:rsid w:val="762659E2"/>
    <w:rsid w:val="7633523D"/>
    <w:rsid w:val="76396493"/>
    <w:rsid w:val="763B3A90"/>
    <w:rsid w:val="76547D85"/>
    <w:rsid w:val="76A8487B"/>
    <w:rsid w:val="76A86B70"/>
    <w:rsid w:val="76CD1AD4"/>
    <w:rsid w:val="76FD3DD1"/>
    <w:rsid w:val="77464813"/>
    <w:rsid w:val="77646FFC"/>
    <w:rsid w:val="776B430B"/>
    <w:rsid w:val="77907B18"/>
    <w:rsid w:val="779C230C"/>
    <w:rsid w:val="77A34766"/>
    <w:rsid w:val="77C60E71"/>
    <w:rsid w:val="780305EB"/>
    <w:rsid w:val="78164A54"/>
    <w:rsid w:val="78276334"/>
    <w:rsid w:val="784E64C7"/>
    <w:rsid w:val="78561CE5"/>
    <w:rsid w:val="78793AAA"/>
    <w:rsid w:val="7883590F"/>
    <w:rsid w:val="78A45043"/>
    <w:rsid w:val="78C240B9"/>
    <w:rsid w:val="78CC73B0"/>
    <w:rsid w:val="78E319A6"/>
    <w:rsid w:val="78E70FDC"/>
    <w:rsid w:val="78EA3C7B"/>
    <w:rsid w:val="79152AB8"/>
    <w:rsid w:val="791A766E"/>
    <w:rsid w:val="79487611"/>
    <w:rsid w:val="79592BCF"/>
    <w:rsid w:val="7982482F"/>
    <w:rsid w:val="79A23A3E"/>
    <w:rsid w:val="79B017A9"/>
    <w:rsid w:val="79B04E72"/>
    <w:rsid w:val="79D53D71"/>
    <w:rsid w:val="7A2B4D43"/>
    <w:rsid w:val="7A4E3A4A"/>
    <w:rsid w:val="7A5E5F9F"/>
    <w:rsid w:val="7A701FA7"/>
    <w:rsid w:val="7A871C04"/>
    <w:rsid w:val="7ABD1DB1"/>
    <w:rsid w:val="7AE92D09"/>
    <w:rsid w:val="7AFF101C"/>
    <w:rsid w:val="7AFF72EC"/>
    <w:rsid w:val="7B312D12"/>
    <w:rsid w:val="7B5103E9"/>
    <w:rsid w:val="7B5B5EAE"/>
    <w:rsid w:val="7B653879"/>
    <w:rsid w:val="7BAA48CF"/>
    <w:rsid w:val="7C1D1542"/>
    <w:rsid w:val="7C3969BF"/>
    <w:rsid w:val="7C6F002E"/>
    <w:rsid w:val="7C7C7257"/>
    <w:rsid w:val="7C903534"/>
    <w:rsid w:val="7CA82DF0"/>
    <w:rsid w:val="7CB2404E"/>
    <w:rsid w:val="7CB24FDD"/>
    <w:rsid w:val="7CD35395"/>
    <w:rsid w:val="7CE26FAD"/>
    <w:rsid w:val="7D055DA1"/>
    <w:rsid w:val="7D2E4FD0"/>
    <w:rsid w:val="7D5E1A02"/>
    <w:rsid w:val="7D7A7B34"/>
    <w:rsid w:val="7D9F1046"/>
    <w:rsid w:val="7DD351FC"/>
    <w:rsid w:val="7DE4613C"/>
    <w:rsid w:val="7E090DBD"/>
    <w:rsid w:val="7E096C95"/>
    <w:rsid w:val="7E0B69E0"/>
    <w:rsid w:val="7E1F41D9"/>
    <w:rsid w:val="7E203B01"/>
    <w:rsid w:val="7E2D505E"/>
    <w:rsid w:val="7E542A80"/>
    <w:rsid w:val="7E596F70"/>
    <w:rsid w:val="7E5F603E"/>
    <w:rsid w:val="7E6C7907"/>
    <w:rsid w:val="7E73248E"/>
    <w:rsid w:val="7E8B00C3"/>
    <w:rsid w:val="7E9C09D1"/>
    <w:rsid w:val="7EAD69D8"/>
    <w:rsid w:val="7ECB0595"/>
    <w:rsid w:val="7ED46C5A"/>
    <w:rsid w:val="7EFA07D4"/>
    <w:rsid w:val="7F033373"/>
    <w:rsid w:val="7F346AE5"/>
    <w:rsid w:val="7F354B02"/>
    <w:rsid w:val="7F467E6A"/>
    <w:rsid w:val="7F537AC8"/>
    <w:rsid w:val="7F7829B4"/>
    <w:rsid w:val="7F973987"/>
    <w:rsid w:val="7FA405C1"/>
    <w:rsid w:val="7FA5499A"/>
    <w:rsid w:val="7FB46CB9"/>
    <w:rsid w:val="7FBC1438"/>
    <w:rsid w:val="7FCC6DCE"/>
    <w:rsid w:val="7FF33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4"/>
    <w:qFormat/>
    <w:uiPriority w:val="0"/>
    <w:pPr>
      <w:keepNext/>
      <w:jc w:val="center"/>
      <w:outlineLvl w:val="0"/>
    </w:pPr>
    <w:rPr>
      <w:rFonts w:ascii="Calibri" w:hAnsi="Calibri"/>
      <w:b/>
      <w:bCs/>
      <w:sz w:val="24"/>
      <w:szCs w:val="20"/>
    </w:rPr>
  </w:style>
  <w:style w:type="paragraph" w:styleId="2">
    <w:name w:val="heading 2"/>
    <w:basedOn w:val="1"/>
    <w:next w:val="1"/>
    <w:link w:val="303"/>
    <w:qFormat/>
    <w:uiPriority w:val="0"/>
    <w:pPr>
      <w:keepNext/>
      <w:keepLines/>
      <w:spacing w:line="360" w:lineRule="auto"/>
      <w:outlineLvl w:val="1"/>
    </w:pPr>
    <w:rPr>
      <w:rFonts w:ascii="Arial" w:hAnsi="Arial"/>
      <w:b/>
      <w:bCs/>
      <w:sz w:val="24"/>
      <w:szCs w:val="32"/>
    </w:rPr>
  </w:style>
  <w:style w:type="paragraph" w:styleId="4">
    <w:name w:val="heading 3"/>
    <w:basedOn w:val="1"/>
    <w:next w:val="1"/>
    <w:link w:val="274"/>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28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11"/>
    <w:qFormat/>
    <w:uiPriority w:val="0"/>
    <w:pPr>
      <w:keepNext/>
      <w:keepLines/>
      <w:adjustRightInd w:val="0"/>
      <w:spacing w:before="280" w:after="290" w:line="376" w:lineRule="atLeast"/>
      <w:jc w:val="left"/>
      <w:textAlignment w:val="baseline"/>
      <w:outlineLvl w:val="4"/>
    </w:pPr>
    <w:rPr>
      <w:rFonts w:ascii="Calibri" w:hAnsi="Calibri"/>
      <w:b/>
      <w:bCs/>
      <w:kern w:val="0"/>
      <w:sz w:val="28"/>
      <w:szCs w:val="28"/>
    </w:rPr>
  </w:style>
  <w:style w:type="paragraph" w:styleId="7">
    <w:name w:val="heading 6"/>
    <w:basedOn w:val="1"/>
    <w:next w:val="1"/>
    <w:link w:val="29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213"/>
    <w:qFormat/>
    <w:uiPriority w:val="0"/>
    <w:pPr>
      <w:keepNext/>
      <w:keepLines/>
      <w:adjustRightInd w:val="0"/>
      <w:spacing w:before="240" w:after="64" w:line="320" w:lineRule="atLeast"/>
      <w:jc w:val="left"/>
      <w:textAlignment w:val="baseline"/>
      <w:outlineLvl w:val="6"/>
    </w:pPr>
    <w:rPr>
      <w:rFonts w:ascii="Calibri" w:hAnsi="Calibri"/>
      <w:b/>
      <w:bCs/>
      <w:kern w:val="0"/>
      <w:sz w:val="24"/>
    </w:rPr>
  </w:style>
  <w:style w:type="paragraph" w:styleId="9">
    <w:name w:val="heading 8"/>
    <w:basedOn w:val="1"/>
    <w:next w:val="1"/>
    <w:link w:val="28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307"/>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table of authorities"/>
    <w:basedOn w:val="1"/>
    <w:next w:val="1"/>
    <w:qFormat/>
    <w:uiPriority w:val="99"/>
    <w:pPr>
      <w:widowControl/>
      <w:adjustRightInd w:val="0"/>
      <w:snapToGrid w:val="0"/>
      <w:spacing w:after="200"/>
      <w:ind w:left="420" w:leftChars="200"/>
      <w:jc w:val="left"/>
    </w:pPr>
    <w:rPr>
      <w:rFonts w:ascii="Tahoma" w:hAnsi="Tahoma" w:eastAsia="微软雅黑"/>
      <w:kern w:val="0"/>
      <w:sz w:val="22"/>
      <w:szCs w:val="22"/>
    </w:rPr>
  </w:style>
  <w:style w:type="paragraph" w:styleId="13">
    <w:name w:val="Normal Indent"/>
    <w:basedOn w:val="1"/>
    <w:next w:val="14"/>
    <w:qFormat/>
    <w:uiPriority w:val="0"/>
    <w:pPr>
      <w:widowControl/>
      <w:ind w:firstLine="420"/>
      <w:jc w:val="left"/>
    </w:pPr>
    <w:rPr>
      <w:kern w:val="0"/>
      <w:sz w:val="20"/>
      <w:szCs w:val="20"/>
    </w:rPr>
  </w:style>
  <w:style w:type="paragraph" w:styleId="14">
    <w:name w:val="toc 4"/>
    <w:basedOn w:val="1"/>
    <w:next w:val="1"/>
    <w:qFormat/>
    <w:uiPriority w:val="0"/>
    <w:pPr>
      <w:ind w:left="630"/>
      <w:jc w:val="left"/>
    </w:pPr>
    <w:rPr>
      <w:sz w:val="18"/>
      <w:szCs w:val="18"/>
    </w:rPr>
  </w:style>
  <w:style w:type="paragraph" w:styleId="15">
    <w:name w:val="Document Map"/>
    <w:basedOn w:val="1"/>
    <w:semiHidden/>
    <w:qFormat/>
    <w:uiPriority w:val="0"/>
    <w:pPr>
      <w:shd w:val="clear" w:color="auto" w:fill="000080"/>
    </w:pPr>
  </w:style>
  <w:style w:type="paragraph" w:styleId="16">
    <w:name w:val="annotation text"/>
    <w:basedOn w:val="1"/>
    <w:link w:val="254"/>
    <w:semiHidden/>
    <w:qFormat/>
    <w:uiPriority w:val="0"/>
    <w:pPr>
      <w:jc w:val="left"/>
    </w:pPr>
    <w:rPr>
      <w:rFonts w:ascii="Calibri" w:hAnsi="Calibri"/>
    </w:rPr>
  </w:style>
  <w:style w:type="paragraph" w:styleId="17">
    <w:name w:val="Salutation"/>
    <w:basedOn w:val="1"/>
    <w:next w:val="1"/>
    <w:qFormat/>
    <w:uiPriority w:val="0"/>
    <w:rPr>
      <w:rFonts w:ascii="仿宋_GB2312" w:eastAsia="仿宋_GB2312"/>
      <w:sz w:val="24"/>
    </w:rPr>
  </w:style>
  <w:style w:type="paragraph" w:styleId="18">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next w:val="20"/>
    <w:qFormat/>
    <w:uiPriority w:val="0"/>
    <w:pPr>
      <w:spacing w:after="120"/>
    </w:pPr>
  </w:style>
  <w:style w:type="paragraph" w:styleId="20">
    <w:name w:val="toc 2"/>
    <w:basedOn w:val="1"/>
    <w:next w:val="1"/>
    <w:qFormat/>
    <w:uiPriority w:val="0"/>
    <w:pPr>
      <w:ind w:left="210"/>
      <w:jc w:val="left"/>
    </w:pPr>
    <w:rPr>
      <w:smallCaps/>
      <w:sz w:val="20"/>
      <w:szCs w:val="20"/>
    </w:rPr>
  </w:style>
  <w:style w:type="paragraph" w:styleId="21">
    <w:name w:val="Body Text Indent"/>
    <w:basedOn w:val="1"/>
    <w:next w:val="22"/>
    <w:link w:val="267"/>
    <w:qFormat/>
    <w:uiPriority w:val="0"/>
    <w:pPr>
      <w:spacing w:after="120"/>
      <w:ind w:left="420" w:leftChars="200"/>
    </w:pPr>
    <w:rPr>
      <w:rFonts w:ascii="Calibri" w:hAnsi="Calibri"/>
    </w:rPr>
  </w:style>
  <w:style w:type="paragraph" w:styleId="22">
    <w:name w:val="Body Text First Indent 2"/>
    <w:basedOn w:val="21"/>
    <w:next w:val="13"/>
    <w:unhideWhenUsed/>
    <w:qFormat/>
    <w:uiPriority w:val="99"/>
    <w:pPr>
      <w:ind w:firstLine="420" w:firstLineChars="200"/>
    </w:p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298"/>
    <w:qFormat/>
    <w:uiPriority w:val="0"/>
    <w:rPr>
      <w:rFonts w:ascii="Calibri" w:hAnsi="Calibri"/>
      <w:sz w:val="24"/>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link w:val="250"/>
    <w:qFormat/>
    <w:uiPriority w:val="0"/>
    <w:rPr>
      <w:rFonts w:ascii="Calibri" w:hAnsi="Calibri"/>
      <w:sz w:val="18"/>
      <w:szCs w:val="18"/>
    </w:rPr>
  </w:style>
  <w:style w:type="paragraph" w:styleId="31">
    <w:name w:val="footer"/>
    <w:basedOn w:val="1"/>
    <w:link w:val="263"/>
    <w:qFormat/>
    <w:uiPriority w:val="0"/>
    <w:pPr>
      <w:tabs>
        <w:tab w:val="center" w:pos="4153"/>
        <w:tab w:val="right" w:pos="8306"/>
      </w:tabs>
      <w:snapToGrid w:val="0"/>
      <w:jc w:val="left"/>
    </w:pPr>
    <w:rPr>
      <w:rFonts w:ascii="Calibri" w:hAnsi="Calibri"/>
      <w:sz w:val="18"/>
      <w:szCs w:val="18"/>
    </w:rPr>
  </w:style>
  <w:style w:type="paragraph" w:styleId="32">
    <w:name w:val="header"/>
    <w:basedOn w:val="1"/>
    <w:link w:val="25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3">
    <w:name w:val="toc 1"/>
    <w:basedOn w:val="1"/>
    <w:next w:val="1"/>
    <w:semiHidden/>
    <w:qFormat/>
    <w:uiPriority w:val="0"/>
    <w:pPr>
      <w:spacing w:before="120" w:after="120"/>
      <w:jc w:val="left"/>
    </w:pPr>
    <w:rPr>
      <w:b/>
      <w:bCs/>
      <w:caps/>
      <w:sz w:val="20"/>
      <w:szCs w:val="20"/>
    </w:rPr>
  </w:style>
  <w:style w:type="paragraph" w:styleId="34">
    <w:name w:val="List"/>
    <w:basedOn w:val="1"/>
    <w:qFormat/>
    <w:uiPriority w:val="0"/>
    <w:pPr>
      <w:ind w:left="200" w:hanging="200" w:hangingChars="200"/>
    </w:pPr>
    <w:rPr>
      <w:sz w:val="28"/>
    </w:rPr>
  </w:style>
  <w:style w:type="paragraph" w:styleId="35">
    <w:name w:val="footnote text"/>
    <w:basedOn w:val="1"/>
    <w:qFormat/>
    <w:uiPriority w:val="99"/>
  </w:style>
  <w:style w:type="paragraph" w:styleId="36">
    <w:name w:val="toc 6"/>
    <w:basedOn w:val="1"/>
    <w:next w:val="1"/>
    <w:qFormat/>
    <w:uiPriority w:val="0"/>
    <w:pPr>
      <w:ind w:left="1050"/>
      <w:jc w:val="left"/>
    </w:pPr>
    <w:rPr>
      <w:sz w:val="18"/>
      <w:szCs w:val="18"/>
    </w:rPr>
  </w:style>
  <w:style w:type="paragraph" w:styleId="37">
    <w:name w:val="Body Text Indent 3"/>
    <w:basedOn w:val="1"/>
    <w:link w:val="300"/>
    <w:qFormat/>
    <w:uiPriority w:val="0"/>
    <w:pPr>
      <w:spacing w:after="120"/>
      <w:ind w:left="420" w:leftChars="200"/>
    </w:pPr>
    <w:rPr>
      <w:rFonts w:ascii="Calibri" w:hAnsi="Calibri"/>
      <w:sz w:val="16"/>
      <w:szCs w:val="16"/>
    </w:rPr>
  </w:style>
  <w:style w:type="paragraph" w:styleId="38">
    <w:name w:val="toc 9"/>
    <w:basedOn w:val="1"/>
    <w:next w:val="1"/>
    <w:qFormat/>
    <w:uiPriority w:val="0"/>
    <w:pPr>
      <w:ind w:left="1680"/>
      <w:jc w:val="left"/>
    </w:pPr>
    <w:rPr>
      <w:sz w:val="18"/>
      <w:szCs w:val="18"/>
    </w:rPr>
  </w:style>
  <w:style w:type="paragraph" w:styleId="39">
    <w:name w:val="Body Text 2"/>
    <w:basedOn w:val="1"/>
    <w:qFormat/>
    <w:uiPriority w:val="0"/>
    <w:pPr>
      <w:spacing w:after="120" w:line="480" w:lineRule="auto"/>
    </w:pPr>
  </w:style>
  <w:style w:type="paragraph" w:styleId="40">
    <w:name w:val="HTML Preformatted"/>
    <w:basedOn w:val="1"/>
    <w:link w:val="27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55"/>
    <w:qFormat/>
    <w:uiPriority w:val="0"/>
    <w:pPr>
      <w:spacing w:before="240" w:after="60"/>
      <w:jc w:val="center"/>
      <w:outlineLvl w:val="0"/>
    </w:pPr>
    <w:rPr>
      <w:rFonts w:ascii="Cambria" w:hAnsi="Cambria"/>
      <w:b/>
      <w:sz w:val="32"/>
    </w:rPr>
  </w:style>
  <w:style w:type="paragraph" w:styleId="44">
    <w:name w:val="annotation subject"/>
    <w:basedOn w:val="16"/>
    <w:next w:val="16"/>
    <w:link w:val="315"/>
    <w:qFormat/>
    <w:uiPriority w:val="0"/>
    <w:rPr>
      <w:b/>
      <w:bCs/>
    </w:rPr>
  </w:style>
  <w:style w:type="paragraph" w:styleId="45">
    <w:name w:val="Body Text First Indent"/>
    <w:basedOn w:val="19"/>
    <w:next w:val="1"/>
    <w:unhideWhenUsed/>
    <w:qFormat/>
    <w:uiPriority w:val="99"/>
    <w:pPr>
      <w:ind w:firstLine="420" w:firstLineChars="1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rFonts w:ascii="Times New Roman" w:hAnsi="Times New Roman" w:eastAsia="宋体" w:cs="Times New Roman"/>
      <w:b/>
      <w:bCs/>
    </w:rPr>
  </w:style>
  <w:style w:type="character" w:styleId="50">
    <w:name w:val="page number"/>
    <w:basedOn w:val="48"/>
    <w:qFormat/>
    <w:uiPriority w:val="0"/>
    <w:rPr>
      <w:rFonts w:ascii="宋体" w:hAnsi="宋体" w:eastAsia="宋体" w:cs="宋体"/>
      <w:sz w:val="24"/>
    </w:rPr>
  </w:style>
  <w:style w:type="character" w:styleId="51">
    <w:name w:val="FollowedHyperlink"/>
    <w:qFormat/>
    <w:uiPriority w:val="0"/>
    <w:rPr>
      <w:rFonts w:ascii="Times New Roman" w:hAnsi="Times New Roman" w:eastAsia="宋体" w:cs="Times New Roman"/>
      <w:color w:val="800080"/>
      <w:u w:val="single"/>
    </w:rPr>
  </w:style>
  <w:style w:type="character" w:styleId="52">
    <w:name w:val="Emphasis"/>
    <w:qFormat/>
    <w:uiPriority w:val="0"/>
    <w:rPr>
      <w:rFonts w:ascii="Times New Roman" w:hAnsi="Times New Roman" w:eastAsia="宋体" w:cs="Times New Roman"/>
    </w:rPr>
  </w:style>
  <w:style w:type="character" w:styleId="53">
    <w:name w:val="HTML Definition"/>
    <w:qFormat/>
    <w:uiPriority w:val="0"/>
    <w:rPr>
      <w:rFonts w:ascii="Times New Roman" w:hAnsi="Times New Roman" w:eastAsia="宋体" w:cs="Times New Roman"/>
    </w:rPr>
  </w:style>
  <w:style w:type="character" w:styleId="54">
    <w:name w:val="HTML Variable"/>
    <w:qFormat/>
    <w:uiPriority w:val="0"/>
    <w:rPr>
      <w:rFonts w:ascii="Times New Roman" w:hAnsi="Times New Roman" w:eastAsia="宋体" w:cs="Times New Roman"/>
    </w:rPr>
  </w:style>
  <w:style w:type="character" w:styleId="55">
    <w:name w:val="Hyperlink"/>
    <w:basedOn w:val="48"/>
    <w:qFormat/>
    <w:uiPriority w:val="99"/>
    <w:rPr>
      <w:rFonts w:ascii="Times New Roman" w:hAnsi="Times New Roman" w:eastAsia="宋体" w:cs="Times New Roman"/>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rFonts w:ascii="Times New Roman" w:hAnsi="Times New Roman" w:eastAsia="宋体" w:cs="Times New Roman"/>
      <w:sz w:val="21"/>
      <w:szCs w:val="21"/>
    </w:rPr>
  </w:style>
  <w:style w:type="character" w:styleId="58">
    <w:name w:val="HTML Cite"/>
    <w:qFormat/>
    <w:uiPriority w:val="0"/>
    <w:rPr>
      <w:rFonts w:ascii="Times New Roman" w:hAnsi="Times New Roman" w:eastAsia="宋体" w:cs="Times New Roman"/>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62">
    <w:name w:val="样式 标题 2 + Times New Roman 四号 非加粗 段前: 5 磅 段后: 0 磅 行距: 固定值 20..."/>
    <w:basedOn w:val="2"/>
    <w:qFormat/>
    <w:uiPriority w:val="0"/>
    <w:pPr>
      <w:spacing w:before="100" w:line="400" w:lineRule="exact"/>
    </w:pPr>
    <w:rPr>
      <w:rFonts w:ascii="Times New Roman" w:hAnsi="Times New Roman" w:eastAsia="黑体"/>
      <w:b w:val="0"/>
      <w:bCs w:val="0"/>
      <w:sz w:val="28"/>
      <w:szCs w:val="20"/>
    </w:rPr>
  </w:style>
  <w:style w:type="paragraph" w:customStyle="1" w:styleId="63">
    <w:name w:val="Style8"/>
    <w:basedOn w:val="1"/>
    <w:unhideWhenUsed/>
    <w:qFormat/>
    <w:uiPriority w:val="0"/>
    <w:pPr>
      <w:spacing w:line="566" w:lineRule="exact"/>
      <w:jc w:val="center"/>
    </w:pPr>
  </w:style>
  <w:style w:type="paragraph" w:customStyle="1" w:styleId="64">
    <w:name w:val="xl9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color w:val="FF0000"/>
      <w:kern w:val="0"/>
      <w:sz w:val="14"/>
      <w:szCs w:val="14"/>
    </w:rPr>
  </w:style>
  <w:style w:type="paragraph" w:customStyle="1" w:styleId="65">
    <w:name w:val="Style74"/>
    <w:basedOn w:val="1"/>
    <w:unhideWhenUsed/>
    <w:qFormat/>
    <w:uiPriority w:val="0"/>
    <w:pPr>
      <w:spacing w:line="437" w:lineRule="exact"/>
    </w:pPr>
  </w:style>
  <w:style w:type="paragraph" w:customStyle="1" w:styleId="66">
    <w:name w:val="Style52"/>
    <w:basedOn w:val="1"/>
    <w:unhideWhenUsed/>
    <w:qFormat/>
    <w:uiPriority w:val="0"/>
    <w:pPr>
      <w:spacing w:line="682" w:lineRule="exact"/>
      <w:ind w:firstLine="557"/>
    </w:pPr>
  </w:style>
  <w:style w:type="paragraph" w:customStyle="1" w:styleId="67">
    <w:name w:val="_Style 39"/>
    <w:basedOn w:val="68"/>
    <w:qFormat/>
    <w:uiPriority w:val="0"/>
  </w:style>
  <w:style w:type="paragraph" w:customStyle="1" w:styleId="6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标题2"/>
    <w:basedOn w:val="43"/>
    <w:qFormat/>
    <w:uiPriority w:val="0"/>
    <w:pPr>
      <w:spacing w:after="240"/>
      <w:jc w:val="left"/>
    </w:pPr>
    <w:rPr>
      <w:sz w:val="30"/>
    </w:rPr>
  </w:style>
  <w:style w:type="paragraph" w:customStyle="1" w:styleId="70">
    <w:name w:val="Style44"/>
    <w:basedOn w:val="1"/>
    <w:unhideWhenUsed/>
    <w:qFormat/>
    <w:uiPriority w:val="0"/>
  </w:style>
  <w:style w:type="paragraph" w:customStyle="1" w:styleId="71">
    <w:name w:val="Style56"/>
    <w:basedOn w:val="1"/>
    <w:unhideWhenUsed/>
    <w:qFormat/>
    <w:uiPriority w:val="0"/>
  </w:style>
  <w:style w:type="paragraph" w:customStyle="1" w:styleId="72">
    <w:name w:val="Char1 Char Char Char"/>
    <w:basedOn w:val="1"/>
    <w:qFormat/>
    <w:uiPriority w:val="0"/>
    <w:pPr>
      <w:widowControl/>
      <w:spacing w:after="160" w:line="240" w:lineRule="exact"/>
      <w:jc w:val="left"/>
    </w:pPr>
    <w:rPr>
      <w:kern w:val="0"/>
      <w:sz w:val="24"/>
      <w:szCs w:val="20"/>
    </w:rPr>
  </w:style>
  <w:style w:type="paragraph" w:customStyle="1" w:styleId="73">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74">
    <w:name w:val="表名称"/>
    <w:basedOn w:val="13"/>
    <w:qFormat/>
    <w:uiPriority w:val="0"/>
    <w:pPr>
      <w:numPr>
        <w:ilvl w:val="0"/>
        <w:numId w:val="1"/>
      </w:numPr>
      <w:ind w:firstLine="0"/>
      <w:jc w:val="center"/>
    </w:pPr>
  </w:style>
  <w:style w:type="paragraph" w:customStyle="1" w:styleId="7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76">
    <w:name w:val="Char1 Char Char Char 字元 Char Char 字元 Char 字元 Char1 Char Char Char"/>
    <w:basedOn w:val="1"/>
    <w:qFormat/>
    <w:uiPriority w:val="0"/>
    <w:rPr>
      <w:szCs w:val="20"/>
    </w:rPr>
  </w:style>
  <w:style w:type="paragraph" w:customStyle="1" w:styleId="77">
    <w:name w:val="Style13"/>
    <w:basedOn w:val="1"/>
    <w:unhideWhenUsed/>
    <w:qFormat/>
    <w:uiPriority w:val="0"/>
  </w:style>
  <w:style w:type="paragraph" w:customStyle="1" w:styleId="7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4"/>
      <w:szCs w:val="14"/>
    </w:rPr>
  </w:style>
  <w:style w:type="paragraph" w:customStyle="1" w:styleId="79">
    <w:name w:val="Style69"/>
    <w:basedOn w:val="1"/>
    <w:unhideWhenUsed/>
    <w:qFormat/>
    <w:uiPriority w:val="0"/>
    <w:pPr>
      <w:spacing w:line="557" w:lineRule="exact"/>
      <w:ind w:firstLine="1666"/>
    </w:pPr>
  </w:style>
  <w:style w:type="paragraph" w:customStyle="1" w:styleId="80">
    <w:name w:val="Style10"/>
    <w:basedOn w:val="1"/>
    <w:unhideWhenUsed/>
    <w:qFormat/>
    <w:uiPriority w:val="0"/>
    <w:pPr>
      <w:spacing w:line="538" w:lineRule="exact"/>
    </w:pPr>
  </w:style>
  <w:style w:type="paragraph" w:customStyle="1" w:styleId="81">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82">
    <w:name w:val="xl7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83">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8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5">
    <w:name w:val="1 Char Char Char Char"/>
    <w:basedOn w:val="1"/>
    <w:qFormat/>
    <w:uiPriority w:val="0"/>
  </w:style>
  <w:style w:type="paragraph" w:customStyle="1" w:styleId="86">
    <w:name w:val="默认段落字体 Para Char Char Char Char Char Char Char Char Char Char Char Char Char Char Char Char Char Char Char"/>
    <w:basedOn w:val="1"/>
    <w:qFormat/>
    <w:uiPriority w:val="0"/>
  </w:style>
  <w:style w:type="paragraph" w:customStyle="1" w:styleId="87">
    <w:name w:val="Style64"/>
    <w:basedOn w:val="1"/>
    <w:unhideWhenUsed/>
    <w:qFormat/>
    <w:uiPriority w:val="0"/>
  </w:style>
  <w:style w:type="paragraph" w:customStyle="1" w:styleId="88">
    <w:name w:val="附录标识"/>
    <w:basedOn w:val="61"/>
    <w:qFormat/>
    <w:uiPriority w:val="0"/>
    <w:pPr>
      <w:tabs>
        <w:tab w:val="left" w:pos="6405"/>
      </w:tabs>
      <w:spacing w:after="200"/>
    </w:pPr>
    <w:rPr>
      <w:sz w:val="21"/>
    </w:rPr>
  </w:style>
  <w:style w:type="paragraph" w:customStyle="1" w:styleId="89">
    <w:name w:val="Style60"/>
    <w:basedOn w:val="1"/>
    <w:unhideWhenUsed/>
    <w:qFormat/>
    <w:uiPriority w:val="0"/>
    <w:pPr>
      <w:spacing w:line="566" w:lineRule="exact"/>
    </w:pPr>
  </w:style>
  <w:style w:type="paragraph" w:customStyle="1" w:styleId="90">
    <w:name w:val="Style67"/>
    <w:basedOn w:val="1"/>
    <w:unhideWhenUsed/>
    <w:qFormat/>
    <w:uiPriority w:val="0"/>
    <w:pPr>
      <w:spacing w:line="566" w:lineRule="exact"/>
      <w:ind w:firstLine="552"/>
    </w:pPr>
  </w:style>
  <w:style w:type="paragraph" w:customStyle="1" w:styleId="9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93">
    <w:name w:val="xl7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kern w:val="0"/>
      <w:sz w:val="18"/>
      <w:szCs w:val="18"/>
    </w:rPr>
  </w:style>
  <w:style w:type="paragraph" w:customStyle="1" w:styleId="94">
    <w:name w:val="正文_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Char Char1 Char Char Char"/>
    <w:basedOn w:val="1"/>
    <w:qFormat/>
    <w:uiPriority w:val="0"/>
    <w:rPr>
      <w:kern w:val="0"/>
      <w:sz w:val="20"/>
      <w:szCs w:val="20"/>
    </w:rPr>
  </w:style>
  <w:style w:type="paragraph" w:customStyle="1" w:styleId="96">
    <w:name w:val="4号正文"/>
    <w:basedOn w:val="1"/>
    <w:qFormat/>
    <w:uiPriority w:val="0"/>
    <w:pPr>
      <w:spacing w:after="120"/>
      <w:ind w:firstLine="555" w:firstLineChars="196"/>
    </w:pPr>
    <w:rPr>
      <w:rFonts w:ascii="仿宋_GB2312" w:hAnsi="华文细黑" w:eastAsia="仿宋_GB2312"/>
      <w:spacing w:val="10"/>
      <w:sz w:val="28"/>
      <w:szCs w:val="20"/>
    </w:rPr>
  </w:style>
  <w:style w:type="paragraph" w:customStyle="1" w:styleId="97">
    <w:name w:val="索引 11"/>
    <w:basedOn w:val="1"/>
    <w:next w:val="1"/>
    <w:qFormat/>
    <w:uiPriority w:val="0"/>
    <w:pPr>
      <w:spacing w:line="360" w:lineRule="auto"/>
    </w:pPr>
    <w:rPr>
      <w:rFonts w:ascii="仿宋_GB2312" w:eastAsia="仿宋_GB2312"/>
      <w:sz w:val="24"/>
      <w:szCs w:val="20"/>
    </w:rPr>
  </w:style>
  <w:style w:type="paragraph" w:customStyle="1" w:styleId="98">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99">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b/>
      <w:bCs/>
      <w:kern w:val="0"/>
      <w:sz w:val="18"/>
      <w:szCs w:val="18"/>
    </w:rPr>
  </w:style>
  <w:style w:type="paragraph" w:customStyle="1" w:styleId="100">
    <w:name w:val="表格内容"/>
    <w:basedOn w:val="19"/>
    <w:qFormat/>
    <w:uiPriority w:val="0"/>
    <w:pPr>
      <w:suppressLineNumbers/>
      <w:suppressAutoHyphens/>
      <w:jc w:val="left"/>
    </w:pPr>
    <w:rPr>
      <w:rFonts w:cs="Tahoma"/>
      <w:kern w:val="0"/>
      <w:sz w:val="24"/>
    </w:rPr>
  </w:style>
  <w:style w:type="paragraph" w:customStyle="1" w:styleId="101">
    <w:name w:val="Style54"/>
    <w:basedOn w:val="1"/>
    <w:unhideWhenUsed/>
    <w:qFormat/>
    <w:uiPriority w:val="0"/>
  </w:style>
  <w:style w:type="paragraph" w:customStyle="1" w:styleId="102">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10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Style11"/>
    <w:basedOn w:val="1"/>
    <w:unhideWhenUsed/>
    <w:qFormat/>
    <w:uiPriority w:val="0"/>
    <w:pPr>
      <w:spacing w:line="559" w:lineRule="exact"/>
      <w:ind w:firstLine="590"/>
    </w:pPr>
  </w:style>
  <w:style w:type="paragraph" w:customStyle="1" w:styleId="105">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106">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07">
    <w:name w:val="Style48"/>
    <w:basedOn w:val="1"/>
    <w:unhideWhenUsed/>
    <w:qFormat/>
    <w:uiPriority w:val="0"/>
    <w:pPr>
      <w:spacing w:line="542" w:lineRule="exact"/>
      <w:jc w:val="right"/>
    </w:pPr>
  </w:style>
  <w:style w:type="paragraph" w:customStyle="1" w:styleId="108">
    <w:name w:val="xl9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09">
    <w:name w:val="Char Char1 Char Char Char Char Char1 Char Char Char Char"/>
    <w:basedOn w:val="15"/>
    <w:qFormat/>
    <w:uiPriority w:val="0"/>
    <w:rPr>
      <w:rFonts w:ascii="Tahoma" w:hAnsi="Tahoma"/>
    </w:rPr>
  </w:style>
  <w:style w:type="paragraph" w:customStyle="1" w:styleId="110">
    <w:name w:val="Style80"/>
    <w:basedOn w:val="1"/>
    <w:unhideWhenUsed/>
    <w:qFormat/>
    <w:uiPriority w:val="0"/>
  </w:style>
  <w:style w:type="paragraph" w:customStyle="1" w:styleId="111">
    <w:name w:val="Style71"/>
    <w:basedOn w:val="1"/>
    <w:unhideWhenUsed/>
    <w:qFormat/>
    <w:uiPriority w:val="0"/>
    <w:pPr>
      <w:spacing w:line="538" w:lineRule="exact"/>
      <w:ind w:firstLine="101"/>
    </w:pPr>
  </w:style>
  <w:style w:type="paragraph" w:customStyle="1" w:styleId="112">
    <w:name w:val="默认段落字体 Para Char Char Char Char Char Char Char Char Char1 Char Char Char Char"/>
    <w:basedOn w:val="1"/>
    <w:qFormat/>
    <w:uiPriority w:val="0"/>
    <w:rPr>
      <w:rFonts w:ascii="Tahoma" w:hAnsi="Tahoma"/>
      <w:sz w:val="24"/>
      <w:szCs w:val="20"/>
    </w:rPr>
  </w:style>
  <w:style w:type="paragraph" w:customStyle="1" w:styleId="113">
    <w:name w:val="Style34"/>
    <w:basedOn w:val="1"/>
    <w:unhideWhenUsed/>
    <w:qFormat/>
    <w:uiPriority w:val="0"/>
    <w:pPr>
      <w:spacing w:line="375" w:lineRule="exact"/>
    </w:pPr>
  </w:style>
  <w:style w:type="paragraph" w:customStyle="1" w:styleId="11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Style5"/>
    <w:basedOn w:val="1"/>
    <w:unhideWhenUsed/>
    <w:qFormat/>
    <w:uiPriority w:val="0"/>
  </w:style>
  <w:style w:type="paragraph" w:customStyle="1" w:styleId="11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7">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18">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color w:val="FF0000"/>
      <w:kern w:val="0"/>
      <w:sz w:val="18"/>
      <w:szCs w:val="18"/>
    </w:rPr>
  </w:style>
  <w:style w:type="paragraph" w:customStyle="1" w:styleId="11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2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2">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b/>
      <w:bCs/>
      <w:kern w:val="0"/>
      <w:sz w:val="18"/>
      <w:szCs w:val="18"/>
    </w:rPr>
  </w:style>
  <w:style w:type="paragraph" w:customStyle="1" w:styleId="123">
    <w:name w:val="Style4"/>
    <w:basedOn w:val="1"/>
    <w:unhideWhenUsed/>
    <w:qFormat/>
    <w:uiPriority w:val="0"/>
  </w:style>
  <w:style w:type="paragraph" w:customStyle="1" w:styleId="124">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25">
    <w:name w:val="NO3"/>
    <w:basedOn w:val="1"/>
    <w:qFormat/>
    <w:uiPriority w:val="0"/>
    <w:pPr>
      <w:tabs>
        <w:tab w:val="left" w:pos="907"/>
      </w:tabs>
      <w:spacing w:line="360" w:lineRule="auto"/>
    </w:pPr>
    <w:rPr>
      <w:rFonts w:ascii="宋体" w:hAnsi="宋体"/>
      <w:sz w:val="24"/>
    </w:rPr>
  </w:style>
  <w:style w:type="paragraph" w:customStyle="1" w:styleId="126">
    <w:name w:val="列出段落1"/>
    <w:basedOn w:val="1"/>
    <w:qFormat/>
    <w:uiPriority w:val="99"/>
    <w:pPr>
      <w:widowControl/>
      <w:adjustRightInd w:val="0"/>
      <w:snapToGrid w:val="0"/>
      <w:spacing w:after="200"/>
      <w:ind w:firstLine="420" w:firstLineChars="200"/>
      <w:jc w:val="left"/>
    </w:pPr>
    <w:rPr>
      <w:rFonts w:ascii="Tahoma" w:hAnsi="Tahoma" w:eastAsia="微软雅黑" w:cs="Tahoma"/>
      <w:kern w:val="0"/>
      <w:sz w:val="22"/>
      <w:szCs w:val="22"/>
    </w:rPr>
  </w:style>
  <w:style w:type="paragraph" w:customStyle="1" w:styleId="127">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8"/>
      <w:szCs w:val="18"/>
    </w:rPr>
  </w:style>
  <w:style w:type="paragraph" w:customStyle="1" w:styleId="128">
    <w:name w:val="Style41"/>
    <w:basedOn w:val="1"/>
    <w:unhideWhenUsed/>
    <w:qFormat/>
    <w:uiPriority w:val="0"/>
    <w:pPr>
      <w:spacing w:line="542" w:lineRule="exact"/>
      <w:ind w:firstLine="125"/>
    </w:pPr>
  </w:style>
  <w:style w:type="paragraph" w:customStyle="1" w:styleId="129">
    <w:name w:val="1"/>
    <w:basedOn w:val="1"/>
    <w:qFormat/>
    <w:uiPriority w:val="0"/>
    <w:pPr>
      <w:spacing w:after="156" w:afterLines="50" w:line="360" w:lineRule="auto"/>
    </w:pPr>
    <w:rPr>
      <w:rFonts w:ascii="宋体" w:hAnsi="宋体"/>
      <w:b/>
      <w:sz w:val="30"/>
      <w:szCs w:val="21"/>
    </w:rPr>
  </w:style>
  <w:style w:type="paragraph" w:customStyle="1" w:styleId="130">
    <w:name w:val="Style53"/>
    <w:basedOn w:val="1"/>
    <w:unhideWhenUsed/>
    <w:qFormat/>
    <w:uiPriority w:val="0"/>
    <w:pPr>
      <w:spacing w:line="533" w:lineRule="exact"/>
      <w:ind w:firstLine="581"/>
    </w:pPr>
  </w:style>
  <w:style w:type="paragraph" w:customStyle="1" w:styleId="131">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132">
    <w:name w:val="Char1 Char Char Char Char Char Char Char Char Char"/>
    <w:basedOn w:val="1"/>
    <w:qFormat/>
    <w:uiPriority w:val="0"/>
    <w:rPr>
      <w:szCs w:val="20"/>
    </w:rPr>
  </w:style>
  <w:style w:type="paragraph" w:customStyle="1" w:styleId="133">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color w:val="FF0000"/>
      <w:kern w:val="0"/>
      <w:sz w:val="14"/>
      <w:szCs w:val="14"/>
    </w:rPr>
  </w:style>
  <w:style w:type="paragraph" w:customStyle="1" w:styleId="134">
    <w:name w:val="Style46"/>
    <w:basedOn w:val="1"/>
    <w:unhideWhenUsed/>
    <w:qFormat/>
    <w:uiPriority w:val="0"/>
    <w:pPr>
      <w:spacing w:line="672" w:lineRule="exact"/>
    </w:pPr>
  </w:style>
  <w:style w:type="paragraph" w:customStyle="1" w:styleId="135">
    <w:name w:val="我的正文"/>
    <w:basedOn w:val="1"/>
    <w:link w:val="242"/>
    <w:qFormat/>
    <w:uiPriority w:val="0"/>
    <w:pPr>
      <w:spacing w:line="480" w:lineRule="exact"/>
      <w:ind w:firstLine="200" w:firstLineChars="200"/>
    </w:pPr>
    <w:rPr>
      <w:rFonts w:ascii="Arial" w:hAnsi="Arial" w:eastAsia="微软雅黑"/>
      <w:kern w:val="0"/>
      <w:sz w:val="24"/>
    </w:rPr>
  </w:style>
  <w:style w:type="paragraph" w:customStyle="1" w:styleId="136">
    <w:name w:val="纯文本1"/>
    <w:basedOn w:val="1"/>
    <w:link w:val="322"/>
    <w:qFormat/>
    <w:uiPriority w:val="0"/>
    <w:rPr>
      <w:rFonts w:ascii="宋体" w:hAnsi="Courier New" w:eastAsia="微软雅黑"/>
      <w:kern w:val="0"/>
      <w:sz w:val="20"/>
      <w:szCs w:val="20"/>
    </w:rPr>
  </w:style>
  <w:style w:type="paragraph" w:customStyle="1" w:styleId="137">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Char Char Char1 Char Char Char Char Char Char Char"/>
    <w:basedOn w:val="1"/>
    <w:qFormat/>
    <w:uiPriority w:val="0"/>
    <w:pPr>
      <w:spacing w:line="360" w:lineRule="auto"/>
    </w:pPr>
    <w:rPr>
      <w:rFonts w:ascii="宋体" w:hAnsi="宋体" w:cs="宋体"/>
      <w:sz w:val="24"/>
    </w:rPr>
  </w:style>
  <w:style w:type="paragraph" w:customStyle="1" w:styleId="139">
    <w:name w:val="p18_1_2"/>
    <w:basedOn w:val="1"/>
    <w:qFormat/>
    <w:uiPriority w:val="0"/>
    <w:pPr>
      <w:widowControl/>
    </w:pPr>
    <w:rPr>
      <w:kern w:val="0"/>
      <w:szCs w:val="21"/>
    </w:rPr>
  </w:style>
  <w:style w:type="paragraph" w:customStyle="1" w:styleId="14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41">
    <w:name w:val="Style81"/>
    <w:basedOn w:val="1"/>
    <w:unhideWhenUsed/>
    <w:qFormat/>
    <w:uiPriority w:val="0"/>
    <w:pPr>
      <w:spacing w:line="547" w:lineRule="exact"/>
    </w:p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1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4">
    <w:name w:val="p16"/>
    <w:basedOn w:val="1"/>
    <w:qFormat/>
    <w:uiPriority w:val="0"/>
    <w:pPr>
      <w:widowControl/>
      <w:jc w:val="left"/>
    </w:pPr>
    <w:rPr>
      <w:kern w:val="0"/>
      <w:szCs w:val="21"/>
    </w:rPr>
  </w:style>
  <w:style w:type="paragraph" w:customStyle="1" w:styleId="145">
    <w:name w:val="标题 1 +"/>
    <w:basedOn w:val="3"/>
    <w:next w:val="1"/>
    <w:qFormat/>
    <w:uiPriority w:val="0"/>
    <w:pPr>
      <w:keepLines/>
      <w:spacing w:line="600" w:lineRule="auto"/>
    </w:pPr>
    <w:rPr>
      <w:rFonts w:eastAsia="黑体"/>
      <w:kern w:val="0"/>
      <w:sz w:val="32"/>
      <w:szCs w:val="32"/>
    </w:rPr>
  </w:style>
  <w:style w:type="paragraph" w:customStyle="1" w:styleId="14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47">
    <w:name w:val="Style45"/>
    <w:basedOn w:val="1"/>
    <w:unhideWhenUsed/>
    <w:qFormat/>
    <w:uiPriority w:val="0"/>
  </w:style>
  <w:style w:type="paragraph" w:customStyle="1" w:styleId="148">
    <w:name w:val="Style77"/>
    <w:basedOn w:val="1"/>
    <w:unhideWhenUsed/>
    <w:qFormat/>
    <w:uiPriority w:val="0"/>
  </w:style>
  <w:style w:type="paragraph" w:customStyle="1" w:styleId="1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50">
    <w:name w:val="正文1"/>
    <w:basedOn w:val="1"/>
    <w:qFormat/>
    <w:uiPriority w:val="0"/>
    <w:pPr>
      <w:numPr>
        <w:ilvl w:val="0"/>
        <w:numId w:val="2"/>
      </w:numPr>
      <w:tabs>
        <w:tab w:val="left" w:pos="2220"/>
      </w:tabs>
      <w:spacing w:line="360" w:lineRule="auto"/>
    </w:pPr>
    <w:rPr>
      <w:rFonts w:ascii="宋体" w:hAnsi="宋体"/>
    </w:rPr>
  </w:style>
  <w:style w:type="paragraph" w:customStyle="1" w:styleId="151">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52">
    <w:name w:val="Style26"/>
    <w:basedOn w:val="1"/>
    <w:unhideWhenUsed/>
    <w:qFormat/>
    <w:uiPriority w:val="0"/>
  </w:style>
  <w:style w:type="paragraph" w:customStyle="1" w:styleId="153">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kern w:val="0"/>
      <w:sz w:val="18"/>
      <w:szCs w:val="18"/>
    </w:rPr>
  </w:style>
  <w:style w:type="paragraph" w:customStyle="1" w:styleId="154">
    <w:name w:val="Style63"/>
    <w:basedOn w:val="1"/>
    <w:unhideWhenUsed/>
    <w:qFormat/>
    <w:uiPriority w:val="0"/>
    <w:pPr>
      <w:spacing w:line="564" w:lineRule="exact"/>
      <w:ind w:firstLine="682"/>
    </w:pPr>
  </w:style>
  <w:style w:type="paragraph" w:customStyle="1" w:styleId="155">
    <w:name w:val="Style27"/>
    <w:basedOn w:val="1"/>
    <w:unhideWhenUsed/>
    <w:qFormat/>
    <w:uiPriority w:val="0"/>
  </w:style>
  <w:style w:type="paragraph" w:customStyle="1" w:styleId="156">
    <w:name w:val="Char"/>
    <w:basedOn w:val="1"/>
    <w:qFormat/>
    <w:uiPriority w:val="0"/>
    <w:pPr>
      <w:tabs>
        <w:tab w:val="left" w:pos="360"/>
      </w:tabs>
      <w:ind w:left="360" w:hanging="360" w:hangingChars="200"/>
    </w:pPr>
    <w:rPr>
      <w:sz w:val="24"/>
    </w:rPr>
  </w:style>
  <w:style w:type="paragraph" w:customStyle="1" w:styleId="157">
    <w:name w:val="Style29"/>
    <w:basedOn w:val="1"/>
    <w:unhideWhenUsed/>
    <w:qFormat/>
    <w:uiPriority w:val="0"/>
    <w:pPr>
      <w:spacing w:line="547" w:lineRule="exact"/>
      <w:ind w:firstLine="547"/>
    </w:pPr>
  </w:style>
  <w:style w:type="paragraph" w:customStyle="1" w:styleId="158">
    <w:name w:val="_Style 185"/>
    <w:qFormat/>
    <w:uiPriority w:val="0"/>
    <w:rPr>
      <w:rFonts w:ascii="Times New Roman" w:hAnsi="Times New Roman" w:eastAsia="宋体" w:cs="Times New Roman"/>
      <w:kern w:val="2"/>
      <w:sz w:val="21"/>
      <w:szCs w:val="24"/>
      <w:lang w:val="en-US" w:eastAsia="zh-CN" w:bidi="ar-SA"/>
    </w:rPr>
  </w:style>
  <w:style w:type="paragraph" w:customStyle="1" w:styleId="159">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60">
    <w:name w:val="Style21"/>
    <w:basedOn w:val="1"/>
    <w:unhideWhenUsed/>
    <w:qFormat/>
    <w:uiPriority w:val="0"/>
    <w:pPr>
      <w:spacing w:line="566" w:lineRule="exact"/>
      <w:ind w:firstLine="682"/>
    </w:pPr>
  </w:style>
  <w:style w:type="paragraph" w:customStyle="1" w:styleId="161">
    <w:name w:val="Style12"/>
    <w:basedOn w:val="1"/>
    <w:unhideWhenUsed/>
    <w:qFormat/>
    <w:uiPriority w:val="0"/>
    <w:pPr>
      <w:spacing w:line="564" w:lineRule="exact"/>
      <w:ind w:hanging="115"/>
    </w:pPr>
  </w:style>
  <w:style w:type="paragraph" w:customStyle="1" w:styleId="162">
    <w:name w:val="List Paragraph1"/>
    <w:basedOn w:val="1"/>
    <w:link w:val="225"/>
    <w:qFormat/>
    <w:uiPriority w:val="0"/>
    <w:pPr>
      <w:ind w:firstLine="420" w:firstLineChars="200"/>
    </w:pPr>
    <w:rPr>
      <w:rFonts w:ascii="Calibri" w:hAnsi="Calibri" w:cs="Calibri"/>
      <w:szCs w:val="21"/>
    </w:rPr>
  </w:style>
  <w:style w:type="paragraph" w:customStyle="1" w:styleId="163">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64">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color w:val="FF0000"/>
      <w:kern w:val="0"/>
      <w:sz w:val="18"/>
      <w:szCs w:val="18"/>
    </w:rPr>
  </w:style>
  <w:style w:type="paragraph" w:customStyle="1" w:styleId="165">
    <w:name w:val="Style72"/>
    <w:basedOn w:val="1"/>
    <w:unhideWhenUsed/>
    <w:qFormat/>
    <w:uiPriority w:val="0"/>
  </w:style>
  <w:style w:type="paragraph" w:customStyle="1" w:styleId="166">
    <w:name w:val="Style68"/>
    <w:basedOn w:val="1"/>
    <w:unhideWhenUsed/>
    <w:qFormat/>
    <w:uiPriority w:val="0"/>
    <w:pPr>
      <w:spacing w:line="547" w:lineRule="exact"/>
    </w:pPr>
  </w:style>
  <w:style w:type="paragraph" w:customStyle="1" w:styleId="167">
    <w:name w:val="p0"/>
    <w:basedOn w:val="1"/>
    <w:link w:val="209"/>
    <w:qFormat/>
    <w:uiPriority w:val="0"/>
    <w:pPr>
      <w:widowControl/>
    </w:pPr>
    <w:rPr>
      <w:rFonts w:ascii="Calibri" w:hAnsi="Calibri"/>
      <w:kern w:val="0"/>
      <w:szCs w:val="21"/>
    </w:rPr>
  </w:style>
  <w:style w:type="paragraph" w:customStyle="1" w:styleId="168">
    <w:name w:val="Style16"/>
    <w:basedOn w:val="1"/>
    <w:unhideWhenUsed/>
    <w:qFormat/>
    <w:uiPriority w:val="0"/>
    <w:pPr>
      <w:jc w:val="right"/>
    </w:pPr>
  </w:style>
  <w:style w:type="paragraph" w:customStyle="1" w:styleId="169">
    <w:name w:val="Style28"/>
    <w:basedOn w:val="1"/>
    <w:unhideWhenUsed/>
    <w:qFormat/>
    <w:uiPriority w:val="0"/>
    <w:pPr>
      <w:spacing w:line="552" w:lineRule="exact"/>
      <w:ind w:firstLine="547"/>
    </w:pPr>
  </w:style>
  <w:style w:type="paragraph" w:customStyle="1" w:styleId="170">
    <w:name w:val="样式 标题 2 + 宋体 五号 行距: 单倍行距"/>
    <w:basedOn w:val="2"/>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71">
    <w:name w:val="Style15"/>
    <w:basedOn w:val="1"/>
    <w:unhideWhenUsed/>
    <w:qFormat/>
    <w:uiPriority w:val="0"/>
    <w:pPr>
      <w:spacing w:line="557" w:lineRule="exact"/>
      <w:ind w:firstLine="672"/>
    </w:pPr>
  </w:style>
  <w:style w:type="paragraph" w:customStyle="1" w:styleId="172">
    <w:name w:val="Table Paragraph"/>
    <w:basedOn w:val="1"/>
    <w:qFormat/>
    <w:uiPriority w:val="99"/>
    <w:rPr>
      <w:rFonts w:ascii="宋体" w:hAnsi="宋体" w:cs="宋体"/>
      <w:lang w:val="zh-CN"/>
    </w:rPr>
  </w:style>
  <w:style w:type="paragraph" w:customStyle="1" w:styleId="173">
    <w:name w:val="xl7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74">
    <w:name w:val="Style47"/>
    <w:basedOn w:val="1"/>
    <w:unhideWhenUsed/>
    <w:qFormat/>
    <w:uiPriority w:val="0"/>
  </w:style>
  <w:style w:type="paragraph" w:customStyle="1" w:styleId="175">
    <w:name w:val="Style78"/>
    <w:basedOn w:val="1"/>
    <w:unhideWhenUsed/>
    <w:qFormat/>
    <w:uiPriority w:val="0"/>
  </w:style>
  <w:style w:type="paragraph" w:customStyle="1" w:styleId="176">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7">
    <w:name w:val="Style9"/>
    <w:basedOn w:val="1"/>
    <w:unhideWhenUsed/>
    <w:qFormat/>
    <w:uiPriority w:val="0"/>
  </w:style>
  <w:style w:type="paragraph" w:customStyle="1" w:styleId="178">
    <w:name w:val="Style23"/>
    <w:basedOn w:val="1"/>
    <w:unhideWhenUsed/>
    <w:qFormat/>
    <w:uiPriority w:val="0"/>
  </w:style>
  <w:style w:type="paragraph" w:customStyle="1" w:styleId="179">
    <w:name w:val="Style59"/>
    <w:basedOn w:val="1"/>
    <w:unhideWhenUsed/>
    <w:qFormat/>
    <w:uiPriority w:val="0"/>
  </w:style>
  <w:style w:type="paragraph" w:customStyle="1" w:styleId="180">
    <w:name w:val="Char Char Char"/>
    <w:basedOn w:val="1"/>
    <w:qFormat/>
    <w:uiPriority w:val="0"/>
    <w:rPr>
      <w:rFonts w:ascii="宋体" w:hAnsi="宋体"/>
      <w:b/>
      <w:sz w:val="28"/>
      <w:szCs w:val="28"/>
    </w:rPr>
  </w:style>
  <w:style w:type="paragraph" w:customStyle="1" w:styleId="181">
    <w:name w:val="正文新"/>
    <w:basedOn w:val="1"/>
    <w:link w:val="282"/>
    <w:qFormat/>
    <w:uiPriority w:val="0"/>
    <w:pPr>
      <w:spacing w:line="336" w:lineRule="auto"/>
      <w:ind w:firstLine="200" w:firstLineChars="200"/>
    </w:pPr>
    <w:rPr>
      <w:rFonts w:ascii="Calibri" w:hAnsi="Calibri"/>
      <w:sz w:val="18"/>
      <w:szCs w:val="21"/>
    </w:rPr>
  </w:style>
  <w:style w:type="paragraph" w:customStyle="1" w:styleId="182">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color w:val="000000"/>
      <w:kern w:val="0"/>
      <w:sz w:val="18"/>
      <w:szCs w:val="18"/>
    </w:rPr>
  </w:style>
  <w:style w:type="paragraph" w:customStyle="1" w:styleId="183">
    <w:name w:val="Style76"/>
    <w:basedOn w:val="1"/>
    <w:unhideWhenUsed/>
    <w:qFormat/>
    <w:uiPriority w:val="0"/>
  </w:style>
  <w:style w:type="paragraph" w:customStyle="1" w:styleId="184">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85">
    <w:name w:val="Style62"/>
    <w:basedOn w:val="1"/>
    <w:unhideWhenUsed/>
    <w:qFormat/>
    <w:uiPriority w:val="0"/>
  </w:style>
  <w:style w:type="paragraph" w:customStyle="1" w:styleId="186">
    <w:name w:val="Style36"/>
    <w:basedOn w:val="1"/>
    <w:unhideWhenUsed/>
    <w:qFormat/>
    <w:uiPriority w:val="0"/>
  </w:style>
  <w:style w:type="paragraph" w:customStyle="1" w:styleId="187">
    <w:name w:val="Char Char1 Char Char Char Char Char Char Char"/>
    <w:basedOn w:val="1"/>
    <w:qFormat/>
    <w:uiPriority w:val="0"/>
    <w:pPr>
      <w:widowControl/>
      <w:spacing w:after="160" w:line="240" w:lineRule="exact"/>
      <w:jc w:val="left"/>
    </w:pPr>
  </w:style>
  <w:style w:type="paragraph" w:customStyle="1" w:styleId="188">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89">
    <w:name w:val="2 级标题"/>
    <w:basedOn w:val="2"/>
    <w:link w:val="256"/>
    <w:qFormat/>
    <w:uiPriority w:val="0"/>
    <w:pPr>
      <w:numPr>
        <w:ilvl w:val="1"/>
        <w:numId w:val="3"/>
      </w:numPr>
      <w:spacing w:before="120" w:after="120"/>
      <w:ind w:right="27" w:rightChars="13"/>
      <w:jc w:val="left"/>
    </w:pPr>
    <w:rPr>
      <w:rFonts w:ascii="Cambria" w:hAnsi="Cambria"/>
      <w:kern w:val="0"/>
      <w:sz w:val="32"/>
    </w:rPr>
  </w:style>
  <w:style w:type="paragraph" w:customStyle="1" w:styleId="190">
    <w:name w:val="标题3"/>
    <w:basedOn w:val="3"/>
    <w:qFormat/>
    <w:uiPriority w:val="0"/>
    <w:pPr>
      <w:spacing w:before="156" w:beforeLines="50" w:after="156" w:afterLines="50" w:line="400" w:lineRule="exact"/>
      <w:jc w:val="both"/>
    </w:pPr>
    <w:rPr>
      <w:rFonts w:ascii="宋体" w:hAnsi="宋体"/>
      <w:kern w:val="32"/>
      <w:szCs w:val="32"/>
    </w:rPr>
  </w:style>
  <w:style w:type="paragraph" w:customStyle="1" w:styleId="191">
    <w:name w:val="Style42"/>
    <w:basedOn w:val="1"/>
    <w:unhideWhenUsed/>
    <w:qFormat/>
    <w:uiPriority w:val="0"/>
    <w:pPr>
      <w:spacing w:line="542" w:lineRule="exact"/>
      <w:ind w:firstLine="547"/>
    </w:pPr>
  </w:style>
  <w:style w:type="paragraph" w:customStyle="1" w:styleId="192">
    <w:name w:val="正文缩进1"/>
    <w:basedOn w:val="1"/>
    <w:link w:val="313"/>
    <w:qFormat/>
    <w:uiPriority w:val="0"/>
    <w:pPr>
      <w:autoSpaceDE w:val="0"/>
      <w:autoSpaceDN w:val="0"/>
      <w:adjustRightInd w:val="0"/>
      <w:ind w:firstLine="420"/>
      <w:jc w:val="left"/>
    </w:pPr>
    <w:rPr>
      <w:rFonts w:ascii="宋体" w:hAnsi="Calibri" w:eastAsia="微软雅黑"/>
      <w:kern w:val="0"/>
      <w:sz w:val="24"/>
      <w:szCs w:val="20"/>
    </w:rPr>
  </w:style>
  <w:style w:type="paragraph" w:styleId="193">
    <w:name w:val="List Paragraph"/>
    <w:basedOn w:val="1"/>
    <w:qFormat/>
    <w:uiPriority w:val="99"/>
    <w:pPr>
      <w:ind w:firstLine="420" w:firstLineChars="200"/>
    </w:pPr>
    <w:rPr>
      <w:rFonts w:ascii="Calibri" w:hAnsi="Calibri"/>
      <w:szCs w:val="22"/>
    </w:rPr>
  </w:style>
  <w:style w:type="paragraph" w:customStyle="1" w:styleId="194">
    <w:name w:val="Style24"/>
    <w:basedOn w:val="1"/>
    <w:unhideWhenUsed/>
    <w:qFormat/>
    <w:uiPriority w:val="0"/>
  </w:style>
  <w:style w:type="paragraph" w:customStyle="1" w:styleId="195">
    <w:name w:val="Style61"/>
    <w:basedOn w:val="1"/>
    <w:unhideWhenUsed/>
    <w:qFormat/>
    <w:uiPriority w:val="0"/>
  </w:style>
  <w:style w:type="paragraph" w:customStyle="1" w:styleId="196">
    <w:name w:val="Style73"/>
    <w:basedOn w:val="1"/>
    <w:unhideWhenUsed/>
    <w:qFormat/>
    <w:uiPriority w:val="0"/>
    <w:pPr>
      <w:spacing w:line="538" w:lineRule="exact"/>
      <w:ind w:firstLine="533"/>
    </w:pPr>
  </w:style>
  <w:style w:type="paragraph" w:customStyle="1" w:styleId="197">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8"/>
      <w:szCs w:val="18"/>
    </w:rPr>
  </w:style>
  <w:style w:type="paragraph" w:customStyle="1" w:styleId="19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0">
    <w:name w:val="Style50"/>
    <w:basedOn w:val="1"/>
    <w:unhideWhenUsed/>
    <w:qFormat/>
    <w:uiPriority w:val="0"/>
  </w:style>
  <w:style w:type="paragraph" w:customStyle="1" w:styleId="201">
    <w:name w:val="Style58"/>
    <w:basedOn w:val="1"/>
    <w:unhideWhenUsed/>
    <w:qFormat/>
    <w:uiPriority w:val="0"/>
    <w:pPr>
      <w:spacing w:line="413" w:lineRule="exact"/>
    </w:pPr>
  </w:style>
  <w:style w:type="paragraph" w:customStyle="1" w:styleId="202">
    <w:name w:val="Char11"/>
    <w:basedOn w:val="1"/>
    <w:semiHidden/>
    <w:qFormat/>
    <w:uiPriority w:val="0"/>
    <w:rPr>
      <w:rFonts w:ascii="Tahoma" w:hAnsi="Tahoma" w:cs="仿宋_GB2312"/>
      <w:sz w:val="24"/>
      <w:szCs w:val="28"/>
    </w:rPr>
  </w:style>
  <w:style w:type="paragraph" w:customStyle="1" w:styleId="203">
    <w:name w:val="Style65"/>
    <w:basedOn w:val="1"/>
    <w:unhideWhenUsed/>
    <w:qFormat/>
    <w:uiPriority w:val="0"/>
  </w:style>
  <w:style w:type="paragraph" w:customStyle="1" w:styleId="20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05">
    <w:name w:val="Style70"/>
    <w:basedOn w:val="1"/>
    <w:unhideWhenUsed/>
    <w:qFormat/>
    <w:uiPriority w:val="0"/>
    <w:pPr>
      <w:spacing w:line="549" w:lineRule="exact"/>
      <w:ind w:firstLine="686"/>
    </w:pPr>
  </w:style>
  <w:style w:type="character" w:customStyle="1" w:styleId="206">
    <w:name w:val="apple-converted-space"/>
    <w:qFormat/>
    <w:uiPriority w:val="99"/>
    <w:rPr>
      <w:rFonts w:ascii="Tahoma" w:hAnsi="Tahoma" w:eastAsia="宋体" w:cs="仿宋_GB2312"/>
      <w:sz w:val="24"/>
      <w:szCs w:val="28"/>
    </w:rPr>
  </w:style>
  <w:style w:type="character" w:customStyle="1" w:styleId="207">
    <w:name w:val="font31"/>
    <w:qFormat/>
    <w:uiPriority w:val="0"/>
    <w:rPr>
      <w:rFonts w:hint="default" w:ascii="Arial" w:hAnsi="Arial" w:eastAsia="宋体" w:cs="Arial"/>
      <w:color w:val="000000"/>
      <w:sz w:val="22"/>
      <w:szCs w:val="22"/>
      <w:u w:val="none"/>
    </w:rPr>
  </w:style>
  <w:style w:type="character" w:customStyle="1" w:styleId="208">
    <w:name w:val="font11"/>
    <w:basedOn w:val="48"/>
    <w:qFormat/>
    <w:uiPriority w:val="0"/>
    <w:rPr>
      <w:rFonts w:hint="default" w:ascii="Times New Roman" w:hAnsi="Times New Roman" w:eastAsia="宋体" w:cs="Times New Roman"/>
      <w:b/>
      <w:color w:val="000000"/>
      <w:sz w:val="21"/>
      <w:szCs w:val="21"/>
      <w:u w:val="none"/>
    </w:rPr>
  </w:style>
  <w:style w:type="character" w:customStyle="1" w:styleId="209">
    <w:name w:val="p0 Char"/>
    <w:link w:val="167"/>
    <w:qFormat/>
    <w:uiPriority w:val="0"/>
    <w:rPr>
      <w:rFonts w:ascii="Times New Roman" w:hAnsi="Times New Roman" w:eastAsia="宋体" w:cs="Times New Roman"/>
      <w:sz w:val="21"/>
      <w:szCs w:val="21"/>
      <w:lang w:val="en-US" w:eastAsia="zh-CN" w:bidi="ar-SA"/>
    </w:rPr>
  </w:style>
  <w:style w:type="character" w:customStyle="1" w:styleId="210">
    <w:name w:val="Char Char16"/>
    <w:qFormat/>
    <w:uiPriority w:val="0"/>
    <w:rPr>
      <w:rFonts w:ascii="宋体" w:hAnsi="Times New Roman" w:eastAsia="宋体" w:cs="Times New Roman"/>
      <w:b/>
      <w:sz w:val="24"/>
      <w:lang w:val="en-US" w:eastAsia="zh-CN" w:bidi="ar-SA"/>
    </w:rPr>
  </w:style>
  <w:style w:type="character" w:customStyle="1" w:styleId="211">
    <w:name w:val="font61"/>
    <w:qFormat/>
    <w:uiPriority w:val="0"/>
    <w:rPr>
      <w:rFonts w:hint="eastAsia" w:ascii="宋体" w:hAnsi="宋体" w:eastAsia="宋体" w:cs="宋体"/>
      <w:color w:val="333333"/>
      <w:sz w:val="18"/>
      <w:szCs w:val="18"/>
      <w:u w:val="none"/>
    </w:rPr>
  </w:style>
  <w:style w:type="character" w:customStyle="1" w:styleId="212">
    <w:name w:val="日期 Char"/>
    <w:qFormat/>
    <w:uiPriority w:val="0"/>
    <w:rPr>
      <w:rFonts w:ascii="Times New Roman" w:hAnsi="Times New Roman" w:eastAsia="宋体" w:cs="Times New Roman"/>
      <w:kern w:val="2"/>
      <w:sz w:val="21"/>
      <w:szCs w:val="24"/>
    </w:rPr>
  </w:style>
  <w:style w:type="character" w:customStyle="1" w:styleId="213">
    <w:name w:val="标题 7 字符"/>
    <w:link w:val="8"/>
    <w:qFormat/>
    <w:uiPriority w:val="0"/>
    <w:rPr>
      <w:rFonts w:ascii="Times New Roman" w:hAnsi="Times New Roman" w:eastAsia="宋体" w:cs="Times New Roman"/>
      <w:b/>
      <w:bCs/>
      <w:sz w:val="24"/>
      <w:szCs w:val="24"/>
      <w:lang w:val="en-US" w:eastAsia="zh-CN" w:bidi="ar-SA"/>
    </w:rPr>
  </w:style>
  <w:style w:type="character" w:customStyle="1" w:styleId="214">
    <w:name w:val="apple-style-span"/>
    <w:qFormat/>
    <w:uiPriority w:val="0"/>
    <w:rPr>
      <w:rFonts w:ascii="Tahoma" w:hAnsi="Tahoma" w:eastAsia="宋体" w:cs="仿宋_GB2312"/>
      <w:sz w:val="24"/>
      <w:szCs w:val="28"/>
    </w:rPr>
  </w:style>
  <w:style w:type="character" w:customStyle="1" w:styleId="215">
    <w:name w:val="标题 4 Char Char"/>
    <w:qFormat/>
    <w:uiPriority w:val="0"/>
    <w:rPr>
      <w:rFonts w:ascii="Arial" w:hAnsi="Arial" w:eastAsia="宋体" w:cs="Times New Roman"/>
      <w:b/>
      <w:bCs/>
      <w:kern w:val="2"/>
      <w:sz w:val="21"/>
      <w:szCs w:val="28"/>
      <w:lang w:val="en-US" w:eastAsia="zh-CN" w:bidi="ar-SA"/>
    </w:rPr>
  </w:style>
  <w:style w:type="character" w:customStyle="1" w:styleId="216">
    <w:name w:val="param-name"/>
    <w:qFormat/>
    <w:uiPriority w:val="0"/>
    <w:rPr>
      <w:rFonts w:ascii="Times New Roman" w:hAnsi="Times New Roman" w:eastAsia="宋体" w:cs="Times New Roman"/>
    </w:rPr>
  </w:style>
  <w:style w:type="character" w:customStyle="1" w:styleId="217">
    <w:name w:val="bds_nopic1"/>
    <w:qFormat/>
    <w:uiPriority w:val="0"/>
    <w:rPr>
      <w:rFonts w:ascii="Times New Roman" w:hAnsi="Times New Roman" w:eastAsia="宋体" w:cs="Times New Roman"/>
    </w:rPr>
  </w:style>
  <w:style w:type="character" w:customStyle="1" w:styleId="218">
    <w:name w:val="font71"/>
    <w:qFormat/>
    <w:uiPriority w:val="0"/>
    <w:rPr>
      <w:rFonts w:hint="default" w:ascii="Arial" w:hAnsi="Arial" w:eastAsia="宋体" w:cs="Arial"/>
      <w:color w:val="000000"/>
      <w:sz w:val="22"/>
      <w:szCs w:val="22"/>
      <w:u w:val="none"/>
    </w:rPr>
  </w:style>
  <w:style w:type="character" w:customStyle="1" w:styleId="219">
    <w:name w:val="批注框文本 Char"/>
    <w:qFormat/>
    <w:uiPriority w:val="0"/>
    <w:rPr>
      <w:rFonts w:ascii="Times New Roman" w:hAnsi="Times New Roman" w:eastAsia="宋体" w:cs="Times New Roman"/>
      <w:kern w:val="2"/>
      <w:sz w:val="18"/>
      <w:szCs w:val="18"/>
    </w:rPr>
  </w:style>
  <w:style w:type="character" w:customStyle="1" w:styleId="220">
    <w:name w:val="plus"/>
    <w:qFormat/>
    <w:uiPriority w:val="0"/>
    <w:rPr>
      <w:rFonts w:ascii="Times New Roman" w:hAnsi="Times New Roman" w:eastAsia="宋体" w:cs="Times New Roman"/>
      <w:b/>
      <w:vanish/>
      <w:color w:val="1F8DEF"/>
      <w:sz w:val="24"/>
      <w:szCs w:val="24"/>
    </w:rPr>
  </w:style>
  <w:style w:type="character" w:customStyle="1" w:styleId="221">
    <w:name w:val="Font Style131"/>
    <w:unhideWhenUsed/>
    <w:qFormat/>
    <w:uiPriority w:val="0"/>
    <w:rPr>
      <w:rFonts w:hint="eastAsia" w:ascii="Times New Roman" w:hAnsi="Times New Roman" w:eastAsia="Times New Roman" w:cs="Times New Roman"/>
      <w:sz w:val="18"/>
    </w:rPr>
  </w:style>
  <w:style w:type="character" w:customStyle="1" w:styleId="222">
    <w:name w:val="标题 6 Char"/>
    <w:qFormat/>
    <w:uiPriority w:val="0"/>
    <w:rPr>
      <w:rFonts w:ascii="Arial" w:hAnsi="Arial" w:eastAsia="黑体" w:cs="Times New Roman"/>
      <w:b/>
      <w:bCs/>
      <w:sz w:val="24"/>
      <w:szCs w:val="24"/>
    </w:rPr>
  </w:style>
  <w:style w:type="character" w:customStyle="1" w:styleId="223">
    <w:name w:val="标题 Char1"/>
    <w:qFormat/>
    <w:uiPriority w:val="0"/>
    <w:rPr>
      <w:rFonts w:ascii="Cambria" w:hAnsi="Cambria" w:eastAsia="宋体" w:cs="Times New Roman"/>
      <w:b/>
      <w:bCs/>
      <w:sz w:val="32"/>
      <w:szCs w:val="32"/>
    </w:rPr>
  </w:style>
  <w:style w:type="character" w:customStyle="1" w:styleId="224">
    <w:name w:val="Font Style117"/>
    <w:unhideWhenUsed/>
    <w:qFormat/>
    <w:uiPriority w:val="0"/>
    <w:rPr>
      <w:rFonts w:hint="eastAsia" w:ascii="宋体" w:hAnsi="宋体" w:eastAsia="宋体" w:cs="Times New Roman"/>
      <w:spacing w:val="20"/>
      <w:sz w:val="24"/>
    </w:rPr>
  </w:style>
  <w:style w:type="character" w:customStyle="1" w:styleId="225">
    <w:name w:val="List Paragraph Char"/>
    <w:link w:val="162"/>
    <w:qFormat/>
    <w:uiPriority w:val="0"/>
    <w:rPr>
      <w:rFonts w:ascii="Calibri" w:hAnsi="Calibri" w:eastAsia="宋体" w:cs="Calibri"/>
      <w:kern w:val="2"/>
      <w:sz w:val="21"/>
      <w:szCs w:val="21"/>
      <w:lang w:val="en-US" w:eastAsia="zh-CN" w:bidi="ar-SA"/>
    </w:rPr>
  </w:style>
  <w:style w:type="character" w:customStyle="1" w:styleId="226">
    <w:name w:val="正文文本缩进 3 Char"/>
    <w:qFormat/>
    <w:uiPriority w:val="0"/>
    <w:rPr>
      <w:rFonts w:ascii="宋体" w:hAnsi="MS Sans Serif" w:eastAsia="宋体" w:cs="Times New Roman"/>
      <w:color w:val="000000"/>
      <w:sz w:val="24"/>
    </w:rPr>
  </w:style>
  <w:style w:type="character" w:customStyle="1" w:styleId="227">
    <w:name w:val="ca-21"/>
    <w:qFormat/>
    <w:uiPriority w:val="0"/>
    <w:rPr>
      <w:rFonts w:hint="eastAsia" w:ascii="宋体-18030" w:hAnsi="宋体-18030" w:eastAsia="宋体-18030" w:cs="宋体-18030"/>
      <w:sz w:val="24"/>
      <w:szCs w:val="24"/>
    </w:rPr>
  </w:style>
  <w:style w:type="character" w:customStyle="1" w:styleId="228">
    <w:name w:val="标题 7 Char"/>
    <w:qFormat/>
    <w:uiPriority w:val="0"/>
    <w:rPr>
      <w:rFonts w:ascii="Times New Roman" w:hAnsi="Times New Roman" w:eastAsia="宋体" w:cs="Times New Roman"/>
      <w:b/>
      <w:bCs/>
      <w:sz w:val="24"/>
      <w:szCs w:val="24"/>
    </w:rPr>
  </w:style>
  <w:style w:type="character" w:customStyle="1" w:styleId="229">
    <w:name w:val="批注文字 Char Char"/>
    <w:qFormat/>
    <w:uiPriority w:val="0"/>
    <w:rPr>
      <w:rFonts w:ascii="Times New Roman" w:hAnsi="Times New Roman" w:eastAsia="宋体" w:cs="Times New Roman"/>
      <w:kern w:val="2"/>
      <w:sz w:val="21"/>
      <w:szCs w:val="24"/>
      <w:lang w:bidi="ar-SA"/>
    </w:rPr>
  </w:style>
  <w:style w:type="character" w:customStyle="1" w:styleId="230">
    <w:name w:val="Font Style104"/>
    <w:unhideWhenUsed/>
    <w:qFormat/>
    <w:uiPriority w:val="0"/>
    <w:rPr>
      <w:rFonts w:hint="eastAsia" w:ascii="宋体" w:hAnsi="宋体" w:eastAsia="宋体" w:cs="Times New Roman"/>
      <w:spacing w:val="30"/>
      <w:sz w:val="18"/>
    </w:rPr>
  </w:style>
  <w:style w:type="character" w:customStyle="1" w:styleId="231">
    <w:name w:val="标题 2 Char"/>
    <w:qFormat/>
    <w:uiPriority w:val="0"/>
    <w:rPr>
      <w:rFonts w:ascii="Cambria" w:hAnsi="Cambria" w:eastAsia="宋体" w:cs="Times New Roman"/>
      <w:b/>
      <w:bCs/>
      <w:kern w:val="2"/>
      <w:sz w:val="32"/>
      <w:szCs w:val="32"/>
    </w:rPr>
  </w:style>
  <w:style w:type="character" w:customStyle="1" w:styleId="232">
    <w:name w:val="morelink-item"/>
    <w:qFormat/>
    <w:uiPriority w:val="0"/>
    <w:rPr>
      <w:rFonts w:ascii="Times New Roman" w:hAnsi="Times New Roman" w:eastAsia="宋体" w:cs="Times New Roman"/>
    </w:rPr>
  </w:style>
  <w:style w:type="character" w:customStyle="1" w:styleId="233">
    <w:name w:val="普通文字 Char"/>
    <w:semiHidden/>
    <w:qFormat/>
    <w:uiPriority w:val="0"/>
    <w:rPr>
      <w:rFonts w:ascii="宋体" w:hAnsi="Courier New" w:eastAsia="宋体" w:cs="Courier New"/>
      <w:kern w:val="2"/>
      <w:sz w:val="21"/>
      <w:szCs w:val="21"/>
      <w:lang w:val="en-US" w:eastAsia="zh-CN" w:bidi="ar-SA"/>
    </w:rPr>
  </w:style>
  <w:style w:type="character" w:customStyle="1" w:styleId="234">
    <w:name w:val="sidecatalog-index1"/>
    <w:qFormat/>
    <w:uiPriority w:val="0"/>
    <w:rPr>
      <w:rFonts w:ascii="Arial" w:hAnsi="Arial" w:eastAsia="宋体" w:cs="Arial"/>
      <w:b/>
      <w:color w:val="999999"/>
      <w:sz w:val="21"/>
      <w:szCs w:val="21"/>
    </w:rPr>
  </w:style>
  <w:style w:type="character" w:customStyle="1" w:styleId="235">
    <w:name w:val="style81"/>
    <w:qFormat/>
    <w:uiPriority w:val="0"/>
    <w:rPr>
      <w:rFonts w:ascii="Times New Roman" w:hAnsi="Times New Roman" w:eastAsia="宋体" w:cs="Times New Roman"/>
      <w:sz w:val="21"/>
      <w:szCs w:val="21"/>
    </w:rPr>
  </w:style>
  <w:style w:type="character" w:customStyle="1" w:styleId="236">
    <w:name w:val="lemmatitleh12"/>
    <w:qFormat/>
    <w:uiPriority w:val="0"/>
    <w:rPr>
      <w:rFonts w:ascii="Times New Roman" w:hAnsi="Times New Roman" w:eastAsia="宋体" w:cs="Times New Roman"/>
    </w:rPr>
  </w:style>
  <w:style w:type="character" w:customStyle="1" w:styleId="237">
    <w:name w:val="sidecatalog-dot1"/>
    <w:qFormat/>
    <w:uiPriority w:val="0"/>
    <w:rPr>
      <w:rFonts w:ascii="Times New Roman" w:hAnsi="Times New Roman" w:eastAsia="宋体" w:cs="Times New Roman"/>
    </w:rPr>
  </w:style>
  <w:style w:type="character" w:customStyle="1" w:styleId="238">
    <w:name w:val="标题 5 Char"/>
    <w:qFormat/>
    <w:uiPriority w:val="0"/>
    <w:rPr>
      <w:rFonts w:ascii="Times New Roman" w:hAnsi="Times New Roman" w:eastAsia="宋体" w:cs="Times New Roman"/>
      <w:b/>
      <w:bCs/>
      <w:kern w:val="2"/>
      <w:sz w:val="28"/>
      <w:szCs w:val="28"/>
    </w:rPr>
  </w:style>
  <w:style w:type="character" w:customStyle="1" w:styleId="239">
    <w:name w:val="sidecatalog-dot"/>
    <w:qFormat/>
    <w:uiPriority w:val="0"/>
    <w:rPr>
      <w:rFonts w:ascii="Times New Roman" w:hAnsi="Times New Roman" w:eastAsia="宋体" w:cs="Times New Roman"/>
    </w:rPr>
  </w:style>
  <w:style w:type="character" w:customStyle="1" w:styleId="240">
    <w:name w:val="Font Style128"/>
    <w:unhideWhenUsed/>
    <w:qFormat/>
    <w:uiPriority w:val="0"/>
    <w:rPr>
      <w:rFonts w:hint="eastAsia" w:ascii="Times New Roman" w:hAnsi="Times New Roman" w:eastAsia="Times New Roman" w:cs="Times New Roman"/>
      <w:sz w:val="16"/>
    </w:rPr>
  </w:style>
  <w:style w:type="character" w:customStyle="1" w:styleId="241">
    <w:name w:val="Char Char6"/>
    <w:qFormat/>
    <w:uiPriority w:val="0"/>
    <w:rPr>
      <w:rFonts w:ascii="Arial" w:hAnsi="Arial" w:eastAsia="黑体" w:cs="Times New Roman"/>
      <w:sz w:val="24"/>
      <w:szCs w:val="24"/>
      <w:lang w:val="en-US" w:eastAsia="zh-CN" w:bidi="ar-SA"/>
    </w:rPr>
  </w:style>
  <w:style w:type="character" w:customStyle="1" w:styleId="242">
    <w:name w:val="我的正文[858D7CFB-ED40-4347-BF05-701D383B685F]"/>
    <w:link w:val="135"/>
    <w:qFormat/>
    <w:uiPriority w:val="0"/>
    <w:rPr>
      <w:rFonts w:ascii="Arial" w:hAnsi="Arial" w:eastAsia="宋体" w:cs="Times New Roman"/>
      <w:sz w:val="24"/>
      <w:szCs w:val="24"/>
    </w:rPr>
  </w:style>
  <w:style w:type="character" w:customStyle="1" w:styleId="243">
    <w:name w:val="纯文本 Char Char Char1"/>
    <w:qFormat/>
    <w:uiPriority w:val="0"/>
    <w:rPr>
      <w:rFonts w:ascii="Times New Roman" w:hAnsi="Times New Roman" w:eastAsia="宋体" w:cs="Times New Roman"/>
      <w:kern w:val="2"/>
      <w:sz w:val="24"/>
      <w:lang w:val="en-US" w:eastAsia="zh-CN" w:bidi="ar-SA"/>
    </w:rPr>
  </w:style>
  <w:style w:type="character" w:customStyle="1" w:styleId="244">
    <w:name w:val="批注文字 Char"/>
    <w:qFormat/>
    <w:uiPriority w:val="0"/>
    <w:rPr>
      <w:rFonts w:ascii="Times New Roman" w:hAnsi="Times New Roman" w:eastAsia="宋体" w:cs="Times New Roman"/>
      <w:kern w:val="2"/>
      <w:sz w:val="21"/>
      <w:szCs w:val="24"/>
    </w:rPr>
  </w:style>
  <w:style w:type="character" w:customStyle="1" w:styleId="245">
    <w:name w:val="bds_more7"/>
    <w:qFormat/>
    <w:uiPriority w:val="0"/>
    <w:rPr>
      <w:rFonts w:ascii="Times New Roman" w:hAnsi="Times New Roman" w:eastAsia="宋体" w:cs="Times New Roman"/>
    </w:rPr>
  </w:style>
  <w:style w:type="character" w:customStyle="1" w:styleId="246">
    <w:name w:val="标题 1 Char"/>
    <w:qFormat/>
    <w:uiPriority w:val="0"/>
    <w:rPr>
      <w:rFonts w:ascii="Cambria" w:hAnsi="Cambria" w:eastAsia="宋体" w:cs="Times New Roman"/>
      <w:b/>
      <w:bCs/>
      <w:kern w:val="32"/>
      <w:sz w:val="32"/>
      <w:szCs w:val="32"/>
    </w:rPr>
  </w:style>
  <w:style w:type="character" w:customStyle="1" w:styleId="247">
    <w:name w:val="Char Char14"/>
    <w:qFormat/>
    <w:uiPriority w:val="0"/>
    <w:rPr>
      <w:rFonts w:ascii="Arial" w:hAnsi="Arial" w:eastAsia="黑体" w:cs="Times New Roman"/>
      <w:b/>
      <w:bCs/>
      <w:sz w:val="28"/>
      <w:szCs w:val="28"/>
      <w:lang w:val="en-US" w:eastAsia="zh-CN" w:bidi="ar-SA"/>
    </w:rPr>
  </w:style>
  <w:style w:type="character" w:customStyle="1" w:styleId="248">
    <w:name w:val="Font Style121"/>
    <w:unhideWhenUsed/>
    <w:qFormat/>
    <w:uiPriority w:val="0"/>
    <w:rPr>
      <w:rFonts w:hint="eastAsia" w:ascii="宋体" w:hAnsi="宋体" w:eastAsia="宋体" w:cs="Times New Roman"/>
      <w:spacing w:val="-10"/>
      <w:sz w:val="30"/>
    </w:rPr>
  </w:style>
  <w:style w:type="character" w:customStyle="1" w:styleId="249">
    <w:name w:val="Font Style125"/>
    <w:unhideWhenUsed/>
    <w:qFormat/>
    <w:uiPriority w:val="0"/>
    <w:rPr>
      <w:rFonts w:hint="eastAsia" w:ascii="宋体" w:hAnsi="宋体" w:eastAsia="宋体" w:cs="Times New Roman"/>
      <w:b/>
      <w:sz w:val="26"/>
    </w:rPr>
  </w:style>
  <w:style w:type="character" w:customStyle="1" w:styleId="250">
    <w:name w:val="批注框文本 字符"/>
    <w:link w:val="30"/>
    <w:semiHidden/>
    <w:qFormat/>
    <w:uiPriority w:val="0"/>
    <w:rPr>
      <w:rFonts w:ascii="Calibri" w:hAnsi="Calibri" w:eastAsia="宋体" w:cs="Times New Roman"/>
      <w:kern w:val="2"/>
      <w:sz w:val="18"/>
      <w:szCs w:val="18"/>
      <w:lang w:val="en-US" w:eastAsia="zh-CN" w:bidi="ar-SA"/>
    </w:rPr>
  </w:style>
  <w:style w:type="character" w:customStyle="1" w:styleId="251">
    <w:name w:val="页眉 字符"/>
    <w:link w:val="32"/>
    <w:qFormat/>
    <w:uiPriority w:val="0"/>
    <w:rPr>
      <w:rFonts w:ascii="Times New Roman" w:hAnsi="Times New Roman" w:eastAsia="宋体" w:cs="Times New Roman"/>
      <w:kern w:val="2"/>
      <w:sz w:val="18"/>
      <w:szCs w:val="18"/>
      <w:lang w:val="en-US" w:eastAsia="zh-CN" w:bidi="ar-SA"/>
    </w:rPr>
  </w:style>
  <w:style w:type="character" w:customStyle="1" w:styleId="252">
    <w:name w:val="Font Style124"/>
    <w:unhideWhenUsed/>
    <w:qFormat/>
    <w:uiPriority w:val="0"/>
    <w:rPr>
      <w:rFonts w:hint="eastAsia" w:ascii="宋体" w:hAnsi="宋体" w:eastAsia="宋体" w:cs="Times New Roman"/>
      <w:spacing w:val="30"/>
      <w:sz w:val="24"/>
    </w:rPr>
  </w:style>
  <w:style w:type="character" w:customStyle="1" w:styleId="253">
    <w:name w:val="Font Style127"/>
    <w:unhideWhenUsed/>
    <w:qFormat/>
    <w:uiPriority w:val="0"/>
    <w:rPr>
      <w:rFonts w:hint="eastAsia" w:ascii="Times New Roman" w:hAnsi="Times New Roman" w:eastAsia="Times New Roman" w:cs="Times New Roman"/>
      <w:sz w:val="20"/>
    </w:rPr>
  </w:style>
  <w:style w:type="character" w:customStyle="1" w:styleId="254">
    <w:name w:val="批注文字 字符"/>
    <w:link w:val="16"/>
    <w:qFormat/>
    <w:uiPriority w:val="0"/>
    <w:rPr>
      <w:rFonts w:ascii="Times New Roman" w:hAnsi="Times New Roman" w:eastAsia="宋体" w:cs="Times New Roman"/>
      <w:kern w:val="2"/>
      <w:sz w:val="21"/>
      <w:szCs w:val="24"/>
      <w:lang w:val="en-US" w:eastAsia="zh-CN" w:bidi="ar-SA"/>
    </w:rPr>
  </w:style>
  <w:style w:type="character" w:customStyle="1" w:styleId="255">
    <w:name w:val="标题 字符"/>
    <w:link w:val="43"/>
    <w:qFormat/>
    <w:uiPriority w:val="0"/>
    <w:rPr>
      <w:rFonts w:ascii="Cambria" w:hAnsi="Cambria" w:eastAsia="宋体" w:cs="Times New Roman"/>
      <w:b/>
      <w:kern w:val="2"/>
      <w:sz w:val="32"/>
      <w:szCs w:val="24"/>
      <w:lang w:val="en-US" w:eastAsia="zh-CN" w:bidi="ar-SA"/>
    </w:rPr>
  </w:style>
  <w:style w:type="character" w:customStyle="1" w:styleId="256">
    <w:name w:val="2 级标题 Char"/>
    <w:link w:val="189"/>
    <w:qFormat/>
    <w:uiPriority w:val="0"/>
    <w:rPr>
      <w:rFonts w:ascii="Cambria" w:hAnsi="Cambria" w:eastAsia="宋体" w:cs="Times New Roman"/>
      <w:b/>
      <w:bCs/>
      <w:sz w:val="32"/>
      <w:szCs w:val="32"/>
      <w:lang w:val="en-US" w:eastAsia="zh-CN" w:bidi="ar-SA"/>
    </w:rPr>
  </w:style>
  <w:style w:type="character" w:customStyle="1" w:styleId="257">
    <w:name w:val="font01"/>
    <w:basedOn w:val="48"/>
    <w:qFormat/>
    <w:uiPriority w:val="0"/>
    <w:rPr>
      <w:rFonts w:hint="default" w:ascii="微软雅黑" w:hAnsi="微软雅黑" w:eastAsia="微软雅黑" w:cs="微软雅黑"/>
      <w:color w:val="1F497D"/>
      <w:sz w:val="24"/>
      <w:szCs w:val="24"/>
      <w:u w:val="none"/>
    </w:rPr>
  </w:style>
  <w:style w:type="character" w:customStyle="1" w:styleId="258">
    <w:name w:val="sort1"/>
    <w:qFormat/>
    <w:uiPriority w:val="0"/>
    <w:rPr>
      <w:rFonts w:ascii="Times New Roman" w:hAnsi="Times New Roman" w:eastAsia="宋体" w:cs="Times New Roman"/>
    </w:rPr>
  </w:style>
  <w:style w:type="character" w:customStyle="1" w:styleId="259">
    <w:name w:val="Font Style133"/>
    <w:unhideWhenUsed/>
    <w:qFormat/>
    <w:uiPriority w:val="0"/>
    <w:rPr>
      <w:rFonts w:hint="eastAsia" w:ascii="宋体" w:hAnsi="宋体" w:eastAsia="宋体" w:cs="Times New Roman"/>
      <w:spacing w:val="30"/>
      <w:sz w:val="24"/>
    </w:rPr>
  </w:style>
  <w:style w:type="character" w:customStyle="1" w:styleId="260">
    <w:name w:val="bds_more8"/>
    <w:qFormat/>
    <w:uiPriority w:val="0"/>
    <w:rPr>
      <w:rFonts w:ascii="Times New Roman" w:hAnsi="Times New Roman" w:eastAsia="宋体" w:cs="Times New Roman"/>
    </w:rPr>
  </w:style>
  <w:style w:type="character" w:customStyle="1" w:styleId="261">
    <w:name w:val="Font Style116"/>
    <w:unhideWhenUsed/>
    <w:qFormat/>
    <w:uiPriority w:val="0"/>
    <w:rPr>
      <w:rFonts w:hint="eastAsia" w:ascii="宋体" w:hAnsi="宋体" w:eastAsia="宋体" w:cs="Times New Roman"/>
      <w:spacing w:val="-20"/>
      <w:sz w:val="24"/>
    </w:rPr>
  </w:style>
  <w:style w:type="character" w:customStyle="1" w:styleId="262">
    <w:name w:val="批注主题 Char"/>
    <w:qFormat/>
    <w:uiPriority w:val="0"/>
    <w:rPr>
      <w:rFonts w:ascii="Times New Roman" w:hAnsi="Times New Roman" w:eastAsia="宋体" w:cs="Times New Roman"/>
      <w:b/>
      <w:bCs/>
      <w:kern w:val="2"/>
      <w:sz w:val="21"/>
      <w:szCs w:val="24"/>
    </w:rPr>
  </w:style>
  <w:style w:type="character" w:customStyle="1" w:styleId="263">
    <w:name w:val="页脚 字符"/>
    <w:link w:val="31"/>
    <w:qFormat/>
    <w:uiPriority w:val="0"/>
    <w:rPr>
      <w:rFonts w:ascii="Times New Roman" w:hAnsi="Times New Roman" w:eastAsia="宋体" w:cs="Times New Roman"/>
      <w:kern w:val="2"/>
      <w:sz w:val="18"/>
      <w:szCs w:val="18"/>
      <w:lang w:val="en-US" w:eastAsia="zh-CN" w:bidi="ar-SA"/>
    </w:rPr>
  </w:style>
  <w:style w:type="character" w:customStyle="1" w:styleId="264">
    <w:name w:val="标题 1 字符"/>
    <w:link w:val="3"/>
    <w:qFormat/>
    <w:uiPriority w:val="0"/>
    <w:rPr>
      <w:rFonts w:ascii="Times New Roman" w:hAnsi="Times New Roman" w:eastAsia="宋体" w:cs="Times New Roman"/>
      <w:b/>
      <w:bCs/>
      <w:kern w:val="2"/>
      <w:sz w:val="24"/>
      <w:lang w:val="en-US" w:eastAsia="zh-CN" w:bidi="ar-SA"/>
    </w:rPr>
  </w:style>
  <w:style w:type="character" w:customStyle="1" w:styleId="265">
    <w:name w:val="Char Char15"/>
    <w:qFormat/>
    <w:uiPriority w:val="0"/>
    <w:rPr>
      <w:rFonts w:ascii="Times New Roman" w:hAnsi="Times New Roman" w:eastAsia="宋体" w:cs="Times New Roman"/>
      <w:b/>
      <w:bCs/>
      <w:sz w:val="24"/>
      <w:szCs w:val="24"/>
    </w:rPr>
  </w:style>
  <w:style w:type="character" w:customStyle="1" w:styleId="266">
    <w:name w:val="sort"/>
    <w:qFormat/>
    <w:uiPriority w:val="0"/>
    <w:rPr>
      <w:rFonts w:ascii="Times New Roman" w:hAnsi="Times New Roman" w:eastAsia="宋体" w:cs="Times New Roman"/>
      <w:color w:val="FFFFFF"/>
      <w:bdr w:val="single" w:color="auto" w:sz="24" w:space="0"/>
    </w:rPr>
  </w:style>
  <w:style w:type="character" w:customStyle="1" w:styleId="267">
    <w:name w:val="正文文本缩进 字符"/>
    <w:link w:val="21"/>
    <w:qFormat/>
    <w:uiPriority w:val="0"/>
    <w:rPr>
      <w:rFonts w:ascii="Times New Roman" w:hAnsi="Times New Roman" w:eastAsia="宋体" w:cs="Times New Roman"/>
      <w:kern w:val="2"/>
      <w:sz w:val="21"/>
      <w:szCs w:val="24"/>
      <w:lang w:val="en-US" w:eastAsia="zh-CN" w:bidi="ar-SA"/>
    </w:rPr>
  </w:style>
  <w:style w:type="character" w:customStyle="1" w:styleId="268">
    <w:name w:val="bds_more10"/>
    <w:qFormat/>
    <w:uiPriority w:val="0"/>
    <w:rPr>
      <w:rFonts w:ascii="Times New Roman" w:hAnsi="Times New Roman" w:eastAsia="宋体" w:cs="Times New Roman"/>
    </w:rPr>
  </w:style>
  <w:style w:type="character" w:customStyle="1" w:styleId="269">
    <w:name w:val="Char Char19"/>
    <w:qFormat/>
    <w:uiPriority w:val="0"/>
    <w:rPr>
      <w:rFonts w:ascii="Arial" w:hAnsi="Arial" w:eastAsia="宋体" w:cs="Times New Roman"/>
      <w:b/>
      <w:bCs/>
      <w:kern w:val="2"/>
      <w:sz w:val="24"/>
      <w:szCs w:val="32"/>
      <w:lang w:val="en-US" w:eastAsia="zh-CN" w:bidi="ar-SA"/>
    </w:rPr>
  </w:style>
  <w:style w:type="character" w:customStyle="1" w:styleId="270">
    <w:name w:val="bds_nopic"/>
    <w:qFormat/>
    <w:uiPriority w:val="0"/>
    <w:rPr>
      <w:rFonts w:ascii="Times New Roman" w:hAnsi="Times New Roman" w:eastAsia="宋体" w:cs="Times New Roman"/>
    </w:rPr>
  </w:style>
  <w:style w:type="character" w:customStyle="1" w:styleId="271">
    <w:name w:val="Font Style122"/>
    <w:unhideWhenUsed/>
    <w:qFormat/>
    <w:uiPriority w:val="0"/>
    <w:rPr>
      <w:rFonts w:hint="eastAsia" w:ascii="宋体" w:hAnsi="宋体" w:eastAsia="宋体" w:cs="Times New Roman"/>
      <w:spacing w:val="20"/>
      <w:sz w:val="24"/>
    </w:rPr>
  </w:style>
  <w:style w:type="character" w:customStyle="1" w:styleId="272">
    <w:name w:val="10_2_2"/>
    <w:qFormat/>
    <w:uiPriority w:val="0"/>
    <w:rPr>
      <w:rFonts w:hint="default" w:ascii="Times New Roman" w:hAnsi="Times New Roman" w:eastAsia="宋体" w:cs="Times New Roman"/>
      <w:sz w:val="20"/>
      <w:szCs w:val="20"/>
    </w:rPr>
  </w:style>
  <w:style w:type="character" w:customStyle="1" w:styleId="273">
    <w:name w:val="font81"/>
    <w:qFormat/>
    <w:uiPriority w:val="0"/>
    <w:rPr>
      <w:rFonts w:hint="eastAsia" w:ascii="宋体" w:hAnsi="宋体" w:eastAsia="宋体" w:cs="宋体"/>
      <w:color w:val="000000"/>
      <w:sz w:val="22"/>
      <w:szCs w:val="22"/>
      <w:u w:val="none"/>
    </w:rPr>
  </w:style>
  <w:style w:type="character" w:customStyle="1" w:styleId="274">
    <w:name w:val="标题 3 字符"/>
    <w:link w:val="4"/>
    <w:qFormat/>
    <w:uiPriority w:val="0"/>
    <w:rPr>
      <w:rFonts w:ascii="Times New Roman" w:hAnsi="Times New Roman" w:eastAsia="宋体" w:cs="Times New Roman"/>
      <w:b/>
      <w:bCs/>
      <w:kern w:val="2"/>
      <w:sz w:val="32"/>
      <w:szCs w:val="32"/>
      <w:lang w:val="en-US" w:eastAsia="zh-CN" w:bidi="ar-SA"/>
    </w:rPr>
  </w:style>
  <w:style w:type="character" w:customStyle="1" w:styleId="275">
    <w:name w:val="标题 9 Char"/>
    <w:qFormat/>
    <w:uiPriority w:val="0"/>
    <w:rPr>
      <w:rFonts w:ascii="Arial" w:hAnsi="Arial" w:eastAsia="黑体" w:cs="Times New Roman"/>
      <w:sz w:val="21"/>
      <w:szCs w:val="21"/>
    </w:rPr>
  </w:style>
  <w:style w:type="character" w:customStyle="1" w:styleId="276">
    <w:name w:val="标题 4 Char"/>
    <w:qFormat/>
    <w:uiPriority w:val="0"/>
    <w:rPr>
      <w:rFonts w:ascii="Arial" w:hAnsi="Arial" w:eastAsia="宋体" w:cs="Times New Roman"/>
      <w:b/>
      <w:bCs/>
      <w:szCs w:val="28"/>
    </w:rPr>
  </w:style>
  <w:style w:type="character" w:customStyle="1" w:styleId="277">
    <w:name w:val="HTML 预设格式 字符"/>
    <w:link w:val="40"/>
    <w:qFormat/>
    <w:uiPriority w:val="99"/>
    <w:rPr>
      <w:rFonts w:ascii="Arial" w:hAnsi="Arial" w:eastAsia="宋体" w:cs="Arial"/>
      <w:sz w:val="24"/>
      <w:szCs w:val="24"/>
    </w:rPr>
  </w:style>
  <w:style w:type="character" w:customStyle="1" w:styleId="278">
    <w:name w:val="样式2 Char Char"/>
    <w:qFormat/>
    <w:uiPriority w:val="0"/>
    <w:rPr>
      <w:rFonts w:ascii="Times New Roman" w:hAnsi="Times New Roman" w:eastAsia="宋体" w:cs="Times New Roman"/>
      <w:kern w:val="2"/>
      <w:sz w:val="18"/>
      <w:szCs w:val="18"/>
      <w:lang w:val="en-US" w:eastAsia="zh-CN" w:bidi="ar-SA"/>
    </w:rPr>
  </w:style>
  <w:style w:type="character" w:customStyle="1" w:styleId="279">
    <w:name w:val="标题 8 Char"/>
    <w:qFormat/>
    <w:uiPriority w:val="0"/>
    <w:rPr>
      <w:rFonts w:ascii="Arial" w:hAnsi="Arial" w:eastAsia="黑体" w:cs="Times New Roman"/>
      <w:sz w:val="24"/>
      <w:szCs w:val="24"/>
    </w:rPr>
  </w:style>
  <w:style w:type="character" w:customStyle="1" w:styleId="280">
    <w:name w:val="Char Char17"/>
    <w:qFormat/>
    <w:uiPriority w:val="0"/>
    <w:rPr>
      <w:rFonts w:ascii="宋体" w:hAnsi="Times New Roman" w:eastAsia="宋体" w:cs="Times New Roman"/>
      <w:b/>
      <w:sz w:val="28"/>
      <w:lang w:val="en-US" w:eastAsia="zh-CN" w:bidi="ar-SA"/>
    </w:rPr>
  </w:style>
  <w:style w:type="character" w:customStyle="1" w:styleId="281">
    <w:name w:val="标题 4 字符"/>
    <w:link w:val="5"/>
    <w:qFormat/>
    <w:uiPriority w:val="0"/>
    <w:rPr>
      <w:rFonts w:ascii="Arial" w:hAnsi="Arial" w:eastAsia="黑体" w:cs="Times New Roman"/>
      <w:b/>
      <w:bCs/>
      <w:kern w:val="2"/>
      <w:sz w:val="28"/>
      <w:szCs w:val="28"/>
      <w:lang w:val="en-US" w:eastAsia="zh-CN" w:bidi="ar-SA"/>
    </w:rPr>
  </w:style>
  <w:style w:type="character" w:customStyle="1" w:styleId="282">
    <w:name w:val="正文新 Char"/>
    <w:link w:val="181"/>
    <w:qFormat/>
    <w:uiPriority w:val="0"/>
    <w:rPr>
      <w:rFonts w:ascii="Times New Roman" w:hAnsi="Times New Roman" w:eastAsia="宋体" w:cs="Times New Roman"/>
      <w:kern w:val="2"/>
      <w:sz w:val="18"/>
      <w:szCs w:val="21"/>
      <w:lang w:val="en-US" w:eastAsia="zh-CN" w:bidi="ar-SA"/>
    </w:rPr>
  </w:style>
  <w:style w:type="character" w:customStyle="1" w:styleId="283">
    <w:name w:val="Font Style119"/>
    <w:unhideWhenUsed/>
    <w:qFormat/>
    <w:uiPriority w:val="0"/>
    <w:rPr>
      <w:rFonts w:hint="eastAsia" w:ascii="宋体" w:hAnsi="宋体" w:eastAsia="宋体" w:cs="Times New Roman"/>
      <w:sz w:val="24"/>
    </w:rPr>
  </w:style>
  <w:style w:type="character" w:customStyle="1" w:styleId="284">
    <w:name w:val="Footer Char"/>
    <w:qFormat/>
    <w:uiPriority w:val="0"/>
    <w:rPr>
      <w:rFonts w:ascii="Times New Roman" w:hAnsi="Times New Roman" w:eastAsia="宋体" w:cs="Times New Roman"/>
      <w:sz w:val="18"/>
      <w:szCs w:val="18"/>
    </w:rPr>
  </w:style>
  <w:style w:type="character" w:customStyle="1" w:styleId="285">
    <w:name w:val="标题 8 字符"/>
    <w:link w:val="9"/>
    <w:qFormat/>
    <w:uiPriority w:val="0"/>
    <w:rPr>
      <w:rFonts w:ascii="Arial" w:hAnsi="Arial" w:eastAsia="黑体" w:cs="Times New Roman"/>
      <w:sz w:val="24"/>
      <w:szCs w:val="24"/>
      <w:lang w:val="en-US" w:eastAsia="zh-CN" w:bidi="ar-SA"/>
    </w:rPr>
  </w:style>
  <w:style w:type="character" w:customStyle="1" w:styleId="286">
    <w:name w:val="zzi1"/>
    <w:qFormat/>
    <w:uiPriority w:val="0"/>
    <w:rPr>
      <w:rFonts w:ascii="Tahoma" w:hAnsi="Tahoma" w:eastAsia="宋体" w:cs="仿宋_GB2312"/>
      <w:sz w:val="22"/>
      <w:szCs w:val="22"/>
    </w:rPr>
  </w:style>
  <w:style w:type="character" w:customStyle="1" w:styleId="287">
    <w:name w:val="ca-11"/>
    <w:qFormat/>
    <w:uiPriority w:val="0"/>
    <w:rPr>
      <w:rFonts w:hint="eastAsia" w:ascii="宋体" w:hAnsi="宋体" w:eastAsia="宋体" w:cs="Times New Roman"/>
      <w:sz w:val="24"/>
      <w:szCs w:val="24"/>
    </w:rPr>
  </w:style>
  <w:style w:type="character" w:customStyle="1" w:styleId="288">
    <w:name w:val="sidecatalog-index2"/>
    <w:qFormat/>
    <w:uiPriority w:val="0"/>
    <w:rPr>
      <w:rFonts w:ascii="Arail" w:hAnsi="Arail" w:eastAsia="Arail" w:cs="Arail"/>
      <w:color w:val="999999"/>
      <w:sz w:val="21"/>
      <w:szCs w:val="21"/>
    </w:rPr>
  </w:style>
  <w:style w:type="character" w:customStyle="1" w:styleId="289">
    <w:name w:val="标题 3 Char"/>
    <w:qFormat/>
    <w:uiPriority w:val="0"/>
    <w:rPr>
      <w:rFonts w:ascii="Times New Roman" w:hAnsi="Times New Roman" w:eastAsia="宋体" w:cs="Times New Roman"/>
      <w:b/>
      <w:bCs/>
      <w:sz w:val="24"/>
      <w:szCs w:val="24"/>
    </w:rPr>
  </w:style>
  <w:style w:type="character" w:customStyle="1" w:styleId="290">
    <w:name w:val="Font Style115"/>
    <w:unhideWhenUsed/>
    <w:qFormat/>
    <w:uiPriority w:val="0"/>
    <w:rPr>
      <w:rFonts w:hint="eastAsia" w:ascii="Times New Roman" w:hAnsi="Times New Roman" w:eastAsia="Times New Roman" w:cs="Times New Roman"/>
      <w:sz w:val="16"/>
    </w:rPr>
  </w:style>
  <w:style w:type="character" w:customStyle="1" w:styleId="291">
    <w:name w:val="标题 6 字符"/>
    <w:link w:val="7"/>
    <w:qFormat/>
    <w:uiPriority w:val="0"/>
    <w:rPr>
      <w:rFonts w:ascii="Arial" w:hAnsi="Arial" w:eastAsia="黑体" w:cs="Times New Roman"/>
      <w:b/>
      <w:bCs/>
      <w:sz w:val="24"/>
      <w:szCs w:val="24"/>
      <w:lang w:val="en-US" w:eastAsia="zh-CN" w:bidi="ar-SA"/>
    </w:rPr>
  </w:style>
  <w:style w:type="character" w:customStyle="1" w:styleId="292">
    <w:name w:val="font51"/>
    <w:basedOn w:val="48"/>
    <w:qFormat/>
    <w:uiPriority w:val="0"/>
    <w:rPr>
      <w:rFonts w:hint="eastAsia" w:ascii="宋体" w:hAnsi="宋体" w:eastAsia="宋体" w:cs="宋体"/>
      <w:b/>
      <w:color w:val="000000"/>
      <w:sz w:val="22"/>
      <w:szCs w:val="22"/>
      <w:u w:val="none"/>
    </w:rPr>
  </w:style>
  <w:style w:type="character" w:customStyle="1" w:styleId="293">
    <w:name w:val="font21"/>
    <w:basedOn w:val="48"/>
    <w:qFormat/>
    <w:uiPriority w:val="0"/>
    <w:rPr>
      <w:rFonts w:hint="eastAsia" w:ascii="宋体" w:hAnsi="宋体" w:eastAsia="宋体" w:cs="宋体"/>
      <w:color w:val="333333"/>
      <w:sz w:val="18"/>
      <w:szCs w:val="18"/>
      <w:u w:val="none"/>
      <w:vertAlign w:val="superscript"/>
    </w:rPr>
  </w:style>
  <w:style w:type="character" w:customStyle="1" w:styleId="294">
    <w:name w:val="p0 Char Char"/>
    <w:qFormat/>
    <w:uiPriority w:val="0"/>
    <w:rPr>
      <w:rFonts w:ascii="Times New Roman" w:hAnsi="Times New Roman" w:eastAsia="宋体" w:cs="Times New Roman"/>
      <w:kern w:val="2"/>
      <w:sz w:val="21"/>
      <w:szCs w:val="21"/>
      <w:lang w:val="en-US" w:eastAsia="zh-CN" w:bidi="ar-SA"/>
    </w:rPr>
  </w:style>
  <w:style w:type="character" w:customStyle="1" w:styleId="295">
    <w:name w:val="标题 Char"/>
    <w:qFormat/>
    <w:uiPriority w:val="0"/>
    <w:rPr>
      <w:rFonts w:ascii="Cambria" w:hAnsi="Cambria" w:eastAsia="宋体" w:cs="Times New Roman"/>
      <w:b/>
      <w:kern w:val="2"/>
      <w:sz w:val="32"/>
      <w:szCs w:val="24"/>
    </w:rPr>
  </w:style>
  <w:style w:type="character" w:customStyle="1" w:styleId="296">
    <w:name w:val="纯文本 Char Char Char2"/>
    <w:qFormat/>
    <w:uiPriority w:val="0"/>
    <w:rPr>
      <w:rFonts w:ascii="Times New Roman" w:hAnsi="Times New Roman" w:eastAsia="宋体" w:cs="Times New Roman"/>
      <w:kern w:val="2"/>
      <w:sz w:val="24"/>
      <w:lang w:val="en-US" w:eastAsia="zh-CN" w:bidi="ar-SA"/>
    </w:rPr>
  </w:style>
  <w:style w:type="character" w:customStyle="1" w:styleId="297">
    <w:name w:val="polysemyred"/>
    <w:qFormat/>
    <w:uiPriority w:val="0"/>
    <w:rPr>
      <w:rFonts w:ascii="Times New Roman" w:hAnsi="Times New Roman" w:eastAsia="宋体" w:cs="Times New Roman"/>
      <w:color w:val="FF6666"/>
      <w:sz w:val="18"/>
      <w:szCs w:val="18"/>
    </w:rPr>
  </w:style>
  <w:style w:type="character" w:customStyle="1" w:styleId="298">
    <w:name w:val="纯文本 字符"/>
    <w:link w:val="26"/>
    <w:qFormat/>
    <w:uiPriority w:val="0"/>
    <w:rPr>
      <w:rFonts w:ascii="Times New Roman" w:hAnsi="Times New Roman" w:eastAsia="宋体" w:cs="Times New Roman"/>
      <w:kern w:val="2"/>
      <w:sz w:val="24"/>
      <w:lang w:val="en-US" w:eastAsia="zh-CN" w:bidi="ar-SA"/>
    </w:rPr>
  </w:style>
  <w:style w:type="character" w:customStyle="1" w:styleId="299">
    <w:name w:val="breakword"/>
    <w:qFormat/>
    <w:uiPriority w:val="99"/>
    <w:rPr>
      <w:rFonts w:ascii="宋体" w:hAnsi="宋体" w:eastAsia="宋体" w:cs="Times New Roman"/>
      <w:sz w:val="24"/>
    </w:rPr>
  </w:style>
  <w:style w:type="character" w:customStyle="1" w:styleId="300">
    <w:name w:val="正文文本缩进 3 字符"/>
    <w:link w:val="37"/>
    <w:qFormat/>
    <w:uiPriority w:val="0"/>
    <w:rPr>
      <w:rFonts w:ascii="Times New Roman" w:hAnsi="Times New Roman" w:eastAsia="宋体" w:cs="Times New Roman"/>
      <w:kern w:val="2"/>
      <w:sz w:val="16"/>
      <w:szCs w:val="16"/>
      <w:lang w:val="en-US" w:eastAsia="zh-CN" w:bidi="ar-SA"/>
    </w:rPr>
  </w:style>
  <w:style w:type="character" w:customStyle="1" w:styleId="301">
    <w:name w:val="bds_more6"/>
    <w:qFormat/>
    <w:uiPriority w:val="0"/>
    <w:rPr>
      <w:rFonts w:hint="eastAsia" w:ascii="宋体" w:hAnsi="宋体" w:eastAsia="宋体" w:cs="宋体"/>
    </w:rPr>
  </w:style>
  <w:style w:type="character" w:customStyle="1" w:styleId="302">
    <w:name w:val="bds_more9"/>
    <w:qFormat/>
    <w:uiPriority w:val="0"/>
    <w:rPr>
      <w:rFonts w:ascii="Times New Roman" w:hAnsi="Times New Roman" w:eastAsia="宋体" w:cs="Times New Roman"/>
    </w:rPr>
  </w:style>
  <w:style w:type="character" w:customStyle="1" w:styleId="303">
    <w:name w:val="标题 2 字符"/>
    <w:link w:val="2"/>
    <w:qFormat/>
    <w:uiPriority w:val="0"/>
    <w:rPr>
      <w:rFonts w:ascii="Arial" w:hAnsi="Arial" w:eastAsia="宋体" w:cs="Times New Roman"/>
      <w:b/>
      <w:bCs/>
      <w:kern w:val="2"/>
      <w:sz w:val="24"/>
      <w:szCs w:val="32"/>
      <w:lang w:val="en-US" w:eastAsia="zh-CN" w:bidi="ar-SA"/>
    </w:rPr>
  </w:style>
  <w:style w:type="character" w:customStyle="1" w:styleId="304">
    <w:name w:val="Font Style94"/>
    <w:unhideWhenUsed/>
    <w:qFormat/>
    <w:uiPriority w:val="0"/>
    <w:rPr>
      <w:rFonts w:hint="eastAsia" w:ascii="Times New Roman" w:hAnsi="Times New Roman" w:eastAsia="Times New Roman" w:cs="Times New Roman"/>
      <w:sz w:val="28"/>
    </w:rPr>
  </w:style>
  <w:style w:type="character" w:customStyle="1" w:styleId="305">
    <w:name w:val="Font Style86"/>
    <w:unhideWhenUsed/>
    <w:qFormat/>
    <w:uiPriority w:val="0"/>
    <w:rPr>
      <w:rFonts w:hint="eastAsia" w:ascii="黑体" w:hAnsi="黑体" w:eastAsia="黑体" w:cs="Times New Roman"/>
      <w:spacing w:val="10"/>
      <w:sz w:val="30"/>
    </w:rPr>
  </w:style>
  <w:style w:type="character" w:customStyle="1" w:styleId="306">
    <w:name w:val="Font Style123"/>
    <w:unhideWhenUsed/>
    <w:qFormat/>
    <w:uiPriority w:val="0"/>
    <w:rPr>
      <w:rFonts w:hint="eastAsia" w:ascii="宋体" w:hAnsi="宋体" w:eastAsia="宋体" w:cs="Times New Roman"/>
      <w:b/>
      <w:sz w:val="32"/>
    </w:rPr>
  </w:style>
  <w:style w:type="character" w:customStyle="1" w:styleId="307">
    <w:name w:val="标题 9 字符"/>
    <w:link w:val="10"/>
    <w:qFormat/>
    <w:uiPriority w:val="0"/>
    <w:rPr>
      <w:rFonts w:ascii="Arial" w:hAnsi="Arial" w:eastAsia="黑体" w:cs="Times New Roman"/>
      <w:sz w:val="21"/>
      <w:szCs w:val="21"/>
      <w:lang w:val="en-US" w:eastAsia="zh-CN" w:bidi="ar-SA"/>
    </w:rPr>
  </w:style>
  <w:style w:type="character" w:customStyle="1" w:styleId="308">
    <w:name w:val="页眉 Char"/>
    <w:qFormat/>
    <w:uiPriority w:val="99"/>
    <w:rPr>
      <w:rFonts w:ascii="Times New Roman" w:hAnsi="Times New Roman" w:eastAsia="宋体" w:cs="Times New Roman"/>
      <w:kern w:val="2"/>
      <w:sz w:val="18"/>
      <w:szCs w:val="18"/>
    </w:rPr>
  </w:style>
  <w:style w:type="character" w:customStyle="1" w:styleId="309">
    <w:name w:val="bds_nopic2"/>
    <w:qFormat/>
    <w:uiPriority w:val="0"/>
    <w:rPr>
      <w:rFonts w:ascii="Times New Roman" w:hAnsi="Times New Roman" w:eastAsia="宋体" w:cs="Times New Roman"/>
    </w:rPr>
  </w:style>
  <w:style w:type="character" w:customStyle="1" w:styleId="310">
    <w:name w:val="Font Style105"/>
    <w:unhideWhenUsed/>
    <w:qFormat/>
    <w:uiPriority w:val="0"/>
    <w:rPr>
      <w:rFonts w:hint="eastAsia" w:ascii="Times New Roman" w:hAnsi="Times New Roman" w:eastAsia="Times New Roman" w:cs="Times New Roman"/>
      <w:w w:val="60"/>
      <w:sz w:val="26"/>
    </w:rPr>
  </w:style>
  <w:style w:type="character" w:customStyle="1" w:styleId="311">
    <w:name w:val="标题 5 字符"/>
    <w:link w:val="6"/>
    <w:qFormat/>
    <w:uiPriority w:val="0"/>
    <w:rPr>
      <w:rFonts w:ascii="Times New Roman" w:hAnsi="Times New Roman" w:eastAsia="宋体" w:cs="Times New Roman"/>
      <w:b/>
      <w:bCs/>
      <w:sz w:val="28"/>
      <w:szCs w:val="28"/>
      <w:lang w:val="en-US" w:eastAsia="zh-CN" w:bidi="ar-SA"/>
    </w:rPr>
  </w:style>
  <w:style w:type="character" w:customStyle="1" w:styleId="312">
    <w:name w:val="polysemyexp"/>
    <w:qFormat/>
    <w:uiPriority w:val="0"/>
    <w:rPr>
      <w:rFonts w:ascii="Times New Roman" w:hAnsi="Times New Roman" w:eastAsia="宋体" w:cs="Times New Roman"/>
      <w:color w:val="AAAAAA"/>
      <w:sz w:val="18"/>
      <w:szCs w:val="18"/>
    </w:rPr>
  </w:style>
  <w:style w:type="character" w:customStyle="1" w:styleId="313">
    <w:name w:val="正文缩进 Char1"/>
    <w:link w:val="192"/>
    <w:qFormat/>
    <w:uiPriority w:val="0"/>
    <w:rPr>
      <w:rFonts w:ascii="宋体" w:hAnsi="Times New Roman" w:eastAsia="宋体" w:cs="Times New Roman"/>
      <w:sz w:val="24"/>
      <w:lang w:bidi="ar-SA"/>
    </w:rPr>
  </w:style>
  <w:style w:type="character" w:customStyle="1" w:styleId="314">
    <w:name w:val="纯文本 Char1 Char Char Char"/>
    <w:semiHidden/>
    <w:qFormat/>
    <w:uiPriority w:val="0"/>
    <w:rPr>
      <w:rFonts w:ascii="宋体" w:hAnsi="Courier New" w:eastAsia="宋体" w:cs="Times New Roman"/>
      <w:kern w:val="2"/>
      <w:sz w:val="24"/>
      <w:szCs w:val="24"/>
      <w:lang w:val="en-US" w:eastAsia="zh-CN" w:bidi="ar-SA"/>
    </w:rPr>
  </w:style>
  <w:style w:type="character" w:customStyle="1" w:styleId="315">
    <w:name w:val="批注主题 字符"/>
    <w:link w:val="44"/>
    <w:qFormat/>
    <w:uiPriority w:val="0"/>
    <w:rPr>
      <w:rFonts w:ascii="Times New Roman" w:hAnsi="Times New Roman" w:eastAsia="宋体" w:cs="Times New Roman"/>
      <w:b/>
      <w:bCs/>
      <w:kern w:val="2"/>
      <w:sz w:val="21"/>
      <w:szCs w:val="24"/>
      <w:lang w:val="en-US" w:eastAsia="zh-CN" w:bidi="ar-SA"/>
    </w:rPr>
  </w:style>
  <w:style w:type="character" w:customStyle="1" w:styleId="316">
    <w:name w:val="font41"/>
    <w:basedOn w:val="48"/>
    <w:qFormat/>
    <w:uiPriority w:val="0"/>
    <w:rPr>
      <w:rFonts w:hint="default" w:ascii="Arial Unicode MS" w:hAnsi="Arial Unicode MS" w:eastAsia="Arial Unicode MS" w:cs="Arial Unicode MS"/>
      <w:color w:val="000000"/>
      <w:sz w:val="20"/>
      <w:szCs w:val="20"/>
      <w:u w:val="none"/>
    </w:rPr>
  </w:style>
  <w:style w:type="character" w:customStyle="1" w:styleId="317">
    <w:name w:val="页脚 Char"/>
    <w:qFormat/>
    <w:uiPriority w:val="99"/>
    <w:rPr>
      <w:rFonts w:ascii="Times New Roman" w:hAnsi="Times New Roman" w:eastAsia="宋体" w:cs="Times New Roman"/>
      <w:kern w:val="2"/>
      <w:sz w:val="18"/>
      <w:szCs w:val="18"/>
    </w:rPr>
  </w:style>
  <w:style w:type="character" w:customStyle="1" w:styleId="318">
    <w:name w:val="Font Style126"/>
    <w:unhideWhenUsed/>
    <w:qFormat/>
    <w:uiPriority w:val="0"/>
    <w:rPr>
      <w:rFonts w:hint="eastAsia" w:ascii="宋体" w:hAnsi="宋体" w:eastAsia="宋体" w:cs="Times New Roman"/>
      <w:b/>
      <w:spacing w:val="-30"/>
      <w:sz w:val="28"/>
    </w:rPr>
  </w:style>
  <w:style w:type="character" w:customStyle="1" w:styleId="319">
    <w:name w:val="Font Style134"/>
    <w:unhideWhenUsed/>
    <w:qFormat/>
    <w:uiPriority w:val="0"/>
    <w:rPr>
      <w:rFonts w:hint="eastAsia" w:ascii="宋体" w:hAnsi="宋体" w:eastAsia="宋体" w:cs="Times New Roman"/>
      <w:spacing w:val="20"/>
      <w:sz w:val="22"/>
    </w:rPr>
  </w:style>
  <w:style w:type="character" w:customStyle="1" w:styleId="320">
    <w:name w:val="desc"/>
    <w:qFormat/>
    <w:uiPriority w:val="0"/>
    <w:rPr>
      <w:rFonts w:ascii="Times New Roman" w:hAnsi="Times New Roman" w:eastAsia="宋体" w:cs="Times New Roman"/>
      <w:color w:val="000000"/>
      <w:sz w:val="18"/>
      <w:szCs w:val="18"/>
    </w:rPr>
  </w:style>
  <w:style w:type="character" w:customStyle="1" w:styleId="321">
    <w:name w:val="Header Char"/>
    <w:qFormat/>
    <w:uiPriority w:val="0"/>
    <w:rPr>
      <w:rFonts w:ascii="Times New Roman" w:hAnsi="Times New Roman" w:eastAsia="宋体" w:cs="Times New Roman"/>
      <w:sz w:val="18"/>
      <w:szCs w:val="18"/>
    </w:rPr>
  </w:style>
  <w:style w:type="character" w:customStyle="1" w:styleId="322">
    <w:name w:val="纯文本 Char1"/>
    <w:link w:val="136"/>
    <w:qFormat/>
    <w:uiPriority w:val="0"/>
    <w:rPr>
      <w:rFonts w:ascii="宋体" w:hAnsi="Courier New" w:eastAsia="宋体" w:cs="Times New Roman"/>
      <w:lang w:bidi="ar-SA"/>
    </w:rPr>
  </w:style>
  <w:style w:type="character" w:customStyle="1" w:styleId="323">
    <w:name w:val="Font Style90"/>
    <w:unhideWhenUsed/>
    <w:qFormat/>
    <w:uiPriority w:val="0"/>
    <w:rPr>
      <w:rFonts w:hint="eastAsia" w:ascii="宋体" w:hAnsi="宋体" w:eastAsia="宋体" w:cs="Times New Roman"/>
      <w:b/>
      <w:spacing w:val="-20"/>
      <w:sz w:val="40"/>
    </w:rPr>
  </w:style>
  <w:style w:type="paragraph" w:customStyle="1" w:styleId="324">
    <w:name w:val="99-标书-正文"/>
    <w:qFormat/>
    <w:uiPriority w:val="0"/>
    <w:pPr>
      <w:spacing w:line="360" w:lineRule="auto"/>
      <w:ind w:firstLine="480" w:firstLineChars="200"/>
      <w:jc w:val="both"/>
    </w:pPr>
    <w:rPr>
      <w:rFonts w:ascii="宋体" w:hAnsi="宋体" w:eastAsia="宋体" w:cs="Times New Roman"/>
      <w:color w:val="000000"/>
      <w:sz w:val="24"/>
      <w:szCs w:val="21"/>
      <w:lang w:val="en-US" w:eastAsia="zh-CN" w:bidi="ar-SA"/>
    </w:rPr>
  </w:style>
  <w:style w:type="paragraph" w:customStyle="1" w:styleId="325">
    <w:name w:val="_Style 14"/>
    <w:basedOn w:val="1"/>
    <w:next w:val="193"/>
    <w:qFormat/>
    <w:uiPriority w:val="99"/>
    <w:pPr>
      <w:ind w:firstLine="420" w:firstLineChars="200"/>
    </w:pPr>
  </w:style>
  <w:style w:type="paragraph" w:customStyle="1" w:styleId="32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正文2"/>
    <w:basedOn w:val="1"/>
    <w:qFormat/>
    <w:uiPriority w:val="0"/>
    <w:pPr>
      <w:ind w:firstLine="420"/>
    </w:pPr>
    <w:rPr>
      <w:rFonts w:ascii="等线" w:hAnsi="等线"/>
    </w:rPr>
  </w:style>
  <w:style w:type="character" w:customStyle="1" w:styleId="328">
    <w:name w:val="样式 仿宋"/>
    <w:qFormat/>
    <w:uiPriority w:val="0"/>
    <w:rPr>
      <w:rFonts w:ascii="仿宋" w:hAnsi="仿宋" w:eastAsia="仿宋"/>
      <w:kern w:val="1"/>
    </w:rPr>
  </w:style>
  <w:style w:type="paragraph" w:customStyle="1" w:styleId="329">
    <w:name w:val="Heading #1|1"/>
    <w:basedOn w:val="1"/>
    <w:qFormat/>
    <w:uiPriority w:val="0"/>
    <w:pPr>
      <w:spacing w:before="140" w:after="120"/>
      <w:jc w:val="center"/>
      <w:outlineLvl w:val="0"/>
    </w:pPr>
    <w:rPr>
      <w:rFonts w:ascii="宋体" w:hAnsi="宋体" w:cs="宋体"/>
      <w:sz w:val="30"/>
      <w:szCs w:val="30"/>
      <w:lang w:val="zh-TW" w:eastAsia="zh-TW" w:bidi="zh-TW"/>
    </w:rPr>
  </w:style>
  <w:style w:type="paragraph" w:customStyle="1" w:styleId="330">
    <w:name w:val="Other|1"/>
    <w:basedOn w:val="1"/>
    <w:qFormat/>
    <w:uiPriority w:val="0"/>
    <w:pPr>
      <w:spacing w:line="316" w:lineRule="exact"/>
    </w:pPr>
    <w:rPr>
      <w:rFonts w:ascii="宋体" w:hAnsi="宋体" w:cs="宋体"/>
      <w:sz w:val="19"/>
      <w:szCs w:val="19"/>
      <w:lang w:val="zh-TW" w:eastAsia="zh-TW" w:bidi="zh-TW"/>
    </w:rPr>
  </w:style>
  <w:style w:type="paragraph" w:customStyle="1" w:styleId="331">
    <w:name w:val="Style1"/>
    <w:basedOn w:val="1"/>
    <w:qFormat/>
    <w:uiPriority w:val="0"/>
    <w:pPr>
      <w:widowControl/>
      <w:tabs>
        <w:tab w:val="left" w:pos="-720"/>
      </w:tabs>
    </w:pPr>
    <w:rPr>
      <w:spacing w:val="-3"/>
      <w:kern w:val="0"/>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45987</Words>
  <Characters>53480</Characters>
  <Lines>423</Lines>
  <Paragraphs>119</Paragraphs>
  <TotalTime>10</TotalTime>
  <ScaleCrop>false</ScaleCrop>
  <LinksUpToDate>false</LinksUpToDate>
  <CharactersWithSpaces>57281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2020-09-18T10:15:00Z</dcterms:created>
  <dc:creator>M</dc:creator>
  <cp:lastModifiedBy>.</cp:lastModifiedBy>
  <cp:lastPrinted>2023-04-11T13:41:00Z</cp:lastPrinted>
  <dcterms:modified xsi:type="dcterms:W3CDTF">2023-07-04T13:24:02Z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8C2474E6A77444AF96AB0F575B847CDB_13</vt:lpwstr>
  </property>
  <property fmtid="{D5CDD505-2E9C-101B-9397-08002B2CF9AE}" pid="4" name="KSOSaveFontToCloudKey">
    <vt:lpwstr>244531287_cloud</vt:lpwstr>
  </property>
</Properties>
</file>