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52"/>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48"/>
          <w:szCs w:val="48"/>
          <w:lang w:eastAsia="zh-CN"/>
          <w14:textFill>
            <w14:solidFill>
              <w14:schemeClr w14:val="tx1"/>
            </w14:solidFill>
          </w14:textFill>
        </w:rPr>
      </w:pPr>
      <w:r>
        <w:rPr>
          <w:rFonts w:hint="eastAsia" w:ascii="仿宋" w:hAnsi="仿宋" w:eastAsia="仿宋" w:cs="仿宋"/>
          <w:b/>
          <w:bCs/>
          <w:color w:val="000000" w:themeColor="text1"/>
          <w:w w:val="90"/>
          <w:sz w:val="48"/>
          <w:szCs w:val="48"/>
          <w:lang w:eastAsia="zh-CN"/>
          <w14:textFill>
            <w14:solidFill>
              <w14:schemeClr w14:val="tx1"/>
            </w14:solidFill>
          </w14:textFill>
        </w:rPr>
        <w:t>克州阿图什市新城高级中学建设项目(设备采购)一包</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44"/>
          <w:szCs w:val="44"/>
          <w:lang w:val="en-US"/>
        </w:rPr>
      </w:pPr>
      <w:r>
        <w:rPr>
          <w:rFonts w:hint="eastAsia" w:ascii="仿宋" w:hAnsi="仿宋" w:eastAsia="仿宋" w:cs="仿宋"/>
          <w:b/>
          <w:bCs/>
          <w:color w:val="000000" w:themeColor="text1"/>
          <w:sz w:val="40"/>
          <w:szCs w:val="40"/>
          <w:lang w:eastAsia="zh-CN"/>
          <w14:textFill>
            <w14:solidFill>
              <w14:schemeClr w14:val="tx1"/>
            </w14:solidFill>
          </w14:textFill>
        </w:rPr>
        <w:t>项目编号：</w:t>
      </w:r>
      <w:r>
        <w:rPr>
          <w:rFonts w:hint="eastAsia" w:ascii="仿宋" w:hAnsi="仿宋" w:eastAsia="仿宋" w:cs="仿宋"/>
          <w:b/>
          <w:bCs/>
          <w:color w:val="auto"/>
          <w:sz w:val="40"/>
          <w:szCs w:val="40"/>
          <w:lang w:val="en-US" w:eastAsia="zh-CN"/>
        </w:rPr>
        <w:t>ATSCG-2023046-1</w:t>
      </w:r>
    </w:p>
    <w:p>
      <w:pPr>
        <w:pStyle w:val="10"/>
        <w:keepNext w:val="0"/>
        <w:keepLines w:val="0"/>
        <w:pageBreakBefore w:val="0"/>
        <w:widowControl w:val="0"/>
        <w:kinsoku/>
        <w:wordWrap/>
        <w:overflowPunct/>
        <w:topLinePunct w:val="0"/>
        <w:bidi w:val="0"/>
        <w:snapToGrid/>
        <w:spacing w:line="760" w:lineRule="exact"/>
        <w:textAlignment w:val="auto"/>
        <w:rPr>
          <w:rFonts w:hint="eastAsia" w:ascii="仿宋" w:hAnsi="仿宋" w:eastAsia="仿宋" w:cs="仿宋"/>
          <w:color w:val="000000" w:themeColor="text1"/>
          <w14:textFill>
            <w14:solidFill>
              <w14:schemeClr w14:val="tx1"/>
            </w14:solidFill>
          </w14:textFill>
        </w:rPr>
      </w:pPr>
    </w:p>
    <w:p>
      <w:pPr>
        <w:pStyle w:val="10"/>
        <w:rPr>
          <w:rFonts w:hint="eastAsia" w:ascii="仿宋" w:hAnsi="仿宋" w:eastAsia="仿宋" w:cs="仿宋"/>
          <w:color w:val="000000" w:themeColor="text1"/>
          <w14:textFill>
            <w14:solidFill>
              <w14:schemeClr w14:val="tx1"/>
            </w14:solidFill>
          </w14:textFill>
        </w:rPr>
      </w:pPr>
    </w:p>
    <w:p>
      <w:pPr>
        <w:pStyle w:val="10"/>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10"/>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10"/>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10"/>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10"/>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阿图什市教育局</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 系 人：沙先生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联系电话：18199726032</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w:t>
      </w:r>
      <w:r>
        <w:rPr>
          <w:rFonts w:hint="eastAsia" w:ascii="仿宋" w:hAnsi="仿宋" w:eastAsia="仿宋" w:cs="仿宋"/>
          <w:color w:val="000000" w:themeColor="text1"/>
          <w:sz w:val="36"/>
          <w:szCs w:val="36"/>
          <w:lang w:eastAsia="zh-CN"/>
          <w14:textFill>
            <w14:solidFill>
              <w14:schemeClr w14:val="tx1"/>
            </w14:solidFill>
          </w14:textFill>
        </w:rPr>
        <w:t>新疆融联通达工程项目管理有限公司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联系电话:13909955772</w:t>
      </w: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22"/>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w w:val="95"/>
                <w:sz w:val="32"/>
                <w:szCs w:val="32"/>
                <w:lang w:val="en-US" w:eastAsia="zh-CN"/>
                <w14:textFill>
                  <w14:solidFill>
                    <w14:schemeClr w14:val="tx1"/>
                  </w14:solidFill>
                </w14:textFill>
              </w:rPr>
              <w:t>阿图什市教育局</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eastAsia="zh-CN"/>
                <w14:textFill>
                  <w14:solidFill>
                    <w14:schemeClr w14:val="tx1"/>
                  </w14:solidFill>
                </w14:textFill>
              </w:rPr>
              <w:t>克州阿图什市新城高级中学建设项目(设备采购)一包</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w:t>
            </w:r>
            <w:r>
              <w:rPr>
                <w:rFonts w:hint="eastAsia" w:ascii="仿宋" w:hAnsi="仿宋" w:eastAsia="仿宋" w:cs="仿宋"/>
                <w:color w:val="000000" w:themeColor="text1"/>
                <w:sz w:val="32"/>
                <w:szCs w:val="32"/>
                <w:lang w:eastAsia="zh-CN"/>
                <w14:textFill>
                  <w14:solidFill>
                    <w14:schemeClr w14:val="tx1"/>
                  </w14:solidFill>
                </w14:textFill>
              </w:rPr>
              <w:t>新疆融联通达工程项目管理有限公司（盖章）</w:t>
            </w:r>
          </w:p>
          <w:p>
            <w:pPr>
              <w:pStyle w:val="5"/>
              <w:jc w:val="both"/>
              <w:rPr>
                <w:rFonts w:hint="eastAsia" w:ascii="仿宋" w:hAnsi="仿宋" w:eastAsia="仿宋" w:cs="仿宋"/>
                <w:color w:val="000000" w:themeColor="text1"/>
                <w14:textFill>
                  <w14:solidFill>
                    <w14:schemeClr w14:val="tx1"/>
                  </w14:solidFill>
                </w14:textFill>
              </w:rPr>
            </w:pPr>
          </w:p>
          <w:p>
            <w:pPr>
              <w:pStyle w:val="5"/>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月</w:t>
            </w:r>
          </w:p>
          <w:p>
            <w:pPr>
              <w:pStyle w:val="5"/>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41"/>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41"/>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39"/>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8"/>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5"/>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5"/>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5"/>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5"/>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2"/>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42"/>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第一部分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333333"/>
          <w:kern w:val="2"/>
          <w:sz w:val="24"/>
          <w:szCs w:val="24"/>
          <w:lang w:val="en-US" w:eastAsia="zh-CN" w:bidi="ar"/>
        </w:rPr>
      </w:pPr>
      <w:r>
        <w:rPr>
          <w:rFonts w:hint="eastAsia" w:ascii="宋体" w:hAnsi="宋体" w:eastAsia="宋体" w:cs="宋体"/>
          <w:b/>
          <w:bCs/>
          <w:color w:val="333333"/>
          <w:kern w:val="2"/>
          <w:sz w:val="24"/>
          <w:szCs w:val="24"/>
          <w:lang w:val="en-US" w:eastAsia="zh-CN" w:bidi="ar"/>
        </w:rPr>
        <w:t>克州阿图什市新城高级中学建设项目(设备采购)一包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333333"/>
          <w:kern w:val="2"/>
          <w:sz w:val="24"/>
          <w:szCs w:val="24"/>
          <w:lang w:val="en-US" w:eastAsia="zh-CN" w:bidi="ar"/>
        </w:rPr>
        <w:t>公开招标公告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Times New Roman" w:hAnsi="Times New Roman" w:eastAsia="宋体" w:cs="Times New Roman"/>
          <w:color w:val="333333"/>
          <w:kern w:val="2"/>
          <w:sz w:val="21"/>
          <w:szCs w:val="21"/>
          <w:lang w:val="en-US" w:eastAsia="zh-CN" w:bidi="ar"/>
        </w:rPr>
        <w:t xml:space="preserve"> </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ind w:left="0" w:right="0" w:firstLine="420" w:firstLineChars="200"/>
        <w:jc w:val="left"/>
      </w:pPr>
      <w:r>
        <w:rPr>
          <w:rFonts w:ascii="仿宋" w:hAnsi="仿宋" w:eastAsia="仿宋" w:cs="仿宋"/>
          <w:color w:val="333333"/>
          <w:kern w:val="2"/>
          <w:sz w:val="21"/>
          <w:szCs w:val="21"/>
          <w:lang w:val="en-US" w:eastAsia="zh-CN" w:bidi="ar"/>
        </w:rPr>
        <w:t>项目概况:</w:t>
      </w:r>
      <w:r>
        <w:rPr>
          <w:rFonts w:hint="eastAsia" w:ascii="仿宋" w:hAnsi="仿宋" w:eastAsia="仿宋" w:cs="仿宋"/>
          <w:color w:val="333333"/>
          <w:kern w:val="2"/>
          <w:sz w:val="21"/>
          <w:szCs w:val="21"/>
          <w:lang w:val="en-US" w:eastAsia="zh-CN" w:bidi="ar"/>
        </w:rPr>
        <w:t>克州阿图什市新城高级中学建设项目(设备采购)一包采购项目的潜在投标人应在供应商登陆政采云平台</w:t>
      </w:r>
      <w:r>
        <w:rPr>
          <w:rFonts w:hint="eastAsia" w:ascii="仿宋" w:hAnsi="仿宋" w:eastAsia="仿宋" w:cs="仿宋"/>
          <w:kern w:val="2"/>
          <w:sz w:val="21"/>
          <w:szCs w:val="21"/>
          <w:u w:val="none"/>
          <w:lang w:val="en-US" w:eastAsia="zh-CN" w:bidi="ar"/>
        </w:rPr>
        <w:fldChar w:fldCharType="begin"/>
      </w:r>
      <w:r>
        <w:rPr>
          <w:rFonts w:hint="eastAsia" w:ascii="仿宋" w:hAnsi="仿宋" w:eastAsia="仿宋" w:cs="仿宋"/>
          <w:kern w:val="2"/>
          <w:sz w:val="21"/>
          <w:szCs w:val="21"/>
          <w:u w:val="none"/>
          <w:lang w:val="en-US" w:eastAsia="zh-CN" w:bidi="ar"/>
        </w:rPr>
        <w:instrText xml:space="preserve"> HYPERLINK "http://www.zcygov.cn/" </w:instrText>
      </w:r>
      <w:r>
        <w:rPr>
          <w:rFonts w:hint="eastAsia" w:ascii="仿宋" w:hAnsi="仿宋" w:eastAsia="仿宋" w:cs="仿宋"/>
          <w:kern w:val="2"/>
          <w:sz w:val="21"/>
          <w:szCs w:val="21"/>
          <w:u w:val="none"/>
          <w:lang w:val="en-US" w:eastAsia="zh-CN" w:bidi="ar"/>
        </w:rPr>
        <w:fldChar w:fldCharType="separate"/>
      </w:r>
      <w:r>
        <w:rPr>
          <w:rStyle w:val="30"/>
          <w:rFonts w:hint="eastAsia" w:ascii="仿宋" w:hAnsi="仿宋" w:eastAsia="仿宋" w:cs="仿宋"/>
          <w:kern w:val="2"/>
          <w:sz w:val="21"/>
          <w:szCs w:val="21"/>
          <w:u w:val="none"/>
        </w:rPr>
        <w:t>http://www.zcygov.cn/</w:t>
      </w:r>
      <w:r>
        <w:rPr>
          <w:rFonts w:hint="eastAsia" w:ascii="仿宋" w:hAnsi="仿宋" w:eastAsia="仿宋" w:cs="仿宋"/>
          <w:kern w:val="2"/>
          <w:sz w:val="21"/>
          <w:szCs w:val="21"/>
          <w:u w:val="none"/>
          <w:lang w:val="en-US" w:eastAsia="zh-CN" w:bidi="ar"/>
        </w:rPr>
        <w:fldChar w:fldCharType="end"/>
      </w:r>
      <w:r>
        <w:rPr>
          <w:rFonts w:hint="eastAsia" w:ascii="仿宋" w:hAnsi="仿宋" w:eastAsia="仿宋" w:cs="仿宋"/>
          <w:color w:val="333333"/>
          <w:kern w:val="2"/>
          <w:sz w:val="21"/>
          <w:szCs w:val="21"/>
          <w:lang w:val="en-US" w:eastAsia="zh-CN" w:bidi="ar"/>
        </w:rPr>
        <w:t>，在线申请获取招标文件（登录政府采购云平台 → 项目采购 → 获取招标文件→申请，审核通过后可下载招标文件，如有操作性问题，可与政采云在线客服进行咨询，咨询电话：95763）获取招标文件，并于</w:t>
      </w:r>
      <w:r>
        <w:rPr>
          <w:rFonts w:hint="eastAsia" w:ascii="仿宋" w:hAnsi="仿宋" w:eastAsia="仿宋" w:cs="仿宋"/>
          <w:color w:val="333333"/>
          <w:kern w:val="2"/>
          <w:sz w:val="21"/>
          <w:szCs w:val="21"/>
          <w:u w:val="single"/>
          <w:lang w:val="en-US" w:eastAsia="zh-CN" w:bidi="ar"/>
        </w:rPr>
        <w:t>2023年7月31日10点30分</w:t>
      </w:r>
      <w:r>
        <w:rPr>
          <w:rFonts w:hint="eastAsia" w:ascii="仿宋" w:hAnsi="仿宋" w:eastAsia="仿宋" w:cs="仿宋"/>
          <w:color w:val="333333"/>
          <w:kern w:val="2"/>
          <w:sz w:val="21"/>
          <w:szCs w:val="21"/>
          <w:lang w:val="en-US" w:eastAsia="zh-CN" w:bidi="ar"/>
        </w:rPr>
        <w:t>（北京时间）前（上传）电子投标文件。</w:t>
      </w:r>
      <w:r>
        <w:rPr>
          <w:rFonts w:hint="eastAsia" w:ascii="仿宋" w:hAnsi="仿宋" w:eastAsia="仿宋" w:cs="仿宋"/>
          <w:i w:val="0"/>
          <w:iCs w:val="0"/>
          <w:caps w:val="0"/>
          <w:color w:val="333333"/>
          <w:spacing w:val="0"/>
          <w:kern w:val="2"/>
          <w:sz w:val="16"/>
          <w:szCs w:val="16"/>
          <w:lang w:val="en-US" w:eastAsia="zh-CN" w:bidi="ar"/>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b/>
          <w:bCs/>
          <w:i w:val="0"/>
          <w:iCs w:val="0"/>
          <w:caps w:val="0"/>
          <w:color w:val="333333"/>
          <w:spacing w:val="0"/>
          <w:sz w:val="24"/>
          <w:szCs w:val="24"/>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auto"/>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项目编号：ATSCG-2023046-1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项目名称：克州阿图什市新城高级中学建设项目(设备采购)一包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采购方式：公开招标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预算金额（元）：1600000.00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最高限价（元）：1600000.00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采购需求：监控设施及校园广播一批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标项名称:克州阿图什市新城高级中学建设项目(设备采购)一包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数量：1批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预算金额（元）:1600000.00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xml:space="preserve">   简要规格描述或项目基本概况介绍、用途：详见招标文件。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合同履约期限：标项 1，详见招标文件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本项目（否）接受联合体投标。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二、申请人的资格要求：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落实政府采购政策需满足的资格要求：本项目为非专门面向中小企业，根据《政府采购促进中小企业发展管理办法》（财库【2020】46号）的规定，评标时将给予此类企业进行价格扣除10%的优惠，用优惠后的价格参与评审。</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3.本项目的特定资格要求：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1).具备三证合一营业执照副本；</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2).法定代表人投标需提供法定代表人资格证明书，委托代理人投标需提供法定代表人授权委托书；</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3).投标企业须提供投标人（被授权在职人员）近3个月有效的社保证明；</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仿宋" w:hAnsi="仿宋" w:eastAsia="仿宋" w:cs="仿宋"/>
          <w:color w:val="333333"/>
          <w:spacing w:val="0"/>
          <w:w w:val="100"/>
          <w:kern w:val="2"/>
          <w:position w:val="0"/>
          <w:sz w:val="21"/>
          <w:szCs w:val="21"/>
          <w:shd w:val="clear" w:color="auto" w:fill="auto"/>
          <w:lang w:val="en-US" w:eastAsia="zh-CN" w:bidi="ar"/>
        </w:rPr>
        <w:t>4).未被“信用中国”（www.creditchina.gov.cn）、中国政府采购网（www.ccgp.gov.cn）列入失信被执行人、重大税收违法案件当事人名单、政府采购严重违法失信行为记录名单；</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三、获取招标文件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时间：2023年7月11日至2023年7月18日，每天上午10:00至13:30，下午16:30至20：00（北京时间，法定节假日除外）</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地点：供应商登陆政采云平台http://www.zcygov.cn/，在线申请获取招标文件（登录政府采购云平台 → 项目采购 → 获取招标文件，如有操作性问题，可与政采云在线客服进行咨询，咨询电话：95763）。</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方式：（1）线上获取（登录政府采购云平台 → 项目采购 → 获取招标文件）。本次招标不提供纸质版招标文件。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（2）供应商获取招标文件前应注册成为政府采购云平台正式供应商。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售价（元）：0</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四、提交投标文件截止时间、开标时间和地点</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提交投标文件截止时间：2023年7月31日 10:30（北京时间）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投标地点：政府采购云平台（www.zcygov.cn）</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开标时间：2023年7月31日 10:30（北京时间）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开标地点：在政府采购云平台（www.zcygov.cn）上开启投标文件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五、公告期限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自本公告发布之日起5个工作日。</w:t>
      </w:r>
      <w:r>
        <w:rPr>
          <w:rFonts w:hint="eastAsia" w:ascii="仿宋" w:hAnsi="仿宋" w:eastAsia="仿宋" w:cs="仿宋"/>
          <w:i w:val="0"/>
          <w:iCs w:val="0"/>
          <w:caps w:val="0"/>
          <w:color w:val="000000"/>
          <w:spacing w:val="0"/>
          <w:kern w:val="0"/>
          <w:sz w:val="24"/>
          <w:szCs w:val="24"/>
          <w:lang w:val="en-US" w:eastAsia="zh-CN" w:bidi="ar"/>
        </w:rPr>
        <w:t>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六、其他补充事宜</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ascii="Calibri" w:hAnsi="Calibri" w:cs="Calibri"/>
          <w:i w:val="0"/>
          <w:iCs w:val="0"/>
          <w:caps w:val="0"/>
          <w:color w:val="333333"/>
          <w:spacing w:val="0"/>
          <w:sz w:val="24"/>
          <w:szCs w:val="24"/>
        </w:rPr>
      </w:pPr>
      <w:r>
        <w:rPr>
          <w:rFonts w:ascii="仿宋" w:hAnsi="仿宋" w:eastAsia="仿宋" w:cs="仿宋"/>
          <w:i w:val="0"/>
          <w:iCs w:val="0"/>
          <w:caps w:val="0"/>
          <w:color w:val="000000"/>
          <w:spacing w:val="0"/>
          <w:sz w:val="21"/>
          <w:szCs w:val="21"/>
        </w:rPr>
        <w:t>特别提示：</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七、对本次采购提出询问，请按以下方式联系</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1.采购人信息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称：阿图什市教育局</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联系电话：18199726032</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2.采购代理机构信息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称：新疆融联通达工程项目管理有限公司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址：阿图什市友谊北路23号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联系方式：张先生</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color w:val="000000" w:themeColor="text1"/>
          <w:spacing w:val="0"/>
          <w:w w:val="100"/>
          <w:position w:val="0"/>
          <w:sz w:val="32"/>
          <w:szCs w:val="32"/>
          <w14:textFill>
            <w14:solidFill>
              <w14:schemeClr w14:val="tx1"/>
            </w14:solidFill>
          </w14:textFill>
        </w:rPr>
      </w:pPr>
      <w:r>
        <w:rPr>
          <w:rFonts w:hint="eastAsia" w:ascii="仿宋" w:hAnsi="仿宋" w:eastAsia="仿宋" w:cs="仿宋"/>
          <w:i w:val="0"/>
          <w:iCs w:val="0"/>
          <w:caps w:val="0"/>
          <w:color w:val="000000"/>
          <w:spacing w:val="0"/>
          <w:kern w:val="0"/>
          <w:sz w:val="21"/>
          <w:szCs w:val="21"/>
          <w:lang w:val="en-US" w:eastAsia="zh-CN" w:bidi="ar"/>
        </w:rPr>
        <w:t>联系电话：13909955772</w:t>
      </w:r>
      <w:r>
        <w:rPr>
          <w:rFonts w:hint="eastAsia" w:ascii="仿宋" w:hAnsi="仿宋" w:eastAsia="仿宋" w:cs="仿宋"/>
          <w:color w:val="000000"/>
          <w:sz w:val="21"/>
          <w:szCs w:val="21"/>
        </w:rPr>
        <w:t xml:space="preserve">   </w:t>
      </w:r>
      <w:r>
        <w:rPr>
          <w:rFonts w:hint="eastAsia" w:ascii="仿宋" w:hAnsi="仿宋" w:eastAsia="仿宋" w:cs="仿宋"/>
          <w:color w:val="000000"/>
          <w:szCs w:val="21"/>
        </w:rPr>
        <w:t xml:space="preserve">      </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0"/>
          <w:w w:val="100"/>
          <w:position w:val="0"/>
          <w:sz w:val="32"/>
          <w:szCs w:val="32"/>
          <w14:textFill>
            <w14:solidFill>
              <w14:schemeClr w14:val="tx1"/>
            </w14:solidFill>
          </w14:textFill>
        </w:rPr>
        <w:t>第二部分</w:t>
      </w:r>
      <w:r>
        <w:rPr>
          <w:rFonts w:hint="eastAsia" w:ascii="仿宋" w:hAnsi="仿宋" w:eastAsia="仿宋" w:cs="仿宋"/>
          <w:color w:val="000000" w:themeColor="text1"/>
          <w:spacing w:val="0"/>
          <w:w w:val="10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32"/>
          <w:szCs w:val="32"/>
          <w14:textFill>
            <w14:solidFill>
              <w14:schemeClr w14:val="tx1"/>
            </w14:solidFill>
          </w14:textFill>
        </w:rPr>
        <w:t>供应商须知</w:t>
      </w:r>
    </w:p>
    <w:p>
      <w:pPr>
        <w:pStyle w:val="43"/>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供应商</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21"/>
        <w:tblW w:w="9025" w:type="dxa"/>
        <w:jc w:val="center"/>
        <w:tblLayout w:type="fixed"/>
        <w:tblCellMar>
          <w:top w:w="0" w:type="dxa"/>
          <w:left w:w="108" w:type="dxa"/>
          <w:bottom w:w="0" w:type="dxa"/>
          <w:right w:w="108" w:type="dxa"/>
        </w:tblCellMar>
      </w:tblPr>
      <w:tblGrid>
        <w:gridCol w:w="712"/>
        <w:gridCol w:w="1550"/>
        <w:gridCol w:w="6763"/>
      </w:tblGrid>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采购内容  </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项目名称：克州阿图什市新城高级中学建设项目(设备采购)一包</w:t>
            </w:r>
          </w:p>
          <w:p>
            <w:pPr>
              <w:shd w:val="clear" w:color="auto" w:fill="auto"/>
              <w:spacing w:line="360" w:lineRule="auto"/>
              <w:jc w:val="left"/>
              <w:rPr>
                <w:rFonts w:hint="default" w:ascii="仿宋" w:hAnsi="仿宋" w:eastAsia="仿宋" w:cs="仿宋"/>
                <w:color w:val="auto"/>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r>
              <w:rPr>
                <w:rFonts w:hint="eastAsia" w:ascii="仿宋" w:hAnsi="仿宋" w:eastAsia="仿宋" w:cs="仿宋"/>
                <w:color w:val="auto"/>
                <w:sz w:val="21"/>
                <w:szCs w:val="21"/>
                <w:lang w:val="en-US" w:eastAsia="zh-CN"/>
              </w:rPr>
              <w:t>：ATSCG-2023046-1</w:t>
            </w:r>
          </w:p>
          <w:p>
            <w:pPr>
              <w:shd w:val="clear" w:color="auto" w:fill="auto"/>
              <w:spacing w:line="360" w:lineRule="auto"/>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采购内容：</w:t>
            </w:r>
            <w:r>
              <w:rPr>
                <w:rFonts w:hint="eastAsia" w:ascii="仿宋" w:hAnsi="仿宋" w:eastAsia="仿宋" w:cs="仿宋"/>
                <w:color w:val="auto"/>
                <w:spacing w:val="0"/>
                <w:w w:val="100"/>
                <w:kern w:val="2"/>
                <w:position w:val="0"/>
                <w:sz w:val="21"/>
                <w:szCs w:val="21"/>
                <w:shd w:val="clear" w:color="auto" w:fill="auto"/>
                <w:lang w:val="en-US" w:eastAsia="zh-CN" w:bidi="ar"/>
              </w:rPr>
              <w:t>监控设施及校园广播一批</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u w:val="single"/>
                <w:lang w:val="en-US" w:eastAsia="zh-CN"/>
              </w:rPr>
              <w:t>20</w:t>
            </w:r>
            <w:r>
              <w:rPr>
                <w:rFonts w:hint="eastAsia" w:ascii="仿宋" w:hAnsi="仿宋" w:eastAsia="仿宋" w:cs="仿宋"/>
                <w:color w:val="auto"/>
                <w:sz w:val="21"/>
                <w:szCs w:val="21"/>
                <w:lang w:val="en-US" w:eastAsia="zh-CN"/>
              </w:rPr>
              <w:t>天</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称：阿图什市教育局</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联系人：沙先生      电  话：18199726032</w:t>
            </w:r>
          </w:p>
        </w:tc>
      </w:tr>
      <w:tr>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阿图什市新城高级中学</w:t>
            </w:r>
          </w:p>
        </w:tc>
      </w:tr>
      <w:tr>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落实政府采购政策需满足的资格要求：本项目为非专门面向中小企业，根据《政府采购促进中小企业发展管理办法》（财库【2020】46号）的规定，评标时将给予此类企业进行价格扣除10%的优惠，用优惠后的价格参与评审。</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3.本项目的特定资格要求：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4.本项目不接受联合体投标；</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援疆资金</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截止时间</w:t>
            </w:r>
            <w:r>
              <w:rPr>
                <w:rFonts w:hint="eastAsia" w:ascii="仿宋" w:hAnsi="仿宋" w:eastAsia="仿宋" w:cs="仿宋"/>
                <w:b w:val="0"/>
                <w:bCs w:val="0"/>
                <w:color w:val="auto"/>
                <w:sz w:val="21"/>
                <w:szCs w:val="21"/>
                <w:lang w:val="en-US" w:eastAsia="zh-CN"/>
              </w:rPr>
              <w:t>：2023年7月31日上午10时30分（北京时间）</w:t>
            </w:r>
          </w:p>
        </w:tc>
      </w:tr>
      <w:tr>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w:t>
            </w:r>
            <w:r>
              <w:rPr>
                <w:rFonts w:hint="eastAsia" w:ascii="仿宋" w:hAnsi="仿宋" w:eastAsia="仿宋" w:cs="仿宋"/>
                <w:b w:val="0"/>
                <w:bCs w:val="0"/>
                <w:color w:val="auto"/>
                <w:sz w:val="21"/>
                <w:szCs w:val="21"/>
                <w:lang w:val="en-US" w:eastAsia="zh-CN"/>
              </w:rPr>
              <w:t>标保证金要求：</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投标保证金的金额：20000元（大写：贰万元整）</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投标保证金交纳要求：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1、投标保证金以电汇、网银等转账形式提交的，应在投标截止时间2023年7月31日上午10：30分（北京时间）前以总公司的基本账户一次性汇入指定账户（以到账时间为准），不接受现金及任</w:t>
            </w:r>
            <w:r>
              <w:rPr>
                <w:rFonts w:hint="eastAsia" w:ascii="仿宋" w:hAnsi="仿宋" w:eastAsia="仿宋" w:cs="仿宋"/>
                <w:b w:val="0"/>
                <w:bCs w:val="0"/>
                <w:color w:val="000000" w:themeColor="text1"/>
                <w:sz w:val="21"/>
                <w:szCs w:val="21"/>
                <w:lang w:val="en-US" w:eastAsia="zh-CN"/>
                <w14:textFill>
                  <w14:solidFill>
                    <w14:schemeClr w14:val="tx1"/>
                  </w14:solidFill>
                </w14:textFill>
              </w:rPr>
              <w:t>何个人汇款。确认到账后，手持汇款银行电子回单及基本账户信息/开户许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户名：阿图什市政务服务和公共资源交易中心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账号：30456301040005267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行名：中国农业银行阿图什市天山分理处</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行号：103893045636</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联系人：祝女士</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电话：0908-4222076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1、缴纳时必须写清楚某某项目投标保证金,在核查投标保证金时请统一用A4纸打印银行回单。2、投标保证金退还（招投标结束中标结果公示后）：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时</w:t>
            </w:r>
            <w:r>
              <w:rPr>
                <w:rFonts w:hint="eastAsia" w:ascii="仿宋" w:hAnsi="仿宋" w:eastAsia="仿宋" w:cs="仿宋"/>
                <w:b w:val="0"/>
                <w:bCs w:val="0"/>
                <w:color w:val="auto"/>
                <w:sz w:val="21"/>
                <w:szCs w:val="21"/>
                <w:u w:val="none"/>
                <w:lang w:val="en-US" w:eastAsia="zh-CN"/>
              </w:rPr>
              <w:t>间：2023年7月11日至2023年7月18日，</w:t>
            </w:r>
            <w:r>
              <w:rPr>
                <w:rFonts w:hint="eastAsia" w:ascii="仿宋" w:hAnsi="仿宋" w:eastAsia="仿宋" w:cs="仿宋"/>
                <w:b w:val="0"/>
                <w:bCs w:val="0"/>
                <w:color w:val="auto"/>
                <w:sz w:val="21"/>
                <w:szCs w:val="21"/>
                <w:lang w:val="en-US" w:eastAsia="zh-CN"/>
              </w:rPr>
              <w:t>每天上午10:00至13:30，下午16:30至20：00（北京时间，节假日除外）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3、待开标结束后，中标企业请于</w:t>
            </w:r>
            <w:r>
              <w:rPr>
                <w:rFonts w:hint="eastAsia" w:ascii="仿宋" w:hAnsi="仿宋" w:eastAsia="仿宋" w:cs="仿宋"/>
                <w:b w:val="0"/>
                <w:bCs w:val="0"/>
                <w:color w:val="auto"/>
                <w:sz w:val="21"/>
                <w:szCs w:val="21"/>
                <w:u w:val="single"/>
                <w:lang w:val="en-US" w:eastAsia="zh-CN"/>
              </w:rPr>
              <w:t>2023年8月6日20:00</w:t>
            </w:r>
            <w:r>
              <w:rPr>
                <w:rFonts w:hint="eastAsia" w:ascii="仿宋" w:hAnsi="仿宋" w:eastAsia="仿宋" w:cs="仿宋"/>
                <w:b w:val="0"/>
                <w:bCs w:val="0"/>
                <w:color w:val="000000" w:themeColor="text1"/>
                <w:sz w:val="21"/>
                <w:szCs w:val="21"/>
                <w:lang w:val="en-US" w:eastAsia="zh-CN"/>
                <w14:textFill>
                  <w14:solidFill>
                    <w14:schemeClr w14:val="tx1"/>
                  </w14:solidFill>
                </w14:textFill>
              </w:rPr>
              <w:t>前提供纸质投标文件叁份并承诺与电子投标文件内容一致的承诺书至新疆融联通达工程项目管理有限公司（阿图什市友谊北路23号）。中标人可采用邮寄方式提供纸质版投标文件（收件地址：阿图什市友谊北路23号，收件人：张先生，电话：13909955772），费用自行承担。</w:t>
            </w:r>
          </w:p>
        </w:tc>
      </w:tr>
      <w:tr>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1449947815@qq.com，接收人：张先生，电话：13909955772），“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评标委员会由招标人依法组建，由采购人代表1人，评审专家</w:t>
            </w: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r>
              <w:rPr>
                <w:rFonts w:hint="eastAsia" w:ascii="仿宋" w:hAnsi="仿宋" w:eastAsia="仿宋" w:cs="仿宋"/>
                <w:b w:val="0"/>
                <w:bCs w:val="0"/>
                <w:color w:val="000000" w:themeColor="text1"/>
                <w:sz w:val="21"/>
                <w:szCs w:val="21"/>
                <w:lang w:val="zh-CN" w:eastAsia="zh-CN"/>
                <w14:textFill>
                  <w14:solidFill>
                    <w14:schemeClr w14:val="tx1"/>
                  </w14:solidFill>
                </w14:textFill>
              </w:rPr>
              <w:t>人，共</w:t>
            </w: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lang w:val="zh-CN" w:eastAsia="zh-CN"/>
                <w14:textFill>
                  <w14:solidFill>
                    <w14:schemeClr w14:val="tx1"/>
                  </w14:solidFill>
                </w14:textFill>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w:t>
            </w:r>
            <w:r>
              <w:rPr>
                <w:rFonts w:hint="eastAsia" w:ascii="仿宋" w:hAnsi="仿宋" w:eastAsia="仿宋" w:cs="仿宋"/>
                <w:b w:val="0"/>
                <w:bCs w:val="0"/>
                <w:color w:val="auto"/>
                <w:sz w:val="21"/>
                <w:szCs w:val="21"/>
                <w:lang w:val="en-US" w:eastAsia="zh-CN"/>
              </w:rPr>
              <w:t>间：2023年7月31日上午10时30分（北京时间）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w:t>
            </w:r>
            <w:r>
              <w:rPr>
                <w:rFonts w:hint="eastAsia" w:ascii="仿宋" w:hAnsi="仿宋" w:eastAsia="仿宋" w:cs="仿宋"/>
                <w:b w:val="0"/>
                <w:bCs w:val="0"/>
                <w:color w:val="auto"/>
                <w:sz w:val="21"/>
                <w:szCs w:val="21"/>
                <w:lang w:val="en-US" w:eastAsia="zh-CN"/>
              </w:rPr>
              <w:t>间：2023年7月31日上午10时30分（北京时间）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申请获取招标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投标单位（供应商）针对本次采购项目《反商业贿赂承诺书》，《采购活动前三年内无重大违规记录承诺书》的书面声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1449947815@qq.com，接收人：张先生，电话：13909955772），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95763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质疑答复最终以财政部94号文为准</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价格[2015]299号）中规定收取代理费；</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 费 率)</w:t>
            </w:r>
          </w:p>
          <w:tbl>
            <w:tblPr>
              <w:tblStyle w:val="21"/>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费率中标金额</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5000万元～1亿元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0.1%</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5～10亿元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10～50亿元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50～100亿元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100亿以上</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100万元×1.0％＝1万元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（500－100）万元×0.7％＝2.8万元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（1000－500）万元×0.55％＝2.75万元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（5000－1000）万元×0.35％＝14万元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（6000－5000）万元×0.2％＝2万元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本次招标最高限价：</w:t>
            </w:r>
            <w:r>
              <w:rPr>
                <w:rFonts w:hint="eastAsia" w:ascii="仿宋" w:hAnsi="仿宋" w:eastAsia="仿宋" w:cs="仿宋"/>
                <w:color w:val="auto"/>
                <w:sz w:val="22"/>
                <w:szCs w:val="22"/>
                <w:lang w:val="en-US" w:eastAsia="zh-CN"/>
              </w:rPr>
              <w:t>1600000.00</w:t>
            </w:r>
          </w:p>
        </w:tc>
      </w:tr>
      <w:tr>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202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（1）支持中小企业发展：给予小型和微型企业产品的价格</w:t>
            </w: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r>
              <w:rPr>
                <w:rFonts w:hint="eastAsia" w:ascii="仿宋" w:hAnsi="仿宋" w:eastAsia="仿宋" w:cs="仿宋"/>
                <w:b w:val="0"/>
                <w:bCs w:val="0"/>
                <w:color w:val="000000" w:themeColor="text1"/>
                <w:sz w:val="21"/>
                <w:szCs w:val="21"/>
                <w14:textFill>
                  <w14:solidFill>
                    <w14:schemeClr w14:val="tx1"/>
                  </w14:solidFill>
                </w14:textFill>
              </w:rPr>
              <w:t>0%的扣除，用扣除后的价格参与评审</w:t>
            </w:r>
            <w:r>
              <w:rPr>
                <w:rFonts w:hint="eastAsia" w:ascii="仿宋" w:hAnsi="仿宋" w:eastAsia="仿宋" w:cs="仿宋"/>
                <w:b w:val="0"/>
                <w:bCs w:val="0"/>
                <w:color w:val="auto"/>
                <w:sz w:val="21"/>
                <w:szCs w:val="21"/>
              </w:rPr>
              <w:t>，本项目具体扣除比例为</w:t>
            </w:r>
            <w:r>
              <w:rPr>
                <w:rFonts w:hint="eastAsia" w:ascii="仿宋" w:hAnsi="仿宋" w:eastAsia="仿宋" w:cs="仿宋"/>
                <w:b w:val="0"/>
                <w:bCs w:val="0"/>
                <w:color w:val="auto"/>
                <w:sz w:val="21"/>
                <w:szCs w:val="21"/>
                <w:lang w:val="en-US" w:eastAsia="zh-CN"/>
              </w:rPr>
              <w:t>10</w:t>
            </w:r>
            <w:r>
              <w:rPr>
                <w:rFonts w:hint="eastAsia" w:ascii="仿宋" w:hAnsi="仿宋" w:eastAsia="仿宋" w:cs="仿宋"/>
                <w:b w:val="0"/>
                <w:bCs w:val="0"/>
                <w:color w:val="auto"/>
                <w:sz w:val="21"/>
                <w:szCs w:val="21"/>
              </w:rPr>
              <w:t>%。用</w:t>
            </w:r>
            <w:r>
              <w:rPr>
                <w:rFonts w:hint="eastAsia" w:ascii="仿宋" w:hAnsi="仿宋" w:eastAsia="仿宋" w:cs="仿宋"/>
                <w:b w:val="0"/>
                <w:bCs w:val="0"/>
                <w:color w:val="000000" w:themeColor="text1"/>
                <w:sz w:val="21"/>
                <w:szCs w:val="21"/>
                <w14:textFill>
                  <w14:solidFill>
                    <w14:schemeClr w14:val="tx1"/>
                  </w14:solidFill>
                </w14:textFill>
              </w:rPr>
              <w:t>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72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712"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550"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应在领取《</w:t>
            </w:r>
            <w:r>
              <w:rPr>
                <w:rFonts w:hint="eastAsia" w:ascii="仿宋" w:hAnsi="仿宋" w:eastAsia="仿宋" w:cs="仿宋"/>
                <w:b w:val="0"/>
                <w:bCs w:val="0"/>
                <w:color w:val="000000" w:themeColor="text1"/>
                <w:sz w:val="21"/>
                <w:szCs w:val="21"/>
                <w:lang w:val="zh-CN"/>
                <w14:textFill>
                  <w14:solidFill>
                    <w14:schemeClr w14:val="tx1"/>
                  </w14:solidFill>
                </w14:textFill>
              </w:rPr>
              <w:t>成交通知书</w:t>
            </w:r>
            <w:r>
              <w:rPr>
                <w:rFonts w:hint="eastAsia" w:ascii="仿宋" w:hAnsi="仿宋" w:eastAsia="仿宋" w:cs="仿宋"/>
                <w:b w:val="0"/>
                <w:bCs w:val="0"/>
                <w:color w:val="000000" w:themeColor="text1"/>
                <w:sz w:val="21"/>
                <w:szCs w:val="21"/>
                <w14:textFill>
                  <w14:solidFill>
                    <w14:schemeClr w14:val="tx1"/>
                  </w14:solidFill>
                </w14:textFill>
              </w:rPr>
              <w:t>》后的十个日历日内，办理履约保证金</w:t>
            </w:r>
            <w:r>
              <w:rPr>
                <w:rFonts w:hint="eastAsia" w:ascii="仿宋" w:hAnsi="仿宋" w:eastAsia="仿宋" w:cs="仿宋"/>
                <w:b w:val="0"/>
                <w:bCs w:val="0"/>
                <w:color w:val="000000" w:themeColor="text1"/>
                <w:sz w:val="21"/>
                <w:szCs w:val="21"/>
                <w:lang w:eastAsia="zh-CN"/>
                <w14:textFill>
                  <w14:solidFill>
                    <w14:schemeClr w14:val="tx1"/>
                  </w14:solidFill>
                </w14:textFill>
              </w:rPr>
              <w:t>（支持银行保函</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zh-CN"/>
              </w:rPr>
              <w:t>金额不超过合同总价的10%，</w:t>
            </w:r>
            <w:r>
              <w:rPr>
                <w:rFonts w:hint="eastAsia" w:ascii="仿宋" w:hAnsi="仿宋" w:eastAsia="仿宋" w:cs="仿宋"/>
                <w:b w:val="0"/>
                <w:bCs w:val="0"/>
                <w:color w:val="000000" w:themeColor="text1"/>
                <w:sz w:val="21"/>
                <w:szCs w:val="21"/>
                <w14:textFill>
                  <w14:solidFill>
                    <w14:schemeClr w14:val="tx1"/>
                  </w14:solidFill>
                </w14:textFill>
              </w:rPr>
              <w:t>否则招标人可取消</w:t>
            </w: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的</w:t>
            </w:r>
            <w:r>
              <w:rPr>
                <w:rFonts w:hint="eastAsia" w:ascii="仿宋" w:hAnsi="仿宋" w:eastAsia="仿宋" w:cs="仿宋"/>
                <w:b w:val="0"/>
                <w:bCs w:val="0"/>
                <w:color w:val="000000" w:themeColor="text1"/>
                <w:sz w:val="21"/>
                <w:szCs w:val="21"/>
                <w:lang w:val="zh-CN"/>
                <w14:textFill>
                  <w14:solidFill>
                    <w14:schemeClr w14:val="tx1"/>
                  </w14:solidFill>
                </w14:textFill>
              </w:rPr>
              <w:t>成交</w:t>
            </w:r>
            <w:r>
              <w:rPr>
                <w:rFonts w:hint="eastAsia" w:ascii="仿宋" w:hAnsi="仿宋" w:eastAsia="仿宋" w:cs="仿宋"/>
                <w:b w:val="0"/>
                <w:bCs w:val="0"/>
                <w:color w:val="000000" w:themeColor="text1"/>
                <w:sz w:val="21"/>
                <w:szCs w:val="21"/>
                <w14:textFill>
                  <w14:solidFill>
                    <w14:schemeClr w14:val="tx1"/>
                  </w14:solidFill>
                </w14:textFill>
              </w:rPr>
              <w:t>资格，并没收其投标保证金</w:t>
            </w:r>
            <w:r>
              <w:rPr>
                <w:rFonts w:hint="eastAsia" w:ascii="仿宋" w:hAnsi="仿宋" w:eastAsia="仿宋" w:cs="仿宋"/>
                <w:b w:val="0"/>
                <w:bCs w:val="0"/>
                <w:color w:val="000000" w:themeColor="text1"/>
                <w:sz w:val="21"/>
                <w:szCs w:val="21"/>
                <w:lang w:eastAsia="zh-CN"/>
                <w14:textFill>
                  <w14:solidFill>
                    <w14:schemeClr w14:val="tx1"/>
                  </w14:solidFill>
                </w14:textFill>
              </w:rPr>
              <w:t>。</w:t>
            </w:r>
          </w:p>
        </w:tc>
      </w:tr>
      <w:tr>
        <w:tblPrEx>
          <w:tblCellMar>
            <w:top w:w="0" w:type="dxa"/>
            <w:left w:w="108" w:type="dxa"/>
            <w:bottom w:w="0" w:type="dxa"/>
            <w:right w:w="108" w:type="dxa"/>
          </w:tblCellMar>
        </w:tblPrEx>
        <w:trPr>
          <w:trHeight w:val="84" w:hRule="atLeast"/>
          <w:jc w:val="center"/>
        </w:trPr>
        <w:tc>
          <w:tcPr>
            <w:tcW w:w="2262" w:type="dxa"/>
            <w:gridSpan w:val="2"/>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262" w:type="dxa"/>
            <w:gridSpan w:val="2"/>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1:本次招标所有标的均属于</w:t>
            </w:r>
            <w:r>
              <w:rPr>
                <w:rFonts w:hint="eastAsia" w:ascii="仿宋" w:hAnsi="仿宋" w:eastAsia="仿宋" w:cs="仿宋"/>
                <w:b w:val="0"/>
                <w:bCs w:val="0"/>
                <w:color w:val="auto"/>
                <w:sz w:val="21"/>
                <w:szCs w:val="21"/>
                <w:u w:val="single"/>
                <w:lang w:val="en-US" w:eastAsia="zh-CN"/>
              </w:rPr>
              <w:t>软件和技术信息服务业</w:t>
            </w:r>
            <w:r>
              <w:rPr>
                <w:rFonts w:hint="eastAsia" w:ascii="仿宋" w:hAnsi="仿宋" w:eastAsia="仿宋" w:cs="仿宋"/>
                <w:b w:val="0"/>
                <w:bCs w:val="0"/>
                <w:color w:val="auto"/>
                <w:sz w:val="21"/>
                <w:szCs w:val="21"/>
                <w:lang w:val="en-US" w:eastAsia="zh-CN"/>
              </w:rPr>
              <w:t>行业</w:t>
            </w:r>
          </w:p>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lang w:eastAsia="zh-CN"/>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0"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0"/>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供货</w:t>
      </w:r>
      <w:r>
        <w:rPr>
          <w:rFonts w:hint="eastAsia" w:ascii="仿宋" w:hAnsi="仿宋" w:eastAsia="仿宋" w:cs="仿宋"/>
          <w:color w:val="000000" w:themeColor="text1"/>
          <w:szCs w:val="21"/>
          <w:highlight w:val="none"/>
          <w:lang w:eastAsia="zh-CN"/>
          <w14:textFill>
            <w14:solidFill>
              <w14:schemeClr w14:val="tx1"/>
            </w14:solidFill>
          </w14:textFill>
        </w:rPr>
        <w:t>及安装</w:t>
      </w:r>
      <w:r>
        <w:rPr>
          <w:rFonts w:hint="eastAsia" w:ascii="仿宋" w:hAnsi="仿宋" w:eastAsia="仿宋" w:cs="仿宋"/>
          <w:color w:val="000000" w:themeColor="text1"/>
          <w:szCs w:val="21"/>
          <w:highlight w:val="none"/>
          <w14:textFill>
            <w14:solidFill>
              <w14:schemeClr w14:val="tx1"/>
            </w14:solidFill>
          </w14:textFill>
        </w:rPr>
        <w:t>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技术要求：详见</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3.1本项目划分：</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auto"/>
          <w:szCs w:val="21"/>
          <w:highlight w:val="none"/>
          <w:u w:val="single"/>
        </w:rPr>
        <w:t xml:space="preserve"> 固定</w:t>
      </w:r>
      <w:r>
        <w:rPr>
          <w:rFonts w:hint="eastAsia" w:ascii="仿宋" w:hAnsi="仿宋" w:eastAsia="仿宋" w:cs="仿宋"/>
          <w:color w:val="auto"/>
          <w:szCs w:val="21"/>
          <w:highlight w:val="none"/>
          <w:u w:val="single"/>
          <w:lang w:val="en-US" w:eastAsia="zh-CN"/>
        </w:rPr>
        <w:t>总</w:t>
      </w:r>
      <w:r>
        <w:rPr>
          <w:rFonts w:hint="eastAsia" w:ascii="仿宋" w:hAnsi="仿宋" w:eastAsia="仿宋" w:cs="仿宋"/>
          <w:color w:val="auto"/>
          <w:szCs w:val="21"/>
          <w:highlight w:val="none"/>
          <w:u w:val="single"/>
        </w:rPr>
        <w:t>价</w:t>
      </w:r>
      <w:r>
        <w:rPr>
          <w:rFonts w:hint="eastAsia" w:ascii="仿宋" w:hAnsi="仿宋" w:eastAsia="仿宋" w:cs="仿宋"/>
          <w:color w:val="000000" w:themeColor="text1"/>
          <w:szCs w:val="21"/>
          <w:highlight w:val="none"/>
          <w:u w:val="singl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1" w:name="_Toc247592876"/>
      <w:bookmarkStart w:id="2" w:name="_Toc152045539"/>
      <w:bookmarkStart w:id="3" w:name="_Toc247527563"/>
      <w:bookmarkStart w:id="4" w:name="_Toc152042315"/>
      <w:bookmarkStart w:id="5" w:name="_Toc144974507"/>
      <w:bookmarkStart w:id="6" w:name="_Toc247513962"/>
      <w:bookmarkStart w:id="7" w:name="_Toc296602429"/>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8" w:name="_Toc152042316"/>
      <w:bookmarkStart w:id="9" w:name="_Toc152045540"/>
      <w:bookmarkStart w:id="10" w:name="_Toc144974508"/>
      <w:bookmarkStart w:id="11" w:name="_Toc296602430"/>
      <w:bookmarkStart w:id="12" w:name="_Toc247527564"/>
      <w:bookmarkStart w:id="13" w:name="_Toc247513963"/>
      <w:bookmarkStart w:id="14" w:name="_Toc247592877"/>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11. 联合投标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12.招标代理费</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w:t>
      </w:r>
      <w:r>
        <w:rPr>
          <w:rFonts w:hint="eastAsia" w:ascii="仿宋" w:hAnsi="仿宋" w:eastAsia="仿宋" w:cs="仿宋"/>
          <w:color w:val="000000" w:themeColor="text1"/>
          <w:szCs w:val="21"/>
          <w:highlight w:val="none"/>
          <w:lang w:val="en-US" w:eastAsia="zh-CN"/>
          <w14:textFill>
            <w14:solidFill>
              <w14:schemeClr w14:val="tx1"/>
            </w14:solidFill>
          </w14:textFill>
        </w:rPr>
        <w:t>中标单位在领取本项目中标通知书时，按照《国家计委关于印发招标代理服务收费管理暂行办法的通知（计价格[2002]1980号）及《招标代理服务收费有关问题》（发改价格[2015]299号）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招标代理服务收费标准</w:t>
      </w:r>
    </w:p>
    <w:tbl>
      <w:tblPr>
        <w:tblStyle w:val="21"/>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中标</w:t>
            </w:r>
            <w:r>
              <w:rPr>
                <w:rFonts w:hint="eastAsia" w:ascii="仿宋" w:hAnsi="仿宋" w:eastAsia="仿宋" w:cs="仿宋"/>
                <w:b w:val="0"/>
                <w:bCs w:val="0"/>
                <w:color w:val="000000" w:themeColor="text1"/>
                <w:sz w:val="21"/>
                <w:szCs w:val="21"/>
                <w:highlight w:val="none"/>
                <w14:textFill>
                  <w14:solidFill>
                    <w14:schemeClr w14:val="tx1"/>
                  </w14:solidFill>
                </w14:textFill>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0.80</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招标代理服务收费按差额定率累进法计算。例如：某项目招标代理业务</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（2000-1000）万元×0.50%=5.0（万元）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（已在政采云平台其他省份入驻的供应商无须重复注册）</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w:t>
      </w:r>
      <w:r>
        <w:rPr>
          <w:rFonts w:hint="eastAsia" w:ascii="仿宋" w:hAnsi="仿宋" w:eastAsia="仿宋" w:cs="仿宋"/>
          <w:bCs/>
          <w:color w:val="000000" w:themeColor="text1"/>
          <w:szCs w:val="21"/>
          <w:highlight w:val="none"/>
          <w:lang w:eastAsia="zh-CN"/>
          <w14:textFill>
            <w14:solidFill>
              <w14:schemeClr w14:val="tx1"/>
            </w14:solidFill>
          </w14:textFill>
        </w:rPr>
        <w:t>热</w:t>
      </w:r>
      <w:r>
        <w:rPr>
          <w:rFonts w:hint="eastAsia" w:ascii="仿宋" w:hAnsi="仿宋" w:eastAsia="仿宋" w:cs="仿宋"/>
          <w:bCs/>
          <w:color w:val="000000" w:themeColor="text1"/>
          <w:szCs w:val="21"/>
          <w:highlight w:val="none"/>
          <w14:textFill>
            <w14:solidFill>
              <w14:schemeClr w14:val="tx1"/>
            </w14:solidFill>
          </w14:textFill>
        </w:rPr>
        <w:t>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5"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5"/>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w:t>
      </w:r>
      <w:r>
        <w:rPr>
          <w:rFonts w:hint="eastAsia" w:ascii="仿宋" w:hAnsi="仿宋" w:eastAsia="仿宋" w:cs="仿宋"/>
          <w:color w:val="000000" w:themeColor="text1"/>
          <w:szCs w:val="21"/>
          <w:highlight w:val="none"/>
          <w:lang w:eastAsia="zh-CN"/>
          <w14:textFill>
            <w14:solidFill>
              <w14:schemeClr w14:val="tx1"/>
            </w14:solidFill>
          </w14:textFill>
        </w:rPr>
        <w:t>民法典</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第一章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投标须知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第四章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第五章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第六章  投标文件格式文本</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第七章  招标单位、招标代理机构对本文件的确认</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1"/>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bookmarkStart w:id="16" w:name="_Toc469495726"/>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6"/>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21.1资格证明文件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352" w:firstLineChars="147"/>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t>5）保证金收据或保函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6）投标人须知资料表要求的其他资格证明文件;</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21.2</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商务及技术文件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14:textFill>
            <w14:solidFill>
              <w14:schemeClr w14:val="tx1"/>
            </w14:solidFill>
          </w14:textFill>
        </w:rPr>
        <w:t>1、投标</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2、开标一览表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3、货物说明一览表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4</w:t>
      </w:r>
      <w:r>
        <w:rPr>
          <w:rFonts w:hint="eastAsia" w:ascii="仿宋" w:hAnsi="仿宋" w:eastAsia="仿宋" w:cs="仿宋"/>
          <w:b w:val="0"/>
          <w:bCs/>
          <w:color w:val="000000" w:themeColor="text1"/>
          <w:kern w:val="0"/>
          <w:szCs w:val="21"/>
          <w:highlight w:val="none"/>
          <w:u w:val="none"/>
          <w14:textFill>
            <w14:solidFill>
              <w14:schemeClr w14:val="tx1"/>
            </w14:solidFill>
          </w14:textFill>
        </w:rPr>
        <w:t>、投标分项报价表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5</w:t>
      </w:r>
      <w:r>
        <w:rPr>
          <w:rFonts w:hint="eastAsia" w:ascii="仿宋" w:hAnsi="仿宋" w:eastAsia="仿宋" w:cs="仿宋"/>
          <w:b w:val="0"/>
          <w:bCs/>
          <w:color w:val="000000" w:themeColor="text1"/>
          <w:kern w:val="0"/>
          <w:szCs w:val="21"/>
          <w:highlight w:val="none"/>
          <w:u w:val="none"/>
          <w14:textFill>
            <w14:solidFill>
              <w14:schemeClr w14:val="tx1"/>
            </w14:solidFill>
          </w14:textFill>
        </w:rPr>
        <w:t>、技术规格偏离表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6</w:t>
      </w:r>
      <w:r>
        <w:rPr>
          <w:rFonts w:hint="eastAsia" w:ascii="仿宋" w:hAnsi="仿宋" w:eastAsia="仿宋" w:cs="仿宋"/>
          <w:b w:val="0"/>
          <w:bCs/>
          <w:color w:val="000000" w:themeColor="text1"/>
          <w:kern w:val="0"/>
          <w:szCs w:val="21"/>
          <w:highlight w:val="none"/>
          <w:u w:val="none"/>
          <w14:textFill>
            <w14:solidFill>
              <w14:schemeClr w14:val="tx1"/>
            </w14:solidFill>
          </w14:textFill>
        </w:rPr>
        <w:t>、商务条款偏离表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7、投标人基本情况表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8、类似项目业绩表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9</w:t>
      </w:r>
      <w:r>
        <w:rPr>
          <w:rFonts w:hint="eastAsia" w:ascii="仿宋" w:hAnsi="仿宋" w:eastAsia="仿宋" w:cs="仿宋"/>
          <w:b w:val="0"/>
          <w:bCs/>
          <w:color w:val="000000" w:themeColor="text1"/>
          <w:kern w:val="0"/>
          <w:szCs w:val="21"/>
          <w:highlight w:val="none"/>
          <w:u w:val="none"/>
          <w14:textFill>
            <w14:solidFill>
              <w14:schemeClr w14:val="tx1"/>
            </w14:solidFill>
          </w14:textFill>
        </w:rPr>
        <w:t>、中小企业声明函(</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货物</w:t>
      </w:r>
      <w:r>
        <w:rPr>
          <w:rFonts w:hint="eastAsia" w:ascii="仿宋" w:hAnsi="仿宋" w:eastAsia="仿宋" w:cs="仿宋"/>
          <w:b w:val="0"/>
          <w:bCs/>
          <w:color w:val="000000" w:themeColor="text1"/>
          <w:kern w:val="0"/>
          <w:szCs w:val="21"/>
          <w:highlight w:val="none"/>
          <w:u w:val="none"/>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10、</w:t>
      </w:r>
      <w:r>
        <w:rPr>
          <w:rFonts w:hint="eastAsia" w:ascii="仿宋" w:hAnsi="仿宋" w:eastAsia="仿宋" w:cs="仿宋"/>
          <w:b w:val="0"/>
          <w:bCs/>
          <w:color w:val="000000" w:themeColor="text1"/>
          <w:kern w:val="0"/>
          <w:szCs w:val="21"/>
          <w:highlight w:val="none"/>
          <w:u w:val="none"/>
          <w14:textFill>
            <w14:solidFill>
              <w14:schemeClr w14:val="tx1"/>
            </w14:solidFill>
          </w14:textFill>
        </w:rPr>
        <w:t>《残疾人福利性单位声明函》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11、</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12、</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13、</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kern w:val="0"/>
          <w:szCs w:val="21"/>
          <w:highlight w:val="none"/>
          <w:u w:val="single"/>
          <w14:textFill>
            <w14:solidFill>
              <w14:schemeClr w14:val="tx1"/>
            </w14:solidFill>
          </w14:textFill>
        </w:rPr>
        <w:t>注：以上材料须</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逐页</w:t>
      </w:r>
      <w:r>
        <w:rPr>
          <w:rFonts w:hint="eastAsia" w:ascii="仿宋" w:hAnsi="仿宋" w:eastAsia="仿宋" w:cs="仿宋"/>
          <w:b/>
          <w:color w:val="000000" w:themeColor="text1"/>
          <w:kern w:val="0"/>
          <w:szCs w:val="21"/>
          <w:highlight w:val="none"/>
          <w:u w:val="single"/>
          <w14:textFill>
            <w14:solidFill>
              <w14:schemeClr w14:val="tx1"/>
            </w14:solidFill>
          </w14:textFill>
        </w:rPr>
        <w:t>加盖单位公章</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22.4投标人应按“采购内容及技术参数要求”所列货物逐项进行单价报价，并最终按货物总量乘以货物单价报总价，不得采用总价下浮的方式进行报价。</w:t>
      </w:r>
      <w:r>
        <w:rPr>
          <w:rFonts w:hint="eastAsia" w:ascii="仿宋" w:hAnsi="仿宋" w:eastAsia="仿宋" w:cs="仿宋"/>
          <w:color w:val="auto"/>
          <w:szCs w:val="21"/>
          <w:highlight w:val="none"/>
        </w:rPr>
        <w:t>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w:t>
      </w:r>
      <w:r>
        <w:rPr>
          <w:rFonts w:hint="eastAsia" w:ascii="仿宋" w:hAnsi="仿宋" w:eastAsia="仿宋" w:cs="仿宋"/>
          <w:color w:val="auto"/>
          <w:szCs w:val="21"/>
          <w:highlight w:val="none"/>
          <w:lang w:eastAsia="zh-CN"/>
        </w:rPr>
        <w:t>等直至正常使用的一切费用；</w:t>
      </w:r>
      <w:r>
        <w:rPr>
          <w:rFonts w:hint="eastAsia" w:ascii="仿宋" w:hAnsi="仿宋" w:eastAsia="仿宋" w:cs="仿宋"/>
          <w:color w:val="auto"/>
          <w:szCs w:val="21"/>
          <w:highlight w:val="none"/>
        </w:rPr>
        <w:t>综合单价今后将不作任何调整。</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22.6技术要求中规定的安装、调试和培训费用应包括在投标价格中。投标文件报价为含税价</w:t>
      </w:r>
      <w:r>
        <w:rPr>
          <w:rFonts w:hint="eastAsia" w:ascii="仿宋" w:hAnsi="仿宋" w:eastAsia="仿宋" w:cs="仿宋"/>
          <w:color w:val="000000" w:themeColor="text1"/>
          <w:szCs w:val="21"/>
          <w:highlight w:val="none"/>
          <w:lang w:eastAsia="zh-CN"/>
          <w14:textFill>
            <w14:solidFill>
              <w14:schemeClr w14:val="tx1"/>
            </w14:solidFill>
          </w14:textFill>
        </w:rPr>
        <w:t>等直至交付使用的一切费用</w:t>
      </w:r>
      <w:r>
        <w:rPr>
          <w:rFonts w:hint="eastAsia" w:ascii="仿宋" w:hAnsi="仿宋" w:eastAsia="仿宋" w:cs="仿宋"/>
          <w:color w:val="000000" w:themeColor="text1"/>
          <w:szCs w:val="21"/>
          <w:highlight w:val="none"/>
          <w14:textFill>
            <w14:solidFill>
              <w14:schemeClr w14:val="tx1"/>
            </w14:solidFill>
          </w14:textFill>
        </w:rPr>
        <w:t>，招标人不再为此次招标支付任何费用。</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22.8</w:t>
      </w:r>
      <w:r>
        <w:rPr>
          <w:rFonts w:hint="eastAsia" w:ascii="仿宋" w:hAnsi="仿宋" w:eastAsia="仿宋" w:cs="仿宋"/>
          <w:b/>
          <w:color w:val="000000" w:themeColor="text1"/>
          <w:szCs w:val="21"/>
          <w:highlight w:val="none"/>
          <w14:textFill>
            <w14:solidFill>
              <w14:schemeClr w14:val="tx1"/>
            </w14:solidFill>
          </w14:textFill>
        </w:rPr>
        <w:t>投标人投标</w:t>
      </w:r>
      <w:r>
        <w:rPr>
          <w:rFonts w:hint="eastAsia" w:ascii="仿宋" w:hAnsi="仿宋" w:eastAsia="仿宋" w:cs="仿宋"/>
          <w:b/>
          <w:color w:val="000000" w:themeColor="text1"/>
          <w:szCs w:val="21"/>
          <w:highlight w:val="none"/>
          <w:lang w:eastAsia="zh-CN"/>
          <w14:textFill>
            <w14:solidFill>
              <w14:schemeClr w14:val="tx1"/>
            </w14:solidFill>
          </w14:textFill>
        </w:rPr>
        <w:t>综合</w:t>
      </w:r>
      <w:r>
        <w:rPr>
          <w:rFonts w:hint="eastAsia" w:ascii="仿宋" w:hAnsi="仿宋" w:eastAsia="仿宋" w:cs="仿宋"/>
          <w:b/>
          <w:color w:val="000000" w:themeColor="text1"/>
          <w:szCs w:val="21"/>
          <w:highlight w:val="none"/>
          <w14:textFill>
            <w14:solidFill>
              <w14:schemeClr w14:val="tx1"/>
            </w14:solidFill>
          </w14:textFill>
        </w:rPr>
        <w:t>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22.10总投标价中不得包含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7"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3"/>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7"/>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6"/>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6"/>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6"/>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6"/>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（5）若供应商不按采购文件的要求提供资格审查材料，其风险由供应商自行承担。</w:t>
      </w:r>
    </w:p>
    <w:p>
      <w:pPr>
        <w:pStyle w:val="6"/>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6"/>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6"/>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6"/>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6"/>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6"/>
        <w:shd w:val="clear" w:color="auto" w:fill="auto"/>
        <w:snapToGrid w:val="0"/>
        <w:spacing w:line="360" w:lineRule="auto"/>
        <w:ind w:firstLine="600" w:firstLineChars="250"/>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begin"/>
      </w:r>
      <w:r>
        <w:rPr>
          <w:rFonts w:hint="eastAsia" w:ascii="仿宋" w:hAnsi="仿宋" w:eastAsia="仿宋" w:cs="仿宋"/>
          <w:color w:val="000000" w:themeColor="text1"/>
          <w:sz w:val="24"/>
          <w:szCs w:val="24"/>
          <w:highlight w:val="none"/>
          <w:u w:val="single"/>
          <w:lang w:bidi="zh-CN"/>
          <w14:textFill>
            <w14:solidFill>
              <w14:schemeClr w14:val="tx1"/>
            </w14:solidFill>
          </w14:textFill>
        </w:rPr>
        <w:instrText xml:space="preserve"> HYPERLINK "mailto:1207446769@qq.com，接收人：陈加轲，电话：15157655122" </w:instrTex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separate"/>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1449947815@qq.com</w:t>
      </w:r>
      <w:r>
        <w:rPr>
          <w:rStyle w:val="30"/>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30"/>
          <w:rFonts w:hint="eastAsia" w:ascii="仿宋" w:hAnsi="仿宋" w:eastAsia="仿宋" w:cs="仿宋"/>
          <w:color w:val="000000" w:themeColor="text1"/>
          <w:sz w:val="24"/>
          <w:szCs w:val="24"/>
          <w:highlight w:val="none"/>
          <w:u w:val="none"/>
          <w:lang w:bidi="zh-CN"/>
          <w14:textFill>
            <w14:solidFill>
              <w14:schemeClr w14:val="tx1"/>
            </w14:solidFill>
          </w14:textFill>
        </w:rPr>
        <w:t>接收人：</w:t>
      </w:r>
      <w:r>
        <w:rPr>
          <w:rFonts w:hint="eastAsia" w:ascii="仿宋" w:hAnsi="仿宋" w:eastAsia="仿宋" w:cs="仿宋"/>
          <w:color w:val="000000" w:themeColor="text1"/>
          <w:sz w:val="24"/>
          <w:szCs w:val="24"/>
          <w:highlight w:val="none"/>
          <w:u w:val="single"/>
          <w:lang w:bidi="zh-CN"/>
          <w14:textFill>
            <w14:solidFill>
              <w14:schemeClr w14:val="tx1"/>
            </w14:solidFill>
          </w14:textFill>
        </w:rPr>
        <w:t>张先生</w:t>
      </w:r>
      <w:r>
        <w:rPr>
          <w:rStyle w:val="30"/>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30"/>
          <w:rFonts w:hint="eastAsia" w:ascii="仿宋" w:hAnsi="仿宋" w:eastAsia="仿宋" w:cs="仿宋"/>
          <w:color w:val="000000" w:themeColor="text1"/>
          <w:sz w:val="24"/>
          <w:szCs w:val="24"/>
          <w:highlight w:val="none"/>
          <w:u w:val="none"/>
          <w:lang w:bidi="zh-CN"/>
          <w14:textFill>
            <w14:solidFill>
              <w14:schemeClr w14:val="tx1"/>
            </w14:solidFill>
          </w14:textFill>
        </w:rPr>
        <w:t>电话：</w:t>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end"/>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3909955772</w:t>
      </w:r>
      <w:r>
        <w:rPr>
          <w:rFonts w:hint="eastAsia" w:ascii="仿宋" w:hAnsi="仿宋" w:eastAsia="仿宋" w:cs="仿宋"/>
          <w:color w:val="000000" w:themeColor="text1"/>
          <w:sz w:val="24"/>
          <w:szCs w:val="24"/>
          <w:highlight w:val="none"/>
          <w:lang w:bidi="zh-CN"/>
          <w14:textFill>
            <w14:solidFill>
              <w14:schemeClr w14:val="tx1"/>
            </w14:solidFill>
          </w14:textFill>
        </w:rPr>
        <w:t>）；</w:t>
      </w:r>
    </w:p>
    <w:p>
      <w:pPr>
        <w:pStyle w:val="6"/>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18" w:name="_Toc469495728"/>
      <w:r>
        <w:rPr>
          <w:rFonts w:hint="eastAsia" w:ascii="仿宋" w:hAnsi="仿宋" w:eastAsia="仿宋" w:cs="仿宋"/>
          <w:b/>
          <w:bCs/>
          <w:color w:val="000000" w:themeColor="text1"/>
          <w:sz w:val="28"/>
          <w:szCs w:val="28"/>
          <w:highlight w:val="none"/>
          <w14:textFill>
            <w14:solidFill>
              <w14:schemeClr w14:val="tx1"/>
            </w14:solidFill>
          </w14:textFill>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9"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19"/>
    </w:p>
    <w:p>
      <w:pPr>
        <w:pStyle w:val="11"/>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1"/>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1"/>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30"/>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1"/>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0"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1449947815@qq.com</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，逾期发送或未发送的视为无异议</w:t>
      </w:r>
      <w:r>
        <w:rPr>
          <w:rFonts w:hint="eastAsia" w:ascii="仿宋" w:hAnsi="仿宋" w:eastAsia="仿宋" w:cs="仿宋"/>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w:t>
      </w:r>
      <w:r>
        <w:rPr>
          <w:rFonts w:hint="eastAsia" w:ascii="仿宋" w:hAnsi="仿宋" w:eastAsia="仿宋" w:cs="仿宋"/>
          <w:color w:val="auto"/>
          <w:kern w:val="0"/>
          <w:szCs w:val="21"/>
          <w:highlight w:val="none"/>
        </w:rPr>
        <w:t>即权值)为</w:t>
      </w:r>
      <w:r>
        <w:rPr>
          <w:rFonts w:hint="eastAsia" w:ascii="仿宋" w:hAnsi="仿宋" w:eastAsia="仿宋" w:cs="仿宋"/>
          <w:color w:val="auto"/>
          <w:kern w:val="0"/>
          <w:szCs w:val="21"/>
          <w:highlight w:val="none"/>
          <w:lang w:val="en-US" w:eastAsia="zh-CN"/>
        </w:rPr>
        <w:t>35</w:t>
      </w:r>
      <w:r>
        <w:rPr>
          <w:rFonts w:hint="eastAsia" w:ascii="仿宋" w:hAnsi="仿宋" w:eastAsia="仿宋" w:cs="仿宋"/>
          <w:color w:val="auto"/>
          <w:kern w:val="0"/>
          <w:szCs w:val="21"/>
          <w:highlight w:val="none"/>
        </w:rPr>
        <w:t>％，采购项目</w:t>
      </w:r>
      <w:r>
        <w:rPr>
          <w:rFonts w:hint="eastAsia" w:ascii="仿宋" w:hAnsi="仿宋" w:eastAsia="仿宋" w:cs="仿宋"/>
          <w:color w:val="000000" w:themeColor="text1"/>
          <w:kern w:val="0"/>
          <w:szCs w:val="21"/>
          <w:highlight w:val="none"/>
          <w14:textFill>
            <w14:solidFill>
              <w14:schemeClr w14:val="tx1"/>
            </w14:solidFill>
          </w14:textFill>
        </w:rPr>
        <w:t>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1"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3"/>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49.5供应商有下列情形之一的，采购代理机构上报阿图什市财政局，将其列入不良行为记录名单：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pStyle w:val="39"/>
        <w:shd w:val="clear" w:color="auto" w:fill="auto"/>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5"/>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5"/>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5"/>
        <w:rPr>
          <w:rFonts w:hint="eastAsia"/>
          <w:lang w:eastAsia="zh-CN"/>
        </w:rPr>
      </w:pPr>
    </w:p>
    <w:p>
      <w:pPr>
        <w:rPr>
          <w:rFonts w:hint="eastAsia"/>
          <w:lang w:eastAsia="zh-CN"/>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5760" w:hangingChars="1800"/>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5" w:name="_Toc17515"/>
    </w:p>
    <w:p>
      <w:pPr>
        <w:shd w:val="clear" w:color="auto" w:fill="auto"/>
        <w:ind w:left="7951" w:hanging="5760" w:hangingChars="1800"/>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6"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7"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8"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阿图什市政府采购办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36"/>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0"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1"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pPr>
        <w:pageBreakBefore/>
        <w:shd w:val="clear" w:color="auto" w:fill="auto"/>
        <w:spacing w:line="440" w:lineRule="exact"/>
        <w:jc w:val="center"/>
        <w:outlineLvl w:val="0"/>
        <w:rPr>
          <w:rFonts w:hint="eastAsia" w:ascii="仿宋" w:hAnsi="仿宋" w:eastAsia="仿宋" w:cs="仿宋"/>
          <w:color w:val="000000" w:themeColor="text1"/>
          <w:sz w:val="30"/>
          <w:szCs w:val="30"/>
          <w:highlight w:val="none"/>
          <w14:textFill>
            <w14:solidFill>
              <w14:schemeClr w14:val="tx1"/>
            </w14:solidFill>
          </w14:textFill>
        </w:rPr>
      </w:pPr>
      <w:bookmarkStart w:id="34" w:name="_Toc469495731"/>
      <w:r>
        <w:rPr>
          <w:rFonts w:hint="eastAsia" w:ascii="仿宋" w:hAnsi="仿宋" w:eastAsia="仿宋" w:cs="仿宋"/>
          <w:color w:val="000000" w:themeColor="text1"/>
          <w:sz w:val="30"/>
          <w:szCs w:val="30"/>
          <w:highlight w:val="none"/>
          <w14:textFill>
            <w14:solidFill>
              <w14:schemeClr w14:val="tx1"/>
            </w14:solidFill>
          </w14:textFill>
        </w:rPr>
        <w:t>第三章  评标办法</w:t>
      </w:r>
      <w:bookmarkEnd w:id="34"/>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5" w:name="_Toc469495733"/>
      <w:bookmarkStart w:id="36" w:name="_Toc362983802"/>
      <w:bookmarkStart w:id="37" w:name="_Toc267320058"/>
      <w:bookmarkStart w:id="38"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w:t>
      </w:r>
      <w:r>
        <w:rPr>
          <w:rFonts w:hint="eastAsia" w:ascii="仿宋" w:hAnsi="仿宋" w:eastAsia="仿宋" w:cs="仿宋"/>
          <w:color w:val="000000" w:themeColor="text1"/>
          <w:szCs w:val="21"/>
          <w:highlight w:val="none"/>
          <w:lang w:eastAsia="zh-CN"/>
          <w14:textFill>
            <w14:solidFill>
              <w14:schemeClr w14:val="tx1"/>
            </w14:solidFill>
          </w14:textFill>
        </w:rPr>
        <w:t>综合评分法</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5人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48"/>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48"/>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48"/>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48"/>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6"/>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w:t>
      </w:r>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1"/>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w:t>
            </w:r>
          </w:p>
        </w:tc>
        <w:tc>
          <w:tcPr>
            <w:tcW w:w="7647" w:type="dxa"/>
            <w:gridSpan w:val="2"/>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评审内容</w:t>
            </w:r>
          </w:p>
        </w:tc>
        <w:tc>
          <w:tcPr>
            <w:tcW w:w="1178" w:type="dxa"/>
            <w:gridSpan w:val="2"/>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7647" w:type="dxa"/>
            <w:gridSpan w:val="2"/>
            <w:vMerge w:val="continue"/>
            <w:noWrap w:val="0"/>
            <w:vAlign w:val="top"/>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563"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是</w:t>
            </w:r>
          </w:p>
        </w:tc>
        <w:tc>
          <w:tcPr>
            <w:tcW w:w="615"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(适</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用</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格</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（三证合一）营业执照</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法定代表人投标需提供法定代表人资格证明书，委托代理人投标需提供法定代表人授权委托书</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投标企业须提供投标人（被授权在职人员）近3个月有效的社保证明；</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未被“信用中国”（www.creditchina.gov.cn）、中国政府采购网（www.ccgp.gov.cn）列入失信被执行人、重大税收违法案件当事人名单、政府采购严重违法失信行为记录名单。</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投标</w:t>
            </w:r>
            <w:r>
              <w:rPr>
                <w:rFonts w:hint="eastAsia" w:ascii="仿宋" w:hAnsi="仿宋" w:eastAsia="仿宋" w:cs="仿宋"/>
                <w:color w:val="000000" w:themeColor="text1"/>
                <w:kern w:val="0"/>
                <w:sz w:val="20"/>
                <w:szCs w:val="20"/>
                <w:highlight w:val="none"/>
                <w:lang w:bidi="ar"/>
                <w14:textFill>
                  <w14:solidFill>
                    <w14:schemeClr w14:val="tx1"/>
                  </w14:solidFill>
                </w14:textFill>
              </w:rPr>
              <w:t>保证金收据</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或保函等票据</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7100" w:type="dxa"/>
            <w:noWrap w:val="0"/>
            <w:vAlign w:val="center"/>
          </w:tcPr>
          <w:p>
            <w:pPr>
              <w:widowControl/>
              <w:shd w:val="clear" w:color="auto" w:fill="auto"/>
              <w:ind w:left="0" w:leftChars="0" w:right="0" w:rightChars="0" w:firstLine="0" w:firstLineChars="0"/>
              <w:jc w:val="left"/>
              <w:textAlignment w:val="center"/>
              <w:rPr>
                <w:rFonts w:hint="eastAsia" w:ascii="仿宋" w:hAnsi="仿宋" w:eastAsia="仿宋" w:cs="仿宋"/>
                <w:color w:val="000000" w:themeColor="text1"/>
                <w:spacing w:val="0"/>
                <w:w w:val="100"/>
                <w:kern w:val="0"/>
                <w:position w:val="0"/>
                <w:sz w:val="20"/>
                <w:szCs w:val="20"/>
                <w:highlight w:val="none"/>
                <w:shd w:val="clear" w:color="auto" w:fill="auto"/>
                <w:lang w:val="en-US" w:eastAsia="en-US" w:bidi="ar"/>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本项目为非专门面向中小企业，根据《政府采购促进中小企业发展管理办法》（财库【2020】46号）的规定，评标时将给予此类企业进行价格扣除10%的优惠，用优惠后的价格参与评审。</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ind w:left="0" w:leftChars="0" w:right="0" w:rightChars="0" w:firstLine="0" w:firstLineChars="0"/>
              <w:rPr>
                <w:rFonts w:hint="eastAsia" w:ascii="仿宋" w:hAnsi="仿宋" w:eastAsia="仿宋" w:cs="仿宋"/>
                <w:color w:val="000000" w:themeColor="text1"/>
                <w:spacing w:val="0"/>
                <w:w w:val="100"/>
                <w:position w:val="0"/>
                <w:sz w:val="20"/>
                <w:szCs w:val="22"/>
                <w:highlight w:val="none"/>
                <w:shd w:val="clear" w:color="auto" w:fill="auto"/>
                <w:lang w:val="en-US" w:eastAsia="en-US" w:bidi="en-US"/>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547" w:type="dxa"/>
            <w:noWrap w:val="0"/>
            <w:vAlign w:val="top"/>
          </w:tcPr>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2"/>
                <w:highlight w:val="none"/>
                <w14:textFill>
                  <w14:solidFill>
                    <w14:schemeClr w14:val="tx1"/>
                  </w14:solidFill>
                </w14:textFill>
              </w:rPr>
            </w:pPr>
          </w:p>
        </w:tc>
        <w:tc>
          <w:tcPr>
            <w:tcW w:w="1178" w:type="dxa"/>
            <w:gridSpan w:val="2"/>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ind w:firstLine="240"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1"/>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82" w:type="dxa"/>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由政府立项核准、审批的采购项目, 报价</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低于</w:t>
            </w:r>
            <w:r>
              <w:rPr>
                <w:rFonts w:hint="eastAsia" w:ascii="仿宋" w:hAnsi="仿宋" w:eastAsia="仿宋" w:cs="仿宋"/>
                <w:color w:val="000000" w:themeColor="text1"/>
                <w:kern w:val="0"/>
                <w:sz w:val="20"/>
                <w:szCs w:val="20"/>
                <w:highlight w:val="none"/>
                <w:lang w:bidi="ar"/>
                <w14:textFill>
                  <w14:solidFill>
                    <w14:schemeClr w14:val="tx1"/>
                  </w14:solidFill>
                </w14:textFill>
              </w:rPr>
              <w:t>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法定代表人身份证明及授权委托书有效</w:t>
            </w: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kern w:val="0"/>
                <w:sz w:val="20"/>
                <w:szCs w:val="20"/>
                <w:highlight w:val="none"/>
                <w:lang w:bidi="ar"/>
                <w14:textFill>
                  <w14:solidFill>
                    <w14:schemeClr w14:val="tx1"/>
                  </w14:solidFill>
                </w14:textFill>
              </w:rPr>
              <w:t>投标人详细地址、联系人、电话</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bidi w:val="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39" w:name="_Toc362983803"/>
      <w:bookmarkStart w:id="40" w:name="_Toc469495734"/>
      <w:r>
        <w:rPr>
          <w:rFonts w:hint="eastAsia" w:ascii="仿宋" w:hAnsi="仿宋" w:eastAsia="仿宋" w:cs="仿宋"/>
          <w:b/>
          <w:color w:val="000000" w:themeColor="text1"/>
          <w:sz w:val="28"/>
          <w:szCs w:val="28"/>
          <w:highlight w:val="none"/>
          <w14:textFill>
            <w14:solidFill>
              <w14:schemeClr w14:val="tx1"/>
            </w14:solidFill>
          </w14:textFill>
        </w:rPr>
        <w:t xml:space="preserve">三  </w:t>
      </w:r>
      <w:r>
        <w:rPr>
          <w:rFonts w:hint="eastAsia" w:ascii="仿宋" w:hAnsi="仿宋" w:eastAsia="仿宋" w:cs="仿宋"/>
          <w:b/>
          <w:color w:val="000000" w:themeColor="text1"/>
          <w:sz w:val="24"/>
          <w:highlight w:val="none"/>
          <w14:textFill>
            <w14:solidFill>
              <w14:schemeClr w14:val="tx1"/>
            </w14:solidFill>
          </w14:textFill>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41" w:name="_Toc469495735"/>
      <w:r>
        <w:rPr>
          <w:rFonts w:hint="eastAsia" w:ascii="仿宋" w:hAnsi="仿宋" w:eastAsia="仿宋" w:cs="仿宋"/>
          <w:b/>
          <w:color w:val="000000" w:themeColor="text1"/>
          <w:sz w:val="24"/>
          <w:highlight w:val="none"/>
          <w14:textFill>
            <w14:solidFill>
              <w14:schemeClr w14:val="tx1"/>
            </w14:solidFill>
          </w14:textFill>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2" w:name="_Toc362983805"/>
      <w:bookmarkStart w:id="43" w:name="_Toc469495736"/>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color w:val="000000" w:themeColor="text1"/>
          <w:sz w:val="22"/>
          <w:szCs w:val="22"/>
          <w:highlight w:val="none"/>
          <w:shd w:val="clear" w:color="auto" w:fill="auto"/>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tbl>
      <w:tblPr>
        <w:tblStyle w:val="21"/>
        <w:tblpPr w:leftFromText="180" w:rightFromText="180" w:vertAnchor="text" w:horzAnchor="page" w:tblpX="812" w:tblpY="394"/>
        <w:tblOverlap w:val="never"/>
        <w:tblW w:w="10099" w:type="dxa"/>
        <w:tblInd w:w="0" w:type="dxa"/>
        <w:tblLayout w:type="fixed"/>
        <w:tblCellMar>
          <w:top w:w="0" w:type="dxa"/>
          <w:left w:w="0" w:type="dxa"/>
          <w:bottom w:w="0" w:type="dxa"/>
          <w:right w:w="0" w:type="dxa"/>
        </w:tblCellMar>
      </w:tblPr>
      <w:tblGrid>
        <w:gridCol w:w="846"/>
        <w:gridCol w:w="8525"/>
        <w:gridCol w:w="728"/>
      </w:tblGrid>
      <w:tr>
        <w:tblPrEx>
          <w:tblCellMar>
            <w:top w:w="0" w:type="dxa"/>
            <w:left w:w="0" w:type="dxa"/>
            <w:bottom w:w="0" w:type="dxa"/>
            <w:right w:w="0" w:type="dxa"/>
          </w:tblCellMar>
        </w:tblPrEx>
        <w:trPr>
          <w:trHeight w:val="605" w:hRule="exact"/>
        </w:trPr>
        <w:tc>
          <w:tcPr>
            <w:tcW w:w="846" w:type="dxa"/>
            <w:tcBorders>
              <w:top w:val="single" w:color="000000" w:sz="4" w:space="0"/>
              <w:left w:val="single" w:color="000000" w:sz="4" w:space="0"/>
              <w:bottom w:val="single" w:color="000000" w:sz="4" w:space="0"/>
              <w:right w:val="single" w:color="000000" w:sz="4" w:space="0"/>
            </w:tcBorders>
          </w:tcPr>
          <w:p>
            <w:pPr>
              <w:pStyle w:val="47"/>
              <w:spacing w:before="120"/>
              <w:ind w:left="103"/>
              <w:jc w:val="center"/>
              <w:rPr>
                <w:rFonts w:ascii="宋体" w:hAnsi="宋体" w:eastAsia="宋体" w:cs="宋体"/>
                <w:sz w:val="18"/>
                <w:szCs w:val="18"/>
              </w:rPr>
            </w:pPr>
            <w:r>
              <w:rPr>
                <w:rFonts w:ascii="宋体" w:hAnsi="宋体" w:eastAsia="宋体" w:cs="宋体"/>
                <w:b/>
                <w:bCs/>
                <w:sz w:val="18"/>
                <w:szCs w:val="18"/>
              </w:rPr>
              <w:t>评审项</w:t>
            </w:r>
          </w:p>
        </w:tc>
        <w:tc>
          <w:tcPr>
            <w:tcW w:w="8525" w:type="dxa"/>
            <w:tcBorders>
              <w:top w:val="single" w:color="000000" w:sz="4" w:space="0"/>
              <w:left w:val="single" w:color="000000" w:sz="4" w:space="0"/>
              <w:bottom w:val="single" w:color="000000" w:sz="4" w:space="0"/>
              <w:right w:val="single" w:color="000000" w:sz="4" w:space="0"/>
            </w:tcBorders>
          </w:tcPr>
          <w:p>
            <w:pPr>
              <w:pStyle w:val="47"/>
              <w:spacing w:before="120"/>
              <w:jc w:val="center"/>
              <w:rPr>
                <w:rFonts w:ascii="宋体" w:hAnsi="宋体" w:eastAsia="宋体" w:cs="宋体"/>
                <w:sz w:val="18"/>
                <w:szCs w:val="18"/>
              </w:rPr>
            </w:pPr>
            <w:r>
              <w:rPr>
                <w:rFonts w:ascii="宋体" w:hAnsi="宋体" w:eastAsia="宋体" w:cs="宋体"/>
                <w:b/>
                <w:bCs/>
                <w:sz w:val="18"/>
                <w:szCs w:val="18"/>
              </w:rPr>
              <w:t>评审标准</w:t>
            </w:r>
          </w:p>
        </w:tc>
        <w:tc>
          <w:tcPr>
            <w:tcW w:w="728" w:type="dxa"/>
            <w:tcBorders>
              <w:top w:val="single" w:color="000000" w:sz="4" w:space="0"/>
              <w:left w:val="single" w:color="000000" w:sz="4" w:space="0"/>
              <w:bottom w:val="single" w:color="000000" w:sz="4" w:space="0"/>
              <w:right w:val="single" w:color="000000" w:sz="4" w:space="0"/>
            </w:tcBorders>
          </w:tcPr>
          <w:p>
            <w:pPr>
              <w:pStyle w:val="47"/>
              <w:spacing w:before="120"/>
              <w:jc w:val="center"/>
              <w:rPr>
                <w:rFonts w:ascii="宋体" w:hAnsi="宋体" w:eastAsia="宋体" w:cs="宋体"/>
                <w:sz w:val="18"/>
                <w:szCs w:val="18"/>
              </w:rPr>
            </w:pPr>
            <w:r>
              <w:rPr>
                <w:rFonts w:ascii="宋体" w:hAnsi="宋体" w:eastAsia="宋体" w:cs="宋体"/>
                <w:b/>
                <w:bCs/>
                <w:sz w:val="18"/>
                <w:szCs w:val="18"/>
              </w:rPr>
              <w:t>分值</w:t>
            </w:r>
          </w:p>
        </w:tc>
      </w:tr>
      <w:tr>
        <w:tblPrEx>
          <w:tblCellMar>
            <w:top w:w="0" w:type="dxa"/>
            <w:left w:w="0" w:type="dxa"/>
            <w:bottom w:w="0" w:type="dxa"/>
            <w:right w:w="0" w:type="dxa"/>
          </w:tblCellMar>
        </w:tblPrEx>
        <w:trPr>
          <w:trHeight w:val="1103" w:hRule="exact"/>
        </w:trPr>
        <w:tc>
          <w:tcPr>
            <w:tcW w:w="846" w:type="dxa"/>
            <w:tcBorders>
              <w:top w:val="single" w:color="000000" w:sz="4" w:space="0"/>
              <w:left w:val="single" w:color="000000" w:sz="4" w:space="0"/>
              <w:bottom w:val="single" w:color="000000" w:sz="4" w:space="0"/>
              <w:right w:val="single" w:color="000000" w:sz="4" w:space="0"/>
            </w:tcBorders>
          </w:tcPr>
          <w:p>
            <w:pPr>
              <w:pStyle w:val="47"/>
              <w:spacing w:before="151" w:line="271" w:lineRule="auto"/>
              <w:ind w:left="105" w:right="101" w:firstLine="55"/>
              <w:rPr>
                <w:rFonts w:ascii="宋体" w:hAnsi="宋体" w:eastAsia="宋体" w:cs="宋体"/>
                <w:sz w:val="18"/>
                <w:szCs w:val="18"/>
              </w:rPr>
            </w:pPr>
            <w:r>
              <w:rPr>
                <w:rFonts w:ascii="宋体" w:hAnsi="宋体" w:eastAsia="宋体" w:cs="宋体"/>
                <w:b/>
                <w:bCs/>
                <w:sz w:val="18"/>
                <w:szCs w:val="18"/>
              </w:rPr>
              <w:t>投标报 价</w:t>
            </w:r>
            <w:r>
              <w:rPr>
                <w:rFonts w:hint="eastAsia" w:ascii="宋体" w:hAnsi="宋体" w:eastAsia="宋体" w:cs="宋体"/>
                <w:b/>
                <w:bCs/>
                <w:sz w:val="18"/>
                <w:szCs w:val="18"/>
              </w:rPr>
              <w:t>3</w:t>
            </w:r>
            <w:r>
              <w:rPr>
                <w:rFonts w:ascii="宋体" w:hAnsi="宋体" w:eastAsia="宋体" w:cs="宋体"/>
                <w:b/>
                <w:bCs/>
                <w:sz w:val="18"/>
                <w:szCs w:val="18"/>
              </w:rPr>
              <w:t>0</w:t>
            </w:r>
            <w:r>
              <w:rPr>
                <w:rFonts w:ascii="宋体" w:hAnsi="宋体" w:eastAsia="宋体" w:cs="宋体"/>
                <w:b/>
                <w:bCs/>
                <w:spacing w:val="-57"/>
                <w:sz w:val="18"/>
                <w:szCs w:val="18"/>
              </w:rPr>
              <w:t xml:space="preserve">  </w:t>
            </w:r>
            <w:r>
              <w:rPr>
                <w:rFonts w:ascii="宋体" w:hAnsi="宋体" w:eastAsia="宋体" w:cs="宋体"/>
                <w:b/>
                <w:bCs/>
                <w:sz w:val="18"/>
                <w:szCs w:val="18"/>
              </w:rPr>
              <w:t>分</w:t>
            </w:r>
          </w:p>
        </w:tc>
        <w:tc>
          <w:tcPr>
            <w:tcW w:w="8525" w:type="dxa"/>
            <w:tcBorders>
              <w:top w:val="single" w:color="000000" w:sz="4" w:space="0"/>
              <w:left w:val="single" w:color="000000" w:sz="4" w:space="0"/>
              <w:bottom w:val="single" w:color="000000" w:sz="4" w:space="0"/>
              <w:right w:val="single" w:color="000000" w:sz="4" w:space="0"/>
            </w:tcBorders>
          </w:tcPr>
          <w:p>
            <w:pPr>
              <w:pStyle w:val="47"/>
              <w:shd w:val="clear" w:color="auto" w:fill="auto"/>
              <w:spacing w:line="276" w:lineRule="auto"/>
              <w:ind w:left="103" w:right="99"/>
              <w:rPr>
                <w:rFonts w:hint="eastAsia" w:ascii="宋体" w:hAnsi="宋体" w:eastAsia="宋体" w:cs="宋体"/>
                <w:spacing w:val="-5"/>
                <w:sz w:val="18"/>
                <w:szCs w:val="18"/>
                <w:lang w:eastAsia="zh-CN"/>
              </w:rPr>
            </w:pPr>
            <w:r>
              <w:rPr>
                <w:rFonts w:hint="eastAsia" w:ascii="宋体" w:hAnsi="宋体" w:eastAsia="宋体" w:cs="宋体"/>
                <w:spacing w:val="-5"/>
                <w:sz w:val="18"/>
                <w:szCs w:val="18"/>
              </w:rPr>
              <w:t>满足招标文件要求且投标价格最低的投标报价为评标基准价，其价格分为满分。其他投标人的价格分按照下列公式计算：投标报价得分=（评标基准价／投标报价）×30%×100</w:t>
            </w:r>
            <w:r>
              <w:rPr>
                <w:rFonts w:hint="eastAsia" w:ascii="宋体" w:hAnsi="宋体" w:eastAsia="宋体" w:cs="宋体"/>
                <w:spacing w:val="-5"/>
                <w:sz w:val="18"/>
                <w:szCs w:val="18"/>
                <w:lang w:eastAsia="zh-CN"/>
              </w:rPr>
              <w:t>（</w:t>
            </w:r>
            <w:r>
              <w:rPr>
                <w:rFonts w:hint="eastAsia" w:ascii="宋体" w:hAnsi="宋体" w:eastAsia="宋体" w:cs="宋体"/>
                <w:spacing w:val="-5"/>
                <w:sz w:val="18"/>
                <w:szCs w:val="18"/>
                <w:lang w:val="en-US" w:eastAsia="zh-CN"/>
              </w:rPr>
              <w:t>对小型和微型企业产品的价格给予 10% 的扣除【即:投标报价-（投标报价× 10% ）】，用扣除后的价格参与评审。</w:t>
            </w:r>
            <w:r>
              <w:rPr>
                <w:rFonts w:hint="eastAsia" w:ascii="宋体" w:hAnsi="宋体" w:eastAsia="宋体" w:cs="宋体"/>
                <w:spacing w:val="-5"/>
                <w:sz w:val="18"/>
                <w:szCs w:val="18"/>
                <w:lang w:eastAsia="zh-CN"/>
              </w:rPr>
              <w:t>）</w:t>
            </w:r>
          </w:p>
        </w:tc>
        <w:tc>
          <w:tcPr>
            <w:tcW w:w="728" w:type="dxa"/>
            <w:tcBorders>
              <w:top w:val="single" w:color="000000" w:sz="4" w:space="0"/>
              <w:left w:val="single" w:color="000000" w:sz="4" w:space="0"/>
              <w:bottom w:val="single" w:color="000000" w:sz="4" w:space="0"/>
              <w:right w:val="single" w:color="000000" w:sz="4" w:space="0"/>
            </w:tcBorders>
          </w:tcPr>
          <w:p>
            <w:pPr>
              <w:pStyle w:val="47"/>
              <w:shd w:val="clear" w:color="auto" w:fill="auto"/>
              <w:spacing w:line="276" w:lineRule="auto"/>
              <w:ind w:left="103" w:right="99"/>
              <w:rPr>
                <w:rFonts w:hint="eastAsia" w:ascii="宋体" w:hAnsi="宋体" w:eastAsia="宋体" w:cs="宋体"/>
                <w:spacing w:val="-5"/>
                <w:sz w:val="18"/>
                <w:szCs w:val="18"/>
              </w:rPr>
            </w:pPr>
          </w:p>
          <w:p>
            <w:pPr>
              <w:pStyle w:val="47"/>
              <w:shd w:val="clear" w:color="auto" w:fill="auto"/>
              <w:spacing w:line="276" w:lineRule="auto"/>
              <w:ind w:left="103" w:right="99"/>
              <w:rPr>
                <w:rFonts w:hint="eastAsia" w:ascii="宋体" w:hAnsi="宋体" w:eastAsia="宋体" w:cs="宋体"/>
                <w:spacing w:val="-5"/>
                <w:sz w:val="18"/>
                <w:szCs w:val="18"/>
              </w:rPr>
            </w:pPr>
            <w:r>
              <w:rPr>
                <w:rFonts w:hint="eastAsia" w:ascii="宋体" w:hAnsi="宋体" w:eastAsia="宋体" w:cs="宋体"/>
                <w:spacing w:val="-5"/>
                <w:sz w:val="18"/>
                <w:szCs w:val="18"/>
              </w:rPr>
              <w:t>30 分</w:t>
            </w:r>
          </w:p>
        </w:tc>
      </w:tr>
      <w:tr>
        <w:tblPrEx>
          <w:tblCellMar>
            <w:top w:w="0" w:type="dxa"/>
            <w:left w:w="0" w:type="dxa"/>
            <w:bottom w:w="0" w:type="dxa"/>
            <w:right w:w="0" w:type="dxa"/>
          </w:tblCellMar>
        </w:tblPrEx>
        <w:trPr>
          <w:trHeight w:val="5794" w:hRule="exact"/>
        </w:trPr>
        <w:tc>
          <w:tcPr>
            <w:tcW w:w="846" w:type="dxa"/>
            <w:tcBorders>
              <w:top w:val="single" w:color="000000" w:sz="4" w:space="0"/>
              <w:left w:val="single" w:color="000000" w:sz="4" w:space="0"/>
              <w:bottom w:val="single" w:color="000000" w:sz="4" w:space="0"/>
              <w:right w:val="single" w:color="000000" w:sz="4" w:space="0"/>
            </w:tcBorders>
          </w:tcPr>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spacing w:before="164" w:line="271" w:lineRule="auto"/>
              <w:ind w:left="105" w:right="101" w:firstLine="55"/>
              <w:rPr>
                <w:rFonts w:ascii="宋体" w:hAnsi="宋体" w:eastAsia="宋体" w:cs="宋体"/>
                <w:b/>
                <w:bCs/>
                <w:sz w:val="18"/>
                <w:szCs w:val="18"/>
              </w:rPr>
            </w:pPr>
            <w:r>
              <w:rPr>
                <w:rFonts w:ascii="宋体" w:hAnsi="宋体" w:eastAsia="宋体" w:cs="宋体"/>
                <w:b/>
                <w:bCs/>
                <w:sz w:val="18"/>
                <w:szCs w:val="18"/>
              </w:rPr>
              <w:t>商务部 分</w:t>
            </w:r>
            <w:r>
              <w:rPr>
                <w:rFonts w:ascii="宋体" w:hAnsi="宋体" w:eastAsia="宋体" w:cs="宋体"/>
                <w:b/>
                <w:bCs/>
                <w:spacing w:val="-57"/>
                <w:sz w:val="18"/>
                <w:szCs w:val="18"/>
              </w:rPr>
              <w:t xml:space="preserve"> </w:t>
            </w:r>
            <w:r>
              <w:rPr>
                <w:rFonts w:hint="eastAsia" w:ascii="宋体" w:hAnsi="宋体" w:eastAsia="宋体" w:cs="宋体"/>
                <w:b/>
                <w:bCs/>
                <w:sz w:val="18"/>
                <w:szCs w:val="18"/>
              </w:rPr>
              <w:t>20</w:t>
            </w:r>
            <w:r>
              <w:rPr>
                <w:rFonts w:ascii="宋体" w:hAnsi="宋体" w:eastAsia="宋体" w:cs="宋体"/>
                <w:b/>
                <w:bCs/>
                <w:sz w:val="18"/>
                <w:szCs w:val="18"/>
              </w:rPr>
              <w:t>分</w:t>
            </w:r>
          </w:p>
        </w:tc>
        <w:tc>
          <w:tcPr>
            <w:tcW w:w="8525" w:type="dxa"/>
            <w:tcBorders>
              <w:top w:val="single" w:color="000000" w:sz="4" w:space="0"/>
              <w:left w:val="single" w:color="000000" w:sz="4" w:space="0"/>
              <w:bottom w:val="single" w:color="000000" w:sz="4" w:space="0"/>
              <w:right w:val="single" w:color="000000" w:sz="4" w:space="0"/>
            </w:tcBorders>
          </w:tcPr>
          <w:p>
            <w:pPr>
              <w:pStyle w:val="47"/>
              <w:spacing w:before="5"/>
              <w:jc w:val="left"/>
              <w:rPr>
                <w:rFonts w:ascii="宋体" w:hAnsi="宋体" w:eastAsia="宋体" w:cs="Times New Roman"/>
                <w:spacing w:val="-7"/>
                <w:sz w:val="18"/>
                <w:szCs w:val="18"/>
              </w:rPr>
            </w:pPr>
            <w:r>
              <w:rPr>
                <w:rFonts w:hint="eastAsia" w:ascii="宋体" w:hAnsi="宋体" w:eastAsia="宋体" w:cs="Times New Roman"/>
                <w:spacing w:val="-7"/>
                <w:sz w:val="18"/>
                <w:szCs w:val="18"/>
              </w:rPr>
              <w:t xml:space="preserve">1、投标产品制造商需获得CNCA全国认证认可信息公共服务平台可查证的音视频产品省级以上品牌五星级认证证书（提供认证证书复印件）得2分                                                             </w:t>
            </w:r>
          </w:p>
          <w:p>
            <w:pPr>
              <w:pStyle w:val="47"/>
              <w:spacing w:before="5"/>
              <w:jc w:val="left"/>
              <w:rPr>
                <w:rFonts w:ascii="宋体" w:hAnsi="宋体" w:eastAsia="宋体" w:cs="宋体"/>
                <w:sz w:val="18"/>
                <w:szCs w:val="18"/>
              </w:rPr>
            </w:pPr>
            <w:r>
              <w:rPr>
                <w:rFonts w:hint="eastAsia" w:ascii="宋体" w:hAnsi="宋体" w:eastAsia="宋体" w:cs="Times New Roman"/>
                <w:spacing w:val="-7"/>
                <w:sz w:val="18"/>
                <w:szCs w:val="18"/>
              </w:rPr>
              <w:t xml:space="preserve"> 2、</w:t>
            </w:r>
            <w:r>
              <w:rPr>
                <w:rFonts w:hint="eastAsia" w:ascii="宋体" w:hAnsi="宋体" w:eastAsia="宋体" w:cs="宋体"/>
                <w:sz w:val="18"/>
                <w:szCs w:val="18"/>
              </w:rPr>
              <w:t>投标产品制造商需具有绿色智慧环境建设数字系统集成工程壹级资质并提供证书复印件加盖原厂鲜章。</w:t>
            </w:r>
            <w:r>
              <w:rPr>
                <w:rFonts w:hint="eastAsia" w:ascii="宋体" w:hAnsi="宋体" w:eastAsia="宋体" w:cs="Times New Roman"/>
                <w:spacing w:val="-7"/>
                <w:sz w:val="18"/>
                <w:szCs w:val="18"/>
              </w:rPr>
              <w:t>满足者得2分，不满足者不得分</w:t>
            </w:r>
            <w:r>
              <w:rPr>
                <w:rFonts w:hint="eastAsia" w:ascii="宋体" w:hAnsi="宋体" w:eastAsia="宋体" w:cs="宋体"/>
                <w:sz w:val="18"/>
                <w:szCs w:val="18"/>
              </w:rPr>
              <w:t xml:space="preserve">                                                </w:t>
            </w:r>
            <w:r>
              <w:rPr>
                <w:rFonts w:hint="eastAsia" w:ascii="宋体" w:hAnsi="宋体" w:eastAsia="宋体" w:cs="Times New Roman"/>
                <w:spacing w:val="-7"/>
                <w:sz w:val="18"/>
                <w:szCs w:val="18"/>
              </w:rPr>
              <w:t xml:space="preserve">                                                           3</w:t>
            </w:r>
            <w:r>
              <w:rPr>
                <w:rFonts w:ascii="宋体" w:hAnsi="宋体" w:eastAsia="宋体" w:cs="宋体"/>
                <w:spacing w:val="-7"/>
                <w:sz w:val="18"/>
                <w:szCs w:val="18"/>
              </w:rPr>
              <w:t>、</w:t>
            </w:r>
            <w:r>
              <w:rPr>
                <w:rFonts w:hint="eastAsia" w:ascii="宋体" w:hAnsi="宋体" w:eastAsia="宋体" w:cs="宋体"/>
                <w:spacing w:val="-7"/>
                <w:sz w:val="18"/>
                <w:szCs w:val="18"/>
              </w:rPr>
              <w:t>投标产品制造商具有CNCA全国认证认可信息公共服务平台可查证、符合ISO 28000：2007《供应链安全管理体系规范》的《供应链安全管理体系认证证书》</w:t>
            </w:r>
            <w:r>
              <w:rPr>
                <w:rFonts w:ascii="宋体" w:hAnsi="宋体" w:eastAsia="宋体" w:cs="宋体"/>
                <w:spacing w:val="-7"/>
                <w:sz w:val="18"/>
                <w:szCs w:val="18"/>
              </w:rPr>
              <w:t>；得</w:t>
            </w:r>
            <w:r>
              <w:rPr>
                <w:rFonts w:hint="eastAsia" w:ascii="宋体" w:hAnsi="宋体" w:eastAsia="宋体" w:cs="Times New Roman"/>
                <w:sz w:val="18"/>
                <w:szCs w:val="18"/>
              </w:rPr>
              <w:t>2</w:t>
            </w:r>
            <w:r>
              <w:rPr>
                <w:rFonts w:ascii="宋体" w:hAnsi="宋体" w:eastAsia="宋体" w:cs="宋体"/>
                <w:spacing w:val="-20"/>
                <w:sz w:val="18"/>
                <w:szCs w:val="18"/>
              </w:rPr>
              <w:t>分（</w:t>
            </w:r>
            <w:r>
              <w:rPr>
                <w:rFonts w:hint="eastAsia" w:ascii="宋体" w:hAnsi="宋体" w:eastAsia="宋体" w:cs="宋体"/>
                <w:sz w:val="18"/>
                <w:szCs w:val="18"/>
              </w:rPr>
              <w:t>提供生产厂家的证书复印件</w:t>
            </w:r>
            <w:r>
              <w:rPr>
                <w:rFonts w:ascii="宋体" w:hAnsi="宋体" w:eastAsia="宋体" w:cs="宋体"/>
                <w:sz w:val="18"/>
                <w:szCs w:val="18"/>
              </w:rPr>
              <w:t>加盖厂家</w:t>
            </w:r>
            <w:r>
              <w:rPr>
                <w:rFonts w:hint="eastAsia" w:ascii="宋体" w:hAnsi="宋体" w:eastAsia="宋体" w:cs="宋体"/>
                <w:sz w:val="18"/>
                <w:szCs w:val="18"/>
              </w:rPr>
              <w:t>鲜</w:t>
            </w:r>
            <w:r>
              <w:rPr>
                <w:rFonts w:ascii="宋体" w:hAnsi="宋体" w:eastAsia="宋体" w:cs="宋体"/>
                <w:sz w:val="18"/>
                <w:szCs w:val="18"/>
              </w:rPr>
              <w:t xml:space="preserve">章） </w:t>
            </w:r>
          </w:p>
          <w:p>
            <w:pPr>
              <w:pStyle w:val="62"/>
              <w:ind w:firstLine="0"/>
              <w:jc w:val="left"/>
              <w:rPr>
                <w:rFonts w:ascii="宋体" w:hAnsi="宋体" w:eastAsia="宋体" w:cs="宋体"/>
                <w:sz w:val="18"/>
                <w:szCs w:val="18"/>
              </w:rPr>
            </w:pPr>
            <w:r>
              <w:rPr>
                <w:rFonts w:hint="eastAsia" w:ascii="宋体" w:hAnsi="宋体" w:eastAsia="宋体" w:cs="宋体"/>
                <w:spacing w:val="-3"/>
                <w:sz w:val="18"/>
                <w:szCs w:val="18"/>
              </w:rPr>
              <w:t xml:space="preserve"> 4、</w:t>
            </w:r>
            <w:r>
              <w:rPr>
                <w:rFonts w:hint="eastAsia" w:ascii="宋体" w:hAnsi="宋体" w:eastAsia="宋体" w:cs="宋体"/>
                <w:sz w:val="18"/>
                <w:szCs w:val="18"/>
              </w:rPr>
              <w:t>所投音频产品厂家同时具备ISO19001标准质量管理体系认证、ISO45001职业健康安全管理体系认证、ISO14001环境管理体系认证证书和ISO20000信息技术服务管理体系认证证书，提供加盖原厂公章复印件证明,附官网查询打印件。（提供生产厂家的证书复印件并加盖厂商鲜章），满足者得2分，缺一不得分</w:t>
            </w:r>
          </w:p>
          <w:p>
            <w:pPr>
              <w:pStyle w:val="62"/>
              <w:ind w:firstLine="0"/>
              <w:jc w:val="left"/>
              <w:rPr>
                <w:rFonts w:ascii="宋体" w:hAnsi="宋体" w:eastAsia="宋体" w:cs="宋体"/>
                <w:sz w:val="18"/>
                <w:szCs w:val="18"/>
              </w:rPr>
            </w:pPr>
            <w:r>
              <w:rPr>
                <w:rFonts w:hint="eastAsia" w:ascii="宋体" w:hAnsi="宋体" w:eastAsia="宋体" w:cs="宋体"/>
                <w:sz w:val="18"/>
                <w:szCs w:val="18"/>
              </w:rPr>
              <w:t>5、投标产品制造商具有《高新技术企业证书》（提供制造商所在省份科学技术厅、财政厅及税务局联合颁发的证书复印件及官网查询结果截图）并加盖原厂鲜章，提供得2分</w:t>
            </w:r>
            <w:r>
              <w:rPr>
                <w:rFonts w:ascii="宋体" w:hAnsi="宋体" w:eastAsia="宋体" w:cs="宋体"/>
                <w:sz w:val="18"/>
                <w:szCs w:val="18"/>
              </w:rPr>
              <w:t xml:space="preserve"> </w:t>
            </w:r>
          </w:p>
          <w:p>
            <w:pPr>
              <w:pStyle w:val="62"/>
              <w:ind w:firstLine="0"/>
              <w:jc w:val="left"/>
              <w:rPr>
                <w:rFonts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、投标</w:t>
            </w:r>
            <w:r>
              <w:rPr>
                <w:rFonts w:hint="eastAsia" w:ascii="宋体" w:hAnsi="宋体" w:eastAsia="宋体" w:cs="宋体"/>
                <w:sz w:val="18"/>
                <w:szCs w:val="18"/>
                <w:lang w:eastAsia="zh-CN"/>
              </w:rPr>
              <w:t>音频</w:t>
            </w:r>
            <w:r>
              <w:rPr>
                <w:rFonts w:hint="eastAsia" w:ascii="宋体" w:hAnsi="宋体" w:eastAsia="宋体" w:cs="宋体"/>
                <w:sz w:val="18"/>
                <w:szCs w:val="18"/>
              </w:rPr>
              <w:t xml:space="preserve">产品制造商具有CNCA全国认证认可信息公共服务平台可查证、符合GB/T27922-2011《商品售后服务评价体系》标准且星级为十星级的《售后服务认证证书》（提供第三方权威认证机构颁发的证书复印件及平台查询结果截图）并加盖原厂鲜章，提供得5分，不提供不得分 </w:t>
            </w:r>
            <w:r>
              <w:rPr>
                <w:rFonts w:ascii="宋体" w:hAnsi="宋体" w:eastAsia="宋体" w:cs="宋体"/>
                <w:sz w:val="18"/>
                <w:szCs w:val="18"/>
              </w:rPr>
              <w:t xml:space="preserve">                                                </w:t>
            </w:r>
          </w:p>
          <w:p>
            <w:pPr>
              <w:pStyle w:val="62"/>
              <w:ind w:firstLine="0"/>
              <w:jc w:val="left"/>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、投标人所投</w:t>
            </w:r>
            <w:r>
              <w:rPr>
                <w:rFonts w:hint="eastAsia" w:ascii="宋体" w:hAnsi="宋体" w:eastAsia="宋体" w:cs="宋体"/>
                <w:sz w:val="18"/>
                <w:szCs w:val="18"/>
                <w:lang w:eastAsia="zh-CN"/>
              </w:rPr>
              <w:t>视频监控</w:t>
            </w:r>
            <w:r>
              <w:rPr>
                <w:rFonts w:hint="eastAsia" w:ascii="宋体" w:hAnsi="宋体" w:eastAsia="宋体" w:cs="宋体"/>
                <w:sz w:val="18"/>
                <w:szCs w:val="18"/>
              </w:rPr>
              <w:t>产品的设备制造商获得过中国人工智能优秀产品应用奖及以上奖项的（含优秀奖励），得</w:t>
            </w:r>
            <w:r>
              <w:rPr>
                <w:rFonts w:ascii="宋体" w:hAnsi="宋体" w:eastAsia="宋体" w:cs="宋体"/>
                <w:sz w:val="18"/>
                <w:szCs w:val="18"/>
              </w:rPr>
              <w:t>2</w:t>
            </w:r>
            <w:r>
              <w:rPr>
                <w:rFonts w:hint="eastAsia" w:ascii="宋体" w:hAnsi="宋体" w:eastAsia="宋体" w:cs="宋体"/>
                <w:sz w:val="18"/>
                <w:szCs w:val="18"/>
              </w:rPr>
              <w:t>分，不提供不得分（要求提供证明材料）。</w:t>
            </w:r>
          </w:p>
          <w:p>
            <w:pPr>
              <w:pStyle w:val="62"/>
              <w:ind w:firstLine="0"/>
              <w:jc w:val="left"/>
              <w:rPr>
                <w:rFonts w:hint="eastAsia"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、投标人所投</w:t>
            </w:r>
            <w:r>
              <w:rPr>
                <w:rFonts w:hint="eastAsia" w:ascii="宋体" w:hAnsi="宋体" w:eastAsia="宋体" w:cs="宋体"/>
                <w:sz w:val="18"/>
                <w:szCs w:val="18"/>
                <w:lang w:eastAsia="zh-CN"/>
              </w:rPr>
              <w:t>视频监控</w:t>
            </w:r>
            <w:r>
              <w:rPr>
                <w:rFonts w:hint="eastAsia" w:ascii="宋体" w:hAnsi="宋体" w:eastAsia="宋体" w:cs="宋体"/>
                <w:sz w:val="18"/>
                <w:szCs w:val="18"/>
              </w:rPr>
              <w:t>产品的设备制造商获得管理体系认证证书且信息安全管理体系覆盖：云平台的设计、开发、运营与维护、PII管理角色为控制者和处理者，得</w:t>
            </w:r>
            <w:r>
              <w:rPr>
                <w:rFonts w:hint="eastAsia" w:ascii="宋体" w:hAnsi="宋体" w:eastAsia="宋体" w:cs="宋体"/>
                <w:sz w:val="18"/>
                <w:szCs w:val="18"/>
                <w:lang w:val="en-US" w:eastAsia="zh-CN"/>
              </w:rPr>
              <w:t>3</w:t>
            </w:r>
            <w:r>
              <w:rPr>
                <w:rFonts w:hint="eastAsia" w:ascii="宋体" w:hAnsi="宋体" w:eastAsia="宋体" w:cs="宋体"/>
                <w:sz w:val="18"/>
                <w:szCs w:val="18"/>
              </w:rPr>
              <w:t>分，不提供不得分（要求提供证明材料）。</w:t>
            </w:r>
          </w:p>
          <w:p>
            <w:pPr>
              <w:pStyle w:val="62"/>
              <w:ind w:firstLine="0"/>
              <w:rPr>
                <w:rFonts w:ascii="宋体" w:hAnsi="宋体" w:eastAsia="宋体" w:cs="宋体"/>
                <w:sz w:val="18"/>
                <w:szCs w:val="18"/>
              </w:rPr>
            </w:pPr>
          </w:p>
          <w:p>
            <w:pPr>
              <w:pStyle w:val="62"/>
              <w:ind w:firstLine="0"/>
              <w:rPr>
                <w:rFonts w:ascii="宋体" w:hAnsi="宋体" w:eastAsia="宋体" w:cs="宋体"/>
                <w:sz w:val="18"/>
                <w:szCs w:val="18"/>
              </w:rPr>
            </w:pPr>
            <w:r>
              <w:rPr>
                <w:rFonts w:hint="eastAsia" w:ascii="宋体" w:hAnsi="宋体" w:eastAsia="宋体" w:cs="宋体"/>
                <w:sz w:val="18"/>
                <w:szCs w:val="18"/>
              </w:rPr>
              <w:t xml:space="preserve"> </w:t>
            </w:r>
          </w:p>
          <w:p>
            <w:pPr>
              <w:pStyle w:val="47"/>
              <w:spacing w:before="35" w:line="268" w:lineRule="auto"/>
              <w:ind w:left="103" w:right="-7"/>
              <w:rPr>
                <w:rFonts w:ascii="宋体" w:hAnsi="宋体" w:eastAsia="宋体" w:cs="宋体"/>
                <w:spacing w:val="-3"/>
                <w:sz w:val="18"/>
                <w:szCs w:val="18"/>
              </w:rPr>
            </w:pPr>
          </w:p>
        </w:tc>
        <w:tc>
          <w:tcPr>
            <w:tcW w:w="728" w:type="dxa"/>
            <w:tcBorders>
              <w:top w:val="single" w:color="000000" w:sz="4" w:space="0"/>
              <w:left w:val="single" w:color="000000" w:sz="4" w:space="0"/>
              <w:bottom w:val="single" w:color="000000" w:sz="4" w:space="0"/>
              <w:right w:val="single" w:color="000000" w:sz="4" w:space="0"/>
            </w:tcBorders>
          </w:tcPr>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rPr>
                <w:rFonts w:ascii="宋体" w:hAnsi="宋体" w:eastAsia="宋体" w:cs="宋体"/>
                <w:sz w:val="18"/>
                <w:szCs w:val="18"/>
              </w:rPr>
            </w:pPr>
          </w:p>
          <w:p>
            <w:pPr>
              <w:pStyle w:val="47"/>
              <w:ind w:right="2"/>
              <w:jc w:val="center"/>
              <w:rPr>
                <w:rFonts w:ascii="宋体" w:hAnsi="宋体" w:eastAsia="宋体" w:cs="宋体"/>
                <w:b/>
                <w:bCs/>
                <w:sz w:val="18"/>
                <w:szCs w:val="18"/>
              </w:rPr>
            </w:pPr>
            <w:r>
              <w:rPr>
                <w:rFonts w:hint="eastAsia" w:ascii="宋体" w:hAnsi="宋体" w:eastAsia="宋体" w:cs="宋体"/>
                <w:b/>
                <w:bCs/>
                <w:sz w:val="18"/>
                <w:szCs w:val="18"/>
              </w:rPr>
              <w:t>20</w:t>
            </w:r>
            <w:r>
              <w:rPr>
                <w:rFonts w:ascii="宋体" w:hAnsi="宋体" w:eastAsia="宋体" w:cs="宋体"/>
                <w:b/>
                <w:bCs/>
                <w:sz w:val="18"/>
                <w:szCs w:val="18"/>
              </w:rPr>
              <w:t>分</w:t>
            </w:r>
          </w:p>
        </w:tc>
      </w:tr>
      <w:tr>
        <w:tblPrEx>
          <w:tblCellMar>
            <w:top w:w="0" w:type="dxa"/>
            <w:left w:w="0" w:type="dxa"/>
            <w:bottom w:w="0" w:type="dxa"/>
            <w:right w:w="0" w:type="dxa"/>
          </w:tblCellMar>
        </w:tblPrEx>
        <w:trPr>
          <w:trHeight w:val="3277" w:hRule="exact"/>
        </w:trPr>
        <w:tc>
          <w:tcPr>
            <w:tcW w:w="846" w:type="dxa"/>
            <w:tcBorders>
              <w:top w:val="single" w:color="000000" w:sz="4" w:space="0"/>
              <w:left w:val="single" w:color="000000" w:sz="4" w:space="0"/>
              <w:bottom w:val="single" w:color="000000" w:sz="4" w:space="0"/>
              <w:right w:val="single" w:color="000000" w:sz="4" w:space="0"/>
            </w:tcBorders>
          </w:tcPr>
          <w:p>
            <w:pPr>
              <w:pStyle w:val="47"/>
              <w:spacing w:before="11"/>
              <w:jc w:val="left"/>
              <w:rPr>
                <w:rFonts w:ascii="宋体" w:hAnsi="宋体" w:eastAsia="宋体" w:cs="宋体"/>
                <w:sz w:val="18"/>
                <w:szCs w:val="18"/>
              </w:rPr>
            </w:pPr>
          </w:p>
          <w:p>
            <w:pPr>
              <w:pStyle w:val="47"/>
              <w:spacing w:line="271" w:lineRule="auto"/>
              <w:ind w:left="105" w:right="101" w:firstLine="55"/>
              <w:jc w:val="left"/>
              <w:rPr>
                <w:rFonts w:ascii="宋体" w:hAnsi="宋体" w:eastAsia="宋体" w:cs="宋体"/>
                <w:sz w:val="18"/>
                <w:szCs w:val="18"/>
              </w:rPr>
            </w:pPr>
            <w:r>
              <w:rPr>
                <w:rFonts w:ascii="宋体" w:hAnsi="宋体" w:eastAsia="宋体" w:cs="宋体"/>
                <w:b/>
                <w:bCs/>
                <w:sz w:val="18"/>
                <w:szCs w:val="18"/>
              </w:rPr>
              <w:t>技术部 分</w:t>
            </w:r>
            <w:r>
              <w:rPr>
                <w:rFonts w:ascii="宋体" w:hAnsi="宋体" w:eastAsia="宋体" w:cs="宋体"/>
                <w:b/>
                <w:bCs/>
                <w:spacing w:val="-57"/>
                <w:sz w:val="18"/>
                <w:szCs w:val="18"/>
              </w:rPr>
              <w:t xml:space="preserve"> </w:t>
            </w:r>
            <w:r>
              <w:rPr>
                <w:rFonts w:hint="eastAsia" w:ascii="宋体" w:hAnsi="宋体" w:eastAsia="宋体" w:cs="宋体"/>
                <w:b/>
                <w:bCs/>
                <w:sz w:val="18"/>
                <w:szCs w:val="18"/>
              </w:rPr>
              <w:t>40</w:t>
            </w:r>
            <w:r>
              <w:rPr>
                <w:rFonts w:ascii="宋体" w:hAnsi="宋体" w:eastAsia="宋体" w:cs="宋体"/>
                <w:b/>
                <w:bCs/>
                <w:sz w:val="18"/>
                <w:szCs w:val="18"/>
              </w:rPr>
              <w:t>分</w:t>
            </w:r>
          </w:p>
        </w:tc>
        <w:tc>
          <w:tcPr>
            <w:tcW w:w="8525" w:type="dxa"/>
            <w:tcBorders>
              <w:top w:val="single" w:color="000000" w:sz="4" w:space="0"/>
              <w:left w:val="single" w:color="000000" w:sz="4" w:space="0"/>
              <w:bottom w:val="single" w:color="000000" w:sz="4" w:space="0"/>
              <w:right w:val="single" w:color="000000" w:sz="4" w:space="0"/>
            </w:tcBorders>
          </w:tcPr>
          <w:p>
            <w:pPr>
              <w:pStyle w:val="47"/>
              <w:spacing w:before="35"/>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 xml:space="preserve">所有技术参数及指标都满足招标文件要求得满分 </w:t>
            </w:r>
            <w:r>
              <w:rPr>
                <w:rFonts w:hint="eastAsia" w:ascii="宋体" w:hAnsi="宋体" w:eastAsia="宋体" w:cs="宋体"/>
                <w:sz w:val="18"/>
                <w:szCs w:val="18"/>
              </w:rPr>
              <w:t>3</w:t>
            </w:r>
            <w:r>
              <w:rPr>
                <w:rFonts w:ascii="宋体" w:hAnsi="宋体" w:eastAsia="宋体" w:cs="宋体"/>
                <w:sz w:val="18"/>
                <w:szCs w:val="18"/>
              </w:rPr>
              <w:t>0分</w:t>
            </w:r>
            <w:r>
              <w:rPr>
                <w:rFonts w:hint="eastAsia" w:ascii="宋体" w:hAnsi="宋体" w:eastAsia="宋体" w:cs="宋体"/>
                <w:sz w:val="18"/>
                <w:szCs w:val="18"/>
              </w:rPr>
              <w:t>。</w:t>
            </w:r>
            <w:r>
              <w:rPr>
                <w:rFonts w:ascii="宋体" w:hAnsi="宋体" w:eastAsia="宋体" w:cs="宋体"/>
                <w:sz w:val="18"/>
                <w:szCs w:val="18"/>
              </w:rPr>
              <w:t>满分</w:t>
            </w:r>
            <w:r>
              <w:rPr>
                <w:rFonts w:ascii="宋体" w:hAnsi="宋体" w:eastAsia="宋体" w:cs="Times New Roman"/>
                <w:sz w:val="18"/>
                <w:szCs w:val="18"/>
              </w:rPr>
              <w:t>3</w:t>
            </w:r>
            <w:r>
              <w:rPr>
                <w:rFonts w:hint="eastAsia" w:ascii="宋体" w:hAnsi="宋体" w:eastAsia="宋体" w:cs="Times New Roman"/>
                <w:sz w:val="18"/>
                <w:szCs w:val="18"/>
              </w:rPr>
              <w:t>0</w:t>
            </w:r>
            <w:r>
              <w:rPr>
                <w:rFonts w:ascii="宋体" w:hAnsi="宋体" w:eastAsia="宋体" w:cs="宋体"/>
                <w:sz w:val="18"/>
                <w:szCs w:val="18"/>
              </w:rPr>
              <w:t>分</w:t>
            </w:r>
            <w:r>
              <w:rPr>
                <w:rFonts w:hint="eastAsia" w:ascii="宋体" w:hAnsi="宋体" w:eastAsia="宋体" w:cs="宋体"/>
                <w:sz w:val="18"/>
                <w:szCs w:val="18"/>
              </w:rPr>
              <w:t>，（须提供相关技术证明材料加盖公章</w:t>
            </w:r>
            <w:r>
              <w:rPr>
                <w:rFonts w:ascii="宋体" w:hAnsi="宋体" w:eastAsia="宋体" w:cs="宋体"/>
                <w:sz w:val="18"/>
                <w:szCs w:val="18"/>
              </w:rPr>
              <w:t>）</w:t>
            </w:r>
          </w:p>
          <w:p>
            <w:pPr>
              <w:pStyle w:val="62"/>
              <w:ind w:firstLine="0"/>
              <w:rPr>
                <w:rFonts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、广播系统的生产厂家具</w:t>
            </w:r>
            <w:r>
              <w:rPr>
                <w:rFonts w:hint="eastAsia" w:ascii="宋体" w:hAnsi="宋体" w:eastAsia="宋体" w:cs="宋体"/>
                <w:color w:val="000000" w:themeColor="text1"/>
                <w:sz w:val="18"/>
                <w:szCs w:val="18"/>
                <w14:textFill>
                  <w14:solidFill>
                    <w14:schemeClr w14:val="tx1"/>
                  </w14:solidFill>
                </w14:textFill>
              </w:rPr>
              <w:t>备音视频智能系统集成工程资质壹级的音视频工程企业专项资质证书，提供EA</w:t>
            </w:r>
            <w:r>
              <w:rPr>
                <w:rFonts w:hint="eastAsia" w:ascii="宋体" w:hAnsi="宋体" w:eastAsia="宋体" w:cs="宋体"/>
                <w:sz w:val="18"/>
                <w:szCs w:val="18"/>
              </w:rPr>
              <w:t>SE声学证书复印件并加盖鲜章得</w:t>
            </w:r>
            <w:r>
              <w:rPr>
                <w:rFonts w:hint="eastAsia" w:ascii="宋体" w:hAnsi="宋体" w:eastAsia="宋体" w:cs="宋体"/>
                <w:sz w:val="18"/>
                <w:szCs w:val="18"/>
                <w:lang w:val="en-US" w:eastAsia="zh-CN"/>
              </w:rPr>
              <w:t>2</w:t>
            </w:r>
            <w:r>
              <w:rPr>
                <w:rFonts w:hint="eastAsia" w:ascii="宋体" w:hAnsi="宋体" w:eastAsia="宋体" w:cs="宋体"/>
                <w:sz w:val="18"/>
                <w:szCs w:val="18"/>
              </w:rPr>
              <w:t>分，缺一不得分</w:t>
            </w:r>
          </w:p>
          <w:p>
            <w:pPr>
              <w:pStyle w:val="47"/>
              <w:spacing w:before="35"/>
              <w:rPr>
                <w:rFonts w:hint="eastAsia" w:ascii="宋体" w:hAnsi="宋体" w:eastAsia="宋体" w:cs="Times New Roman"/>
                <w:spacing w:val="-7"/>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、所投网络音箱具有设备内置有主备切换检测模块，在断网或断电的故障情况下，实现自动切换到100V定压备份通道，主备切换过程无卡顿、不掉字；在通网或通电情况下，恢复主通道的功能，提供功能演示视频</w:t>
            </w:r>
            <w:r>
              <w:rPr>
                <w:rFonts w:hint="eastAsia" w:ascii="宋体" w:hAnsi="宋体" w:eastAsia="宋体" w:cs="宋体"/>
                <w:sz w:val="18"/>
                <w:szCs w:val="18"/>
                <w:lang w:eastAsia="zh-CN"/>
              </w:rPr>
              <w:t>截图</w:t>
            </w:r>
            <w:r>
              <w:rPr>
                <w:rFonts w:hint="eastAsia" w:ascii="宋体" w:hAnsi="宋体" w:eastAsia="宋体" w:cs="宋体"/>
                <w:sz w:val="18"/>
                <w:szCs w:val="18"/>
              </w:rPr>
              <w:t>得6分，</w:t>
            </w:r>
            <w:r>
              <w:rPr>
                <w:rFonts w:hint="eastAsia" w:ascii="宋体" w:hAnsi="宋体" w:eastAsia="宋体" w:cs="Times New Roman"/>
                <w:spacing w:val="-7"/>
                <w:sz w:val="18"/>
                <w:szCs w:val="18"/>
              </w:rPr>
              <w:t>不满足者不得分</w:t>
            </w:r>
          </w:p>
          <w:p>
            <w:pPr>
              <w:pStyle w:val="47"/>
              <w:spacing w:before="35"/>
              <w:rPr>
                <w:rFonts w:hint="eastAsia" w:ascii="宋体" w:hAnsi="宋体" w:eastAsia="宋体" w:cs="Times New Roman"/>
                <w:spacing w:val="-7"/>
                <w:sz w:val="18"/>
                <w:szCs w:val="18"/>
              </w:rPr>
            </w:pPr>
            <w:r>
              <w:rPr>
                <w:rFonts w:hint="eastAsia" w:ascii="宋体" w:hAnsi="宋体" w:eastAsia="宋体" w:cs="Times New Roman"/>
                <w:spacing w:val="-7"/>
                <w:sz w:val="18"/>
                <w:szCs w:val="18"/>
                <w:lang w:val="en-US" w:eastAsia="zh-CN"/>
              </w:rPr>
              <w:t>4</w:t>
            </w:r>
            <w:r>
              <w:rPr>
                <w:rFonts w:hint="eastAsia" w:ascii="宋体" w:hAnsi="宋体" w:eastAsia="宋体" w:cs="Times New Roman"/>
                <w:spacing w:val="-7"/>
                <w:sz w:val="18"/>
                <w:szCs w:val="18"/>
              </w:rPr>
              <w:t>.为保障本次投标项目系统的安全性，投标人所投产品的设备制造商应具备完善的视频监控系统网络及安全解决方案的能力，以确保视频监控系统对恶劣承载网络的适应能力，对安全风险的抵御与防护能力，以及故障发生时和故障消除后视频监控系统的自愈恢复能力等，能提供公安部权威机构关于“视频监控系统网络及安全解决方案的安全测评报告”证明材料的，得</w:t>
            </w:r>
            <w:r>
              <w:rPr>
                <w:rFonts w:hint="eastAsia" w:ascii="宋体" w:hAnsi="宋体" w:eastAsia="宋体" w:cs="Times New Roman"/>
                <w:spacing w:val="-7"/>
                <w:sz w:val="18"/>
                <w:szCs w:val="18"/>
                <w:lang w:val="en-US" w:eastAsia="zh-CN"/>
              </w:rPr>
              <w:t>2</w:t>
            </w:r>
            <w:r>
              <w:rPr>
                <w:rFonts w:hint="eastAsia" w:ascii="宋体" w:hAnsi="宋体" w:eastAsia="宋体" w:cs="Times New Roman"/>
                <w:spacing w:val="-7"/>
                <w:sz w:val="18"/>
                <w:szCs w:val="18"/>
              </w:rPr>
              <w:t>分，不提供不得分。</w:t>
            </w:r>
          </w:p>
        </w:tc>
        <w:tc>
          <w:tcPr>
            <w:tcW w:w="728" w:type="dxa"/>
            <w:tcBorders>
              <w:top w:val="single" w:color="000000" w:sz="4" w:space="0"/>
              <w:left w:val="single" w:color="000000" w:sz="4" w:space="0"/>
              <w:bottom w:val="single" w:color="000000" w:sz="4" w:space="0"/>
              <w:right w:val="single" w:color="000000" w:sz="4" w:space="0"/>
            </w:tcBorders>
          </w:tcPr>
          <w:p>
            <w:pPr>
              <w:pStyle w:val="47"/>
              <w:rPr>
                <w:rFonts w:ascii="宋体" w:hAnsi="宋体" w:eastAsia="宋体" w:cs="宋体"/>
                <w:sz w:val="18"/>
                <w:szCs w:val="18"/>
              </w:rPr>
            </w:pPr>
          </w:p>
          <w:p>
            <w:pPr>
              <w:pStyle w:val="47"/>
              <w:spacing w:before="187"/>
              <w:ind w:right="2"/>
              <w:jc w:val="center"/>
              <w:rPr>
                <w:rFonts w:ascii="宋体" w:hAnsi="宋体" w:eastAsia="宋体" w:cs="宋体"/>
                <w:sz w:val="18"/>
                <w:szCs w:val="18"/>
              </w:rPr>
            </w:pPr>
            <w:r>
              <w:rPr>
                <w:rFonts w:hint="eastAsia" w:ascii="宋体" w:hAnsi="宋体" w:eastAsia="宋体" w:cs="宋体"/>
                <w:b/>
                <w:bCs/>
                <w:sz w:val="18"/>
                <w:szCs w:val="18"/>
              </w:rPr>
              <w:t>40</w:t>
            </w:r>
            <w:r>
              <w:rPr>
                <w:rFonts w:ascii="宋体" w:hAnsi="宋体" w:eastAsia="宋体" w:cs="宋体"/>
                <w:b/>
                <w:bCs/>
                <w:sz w:val="18"/>
                <w:szCs w:val="18"/>
              </w:rPr>
              <w:t>分</w:t>
            </w:r>
          </w:p>
        </w:tc>
      </w:tr>
      <w:tr>
        <w:tblPrEx>
          <w:tblCellMar>
            <w:top w:w="0" w:type="dxa"/>
            <w:left w:w="0" w:type="dxa"/>
            <w:bottom w:w="0" w:type="dxa"/>
            <w:right w:w="0" w:type="dxa"/>
          </w:tblCellMar>
        </w:tblPrEx>
        <w:trPr>
          <w:trHeight w:val="794" w:hRule="exact"/>
        </w:trPr>
        <w:tc>
          <w:tcPr>
            <w:tcW w:w="846" w:type="dxa"/>
            <w:vMerge w:val="restart"/>
            <w:tcBorders>
              <w:top w:val="single" w:color="000000" w:sz="4" w:space="0"/>
              <w:left w:val="single" w:color="000000" w:sz="4" w:space="0"/>
              <w:right w:val="single" w:color="000000" w:sz="4" w:space="0"/>
            </w:tcBorders>
          </w:tcPr>
          <w:p>
            <w:pPr>
              <w:pStyle w:val="47"/>
              <w:spacing w:before="9"/>
              <w:rPr>
                <w:rFonts w:ascii="宋体" w:hAnsi="宋体" w:eastAsia="宋体" w:cs="宋体"/>
                <w:sz w:val="18"/>
                <w:szCs w:val="18"/>
              </w:rPr>
            </w:pPr>
          </w:p>
          <w:p>
            <w:pPr>
              <w:pStyle w:val="47"/>
              <w:spacing w:line="271" w:lineRule="auto"/>
              <w:ind w:left="105" w:right="101" w:firstLine="55"/>
              <w:rPr>
                <w:rFonts w:ascii="宋体" w:hAnsi="宋体" w:eastAsia="宋体" w:cs="宋体"/>
                <w:sz w:val="18"/>
                <w:szCs w:val="18"/>
              </w:rPr>
            </w:pPr>
            <w:r>
              <w:rPr>
                <w:rFonts w:ascii="宋体" w:hAnsi="宋体" w:eastAsia="宋体" w:cs="宋体"/>
                <w:b/>
                <w:bCs/>
                <w:sz w:val="18"/>
                <w:szCs w:val="18"/>
              </w:rPr>
              <w:t>售后服 务</w:t>
            </w:r>
            <w:r>
              <w:rPr>
                <w:rFonts w:ascii="宋体" w:hAnsi="宋体" w:eastAsia="宋体" w:cs="宋体"/>
                <w:b/>
                <w:bCs/>
                <w:spacing w:val="-57"/>
                <w:sz w:val="18"/>
                <w:szCs w:val="18"/>
              </w:rPr>
              <w:t xml:space="preserve"> </w:t>
            </w:r>
            <w:r>
              <w:rPr>
                <w:rFonts w:ascii="宋体" w:hAnsi="宋体" w:eastAsia="宋体" w:cs="宋体"/>
                <w:b/>
                <w:bCs/>
                <w:sz w:val="18"/>
                <w:szCs w:val="18"/>
              </w:rPr>
              <w:t>1</w:t>
            </w:r>
            <w:r>
              <w:rPr>
                <w:rFonts w:hint="eastAsia" w:ascii="宋体" w:hAnsi="宋体" w:eastAsia="宋体" w:cs="宋体"/>
                <w:b/>
                <w:bCs/>
                <w:sz w:val="18"/>
                <w:szCs w:val="18"/>
              </w:rPr>
              <w:t>0</w:t>
            </w:r>
            <w:r>
              <w:rPr>
                <w:rFonts w:ascii="宋体" w:hAnsi="宋体" w:eastAsia="宋体" w:cs="宋体"/>
                <w:b/>
                <w:bCs/>
                <w:sz w:val="18"/>
                <w:szCs w:val="18"/>
              </w:rPr>
              <w:t>分</w:t>
            </w:r>
          </w:p>
        </w:tc>
        <w:tc>
          <w:tcPr>
            <w:tcW w:w="8525" w:type="dxa"/>
            <w:tcBorders>
              <w:top w:val="single" w:color="000000" w:sz="4" w:space="0"/>
              <w:left w:val="single" w:color="000000" w:sz="4" w:space="0"/>
              <w:bottom w:val="single" w:color="000000" w:sz="4" w:space="0"/>
              <w:right w:val="single" w:color="000000" w:sz="4" w:space="0"/>
            </w:tcBorders>
          </w:tcPr>
          <w:p>
            <w:pPr>
              <w:pStyle w:val="47"/>
              <w:spacing w:before="62" w:line="285" w:lineRule="auto"/>
              <w:ind w:left="103" w:right="173"/>
              <w:rPr>
                <w:rFonts w:ascii="宋体" w:hAnsi="宋体" w:eastAsia="宋体" w:cs="宋体"/>
                <w:sz w:val="18"/>
                <w:szCs w:val="18"/>
              </w:rPr>
            </w:pPr>
            <w:r>
              <w:rPr>
                <w:rFonts w:ascii="宋体" w:hAnsi="宋体" w:eastAsia="宋体" w:cs="宋体"/>
                <w:spacing w:val="-2"/>
                <w:sz w:val="18"/>
                <w:szCs w:val="18"/>
              </w:rPr>
              <w:t xml:space="preserve">提供详细的售后服务承诺、相关的质量保证措施、有培训计划及方案、 内容详实。横向比较，优 </w:t>
            </w:r>
            <w:r>
              <w:rPr>
                <w:rFonts w:hint="eastAsia" w:ascii="宋体" w:hAnsi="宋体" w:eastAsia="宋体" w:cs="宋体"/>
                <w:spacing w:val="-2"/>
                <w:sz w:val="18"/>
                <w:szCs w:val="18"/>
              </w:rPr>
              <w:t>5</w:t>
            </w:r>
            <w:r>
              <w:rPr>
                <w:rFonts w:ascii="宋体" w:hAnsi="宋体" w:eastAsia="宋体" w:cs="宋体"/>
                <w:spacing w:val="-2"/>
                <w:sz w:val="18"/>
                <w:szCs w:val="18"/>
              </w:rPr>
              <w:t xml:space="preserve">分；良 </w:t>
            </w:r>
            <w:r>
              <w:rPr>
                <w:rFonts w:hint="eastAsia" w:ascii="宋体" w:hAnsi="宋体" w:eastAsia="宋体" w:cs="宋体"/>
                <w:spacing w:val="-2"/>
                <w:sz w:val="18"/>
                <w:szCs w:val="18"/>
              </w:rPr>
              <w:t>3</w:t>
            </w:r>
            <w:r>
              <w:rPr>
                <w:rFonts w:ascii="宋体" w:hAnsi="宋体" w:eastAsia="宋体" w:cs="宋体"/>
                <w:spacing w:val="-2"/>
                <w:sz w:val="18"/>
                <w:szCs w:val="18"/>
              </w:rPr>
              <w:t>分、</w:t>
            </w:r>
            <w:r>
              <w:rPr>
                <w:rFonts w:hint="eastAsia" w:ascii="宋体" w:hAnsi="宋体" w:eastAsia="宋体" w:cs="宋体"/>
                <w:spacing w:val="-2"/>
                <w:sz w:val="18"/>
                <w:szCs w:val="18"/>
              </w:rPr>
              <w:t>不提供</w:t>
            </w:r>
            <w:r>
              <w:rPr>
                <w:rFonts w:ascii="宋体" w:hAnsi="宋体" w:eastAsia="宋体" w:cs="宋体"/>
                <w:spacing w:val="-2"/>
                <w:sz w:val="18"/>
                <w:szCs w:val="18"/>
              </w:rPr>
              <w:t>不得分；</w:t>
            </w:r>
          </w:p>
        </w:tc>
        <w:tc>
          <w:tcPr>
            <w:tcW w:w="728" w:type="dxa"/>
            <w:tcBorders>
              <w:top w:val="single" w:color="000000" w:sz="4" w:space="0"/>
              <w:left w:val="single" w:color="000000" w:sz="4" w:space="0"/>
              <w:bottom w:val="single" w:color="000000" w:sz="4" w:space="0"/>
              <w:right w:val="single" w:color="000000" w:sz="4" w:space="0"/>
            </w:tcBorders>
          </w:tcPr>
          <w:p>
            <w:pPr>
              <w:pStyle w:val="47"/>
              <w:spacing w:before="6"/>
              <w:rPr>
                <w:rFonts w:ascii="宋体" w:hAnsi="宋体" w:eastAsia="宋体" w:cs="宋体"/>
                <w:sz w:val="18"/>
                <w:szCs w:val="18"/>
              </w:rPr>
            </w:pPr>
          </w:p>
          <w:p>
            <w:pPr>
              <w:pStyle w:val="47"/>
              <w:ind w:right="2"/>
              <w:jc w:val="center"/>
              <w:rPr>
                <w:rFonts w:ascii="宋体" w:hAnsi="宋体" w:eastAsia="宋体" w:cs="宋体"/>
                <w:sz w:val="18"/>
                <w:szCs w:val="18"/>
              </w:rPr>
            </w:pPr>
            <w:r>
              <w:rPr>
                <w:rFonts w:hint="eastAsia" w:ascii="宋体" w:hAnsi="宋体" w:eastAsia="宋体" w:cs="宋体"/>
                <w:b/>
                <w:bCs/>
                <w:sz w:val="18"/>
                <w:szCs w:val="18"/>
              </w:rPr>
              <w:t>5</w:t>
            </w:r>
            <w:r>
              <w:rPr>
                <w:rFonts w:ascii="宋体" w:hAnsi="宋体" w:eastAsia="宋体" w:cs="宋体"/>
                <w:b/>
                <w:bCs/>
                <w:sz w:val="18"/>
                <w:szCs w:val="18"/>
              </w:rPr>
              <w:t>分</w:t>
            </w:r>
          </w:p>
        </w:tc>
      </w:tr>
      <w:tr>
        <w:tblPrEx>
          <w:tblCellMar>
            <w:top w:w="0" w:type="dxa"/>
            <w:left w:w="0" w:type="dxa"/>
            <w:bottom w:w="0" w:type="dxa"/>
            <w:right w:w="0" w:type="dxa"/>
          </w:tblCellMar>
        </w:tblPrEx>
        <w:trPr>
          <w:trHeight w:val="456" w:hRule="exact"/>
        </w:trPr>
        <w:tc>
          <w:tcPr>
            <w:tcW w:w="846" w:type="dxa"/>
            <w:vMerge w:val="continue"/>
            <w:tcBorders>
              <w:left w:val="single" w:color="000000" w:sz="4" w:space="0"/>
              <w:right w:val="single" w:color="000000" w:sz="4" w:space="0"/>
            </w:tcBorders>
          </w:tcPr>
          <w:p>
            <w:pPr>
              <w:pStyle w:val="47"/>
              <w:spacing w:line="271" w:lineRule="auto"/>
              <w:ind w:left="105" w:right="101" w:firstLine="55"/>
              <w:rPr>
                <w:rFonts w:ascii="宋体" w:hAnsi="宋体" w:eastAsia="宋体" w:cs="宋体"/>
                <w:b/>
                <w:bCs/>
                <w:sz w:val="18"/>
                <w:szCs w:val="18"/>
              </w:rPr>
            </w:pPr>
          </w:p>
        </w:tc>
        <w:tc>
          <w:tcPr>
            <w:tcW w:w="8525" w:type="dxa"/>
            <w:tcBorders>
              <w:top w:val="single" w:color="000000" w:sz="4" w:space="0"/>
              <w:left w:val="single" w:color="000000" w:sz="4" w:space="0"/>
              <w:bottom w:val="single" w:color="000000" w:sz="4" w:space="0"/>
              <w:right w:val="single" w:color="000000" w:sz="4" w:space="0"/>
            </w:tcBorders>
          </w:tcPr>
          <w:p>
            <w:pPr>
              <w:pStyle w:val="47"/>
              <w:spacing w:before="62" w:line="285" w:lineRule="auto"/>
              <w:ind w:left="103" w:right="173"/>
              <w:rPr>
                <w:rFonts w:ascii="宋体" w:hAnsi="宋体" w:eastAsia="宋体" w:cs="宋体"/>
                <w:spacing w:val="-2"/>
                <w:sz w:val="18"/>
                <w:szCs w:val="18"/>
              </w:rPr>
            </w:pPr>
            <w:r>
              <w:rPr>
                <w:rFonts w:hint="eastAsia" w:ascii="宋体" w:hAnsi="宋体" w:eastAsia="宋体" w:cs="宋体"/>
                <w:spacing w:val="-2"/>
                <w:sz w:val="18"/>
                <w:szCs w:val="18"/>
              </w:rPr>
              <w:t>提供生产厂家针对此项目的授权书及售后承诺函，提供得2分</w:t>
            </w:r>
          </w:p>
        </w:tc>
        <w:tc>
          <w:tcPr>
            <w:tcW w:w="728" w:type="dxa"/>
            <w:tcBorders>
              <w:top w:val="single" w:color="000000" w:sz="4" w:space="0"/>
              <w:left w:val="single" w:color="000000" w:sz="4" w:space="0"/>
              <w:bottom w:val="single" w:color="000000" w:sz="4" w:space="0"/>
              <w:right w:val="single" w:color="000000" w:sz="4" w:space="0"/>
            </w:tcBorders>
          </w:tcPr>
          <w:p>
            <w:pPr>
              <w:pStyle w:val="47"/>
              <w:ind w:right="2"/>
              <w:jc w:val="center"/>
              <w:rPr>
                <w:rFonts w:ascii="宋体" w:hAnsi="宋体" w:eastAsia="宋体" w:cs="宋体"/>
                <w:b/>
                <w:bCs/>
                <w:sz w:val="18"/>
                <w:szCs w:val="18"/>
              </w:rPr>
            </w:pPr>
            <w:r>
              <w:rPr>
                <w:rFonts w:hint="eastAsia" w:ascii="宋体" w:hAnsi="宋体" w:eastAsia="宋体" w:cs="宋体"/>
                <w:b/>
                <w:bCs/>
                <w:sz w:val="18"/>
                <w:szCs w:val="18"/>
              </w:rPr>
              <w:t>2分</w:t>
            </w:r>
          </w:p>
        </w:tc>
      </w:tr>
      <w:tr>
        <w:tblPrEx>
          <w:tblCellMar>
            <w:top w:w="0" w:type="dxa"/>
            <w:left w:w="0" w:type="dxa"/>
            <w:bottom w:w="0" w:type="dxa"/>
            <w:right w:w="0" w:type="dxa"/>
          </w:tblCellMar>
        </w:tblPrEx>
        <w:trPr>
          <w:trHeight w:val="1212" w:hRule="exact"/>
        </w:trPr>
        <w:tc>
          <w:tcPr>
            <w:tcW w:w="846" w:type="dxa"/>
            <w:vMerge w:val="continue"/>
            <w:tcBorders>
              <w:left w:val="single" w:color="000000" w:sz="4" w:space="0"/>
              <w:bottom w:val="single" w:color="000000" w:sz="4" w:space="0"/>
              <w:right w:val="single" w:color="000000" w:sz="4" w:space="0"/>
            </w:tcBorders>
          </w:tcPr>
          <w:p>
            <w:pPr>
              <w:rPr>
                <w:rFonts w:ascii="宋体" w:hAnsi="宋体" w:eastAsia="宋体"/>
                <w:sz w:val="18"/>
                <w:szCs w:val="18"/>
              </w:rPr>
            </w:pPr>
          </w:p>
        </w:tc>
        <w:tc>
          <w:tcPr>
            <w:tcW w:w="8525" w:type="dxa"/>
            <w:tcBorders>
              <w:top w:val="single" w:color="000000" w:sz="4" w:space="0"/>
              <w:left w:val="single" w:color="000000" w:sz="4" w:space="0"/>
              <w:bottom w:val="single" w:color="000000" w:sz="4" w:space="0"/>
              <w:right w:val="single" w:color="000000" w:sz="4" w:space="0"/>
            </w:tcBorders>
          </w:tcPr>
          <w:p>
            <w:pPr>
              <w:pStyle w:val="47"/>
              <w:spacing w:before="138"/>
              <w:ind w:left="103"/>
              <w:rPr>
                <w:rFonts w:ascii="宋体" w:hAnsi="宋体" w:eastAsia="宋体" w:cs="宋体"/>
                <w:sz w:val="18"/>
                <w:szCs w:val="18"/>
              </w:rPr>
            </w:pPr>
            <w:r>
              <w:rPr>
                <w:rFonts w:hint="eastAsia" w:ascii="宋体" w:hAnsi="宋体" w:eastAsia="宋体" w:cs="宋体"/>
                <w:sz w:val="18"/>
                <w:szCs w:val="18"/>
              </w:rPr>
              <w:t>为保证售后服务的质量。投标人或投标产品制造商需具备专业的售后服务能力，具有GB/T27922-2011要求的《售后服务管理师》合格证书的专业技术人员少于3人的得1分，</w:t>
            </w:r>
            <w:r>
              <w:rPr>
                <w:rFonts w:hint="eastAsia" w:ascii="宋体" w:hAnsi="宋体" w:eastAsia="宋体" w:cs="宋体"/>
                <w:sz w:val="18"/>
                <w:szCs w:val="18"/>
                <w:lang w:eastAsia="zh-CN"/>
              </w:rPr>
              <w:t>大于</w:t>
            </w:r>
            <w:r>
              <w:rPr>
                <w:rFonts w:hint="eastAsia" w:ascii="宋体" w:hAnsi="宋体" w:eastAsia="宋体" w:cs="宋体"/>
                <w:sz w:val="18"/>
                <w:szCs w:val="18"/>
              </w:rPr>
              <w:t>3</w:t>
            </w:r>
            <w:r>
              <w:rPr>
                <w:rFonts w:hint="eastAsia" w:ascii="宋体" w:hAnsi="宋体" w:eastAsia="宋体" w:cs="宋体"/>
                <w:sz w:val="18"/>
                <w:szCs w:val="18"/>
                <w:lang w:eastAsia="zh-CN"/>
              </w:rPr>
              <w:t>人小于</w:t>
            </w:r>
            <w:r>
              <w:rPr>
                <w:rFonts w:hint="eastAsia" w:ascii="宋体" w:hAnsi="宋体" w:eastAsia="宋体" w:cs="宋体"/>
                <w:sz w:val="18"/>
                <w:szCs w:val="18"/>
                <w:lang w:val="en-US" w:eastAsia="zh-CN"/>
              </w:rPr>
              <w:t>5</w:t>
            </w:r>
            <w:r>
              <w:rPr>
                <w:rFonts w:hint="eastAsia" w:ascii="宋体" w:hAnsi="宋体" w:eastAsia="宋体" w:cs="宋体"/>
                <w:sz w:val="18"/>
                <w:szCs w:val="18"/>
              </w:rPr>
              <w:t>人的得2分，5人及5人以上的得3分。（提供证书复印件加盖公章）</w:t>
            </w:r>
          </w:p>
          <w:p>
            <w:pPr>
              <w:pStyle w:val="47"/>
              <w:spacing w:before="138"/>
              <w:ind w:left="103"/>
              <w:rPr>
                <w:rFonts w:ascii="宋体" w:hAnsi="宋体" w:eastAsia="宋体" w:cs="宋体"/>
                <w:sz w:val="18"/>
                <w:szCs w:val="18"/>
              </w:rPr>
            </w:pPr>
          </w:p>
        </w:tc>
        <w:tc>
          <w:tcPr>
            <w:tcW w:w="728" w:type="dxa"/>
            <w:tcBorders>
              <w:top w:val="single" w:color="000000" w:sz="4" w:space="0"/>
              <w:left w:val="single" w:color="000000" w:sz="4" w:space="0"/>
              <w:bottom w:val="single" w:color="000000" w:sz="4" w:space="0"/>
              <w:right w:val="single" w:color="000000" w:sz="4" w:space="0"/>
            </w:tcBorders>
          </w:tcPr>
          <w:p>
            <w:pPr>
              <w:pStyle w:val="47"/>
              <w:spacing w:before="129"/>
              <w:ind w:right="2"/>
              <w:jc w:val="center"/>
              <w:rPr>
                <w:rFonts w:ascii="宋体" w:hAnsi="宋体" w:eastAsia="宋体" w:cs="宋体"/>
                <w:sz w:val="18"/>
                <w:szCs w:val="18"/>
              </w:rPr>
            </w:pPr>
            <w:r>
              <w:rPr>
                <w:rFonts w:hint="eastAsia" w:ascii="宋体" w:hAnsi="宋体" w:eastAsia="宋体" w:cs="宋体"/>
                <w:b/>
                <w:bCs/>
                <w:sz w:val="18"/>
                <w:szCs w:val="18"/>
              </w:rPr>
              <w:t>3</w:t>
            </w:r>
            <w:r>
              <w:rPr>
                <w:rFonts w:ascii="宋体" w:hAnsi="宋体" w:eastAsia="宋体" w:cs="宋体"/>
                <w:b/>
                <w:bCs/>
                <w:sz w:val="18"/>
                <w:szCs w:val="18"/>
              </w:rPr>
              <w:t>分</w:t>
            </w:r>
          </w:p>
        </w:tc>
      </w:tr>
    </w:tbl>
    <w:p>
      <w:pPr>
        <w:pStyle w:val="51"/>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p>
      <w:pPr>
        <w:pStyle w:val="51"/>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名中标候选人。</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w:t>
      </w:r>
      <w:r>
        <w:rPr>
          <w:rFonts w:hint="eastAsia" w:ascii="仿宋" w:hAnsi="仿宋" w:eastAsia="仿宋" w:cs="仿宋"/>
          <w:color w:val="000000" w:themeColor="text1"/>
          <w:szCs w:val="21"/>
          <w:highlight w:val="none"/>
          <w14:textFill>
            <w14:solidFill>
              <w14:schemeClr w14:val="tx1"/>
            </w14:solidFill>
          </w14:textFill>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(6)投标人超出营业范围投标的；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（16）</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4" w:name="_Toc469495737"/>
      <w:bookmarkStart w:id="45" w:name="OLE_LINK4"/>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第四章  </w:t>
      </w:r>
      <w:bookmarkEnd w:id="38"/>
      <w:bookmarkEnd w:id="44"/>
      <w:r>
        <w:rPr>
          <w:rFonts w:hint="eastAsia" w:ascii="仿宋" w:hAnsi="仿宋" w:eastAsia="仿宋" w:cs="仿宋"/>
          <w:b/>
          <w:color w:val="000000" w:themeColor="text1"/>
          <w:sz w:val="32"/>
          <w:szCs w:val="32"/>
          <w:highlight w:val="none"/>
          <w14:textFill>
            <w14:solidFill>
              <w14:schemeClr w14:val="tx1"/>
            </w14:solidFill>
          </w14:textFill>
        </w:rPr>
        <w:t>技术规格、数量及质量要求</w:t>
      </w:r>
    </w:p>
    <w:p>
      <w:pPr>
        <w:spacing w:line="360" w:lineRule="auto"/>
        <w:jc w:val="center"/>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克州阿图什市新城高级中学建设项目(设备采购)一包</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bl>
      <w:tblPr>
        <w:tblStyle w:val="22"/>
        <w:tblW w:w="10471"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416"/>
        <w:gridCol w:w="6428"/>
        <w:gridCol w:w="716"/>
        <w:gridCol w:w="743"/>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eastAsia"/>
                <w:vertAlign w:val="baseline"/>
                <w:lang w:val="en-US" w:eastAsia="zh-CN"/>
              </w:rPr>
            </w:pPr>
            <w:r>
              <w:rPr>
                <w:rFonts w:hint="eastAsia"/>
                <w:vertAlign w:val="baseline"/>
                <w:lang w:val="en-US" w:eastAsia="zh-CN"/>
              </w:rPr>
              <w:t>序号</w:t>
            </w:r>
          </w:p>
        </w:tc>
        <w:tc>
          <w:tcPr>
            <w:tcW w:w="1416" w:type="dxa"/>
          </w:tcPr>
          <w:p>
            <w:pPr>
              <w:jc w:val="center"/>
              <w:rPr>
                <w:rFonts w:hint="eastAsia"/>
                <w:vertAlign w:val="baseline"/>
                <w:lang w:val="en-US" w:eastAsia="zh-CN"/>
              </w:rPr>
            </w:pPr>
            <w:r>
              <w:rPr>
                <w:rFonts w:hint="eastAsia"/>
                <w:vertAlign w:val="baseline"/>
                <w:lang w:val="en-US" w:eastAsia="zh-CN"/>
              </w:rPr>
              <w:t>设备名称</w:t>
            </w:r>
          </w:p>
        </w:tc>
        <w:tc>
          <w:tcPr>
            <w:tcW w:w="6428" w:type="dxa"/>
          </w:tcPr>
          <w:p>
            <w:pPr>
              <w:jc w:val="center"/>
              <w:rPr>
                <w:rFonts w:hint="eastAsia"/>
                <w:vertAlign w:val="baseline"/>
                <w:lang w:val="en-US" w:eastAsia="zh-CN"/>
              </w:rPr>
            </w:pPr>
            <w:r>
              <w:rPr>
                <w:rFonts w:hint="eastAsia"/>
                <w:vertAlign w:val="baseline"/>
                <w:lang w:val="en-US" w:eastAsia="zh-CN"/>
              </w:rPr>
              <w:t>规格参数</w:t>
            </w:r>
          </w:p>
        </w:tc>
        <w:tc>
          <w:tcPr>
            <w:tcW w:w="716" w:type="dxa"/>
          </w:tcPr>
          <w:p>
            <w:pPr>
              <w:jc w:val="center"/>
              <w:rPr>
                <w:rFonts w:hint="eastAsia"/>
                <w:vertAlign w:val="baseline"/>
                <w:lang w:val="en-US" w:eastAsia="zh-CN"/>
              </w:rPr>
            </w:pPr>
            <w:r>
              <w:rPr>
                <w:rFonts w:hint="eastAsia"/>
                <w:vertAlign w:val="baseline"/>
                <w:lang w:val="en-US" w:eastAsia="zh-CN"/>
              </w:rPr>
              <w:t>数量</w:t>
            </w:r>
          </w:p>
        </w:tc>
        <w:tc>
          <w:tcPr>
            <w:tcW w:w="743" w:type="dxa"/>
          </w:tcPr>
          <w:p>
            <w:pPr>
              <w:jc w:val="center"/>
              <w:rPr>
                <w:rFonts w:hint="eastAsia"/>
                <w:vertAlign w:val="baseline"/>
                <w:lang w:val="en-US" w:eastAsia="zh-CN"/>
              </w:rPr>
            </w:pPr>
            <w:r>
              <w:rPr>
                <w:rFonts w:hint="eastAsia"/>
                <w:vertAlign w:val="baseline"/>
                <w:lang w:val="en-US" w:eastAsia="zh-CN"/>
              </w:rPr>
              <w:t>单位</w:t>
            </w:r>
          </w:p>
        </w:tc>
        <w:tc>
          <w:tcPr>
            <w:tcW w:w="580" w:type="dxa"/>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一、设备部分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tcPr>
          <w:p>
            <w:pPr>
              <w:jc w:val="center"/>
              <w:rPr>
                <w:rFonts w:hint="eastAsia"/>
                <w:vertAlign w:val="baseline"/>
                <w:lang w:val="en-US" w:eastAsia="zh-CN"/>
              </w:rPr>
            </w:pPr>
            <w:r>
              <w:rPr>
                <w:rFonts w:hint="eastAsia"/>
                <w:vertAlign w:val="baseline"/>
                <w:lang w:val="en-US" w:eastAsia="zh-CN"/>
              </w:rPr>
              <w:t>200万球型网络摄像机</w:t>
            </w:r>
          </w:p>
        </w:tc>
        <w:tc>
          <w:tcPr>
            <w:tcW w:w="6428" w:type="dxa"/>
          </w:tcPr>
          <w:p>
            <w:pPr>
              <w:jc w:val="left"/>
              <w:rPr>
                <w:rFonts w:hint="eastAsia"/>
                <w:vertAlign w:val="baseline"/>
                <w:lang w:val="en-US" w:eastAsia="zh-CN"/>
              </w:rPr>
            </w:pPr>
            <w:r>
              <w:rPr>
                <w:rFonts w:hint="eastAsia"/>
                <w:vertAlign w:val="baseline"/>
                <w:lang w:val="en-US" w:eastAsia="zh-CN"/>
              </w:rPr>
              <w:t>最高像素:200万 传感器靶面:1/2.8" 焦距:4.5~148.5mm 倍率:33X 补光模式:红外补光 补光距离:150米红外补光 人脸检测:最多可同时检测40个人脸目标；</w:t>
            </w:r>
          </w:p>
          <w:p>
            <w:pPr>
              <w:jc w:val="left"/>
              <w:rPr>
                <w:rFonts w:hint="eastAsia"/>
                <w:vertAlign w:val="baseline"/>
                <w:lang w:val="en-US" w:eastAsia="zh-CN"/>
              </w:rPr>
            </w:pPr>
            <w:r>
              <w:rPr>
                <w:rFonts w:hint="eastAsia"/>
                <w:vertAlign w:val="baseline"/>
                <w:lang w:val="en-US" w:eastAsia="zh-CN"/>
              </w:rPr>
              <w:t>支持效果优先、速度优先、周期优选三种人脸抓拍优选模式，支持人脸角度过滤；</w:t>
            </w:r>
          </w:p>
          <w:p>
            <w:pPr>
              <w:jc w:val="left"/>
              <w:rPr>
                <w:rFonts w:hint="eastAsia"/>
                <w:vertAlign w:val="baseline"/>
                <w:lang w:val="en-US" w:eastAsia="zh-CN"/>
              </w:rPr>
            </w:pPr>
            <w:r>
              <w:rPr>
                <w:rFonts w:hint="eastAsia"/>
                <w:vertAlign w:val="baseline"/>
                <w:lang w:val="en-US" w:eastAsia="zh-CN"/>
              </w:rPr>
              <w:t>支持人脸、人体抓拍，支持人脸属性提取；</w:t>
            </w:r>
          </w:p>
          <w:p>
            <w:pPr>
              <w:jc w:val="left"/>
              <w:rPr>
                <w:rFonts w:hint="eastAsia"/>
                <w:vertAlign w:val="baseline"/>
                <w:lang w:val="en-US" w:eastAsia="zh-CN"/>
              </w:rPr>
            </w:pPr>
            <w:r>
              <w:rPr>
                <w:rFonts w:hint="eastAsia"/>
                <w:vertAlign w:val="baseline"/>
                <w:lang w:val="en-US" w:eastAsia="zh-CN"/>
              </w:rPr>
              <w:t>人脸属性：性别、年龄段、戴眼镜、戴口罩 周界布防:支持越界检测、区域入侵、进入区域、离开区域；</w:t>
            </w:r>
          </w:p>
          <w:p>
            <w:pPr>
              <w:jc w:val="left"/>
              <w:rPr>
                <w:rFonts w:hint="eastAsia"/>
                <w:vertAlign w:val="baseline"/>
                <w:lang w:val="en-US" w:eastAsia="zh-CN"/>
              </w:rPr>
            </w:pPr>
            <w:r>
              <w:rPr>
                <w:rFonts w:hint="eastAsia"/>
                <w:vertAlign w:val="baseline"/>
                <w:lang w:val="en-US" w:eastAsia="zh-CN"/>
              </w:rPr>
              <w:t>支持机动车、非机动车、行人目标分类检测抓拍及布防 人数统计:人流量统计：支持总人数、进入人数、离开人数统计，支持滞留人数三级报警，支持人数统计清零；</w:t>
            </w:r>
          </w:p>
          <w:p>
            <w:pPr>
              <w:jc w:val="left"/>
              <w:rPr>
                <w:rFonts w:hint="eastAsia"/>
                <w:vertAlign w:val="baseline"/>
                <w:lang w:val="en-US" w:eastAsia="zh-CN"/>
              </w:rPr>
            </w:pPr>
            <w:r>
              <w:rPr>
                <w:rFonts w:hint="eastAsia"/>
                <w:vertAlign w:val="baseline"/>
                <w:lang w:val="en-US" w:eastAsia="zh-CN"/>
              </w:rPr>
              <w:t xml:space="preserve">人员密度检测：支持人员密度三级报警 自动跟踪:支持对画面中的机动车、非机动车、行人目标进行分类跟踪，达到预设跟踪时间后自动返回初始位置 水平范围:360°连续旋转 垂直范围:-15°~90° 移动通信:支持4G,支持单SIM卡插槽,信号天线 SD卡接口:Micro SD插槽*1,最大支持256GB 音频输入:1入 音频输出:1出 告警输入:2入 告警输出:1出 串口:1路RS485串口(防护等级4000V) 网口:RJ45 10M/100M自适应以太网电口 BNC:支持 电源:DC12V±10% 防水防尘:IP66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tcPr>
          <w:p>
            <w:pPr>
              <w:jc w:val="center"/>
              <w:rPr>
                <w:rFonts w:hint="eastAsia"/>
                <w:vertAlign w:val="baseline"/>
                <w:lang w:val="en-US" w:eastAsia="zh-CN"/>
              </w:rPr>
            </w:pPr>
            <w:r>
              <w:rPr>
                <w:rFonts w:hint="eastAsia"/>
                <w:vertAlign w:val="baseline"/>
                <w:lang w:val="en-US" w:eastAsia="zh-CN"/>
              </w:rPr>
              <w:t>200万人脸识别摄像机</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传感器靶面:1/1.8" 焦距:6.0mm~9.0mm 变焦方式:电动变焦 光圈:F1.6 补光模式:红外补光 补光距离:红外补光50m，人脸补光10m 电源:DC12V±25%,POE(IEEE802.3af) 防水防尘:IP66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6</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tcPr>
          <w:p>
            <w:pPr>
              <w:jc w:val="center"/>
              <w:rPr>
                <w:rFonts w:hint="eastAsia"/>
                <w:vertAlign w:val="baseline"/>
                <w:lang w:val="en-US" w:eastAsia="zh-CN"/>
              </w:rPr>
            </w:pPr>
            <w:r>
              <w:rPr>
                <w:rFonts w:hint="eastAsia"/>
                <w:vertAlign w:val="baseline"/>
                <w:lang w:val="en-US" w:eastAsia="zh-CN"/>
              </w:rPr>
              <w:t>200万防油烟网络枪机</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传感器靶面:1/2.8" 光圈:F1.6 变焦方式:定焦 焦距:8.0mm 补光模式:红外补光 补光距离:80m Mic:1个 智能抓拍:机动车抓拍，非机动车抓拍，行人抓拍，人脸抓拍，定时抓拍,隔时抓拍,事件抓拍 周界布防:越界检测、区域入侵、进入区域、离开区域（机非人） 人脸检测:支持 人数统计:人流量统计，人员密度检测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3</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tcPr>
          <w:p>
            <w:pPr>
              <w:jc w:val="center"/>
              <w:rPr>
                <w:rFonts w:hint="eastAsia"/>
                <w:vertAlign w:val="baseline"/>
                <w:lang w:val="en-US" w:eastAsia="zh-CN"/>
              </w:rPr>
            </w:pPr>
            <w:r>
              <w:rPr>
                <w:rFonts w:hint="eastAsia"/>
                <w:vertAlign w:val="baseline"/>
                <w:lang w:val="en-US" w:eastAsia="zh-CN"/>
              </w:rPr>
              <w:t>200万智能温湿度半球</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传感器靶面:1/2.7" 光圈:F2.0 变焦方式:定焦 焦距:4mm 补光模式:红外补光 补光距离:30m 智能抓拍:定时抓拍,隔时抓拍,事件抓拍 周界布防:越界检测、区域入侵 电源:DC12V±25%,POE(IEEE802.3af)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2</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tcPr>
          <w:p>
            <w:pPr>
              <w:jc w:val="center"/>
              <w:rPr>
                <w:rFonts w:hint="eastAsia"/>
                <w:vertAlign w:val="baseline"/>
                <w:lang w:val="en-US" w:eastAsia="zh-CN"/>
              </w:rPr>
            </w:pPr>
            <w:r>
              <w:rPr>
                <w:rFonts w:hint="eastAsia"/>
                <w:vertAlign w:val="baseline"/>
                <w:lang w:val="en-US" w:eastAsia="zh-CN"/>
              </w:rPr>
              <w:t>200万实验室防爆枪型摄像机</w:t>
            </w:r>
          </w:p>
        </w:tc>
        <w:tc>
          <w:tcPr>
            <w:tcW w:w="6428" w:type="dxa"/>
          </w:tcPr>
          <w:p>
            <w:pPr>
              <w:jc w:val="left"/>
              <w:rPr>
                <w:rFonts w:hint="eastAsia"/>
                <w:vertAlign w:val="baseline"/>
                <w:lang w:val="en-US" w:eastAsia="zh-CN"/>
              </w:rPr>
            </w:pPr>
            <w:r>
              <w:rPr>
                <w:rFonts w:hint="eastAsia"/>
                <w:vertAlign w:val="baseline"/>
                <w:lang w:val="en-US" w:eastAsia="zh-CN"/>
              </w:rPr>
              <w:t>最高像素:200万 传感器靶面:1/2.8" 焦距:4.5~148.5mm 倍率:33X 补光模式:红外补光 补光距离:150米红外补光 人脸检测:最多可同时检测40个人脸目标；</w:t>
            </w:r>
          </w:p>
          <w:p>
            <w:pPr>
              <w:jc w:val="left"/>
              <w:rPr>
                <w:rFonts w:hint="eastAsia"/>
                <w:vertAlign w:val="baseline"/>
                <w:lang w:val="en-US" w:eastAsia="zh-CN"/>
              </w:rPr>
            </w:pPr>
            <w:r>
              <w:rPr>
                <w:rFonts w:hint="eastAsia"/>
                <w:vertAlign w:val="baseline"/>
                <w:lang w:val="en-US" w:eastAsia="zh-CN"/>
              </w:rPr>
              <w:t>支持效果优先、速度优先、周期优选三种人脸抓拍优选模式，支持人脸角度过滤；</w:t>
            </w:r>
          </w:p>
          <w:p>
            <w:pPr>
              <w:jc w:val="left"/>
              <w:rPr>
                <w:rFonts w:hint="eastAsia"/>
                <w:vertAlign w:val="baseline"/>
                <w:lang w:val="en-US" w:eastAsia="zh-CN"/>
              </w:rPr>
            </w:pPr>
            <w:r>
              <w:rPr>
                <w:rFonts w:hint="eastAsia"/>
                <w:vertAlign w:val="baseline"/>
                <w:lang w:val="en-US" w:eastAsia="zh-CN"/>
              </w:rPr>
              <w:t>支持人脸、人体抓拍，支持人脸属性提取；</w:t>
            </w:r>
          </w:p>
          <w:p>
            <w:pPr>
              <w:jc w:val="left"/>
              <w:rPr>
                <w:rFonts w:hint="eastAsia"/>
                <w:vertAlign w:val="baseline"/>
                <w:lang w:val="en-US" w:eastAsia="zh-CN"/>
              </w:rPr>
            </w:pPr>
            <w:r>
              <w:rPr>
                <w:rFonts w:hint="eastAsia"/>
                <w:vertAlign w:val="baseline"/>
                <w:lang w:val="en-US" w:eastAsia="zh-CN"/>
              </w:rPr>
              <w:t>人脸属性：性别、年龄段、戴眼镜、戴口罩 周界布防:支持越界检测、区域入侵、进入区域、离开区域；</w:t>
            </w:r>
          </w:p>
          <w:p>
            <w:pPr>
              <w:jc w:val="left"/>
              <w:rPr>
                <w:rFonts w:hint="eastAsia"/>
                <w:vertAlign w:val="baseline"/>
                <w:lang w:val="en-US" w:eastAsia="zh-CN"/>
              </w:rPr>
            </w:pPr>
            <w:r>
              <w:rPr>
                <w:rFonts w:hint="eastAsia"/>
                <w:vertAlign w:val="baseline"/>
                <w:lang w:val="en-US" w:eastAsia="zh-CN"/>
              </w:rPr>
              <w:t>支持机动车、非机动车、行人目标分类检测抓拍及布防 人数统计:人流量统计：支持总人数、进入人数、离开人数统计，支持滞留人数三级报警，支持人数统计清零；</w:t>
            </w:r>
          </w:p>
          <w:p>
            <w:pPr>
              <w:jc w:val="left"/>
              <w:rPr>
                <w:rFonts w:hint="eastAsia"/>
                <w:vertAlign w:val="baseline"/>
                <w:lang w:val="en-US" w:eastAsia="zh-CN"/>
              </w:rPr>
            </w:pPr>
            <w:r>
              <w:rPr>
                <w:rFonts w:hint="eastAsia"/>
                <w:vertAlign w:val="baseline"/>
                <w:lang w:val="en-US" w:eastAsia="zh-CN"/>
              </w:rPr>
              <w:t xml:space="preserve">人员密度检测：支持人员密度三级报警 自动跟踪:支持对画面中的机动车、非机动车、行人目标进行分类跟踪，达到预设跟踪时间后自动返回初始位置 水平范围:360°连续旋转 垂直范围:-15°~90° 移动通信:支持4G,支持单SIM卡插槽,信号天线 SD卡接口:Micro SD插槽*1,最大支持256GB 音频输入:1入 音频输出:1出 告警输入:2入 告警输出:1出 串口:1路RS485串口(防护等级4000V) 网口:RJ45 10M/100M自适应以太网电口 BNC:支持 电源:DC12V±10% 防水防尘:IP66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5</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tcPr>
          <w:p>
            <w:pPr>
              <w:jc w:val="center"/>
              <w:rPr>
                <w:rFonts w:hint="eastAsia"/>
                <w:vertAlign w:val="baseline"/>
                <w:lang w:val="en-US" w:eastAsia="zh-CN"/>
              </w:rPr>
            </w:pPr>
            <w:r>
              <w:rPr>
                <w:rFonts w:hint="eastAsia"/>
                <w:vertAlign w:val="baseline"/>
                <w:lang w:val="en-US" w:eastAsia="zh-CN"/>
              </w:rPr>
              <w:t>200万网络红外枪机</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传感器靶面:1/2.7" 光圈:F2.0 变焦方式:定焦 焦距:4mm 补光模式:红外补光 补光距离:50m Mic:1个 电源:DC12V±25%,POE(IEEE802.3af)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495</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tcPr>
          <w:p>
            <w:pPr>
              <w:jc w:val="center"/>
              <w:rPr>
                <w:rFonts w:hint="eastAsia"/>
                <w:vertAlign w:val="baseline"/>
                <w:lang w:val="en-US" w:eastAsia="zh-CN"/>
              </w:rPr>
            </w:pPr>
            <w:r>
              <w:rPr>
                <w:rFonts w:hint="eastAsia"/>
                <w:vertAlign w:val="baseline"/>
                <w:lang w:val="en-US" w:eastAsia="zh-CN"/>
              </w:rPr>
              <w:t>200万门卫音频球型摄像机</w:t>
            </w:r>
          </w:p>
        </w:tc>
        <w:tc>
          <w:tcPr>
            <w:tcW w:w="6428" w:type="dxa"/>
          </w:tcPr>
          <w:p>
            <w:pPr>
              <w:jc w:val="left"/>
              <w:rPr>
                <w:rFonts w:hint="eastAsia"/>
                <w:vertAlign w:val="baseline"/>
                <w:lang w:val="en-US" w:eastAsia="zh-CN"/>
              </w:rPr>
            </w:pPr>
            <w:r>
              <w:rPr>
                <w:rFonts w:hint="eastAsia"/>
                <w:vertAlign w:val="baseline"/>
                <w:lang w:val="en-US" w:eastAsia="zh-CN"/>
              </w:rPr>
              <w:t>最高像素:200万 传感器靶面:1/2.8" 焦距:5.0~125.0mm 倍率:25X 补光模式:红外补光 补光距离:150米红外补光 人脸检测:最多可同时检测40个人脸目标；</w:t>
            </w:r>
          </w:p>
          <w:p>
            <w:pPr>
              <w:jc w:val="left"/>
              <w:rPr>
                <w:rFonts w:hint="eastAsia"/>
                <w:vertAlign w:val="baseline"/>
                <w:lang w:val="en-US" w:eastAsia="zh-CN"/>
              </w:rPr>
            </w:pPr>
            <w:r>
              <w:rPr>
                <w:rFonts w:hint="eastAsia"/>
                <w:vertAlign w:val="baseline"/>
                <w:lang w:val="en-US" w:eastAsia="zh-CN"/>
              </w:rPr>
              <w:t>支持效果优先、速度优先、周期优选三种人脸抓拍优选模式，支持人脸角度过滤；</w:t>
            </w:r>
          </w:p>
          <w:p>
            <w:pPr>
              <w:jc w:val="left"/>
              <w:rPr>
                <w:rFonts w:hint="eastAsia"/>
                <w:vertAlign w:val="baseline"/>
                <w:lang w:val="en-US" w:eastAsia="zh-CN"/>
              </w:rPr>
            </w:pPr>
            <w:r>
              <w:rPr>
                <w:rFonts w:hint="eastAsia"/>
                <w:vertAlign w:val="baseline"/>
                <w:lang w:val="en-US" w:eastAsia="zh-CN"/>
              </w:rPr>
              <w:t>支持人脸、人体抓拍，支持人脸属性提取；</w:t>
            </w:r>
          </w:p>
          <w:p>
            <w:pPr>
              <w:jc w:val="left"/>
              <w:rPr>
                <w:rFonts w:hint="eastAsia"/>
                <w:vertAlign w:val="baseline"/>
                <w:lang w:val="en-US" w:eastAsia="zh-CN"/>
              </w:rPr>
            </w:pPr>
            <w:r>
              <w:rPr>
                <w:rFonts w:hint="eastAsia"/>
                <w:vertAlign w:val="baseline"/>
                <w:lang w:val="en-US" w:eastAsia="zh-CN"/>
              </w:rPr>
              <w:t>人脸属性：性别、年龄段、戴眼镜、戴口罩 周界布防:支持越界检测、区域入侵、进入区域、离开区域；</w:t>
            </w:r>
          </w:p>
          <w:p>
            <w:pPr>
              <w:jc w:val="left"/>
              <w:rPr>
                <w:rFonts w:hint="eastAsia"/>
                <w:vertAlign w:val="baseline"/>
                <w:lang w:val="en-US" w:eastAsia="zh-CN"/>
              </w:rPr>
            </w:pPr>
            <w:r>
              <w:rPr>
                <w:rFonts w:hint="eastAsia"/>
                <w:vertAlign w:val="baseline"/>
                <w:lang w:val="en-US" w:eastAsia="zh-CN"/>
              </w:rPr>
              <w:t>支持机动车、非机动车、行人目标分类检测抓拍及布防 人数统计:人流量统计：支持总人数、进入人数、离开人数统计，支持滞留人数三级报警，支持人数统计清零；</w:t>
            </w:r>
          </w:p>
          <w:p>
            <w:pPr>
              <w:jc w:val="left"/>
              <w:rPr>
                <w:rFonts w:hint="eastAsia"/>
                <w:vertAlign w:val="baseline"/>
                <w:lang w:val="en-US" w:eastAsia="zh-CN"/>
              </w:rPr>
            </w:pPr>
            <w:r>
              <w:rPr>
                <w:rFonts w:hint="eastAsia"/>
                <w:vertAlign w:val="baseline"/>
                <w:lang w:val="en-US" w:eastAsia="zh-CN"/>
              </w:rPr>
              <w:t xml:space="preserve">人员密度检测：支持人员密度三级报警 人脸属性—人脸检测:性别,年龄段,戴眼镜,戴口罩 水平范围:360°连续旋转 垂直范围:-15°~90° 音频输入:1入 音频输出:1出 告警输入:2入 告警输出:1出 串口:1路RS485串口(防护等级4000V) BNC:支持 电源:AC24V±25%,DC24V±25% 防水防尘:IP66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tcPr>
          <w:p>
            <w:pPr>
              <w:jc w:val="center"/>
              <w:rPr>
                <w:rFonts w:hint="eastAsia"/>
                <w:vertAlign w:val="baseline"/>
                <w:lang w:val="en-US" w:eastAsia="zh-CN"/>
              </w:rPr>
            </w:pPr>
            <w:r>
              <w:rPr>
                <w:rFonts w:hint="eastAsia"/>
                <w:vertAlign w:val="baseline"/>
                <w:lang w:val="en-US" w:eastAsia="zh-CN"/>
              </w:rPr>
              <w:t>200万机房人脸识别半球</w:t>
            </w:r>
          </w:p>
        </w:tc>
        <w:tc>
          <w:tcPr>
            <w:tcW w:w="6428" w:type="dxa"/>
          </w:tcPr>
          <w:p>
            <w:pPr>
              <w:jc w:val="left"/>
              <w:rPr>
                <w:rFonts w:hint="eastAsia"/>
                <w:vertAlign w:val="baseline"/>
                <w:lang w:val="en-US" w:eastAsia="zh-CN"/>
              </w:rPr>
            </w:pPr>
            <w:r>
              <w:rPr>
                <w:rFonts w:hint="eastAsia"/>
                <w:vertAlign w:val="baseline"/>
                <w:lang w:val="en-US" w:eastAsia="zh-CN"/>
              </w:rPr>
              <w:t>400万像素1/3"海螺半球网络摄像机；2.8/4.0/6.0mm定焦；内置Mic、内置Speaker； 10M/100M自适应网口；0.003ux (F1.6，AGC ON，彩色)，0lux(开启红外)；宽动态范围：120dB；红外/暖光双光补光；30FPS（2688*1520）；支持人脸检测、运动检测、越界检测、区域入侵、进入区域、离开区域、遮挡检测、声音异常；供电方式：DC12V(±25%)、POE；工作温湿度：-30℃~60℃，≤95%RH；功耗：6.0W MAX；防护等级：IP66；</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tcPr>
          <w:p>
            <w:pPr>
              <w:jc w:val="center"/>
              <w:rPr>
                <w:rFonts w:hint="eastAsia"/>
                <w:vertAlign w:val="baseline"/>
                <w:lang w:val="en-US" w:eastAsia="zh-CN"/>
              </w:rPr>
            </w:pPr>
            <w:r>
              <w:rPr>
                <w:rFonts w:hint="eastAsia"/>
                <w:vertAlign w:val="baseline"/>
                <w:lang w:val="en-US" w:eastAsia="zh-CN"/>
              </w:rPr>
              <w:t>200万网络半球</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传感器靶面:1/2.7" 光圈:F2.0 变焦方式:定焦 焦距:2.8mm 补光模式:红外补光 补光距离:30m 智能抓拍:定时抓拍,隔时抓拍,事件抓拍 周界布防:越界检测、区域入侵 电源:DC12V±25%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149</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tcPr>
          <w:p>
            <w:pPr>
              <w:jc w:val="center"/>
              <w:rPr>
                <w:rFonts w:hint="eastAsia"/>
                <w:vertAlign w:val="baseline"/>
                <w:lang w:val="en-US" w:eastAsia="zh-CN"/>
              </w:rPr>
            </w:pPr>
            <w:r>
              <w:rPr>
                <w:rFonts w:hint="eastAsia"/>
                <w:vertAlign w:val="baseline"/>
                <w:lang w:val="en-US" w:eastAsia="zh-CN"/>
              </w:rPr>
              <w:t>200万电梯专用半球摄像机</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变焦方式:定焦 焦距:2.8mm 补光模式:红外补光 补光距离:10m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6</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tcPr>
          <w:p>
            <w:pPr>
              <w:jc w:val="center"/>
              <w:rPr>
                <w:rFonts w:hint="eastAsia"/>
                <w:vertAlign w:val="baseline"/>
                <w:lang w:val="en-US" w:eastAsia="zh-CN"/>
              </w:rPr>
            </w:pPr>
            <w:r>
              <w:rPr>
                <w:rFonts w:hint="eastAsia"/>
                <w:vertAlign w:val="baseline"/>
                <w:lang w:val="en-US" w:eastAsia="zh-CN"/>
              </w:rPr>
              <w:t>电梯网桥</w:t>
            </w:r>
          </w:p>
        </w:tc>
        <w:tc>
          <w:tcPr>
            <w:tcW w:w="6428" w:type="dxa"/>
          </w:tcPr>
          <w:p>
            <w:pPr>
              <w:jc w:val="left"/>
              <w:rPr>
                <w:rFonts w:hint="eastAsia"/>
                <w:vertAlign w:val="baseline"/>
                <w:lang w:val="en-US" w:eastAsia="zh-CN"/>
              </w:rPr>
            </w:pPr>
            <w:r>
              <w:rPr>
                <w:rFonts w:hint="eastAsia"/>
                <w:vertAlign w:val="baseline"/>
                <w:lang w:val="en-US" w:eastAsia="zh-CN"/>
              </w:rPr>
              <w:t xml:space="preserve">端口速率:百兆 支持标准:IEEE802.11 b/g/n（2T2R 300Mbps） 天线增益:内置天线：增益6dBi  水平65度，垂直60度 最大传输速率:11n：300Mbps(40M信道宽度)，130(20M信道宽度)，11g：54Mbps 电源:PoE 15V或者DC 12V 工作温度:-20℃~55℃ </w:t>
            </w:r>
          </w:p>
        </w:tc>
        <w:tc>
          <w:tcPr>
            <w:tcW w:w="716" w:type="dxa"/>
          </w:tcPr>
          <w:p>
            <w:pPr>
              <w:jc w:val="center"/>
              <w:rPr>
                <w:rFonts w:hint="default"/>
                <w:vertAlign w:val="baseline"/>
                <w:lang w:val="en-US" w:eastAsia="zh-CN"/>
              </w:rPr>
            </w:pPr>
            <w:r>
              <w:rPr>
                <w:rFonts w:hint="eastAsia"/>
                <w:vertAlign w:val="baseline"/>
                <w:lang w:val="en-US" w:eastAsia="zh-CN"/>
              </w:rPr>
              <w:t>6</w:t>
            </w:r>
          </w:p>
        </w:tc>
        <w:tc>
          <w:tcPr>
            <w:tcW w:w="743" w:type="dxa"/>
          </w:tcPr>
          <w:p>
            <w:pPr>
              <w:jc w:val="center"/>
              <w:rPr>
                <w:rFonts w:hint="eastAsia"/>
                <w:vertAlign w:val="baseline"/>
                <w:lang w:val="en-US" w:eastAsia="zh-CN"/>
              </w:rPr>
            </w:pPr>
            <w:r>
              <w:rPr>
                <w:rFonts w:hint="eastAsia"/>
                <w:vertAlign w:val="baseline"/>
                <w:lang w:val="en-US" w:eastAsia="zh-CN"/>
              </w:rPr>
              <w:t>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12</w:t>
            </w:r>
          </w:p>
        </w:tc>
        <w:tc>
          <w:tcPr>
            <w:tcW w:w="1416" w:type="dxa"/>
          </w:tcPr>
          <w:p>
            <w:pPr>
              <w:jc w:val="center"/>
              <w:rPr>
                <w:rFonts w:hint="eastAsia"/>
                <w:vertAlign w:val="baseline"/>
                <w:lang w:val="en-US" w:eastAsia="zh-CN"/>
              </w:rPr>
            </w:pPr>
            <w:r>
              <w:rPr>
                <w:rFonts w:hint="eastAsia"/>
                <w:vertAlign w:val="baseline"/>
                <w:lang w:val="en-US" w:eastAsia="zh-CN"/>
              </w:rPr>
              <w:t>枪机电源</w:t>
            </w:r>
          </w:p>
        </w:tc>
        <w:tc>
          <w:tcPr>
            <w:tcW w:w="6428" w:type="dxa"/>
          </w:tcPr>
          <w:p>
            <w:pPr>
              <w:jc w:val="left"/>
              <w:rPr>
                <w:rFonts w:hint="eastAsia"/>
                <w:vertAlign w:val="baseline"/>
                <w:lang w:val="en-US" w:eastAsia="zh-CN"/>
              </w:rPr>
            </w:pPr>
            <w:r>
              <w:rPr>
                <w:rFonts w:hint="eastAsia"/>
                <w:vertAlign w:val="baseline"/>
                <w:lang w:val="en-US" w:eastAsia="zh-CN"/>
              </w:rPr>
              <w:t xml:space="preserve">输入:100-240V~50/60Hz，最大0.3A 输出:12V/1.0A 工作环境:-10℃~40℃(14°F ~ 104°F)，≤90%RH </w:t>
            </w:r>
          </w:p>
        </w:tc>
        <w:tc>
          <w:tcPr>
            <w:tcW w:w="716" w:type="dxa"/>
          </w:tcPr>
          <w:p>
            <w:pPr>
              <w:jc w:val="center"/>
              <w:rPr>
                <w:rFonts w:hint="eastAsia"/>
                <w:vertAlign w:val="baseline"/>
                <w:lang w:val="en-US" w:eastAsia="zh-CN"/>
              </w:rPr>
            </w:pPr>
            <w:r>
              <w:rPr>
                <w:rFonts w:hint="eastAsia"/>
                <w:vertAlign w:val="baseline"/>
                <w:lang w:val="en-US" w:eastAsia="zh-CN"/>
              </w:rPr>
              <w:t>30</w:t>
            </w:r>
          </w:p>
        </w:tc>
        <w:tc>
          <w:tcPr>
            <w:tcW w:w="743" w:type="dxa"/>
          </w:tcPr>
          <w:p>
            <w:pPr>
              <w:jc w:val="center"/>
              <w:rPr>
                <w:rFonts w:hint="eastAsia"/>
                <w:vertAlign w:val="baseline"/>
                <w:lang w:val="en-US" w:eastAsia="zh-CN"/>
              </w:rPr>
            </w:pPr>
            <w:r>
              <w:rPr>
                <w:rFonts w:hint="eastAsia"/>
                <w:vertAlign w:val="baseline"/>
                <w:lang w:val="en-US" w:eastAsia="zh-CN"/>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二合一防雷器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二合一</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67</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光纤收发器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千兆单模</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室外立杆（含挂杆箱）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4000*114*2.3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横臂1200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室外箱500*400*300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室外立杆（含挂杆箱）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7000*219*5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横臂2000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室外箱500*400*300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地下室设备箱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500*400*300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室外设备箱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800*600*300 1.2mm</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19</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管理平台（软硬一体）</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 备具有2个RJ45网络接口、4个HDMI输入接口，12个HDMI输出接口、2个音频输入接口、2个音频输出接口、2个USB3.0接口、1个RS485接口、1个RS232接口、4个报警输入接口、4个报警输出接口。样机采用采用AC220V供电（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★为保证用户信息的安全性，要求解码器可接入具有视频内容保护的摄像机并解码输出显示。（需提供公安部权威机构检测报告证明）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★具备网口备份功能，当前网口无法正常通信时，可启用另一网口。（需提供公安部权威机构检测报告证明）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★单物理输出口可支持36*12个窗口（需提供公安部权威机构检测报告证明）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★电视墙布局不会发生改变的情况下，从50路视频场景切换到另外50路视频场景的切换时间≤0.3S，切换过程中无明显黑屏现象。（需提供公安部权威机构检测报告证明）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★电视墙布局不会发生改变的情况下，从100路视频场景切换到另外100路视频场景的切换时间≤0.4S，切换过程中无明显黑屏现象。（需提供公安部权威机构检测报告证明）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★电视墙布局不会发生改变的情况下，从150路视频场景切换到另外150路视频场景的切换时间≤0.7S，切换过程中无明显黑屏现象。（需提供公安部权威机构检测报告证明）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★当电视墙场景布局发生改变时，从50路视频场景切换到另外50路视频场景的切换时间≤0.5S，切换过程中无明显黑屏现象。（需提供公安部权威机构检测报告证明）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★当电视墙场景布局发生改变时，从100路视频场景切换到另外100路视频场景的切换时间≤1S，切换过程中无明显黑屏现象。（需提供公安部权威机构检测报告证明）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★当电视墙场景布局发生改变时，从150路视频场景切换到另外150路视频场景的切换时间≤3S，切换过程中无明显黑屏现象。（需提供公安部权威机构检测报告证明）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★同一输入通道的视频图像在不同输出端口显示的时延差值应≤1ms（需提供公安部权威机构检测报告证明）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★为保证解码器与各类大屏电视墙的兼容性，要求设备支持自定义输出分辨率，可外接由LED显示屏组成的电视墙并进行显示。（需提供公安部权威机构检测报告证明）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★为防止因组织人员更替而造成设备密码丢失问题，要求设备应具有密码找回功能，可通过微信认证的方式找回密码（需提供公安部权威机构检测报告证明）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单路端口可解码输出4路分辨率为4000×3000，帧率为20fps或4路分辨率为3840×2160，帧率为30fps或16路分辨率1920×1080，帧率为30fps或36路分辨率为1280×720，帧率为30fps或64路分辨率为720×576，帧率为30fps的图像（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★支持自定义电视墙布局，并一键完成对整个电视墙的布局，可自定义行列数或选择固定布局，用于对电视墙的快速布局设置，操作灵活（需提供公安部权威机构检测报告证明）</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20</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智能识别NVR</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 支持4个RJ45 10M/100M/1000M自适应以太网口；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支持2个HDMI、1个VGA视频输出接口，最大支持（3840×2160）/60Hz分辨率输出；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支持1路音频输入接口、1路音频输出；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支持2个USB3.0、2个USB2.0接口（前面板）；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支持1个RS-232串口（RJ45），1个RS-485串口（凤凰头）；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支持24个报警输入接口，8个报警输出接口；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支持16个SATA接口，1个 eSATA接口，2个 miniSAS磁盘接口；（需提供权威机构检测报告证明）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支持1个硬盘指示灯（HD）实时显示硬盘运行状态、运行指示灯（RUN）、网络状态指示灯（NET）、云状态指示灯（CLOUD）、告警指示灯（ALM）；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支持可拆卸前面板，支持硬盘热插拔，支持防拆报警；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★NVR总资源为满负载条件下的最大接入带宽1024Mbps、最大转发带宽1024Mbps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★支持1个DC12V电源输出口；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（需提供权威机构检测报告证明）</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微视云存储主机</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 ★应具备16个硬盘一对一指示灯、运行指示灯（RUN）、告警指示灯（ALM）、网络状态指示灯（NET）、两个解码卡指示灯（SLOT0、SLOT1）、扩展柜指示灯（LINK）；提供公安部检测机构产品专业认证测试报告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★应支持不低于4个10M/100M/1000M Base-T自适应以太网业务接口；提供公安部检测机构产品专业认证测试报告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★应支持不低于14个HDMI（均支持4K）接口；提供公安部检测机构产品专业认证测试报告（备注：14个HDMI接口是加上2块6路解码卡一起的接口）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应支持不低于1个VGA接口；提供公安部检测机构产品专业认证测试报告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应支持不低于两个光口；提供公安部检测机构产品专业认证测试报告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单机具备不低于16个SATA3.0硬盘接口，可扩展至不低于48块硬盘；单盘最大支持10TB；提供公安部检测机构产品专业认证测试报告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应支持不低于4个USB3.0接口；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应支持不少于1个RS485/422 RJ45接口， 1个RS-232接口；提供公安部检测机构产品专业认证测试报告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★应支持不低于2个miniSAS级联扩展接口和1个eSATA存储扩展接口；提供公安部检测机构产品专业认证测试报告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应支持不低于24路报警输入接口，8路报警输出接口；提供公安部检测机构产品专业认证测试报告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应支持不低于1入1出BNC音频接口、2入2出音频转接接口；提供公安部检测机构产品专业认证测试报告（备注：2入2出是解码卡上的接口）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★应具备1路DC12V电源输出接口；提供公安部检测机构产品专业认证测试报告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应支持双电源接口，应支持不低于6个风扇、1个电源键、1个复位键；提供公安部检测机构产品专业认证测试报告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连接一台16盘位扩展柜，使整体硬盘挂载性能达到32块。</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监控级硬盘</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容量:8TB 尺寸: 3.5'' 英寸 转速:5640转 缓存:128MB 接口类型:SATA 6Gb/S SMR:否 </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144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23</w:t>
            </w:r>
          </w:p>
        </w:tc>
        <w:tc>
          <w:tcPr>
            <w:tcW w:w="1416" w:type="dxa"/>
          </w:tcPr>
          <w:p>
            <w:pPr>
              <w:jc w:val="center"/>
              <w:rPr>
                <w:rFonts w:hint="eastAsia"/>
                <w:vertAlign w:val="baseline"/>
                <w:lang w:val="en-US" w:eastAsia="zh-CN"/>
              </w:rPr>
            </w:pPr>
            <w:r>
              <w:rPr>
                <w:rFonts w:hint="eastAsia"/>
                <w:vertAlign w:val="baseline"/>
                <w:lang w:val="en-US" w:eastAsia="zh-CN"/>
              </w:rPr>
              <w:t>视频综合平台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 具有2口HDMI（4K）输入卡,4口HDMI输入卡，8口HDMI输入卡，4口DVI输入卡，4口VGA输入卡，2口HDMI（4K）输出卡，4口HDMI输出卡，8口HDMI输出卡，4口DVI输出卡（需提供公安部权威机构检测报告证明）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主机具有4个指示灯，1个10M/100M/1000M自适应RJ45网络接口，1个Console口，3个RJ45接口，2个USB3.0接口，1个RST按键，1个SWAP按键（需提供公安部权威机构检测报告证明）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设备具有双主控板卡槽位（需提供公安部权威机构检测报告证明）。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设备应支持电源备份功能，当其中一个电源模块断开时，另一电源模块可继续工作，设备应正常运行。（需提供公安部权威机构检测报告证明）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★设备机框大小不大于3U高度。（需提供公安部权威机构检测报告证明）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★每个机框可插入不少于10张业务板卡。（需提供公安部权威机构检测报告证明）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★设备应支持双面板卡插入，并可正常工作，增加机框利用率（需提供公安部权威机构检测报告证明）。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★设备应具有40个Mini-SAS HD接口 （需提供公安部权威机构检测报告证明）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★设备的业务卡槽可接入多种型号板卡，且输入板卡槽位和输出板卡槽位可进行混插并正常工作（需提供公安部权威机构检测报告证明） </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24</w:t>
            </w:r>
          </w:p>
        </w:tc>
        <w:tc>
          <w:tcPr>
            <w:tcW w:w="1416" w:type="dxa"/>
          </w:tcPr>
          <w:p>
            <w:pPr>
              <w:jc w:val="center"/>
              <w:rPr>
                <w:rFonts w:hint="eastAsia"/>
                <w:vertAlign w:val="baseline"/>
                <w:lang w:val="en-US" w:eastAsia="zh-CN"/>
              </w:rPr>
            </w:pPr>
            <w:r>
              <w:rPr>
                <w:rFonts w:hint="eastAsia"/>
                <w:vertAlign w:val="baseline"/>
                <w:lang w:val="en-US" w:eastAsia="zh-CN"/>
              </w:rPr>
              <w:t>视频综合平台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拼接处理器8口HDMI输入卡模块</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25</w:t>
            </w:r>
          </w:p>
        </w:tc>
        <w:tc>
          <w:tcPr>
            <w:tcW w:w="1416" w:type="dxa"/>
          </w:tcPr>
          <w:p>
            <w:pPr>
              <w:jc w:val="center"/>
              <w:rPr>
                <w:rFonts w:hint="eastAsia"/>
                <w:vertAlign w:val="baseline"/>
                <w:lang w:val="en-US" w:eastAsia="zh-CN"/>
              </w:rPr>
            </w:pPr>
            <w:r>
              <w:rPr>
                <w:rFonts w:hint="eastAsia"/>
                <w:vertAlign w:val="baseline"/>
                <w:lang w:val="en-US" w:eastAsia="zh-CN"/>
              </w:rPr>
              <w:t>视频综合平台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拼接处理器4口</w:t>
            </w:r>
            <w:r>
              <w:rPr>
                <w:rStyle w:val="55"/>
                <w:lang w:val="en-US" w:eastAsia="zh-CN" w:bidi="ar"/>
              </w:rPr>
              <w:t>DVI输入卡模块</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26</w:t>
            </w:r>
          </w:p>
        </w:tc>
        <w:tc>
          <w:tcPr>
            <w:tcW w:w="1416" w:type="dxa"/>
          </w:tcPr>
          <w:p>
            <w:pPr>
              <w:jc w:val="center"/>
              <w:rPr>
                <w:rFonts w:hint="eastAsia"/>
                <w:vertAlign w:val="baseline"/>
                <w:lang w:val="en-US" w:eastAsia="zh-CN"/>
              </w:rPr>
            </w:pPr>
            <w:r>
              <w:rPr>
                <w:rFonts w:hint="eastAsia"/>
                <w:vertAlign w:val="baseline"/>
                <w:lang w:val="en-US" w:eastAsia="zh-CN"/>
              </w:rPr>
              <w:t>视频综合平台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拼接处理器8口HDMI输出卡模块</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液晶拼接单元</w:t>
            </w:r>
          </w:p>
        </w:tc>
        <w:tc>
          <w:tcPr>
            <w:tcW w:w="6428" w:type="dxa"/>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采用工业级面板，尺寸≥55 inch，物理拼缝≤3.5mm，亮度≥500 cd/m2，对比度≥4000:1，分辨率≥1920*1080，色温调节2000-12000K。（需提供BOE原厂面板授权证明复印件）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（2）液晶拼接显示单元整机采用冷轧钢板材质，结构件需一体成型，显示屏具备完整后壳，不得以支架或挡板替代，无任何裸露在外的电路线，整体美观大方。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（3）控制接口：RS-232接口≥2，红外接口≥1，USB接口，具备U盘内视频，文档等文件的直接播放功能；液晶单元软件程序支持通过USB口升级。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（4）液晶显示单元支持通过延控器自动调节水平、重直方向光学拼缝，且调节区间不低于30级。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（5）支持设置保存预案、调用预案，预案包括拼接位置、图像参数、信号源类型等信息，最大支持保存16个预案设置。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液晶拼接显示单元支持边框消隐功能，可上、下、左、右四向独立智能调节显示边框数据，有效避免屏与屏之间的边框带来的图像不连贯视觉问题，提升拼接墙屏与屏之间的图像连贯性；（需提供表面具有CNAS标识的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（7）支持视频信号环出显示，支持电源环出。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（8）响应时间(ms) ≤8ms，视角（H/V）178°/178°，视频输入接口DVI接口≥1，HDMI接口≥2，VGA接口≥1，电源 AC 100～240V，功耗（W）230,工作温度 0～40℃，工作湿度 20%～90%（无冷凝）。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（9）液晶拼接显示单元支持开机延时功能，具备随机延时和顺序延时双模式，防止同时开机造成大电流冲击；（需提供表面具有CNAS、CMA、ilac MRA标识的权威机构检测报告证明）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（10）支持开机、无信号LOGO导入功能；（需提供表面具有CNAS、CMA、ilac MRA标识的权威机构检测报告证明）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液晶拼接显示单元支持边框消隐功能，可上、下、左、右四向独立智能调节显示边框数据，有效避免屏与屏之间的边框带来的图像不连贯视觉问题，提升拼接墙屏与屏之间的图像连贯性；（需提供表面具有CNAS标识的权威机构检测报告证明）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包含大屏支架，安装服务</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显示单元底座</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模块化落地式定制</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29</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台式电脑</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i5 8G+256+1T</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30</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工位操作台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4工位</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线材部分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电源线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RVV2*1.0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1500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电源线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RVV3*2.5</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8500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8芯室外单模光缆</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8芯室外单模光缆</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5000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12芯室外单模光缆</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12芯室外单模光缆</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15000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6类4对非屏双绞线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通过1-250MHz标准带宽测试，可扩展到500MHz适用于千兆以太网；线对间十字隔离，单根导体直流电阻＜9.38Ω/100m；工作电容≤5.6nF/100m，NVP：68%；延迟偏差≤45ns/100m。</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112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箱</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Style w:val="52"/>
                <w:lang w:val="en-US" w:eastAsia="zh-CN" w:bidi="ar"/>
              </w:rPr>
              <w:t>JDG管</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Φ25</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5000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6类水晶头</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6类</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盒</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光配设备部分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8口光纤终端盒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8口，含耦合器</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67</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24芯光纤配线架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24口机架式 含耦合器</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LC单芯单模光纤尾纤</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3M尾纤</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1104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千兆-LC-LC双工单模光纤跳线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单模LC-LC 3M</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1104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紧急报警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紧急报警按钮</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公安统一</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数字广播系统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一、主机房设备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IP网络广播工控主机</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1.采用工控机机箱设计，具有LED液晶显示屏，支持触摸控制屏；服务器运载Windows Server 2008 R2 Standard(x64),Windows Server 2012 R2 Standard(x64)及以上操作系统。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2.支持≥1路短路触发开机接口，用于实现定时驱动开机运行。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3.具有≥8×USB接口、≥6×串口接口、≥2×千兆网口。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4.配置不低于四核/i5处理器。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5.设备支持≥1路VGA、≥1路HDMI输出接口，可将画面输出至大屏放大显示。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6.支持操作系统配置通电自动开机、定时自动开机，定时自动关机功能。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7.内置抽拉键盘、内置触控鼠标面板+左右按键设计，支持通过USB接口外接鼠标键盘。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8.支持录音存储功能，可在后台自定义设置录音文件保存路径。</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数字化IP网络广播系统软件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1.Y系列软件是整个系统的运行核心，统一管理系统内所有音频终端，包括寻呼话筒、对讲终端、广播终端和消防接口设备，实时显示音频终端的IP地址、在线状态、任务状态、音量等运行状态。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4.提供全双工语音数据交换，响应各对讲终端的呼叫和通话请求，支持一键呼叫、一键对讲、一键求助、一键报警等通话模式，支持自动接听、手动接听，支持自定义接听提示音。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6.支持终端短路输入联动触发，可任意设置联动触发方案和触发终端数量，触发方案包括短路输出、音乐播放、巡更警报等。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8.支持多套定时打铃方案同时启用，每套定时打铃方案支持多套任务同时进行，支持一键启用/停用所有方案。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9.支持定时打铃功能，支持打铃方案克隆，任务执行与停止控制、定时任务禁用与启用功能。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▲10.支持定时巡更功能，支持自定义巡更任务的执行时间及重复周期，可自定义指示灯闪烁间隔时间0-30s。（提供功能界面截图）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11.支持今日任务列表查看，轻松管理今日执行的所有定时任务信息和执行状态。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12.日志记录系统运行状态，实时记录系统运行及终端工作状态，每次呼叫、通话和广播操作均有记录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▲13.支持对8路功率分区终端进行功率控制分区设置，通过web页面后台或分控客户端均可设置分区。（提供功能界面截图佐证）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▲14.支持对终端设置时间显示配置，可设置0-6级别亮度值，可设置离线后不显示时间等模式。（提供功能界面截图佐证）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▲15.支持对终端设置不同的灯光模式，可分别自定义设置红灯亮、红灯灭、绿灯/蓝灯亮、绿灯/蓝灯灭时间0.1S-10S。（提供功能界面截图佐证）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16.支持配置终端冻结时间，在终端被冻结期间禁止终端执行任务，适用于考试或休息等场景。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17.支持广播、对讲、实时采集、终端监听进行录音；支持文本广播功能，可实现将文本转成语音，支持后台调整语速。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18.支持后台换肤功能，可根据喜好自由切换皮肤主题。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19.支持终端明细导出功能，支持通过表格方式导出当前系统终端的配置详情。支持批量修改定时任务的时间、执行终端。</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IP控制软件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IP网络软件加密设备，软件注册使用加密狗方式，注册时可有效设定授权终端数量及使用时间期限。</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12路带效果调音台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1.支持≥4路Mic输入兼容≥4路线路输入接口，话筒接口幻象电源：≥+48V，≥4组立体线性输入。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2.具有≥1组立体声主输出、≥1组辅助输出、≥1组立体声监听输出、≥1路耳机监听输出、≥1组CD/Tape输出。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3.每路单声道输入通道设有≥3段EQ，设有峰值LED指示灯。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4.内置≥24位DSP效果器，提供≥100种预设效果。</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IP网络音频采集终端</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1.采集设备支持将模拟音频采集编码成数字音频，具有≥1路RJ45网络接口，支持定时采播任务、临时采播任务功能。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2.具有≥2组RCA音频输入接口，支持音量调节功能。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▲3.采播任务支持3种采集音质可选，支持普通、中级、高级音质选择模式。（提供设置3种采集音质界面图佐证）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4.支持声压触发采集外部音源，智能识别音频,自动建立采集任务,可自定义执行区域,可自定义延时关闭时间。</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CD播放器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1.吸入式机芯；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2.自动播放控制，全数码伺服；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3.可播放：CD/VCD/MP3/DVD碟片；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4.内置宽频监听扬声器；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5.内置MP3播放器，可读USB和SD卡；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6.可通过面板按键或红外遥控器控制操作。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7.支持上电自动播放功能。</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数字调谐器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1.调频、调幅（AM/FM）立体声二波段接收可选，电台频率记忆存储≥99个；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2.电台频率自动搜索存储功能，且有断电记忆功能；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3.采用石英锁相环路频率合成器式调谐回路技术；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4.≥两组接收天线输入：AM接收天线输入；FM接收天线75Ω输入；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5.≥1路音频信号左右声道（L /R）输出；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6.可通过面板按键或红外遥控器控制操作。</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寻呼话筒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3.支持监听任意终端功能，内置≥2W全频扬声器，实现双向通话和网络监听。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▲4.支持≥1路音频线路输入，支持采集播放功能；具有≥1路音频线路输出，可外接功率放大器。（提供设备线路输入与输出接口佐证图）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5.支持直接操作呼叫或对讲任意终端，支持通过话筒广播呼叫功能，广播延时低于100毫秒。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7.具有≥1个3.5耳机接口、≥1路3.5话筒输入接口。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▲8.具有≥1路短路输出接口、≥1路短路输入接口。（提供设备短路输入与输出接口佐证图）</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IP网络寻呼(对讲)话筒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▲2.具有≥1路短路输出接口、≥1路短路输入接口。（提供设备短路输入与输出接口佐证图）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3.支持监听任意终端功能，内置≥2W全频扬声器，实现双向通话和网络监听。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▲4.支持≥1路音频线路输入，支持采集播放功能；具有≥1路音频线路输出，可外接功率放大器。（提供设备线路输入与输出接口佐证图）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5.支持全双工双向对讲功能，自带网络回声消除模块。IP终端之间实现两两双向对讲，网络延时低于200ms，同时网络回声啸叫彻底抑制。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6.支持多种呼叫策略，包括呼叫等待、呼叫转移、无人接听提醒；自动接听、手动接听，支持自定义接听提示音，支持转移时间、无人接听时间、呼叫等待时间自定义。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7.具有≥1个3.5耳机接口、≥1路3.5话筒输入接口。</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IP网络有源音箱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1.网络接口：标准RJ45输入，音频格式：MP3，保护电路：过载、短路保护电路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2.内置≥2x20W（MAX）的双通道数字功率放大器，一路接主音箱，一路外接到副音箱；具有网络音量设置。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IP消防报警采集器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1.机柜式设计，拉丝铝合金面板。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2.设备采用嵌入式计算机技术和DSP音频处理技术设计。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▲3.支持≥16路消防短路信号输入接口（提供后台设置16路短路端口功能界面图佐证）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4.面板支持一键取消任务。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5.支持后台设置报警策略，可为每路短路信号输入端口配置报警策略，关联联动的终端及播放曲目等功能。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6.标配网络接口，全速率连接最高可达≥100M。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7.短路接口：标准压线接线端子。</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十六位电源时序器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1.机柜式设计（2U），黑色氧化铝拉丝面板；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2.支持≥16路电源输出，具有≥14个AC220V(10A)，≥2个AC220V(16A)接口， 电源插口总容量达 6KVA；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3.设有船型开关，可手动控制16个电源上断电；也可与定时器、智能控制器相连接，实现自动控制；支持配置CH1和CH2通道为受控或不受控状态。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4.支持≥16路电源插座依次间隔1秒打开；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5.有≥1路24V消防信号输入接口；≥1路消防短路报警触发信号输出。</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分控中心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分控电脑</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 i5 8G+256+1T</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IP网络分控软件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1.数字客户端Y系列分控软件运行于Windows操作系统的台式电脑或笔记本电脑（兼容(win7-win10、server2008或更高版本)），用户登陆通过系统服务器的权限验证即可进行对广播系统的控制。。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2.客户端软件利用网络（局域网、广域网）远程登录到服务器，支持多套客户端软件同时登录到服务器，各套客户端软件独立工作。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3.可实现终端状态查看、音频播放、监听、广播及对讲、会话状态监控等功能。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4.支持实时查看终端工作状态、音量、任务，并且可在终端状态界面设置终端音量。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5.支持创建文本广播任务，可实现将文本转成语音，支持后台调整语速。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6.支持创建终端采集任务，可设置普通、中级的采集音质类型。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7.支持创建声卡采集任务，可通过分控客户端所在电脑的声卡进行实时采播，并且支持将采播的内容进行录音存储。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8.支持创建音乐播放任务，可进行本地文件播放，可选择多首歌曲进行顺序播放或循环播放或随机播放。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9.支持进行发起监听功能，在会话状态选择监听终端，可监听某任务播放的内容。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10.支持远程对某终端/分区或全区进行实时的寻呼广播，支持选择网络寻呼话筒进行实时对讲。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▲11.支持分控端查看终端上下线记录，可设置终端掉线弹窗提示。（提供功能界面截图佐证）</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IP网络寻呼(对讲)话筒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▲2.具有≥1路短路输出接口、≥1路短路输入接口。（提供设备短路输入与输出接口佐证图）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3.支持监听任意终端功能，内置≥2W全频扬声器，实现双向通话和网络监听。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▲4.支持≥1路音频线路输入，支持采集播放功能；具有≥1路音频线路输出，可外接功率放大器。（提供设备线路输入与输出接口佐证图）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5.支持全双工双向对讲功能，自带网络回声消除模块。IP终端之间实现两两双向对讲，网络延时低于200ms，同时网络回声啸叫彻底抑制。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6.支持多种呼叫策略，包括呼叫等待、呼叫转移、无人接听提醒；自动接听、手动接听，支持自定义接听提示音，支持转移时间、无人接听时间、呼叫等待时间自定义。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7.具有≥1个3.5耳机接口、≥1路3.5话筒输入接口。</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IP广播iOS APP软件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1.支持对所有终端在线、离线、当前任务等的详细情况的查看，支持搜索终端、查看终端列表。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2.支持对终端发起一对一广播，可实时调节广播音量；支持广播室发起广播任务，可对指定终端或分组进行喊话。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3.支持对终端发起一对一对讲，可实时调节对讲音量。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4.支持播音室建立音乐任务，可实现将广播服务器音乐（mp3格式文件）播放到指定终端或分组。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5.支持配置任务优先级、音量、播放模式。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6.具备任务管理器功能，可管理当前播放任务，可操作上一首/下一首/暂停或恢复/任务音量/结束任务/切换播放模式；支持播放进度条拖拉功能。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7.软件支持在IOS 8.0以上版本的手机运行，支持在APP应用商店下载。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8.支持文本广播任务的发起及文本识别功能的使用。</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IP广播安卓APP软件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1.支持对所有终端在线、离线、当前任务等的详细情况的查看，支持搜索终端、查看终端列表。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2.支持对终端发起一对一广播，可实时调节广播音量；支持广播室发起广播任务，可对指定终端或分组进行喊话。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3.支持对终端发起一对一对讲，可实时调节对讲音量。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4.支持播音室建立音乐任务，可实现将广播服务器音乐（mp3格式文件）播放到指定终端或分组。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5.支持配置任务优先级、音量、播放模式。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6.具备任务管理器功能，可管理当前播放任务，可操作上一首/下一首/暂停或恢复/任务音量/结束任务/切换播放模式；支持播放进度条拖拉功能。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7.软件支持在4.2或以上版本的安卓手机运行，支持在APP应用商店下载。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8.支持文本广播任务的发起及文本识别功能的使用。</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周边设备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IP网络终端功放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8.集成数字功放，功率≥120W；支持定压方式输出。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IP网络终端功放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8.集成数字功放，功率≥240W；支持定压方式输出。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IP网络终端功放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8.集成数字功放，功率≥350W；支持定压方式输出。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IP网络终端功放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8.集成数字功放，功率≥500W；支持定压方式输出。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IP网络解码终端</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2.支持≥1路线路输入和≥1路话筒输入接口，可独立调节音量；支持高低音调节电位器控制。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3.具有≥1路EMC输入接口，具有最高优先级；具有≥1路音频输出接口。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4.具有≥2路三线制强切输出接口，无需强切电源。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▲5.支持≥2路电源输出插座，内置智能电源管理，无音乐或呼叫时，自动切断输出座电源，有信号时自动打开输出座电源。（提供设备有2路电源输出电源插座证明图）</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前置放大器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1具有≥5路话筒（MIC）输入，≥3路标准信号线路（AUX）输入，≥2路紧急线路（EMC）输入；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2.MIC 5具有最高优先、强行切入优先功能；MIC 5和EMC最高优先权限功能可通过拔动开关交替选择；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3.紧急输入线路具有二级优先，强行切入优先功能；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4.MIC1.2.3.4.5 和≥2路紧急输入（EMC）通道均附设有线路辅助输入接口功能；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5.具有默音深度调节旋钮和EMC输入增益调节旋钮。</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大功率纯后级广播数字功放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1.采用D类数字功放技术，功率放大电路设计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2.额定输出功率：≥1000W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3.具有管道式散热结构，内置自动温度控制风扇冷却系统。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4.具有≥1通道LINE不平衡TRS/XLR高品质多功能输入接口，≥1通道LINE平衡XLR级联输出。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5.内置PFC电路和软开关电源技术，开关机自动软启动控制。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6.功放电路，零交越失真。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7.内置智能削顶失真和过流压限系统，能保护扬声器单元。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8.具有过温、过压、欠压、过流、短路多重智能检测保护系统。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9.具有2种定阻和定压输出模式:4-16Ω/100V可选择。</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UHF段液晶显示可调频真分集无线咪(双手持）</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1.频率指标不低于：支持470-510MHz、540-590MHz、640-690MHz、807-830MHz。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2.配套有≥1台接收主机和≥2个无线手持话筒。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4.带≥8级射频电平显示，≥8级音频电平显示，频道菜单显示，静音显示；具有SCAN 自动扫频功能，使用前按SET功能键自动找一个环境最干净的频点处停下来，此频率作为接收机的使用频率。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5.平衡和非平衡两种选择输出端口，适应不同的设备连接需求。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6.接收机指标：采用二次变频超外差的接收机方式，灵敏度:≥ 12dB μV（80dBS/N)，灵敏度调节范围:≥12-32dB μV，频率响应不低于:80Hz-18KHz（±3dB）。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7.发射机指标：音头采用动圈式麦克风</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天线分配器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1.可支持为4台一拖二真分集话筒自动选讯接收机的多频道系统共用一对天线和一个电源。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2.频带范围不低于：470-960MHz，输出/入增益+1.0dB(频段中心)，输出/入阻抗：≥50Ω，频宽：≥320MHz。</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对数指向性天线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1.宽频定向天线不低于680-960MHz；适用于GSM,CDMA,WCDMA,WLAN,LTE网络。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2.水平面波源宽度：≥60°、垂直面波源宽度：≥ 50°。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天线放大器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1.频带范围不低于： 640~960MHz，增益： ≥12dB。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输出/入阻抗：≥50Ω，端口形式： 连接BNC 输入端。</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IP网络音频采集终端</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1.采集设备支持将模拟音频采集编码成数字音频，具有≥1路RJ45网络接口，支持定时采播任务、临时采播任务功能。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2.具有≥2组RCA音频输入接口，支持音量调节功能。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▲3.采播任务支持3种采集音质可选，支持普通、中级、高级音质选择模式。（提供设置3种采集音质界面图佐证）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4.支持声压触发采集外部音源，智能识别音频,自动建立采集任务,可自定义执行区域,可自定义延时关闭时间。</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数字环境噪声检测器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1.自动识别广播扩声现场噪声和广播节目的声压级，设备具有环境噪音跟背景音乐检测分离功能。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▲2.支持≥4路单声音道输入接口，≥4路单声道输出接口。（提供设备接口图佐证）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3.具备≥4路数字探头接口，探头即可以串接也可以并接，每台设备至少可接16个噪音检测探头，检测探头最远可传≥3KM。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4.设备需提供串口（DB9）配置接口，联机下载相关配置数据；电脑软件配置功能，软件作成插件式；可以脱机自动检测控制。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5.根据现场环境噪音，可以自动检测调整扬声器声压级大小；保证现场吵杂时能听到扬声器所播放内容。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6.自动电平控制功能（ALC）。</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环境噪声检测探头(壁挂式）</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1.全数字噪音采集探头，支持自定义采样频率周期，采集现场环境噪音经过处理并将信号传回检测主机。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2.级联功能：分别≥一路输入≥一路输出，高低通滤波频率可调功能；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3.采用电容式话筒，噪声频点滤波器：≥4段</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IP网络有源音箱-带备份、带2.4G头戴式话筒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1.内置≥1路网络硬件音频解码模块,具有≥1路RJ45网络接口，≥100Mbps传输速率。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2.支持≥1路音频线路输入接口，具有独立的音量调节功能。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3.设备集成有数字功放，功率≥2×20W（MAX），具有≥1个主音箱和≥1个副音箱。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内置有主备切换检测模块，在断网或断电的故障情况下，实现自动切换到100V定压备份通道，主备切换过程无卡顿、不掉字；在通网或通电情况下，恢复主通道。（提供功能演示视频供评标查证，要求终端设备断电或断网情况下主备切换过程声音无停顿、不掉字，未提供本项演示的视为非实质性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5.设备内置2.4G无线音频模块，配备头戴式话筒，支持音量调节。</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148</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IP网络有源音箱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1.网络接口：标准RJ45输入，音频格式：MP3，保护电路：过载、短路保护电路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2.内置≥2x20W（MAX）的双通道数字功率放大器，一路接主音箱，一路外接到副音箱；具有网络音量设置。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一体化优质天花喇叭</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1.额定功率：(100V)1.5W,3W,6W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2.额定功率：(70V)0.75W,1.5W,3W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4.频率响应(-10dB)：110Hz-18KHz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5.喇叭单元：5"×1</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71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室内壁挂音箱(塑料外壳)</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1．额定功率（100V）：6W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3．灵敏度：92dB±3dB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4．频率响应：130Hz-16KHz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6．防护等级：IP5X</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189</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音柱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1．额定功率(100V)：90W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2．额定功率(70V)：45W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4．频率响应：110Hz-15KHz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6．喇叭单元：6.5"×3+3"×1</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环保仿真型草地音箱（定压）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仿真石头，草绿色</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 功率(100V)：15W,30W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功率(70V)：7.5W, 15W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3．频率响应：120Hz-15KHz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4．灵敏度≥95dB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6．防护等级：IP66</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1.2米音频连接线：莲花(RCA)---莲花(RCA)(音频线)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1.2米音频连接线：莲花（RCA）-莲花（RCA）</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1.2米音频连接线：莲花头(RCA)---6.35单插头(音频线)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1.2米音频连接线：莲花（RCA）-6.35话筒插头</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1.2米音频连接线：莲花（RCA）---3.5（耳机插头）（音频线）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1.2米音频连接线：莲花（RCA）-3.5（耳机插头）</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水晶头</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六类水晶头，100个一盒</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盒</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6类4对非屏双绞线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通过1-250MHz标准带宽测试，可扩展到500MHz适用于千兆以太网；线对间十字隔离，单根导体直流电阻＜9.38Ω/100m；工作电容≤5.6nF/100m，NVP：68%；延迟偏差≤45ns/100m。</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箱</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KBG20管</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ф20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6500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广播专用音箱线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RVS2*1.5</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7000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广播专用音箱线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RVS2*2.5</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2800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备注：1.所使用所有管线均为国标。2.以上项目均需安装到位，直至可正常使用，并能通过甲方验收。</w:t>
            </w:r>
          </w:p>
        </w:tc>
      </w:tr>
    </w:tbl>
    <w:p>
      <w:pPr>
        <w:rPr>
          <w:rFonts w:hint="eastAsia"/>
          <w:lang w:eastAsia="zh-CN"/>
        </w:rPr>
      </w:pPr>
    </w:p>
    <w:p>
      <w:pPr>
        <w:pStyle w:val="5"/>
        <w:rPr>
          <w:rFonts w:hint="eastAsia"/>
          <w:lang w:eastAsia="zh-CN"/>
        </w:rPr>
      </w:pPr>
    </w:p>
    <w:p>
      <w:pPr>
        <w:pStyle w:val="10"/>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default" w:ascii="Times New Roman" w:hAnsi="宋体" w:eastAsia="宋体" w:cs="Times New Roman"/>
          <w:b/>
          <w:bCs/>
          <w:color w:val="auto"/>
          <w:kern w:val="2"/>
          <w:sz w:val="21"/>
          <w:szCs w:val="20"/>
          <w:lang w:val="en-US" w:eastAsia="zh-CN" w:bidi="ar-SA"/>
        </w:rPr>
      </w:pPr>
      <w:bookmarkStart w:id="46" w:name="_Toc267320052"/>
      <w:bookmarkStart w:id="47" w:name="_Toc340225294"/>
      <w:r>
        <w:rPr>
          <w:rFonts w:hint="eastAsia" w:ascii="Times New Roman" w:hAnsi="宋体" w:eastAsia="宋体" w:cs="Times New Roman"/>
          <w:b/>
          <w:bCs/>
          <w:color w:val="auto"/>
          <w:kern w:val="2"/>
          <w:sz w:val="21"/>
          <w:szCs w:val="20"/>
          <w:lang w:val="en-US" w:eastAsia="zh-CN" w:bidi="ar-SA"/>
        </w:rPr>
        <w:t>备注：</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2.投标企业</w:t>
      </w:r>
      <w:r>
        <w:rPr>
          <w:rFonts w:hint="default" w:ascii="宋体" w:hAnsi="宋体" w:eastAsia="宋体" w:cs="仿宋_GB2312"/>
          <w:b/>
          <w:color w:val="000000"/>
          <w:kern w:val="0"/>
          <w:sz w:val="21"/>
          <w:szCs w:val="22"/>
          <w:lang w:val="en-US" w:eastAsia="zh-CN" w:bidi="ar-SA"/>
        </w:rPr>
        <w:t>报价必须考虑事宜如下：从采购、运输</w:t>
      </w:r>
      <w:r>
        <w:rPr>
          <w:rFonts w:hint="eastAsia" w:ascii="宋体" w:hAnsi="宋体" w:eastAsia="宋体" w:cs="仿宋_GB2312"/>
          <w:b/>
          <w:color w:val="000000"/>
          <w:kern w:val="0"/>
          <w:sz w:val="21"/>
          <w:szCs w:val="22"/>
          <w:lang w:val="en-US" w:eastAsia="zh-CN" w:bidi="ar-SA"/>
        </w:rPr>
        <w:t>、税金</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w:t>
      </w:r>
      <w:r>
        <w:rPr>
          <w:rFonts w:hint="default" w:ascii="宋体" w:hAnsi="宋体" w:eastAsia="宋体" w:cs="仿宋_GB2312"/>
          <w:b/>
          <w:color w:val="000000"/>
          <w:kern w:val="0"/>
          <w:sz w:val="21"/>
          <w:szCs w:val="22"/>
          <w:lang w:val="en-US" w:eastAsia="zh-CN" w:bidi="ar-SA"/>
        </w:rPr>
        <w:t>卸货至指定地点、验收合格、交付使用及售后服务等的人民币报价。</w:t>
      </w:r>
      <w:r>
        <w:rPr>
          <w:rFonts w:hint="eastAsia" w:ascii="宋体" w:hAnsi="宋体" w:eastAsia="宋体" w:cs="仿宋_GB2312"/>
          <w:b/>
          <w:color w:val="000000"/>
          <w:kern w:val="0"/>
          <w:sz w:val="21"/>
          <w:szCs w:val="22"/>
          <w:lang w:val="en-US" w:eastAsia="zh-CN" w:bidi="ar-SA"/>
        </w:rPr>
        <w:t>报价</w:t>
      </w:r>
      <w:r>
        <w:rPr>
          <w:rFonts w:hint="default" w:ascii="宋体" w:hAnsi="宋体" w:eastAsia="宋体" w:cs="仿宋_GB2312"/>
          <w:b/>
          <w:color w:val="000000"/>
          <w:kern w:val="0"/>
          <w:sz w:val="21"/>
          <w:szCs w:val="22"/>
          <w:lang w:val="en-US" w:eastAsia="zh-CN" w:bidi="ar-SA"/>
        </w:rPr>
        <w:t>包括了货物</w:t>
      </w:r>
      <w:r>
        <w:rPr>
          <w:rFonts w:hint="eastAsia" w:ascii="宋体" w:hAnsi="宋体" w:eastAsia="宋体" w:cs="仿宋_GB2312"/>
          <w:b/>
          <w:color w:val="000000"/>
          <w:kern w:val="0"/>
          <w:sz w:val="21"/>
          <w:szCs w:val="22"/>
          <w:lang w:val="en-US" w:eastAsia="zh-CN" w:bidi="ar-SA"/>
        </w:rPr>
        <w:t>本身价格</w:t>
      </w:r>
      <w:r>
        <w:rPr>
          <w:rFonts w:hint="default" w:ascii="宋体" w:hAnsi="宋体" w:eastAsia="宋体" w:cs="仿宋_GB2312"/>
          <w:b/>
          <w:color w:val="000000"/>
          <w:kern w:val="0"/>
          <w:sz w:val="21"/>
          <w:szCs w:val="22"/>
          <w:lang w:val="en-US" w:eastAsia="zh-CN" w:bidi="ar-SA"/>
        </w:rPr>
        <w:t>、运输</w:t>
      </w:r>
      <w:r>
        <w:rPr>
          <w:rFonts w:hint="eastAsia" w:ascii="宋体" w:hAnsi="宋体" w:eastAsia="宋体" w:cs="仿宋_GB2312"/>
          <w:b/>
          <w:color w:val="000000"/>
          <w:kern w:val="0"/>
          <w:sz w:val="21"/>
          <w:szCs w:val="22"/>
          <w:lang w:val="en-US" w:eastAsia="zh-CN" w:bidi="ar-SA"/>
        </w:rPr>
        <w:t>税金费</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安装维修费</w:t>
      </w:r>
      <w:r>
        <w:rPr>
          <w:rFonts w:hint="default" w:ascii="宋体" w:hAnsi="宋体" w:eastAsia="宋体" w:cs="仿宋_GB2312"/>
          <w:b/>
          <w:color w:val="000000"/>
          <w:kern w:val="0"/>
          <w:sz w:val="21"/>
          <w:szCs w:val="22"/>
          <w:lang w:val="en-US" w:eastAsia="zh-CN" w:bidi="ar-SA"/>
        </w:rPr>
        <w:t>、现场检验试验</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交付使用及售后服务</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color w:val="000000"/>
          <w:kern w:val="0"/>
          <w:sz w:val="21"/>
          <w:szCs w:val="22"/>
          <w:lang w:val="en-US" w:eastAsia="zh-CN" w:bidi="ar-SA"/>
        </w:rPr>
        <w:t>，</w:t>
      </w:r>
      <w:r>
        <w:rPr>
          <w:rFonts w:hint="default" w:ascii="宋体" w:hAnsi="宋体" w:eastAsia="宋体" w:cs="仿宋_GB2312"/>
          <w:b/>
          <w:color w:val="000000"/>
          <w:kern w:val="0"/>
          <w:sz w:val="21"/>
          <w:szCs w:val="22"/>
          <w:lang w:val="en-US" w:eastAsia="zh-CN" w:bidi="ar-SA"/>
        </w:rPr>
        <w:t>本次报价</w:t>
      </w:r>
      <w:r>
        <w:rPr>
          <w:rFonts w:hint="eastAsia" w:ascii="宋体" w:hAnsi="宋体" w:eastAsia="宋体" w:cs="仿宋_GB2312"/>
          <w:b/>
          <w:color w:val="000000"/>
          <w:kern w:val="0"/>
          <w:sz w:val="21"/>
          <w:szCs w:val="22"/>
          <w:lang w:val="en-US" w:eastAsia="zh-CN" w:bidi="ar-SA"/>
        </w:rPr>
        <w:t>投标企业</w:t>
      </w:r>
      <w:r>
        <w:rPr>
          <w:rFonts w:hint="default" w:ascii="宋体" w:hAnsi="宋体" w:eastAsia="宋体" w:cs="仿宋_GB2312"/>
          <w:b/>
          <w:color w:val="000000"/>
          <w:kern w:val="0"/>
          <w:sz w:val="21"/>
          <w:szCs w:val="22"/>
          <w:lang w:val="en-US" w:eastAsia="zh-CN" w:bidi="ar-SA"/>
        </w:rPr>
        <w:t>必须考虑</w:t>
      </w:r>
      <w:r>
        <w:rPr>
          <w:rFonts w:hint="eastAsia" w:ascii="宋体" w:hAnsi="宋体" w:eastAsia="宋体" w:cs="仿宋_GB2312"/>
          <w:b/>
          <w:color w:val="000000"/>
          <w:kern w:val="0"/>
          <w:sz w:val="21"/>
          <w:szCs w:val="22"/>
          <w:lang w:val="en-US" w:eastAsia="zh-CN" w:bidi="ar-SA"/>
        </w:rPr>
        <w:t>清楚一切费用，一旦中标不增加任何费用</w:t>
      </w:r>
      <w:r>
        <w:rPr>
          <w:rFonts w:hint="default" w:ascii="宋体" w:hAnsi="宋体" w:eastAsia="宋体" w:cs="仿宋_GB2312"/>
          <w:b/>
          <w:color w:val="000000"/>
          <w:kern w:val="0"/>
          <w:sz w:val="21"/>
          <w:szCs w:val="22"/>
          <w:lang w:val="en-US" w:eastAsia="zh-CN" w:bidi="ar-SA"/>
        </w:rPr>
        <w:t>。</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3.</w:t>
      </w:r>
      <w:r>
        <w:rPr>
          <w:rFonts w:hint="default" w:ascii="宋体" w:hAnsi="宋体" w:eastAsia="宋体" w:cs="仿宋_GB2312"/>
          <w:b/>
          <w:color w:val="000000"/>
          <w:kern w:val="0"/>
          <w:sz w:val="21"/>
          <w:szCs w:val="22"/>
          <w:lang w:val="en-US" w:eastAsia="zh-CN" w:bidi="ar-SA"/>
        </w:rPr>
        <w:t>质量标准</w:t>
      </w:r>
      <w:r>
        <w:rPr>
          <w:rFonts w:hint="eastAsia" w:ascii="宋体" w:hAnsi="宋体" w:eastAsia="宋体" w:cs="仿宋_GB2312"/>
          <w:b/>
          <w:color w:val="000000"/>
          <w:kern w:val="0"/>
          <w:sz w:val="21"/>
          <w:szCs w:val="22"/>
          <w:lang w:val="en-US" w:eastAsia="zh-CN" w:bidi="ar-SA"/>
        </w:rPr>
        <w:t>：货物的技术指标作为交货验收时的依据（采购人按照所投产品的技术规格及商务要求验收货物，如投标人实际应标的标准高于国家标准及招标文件中的要求，则按投标人应标标准验收）</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4.参数中涉及到的国家标准若有最新标准按最新标准执行。</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交货时</w:t>
      </w:r>
      <w:bookmarkStart w:id="76" w:name="_GoBack"/>
      <w:r>
        <w:rPr>
          <w:rFonts w:hint="eastAsia" w:ascii="仿宋" w:hAnsi="仿宋" w:eastAsia="仿宋" w:cs="仿宋"/>
          <w:b/>
          <w:bCs/>
          <w:color w:val="000000" w:themeColor="text1"/>
          <w:sz w:val="24"/>
          <w:szCs w:val="24"/>
          <w:lang w:eastAsia="zh-CN"/>
          <w14:textFill>
            <w14:solidFill>
              <w14:schemeClr w14:val="tx1"/>
            </w14:solidFill>
          </w14:textFill>
        </w:rPr>
        <w:t>交货地点</w:t>
      </w:r>
      <w:bookmarkEnd w:id="76"/>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阿图什市新城高级中学</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供货安装完成</w:t>
      </w:r>
      <w:r>
        <w:rPr>
          <w:rFonts w:hint="eastAsia" w:ascii="仿宋" w:hAnsi="仿宋" w:eastAsia="仿宋" w:cs="仿宋"/>
          <w:color w:val="000000" w:themeColor="text1"/>
          <w:sz w:val="24"/>
          <w:szCs w:val="24"/>
          <w:lang w:eastAsia="zh-CN"/>
          <w14:textFill>
            <w14:solidFill>
              <w14:schemeClr w14:val="tx1"/>
            </w14:solidFill>
          </w14:textFill>
        </w:rPr>
        <w:t>时间：</w:t>
      </w:r>
      <w:r>
        <w:rPr>
          <w:rFonts w:hint="eastAsia" w:ascii="仿宋" w:hAnsi="仿宋" w:eastAsia="仿宋" w:cs="仿宋"/>
          <w:color w:val="000000" w:themeColor="text1"/>
          <w:sz w:val="24"/>
          <w:szCs w:val="24"/>
          <w:u w:val="single"/>
          <w:lang w:val="en-US" w:eastAsia="zh-CN"/>
          <w14:textFill>
            <w14:solidFill>
              <w14:schemeClr w14:val="tx1"/>
            </w14:solidFill>
          </w14:textFill>
        </w:rPr>
        <w:t>20</w:t>
      </w:r>
      <w:r>
        <w:rPr>
          <w:rFonts w:hint="eastAsia" w:ascii="仿宋" w:hAnsi="仿宋" w:eastAsia="仿宋" w:cs="仿宋"/>
          <w:bCs/>
          <w:color w:val="000000" w:themeColor="text1"/>
          <w:sz w:val="24"/>
          <w:lang w:val="en-US" w:eastAsia="zh-CN"/>
          <w14:textFill>
            <w14:solidFill>
              <w14:schemeClr w14:val="tx1"/>
            </w14:solidFill>
          </w14:textFill>
        </w:rPr>
        <w:t>日</w:t>
      </w:r>
    </w:p>
    <w:p>
      <w:pPr>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交货地点：阿图什市新城高级中学</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38"/>
        <w:ind w:left="0" w:leftChars="0" w:firstLine="486" w:firstLineChars="200"/>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质保期：2年</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shd w:val="clear" w:color="auto" w:fill="auto"/>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商务条款</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一、投标报价</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项目报价采用人民币综合总价，以元为单位标准，投标供应商应严格按照“开标一览表”和“分项报价明细表”的格式认真填写。本项目只接受一个投标报价，有选择的或有条件的报价将不予接受。</w:t>
      </w:r>
    </w:p>
    <w:p>
      <w:pPr>
        <w:shd w:val="clear" w:color="auto" w:fill="auto"/>
        <w:spacing w:line="44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二、质量保证</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bookmarkEnd w:id="45"/>
    <w:bookmarkEnd w:id="46"/>
    <w:bookmarkEnd w:id="47"/>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48" w:name="_Toc21807"/>
      <w:bookmarkStart w:id="49" w:name="_Toc16945"/>
      <w:bookmarkStart w:id="50" w:name="_Toc8238"/>
      <w:bookmarkStart w:id="51" w:name="_Toc469495740"/>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知识产权</w:t>
      </w:r>
      <w:bookmarkEnd w:id="48"/>
      <w:bookmarkEnd w:id="49"/>
      <w:bookmarkEnd w:id="50"/>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本项目在进行过程中，所产生的所有与本项目相关的，无论以任何载体形式出现的工作成果，其知识产权均属于招标方所有。</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投标方保证招标方及其用户对设备享有合法的使用权。</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52" w:name="_Toc7598"/>
      <w:bookmarkStart w:id="53" w:name="_Toc20832"/>
      <w:bookmarkStart w:id="54" w:name="_Toc12239"/>
      <w:bookmarkStart w:id="55" w:name="_Toc439255252"/>
      <w:bookmarkStart w:id="56" w:name="_Toc12840_WPSOffice_Level1"/>
      <w:bookmarkStart w:id="57" w:name="_Toc267320054"/>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xml:space="preserve"> 其他</w:t>
      </w:r>
      <w:bookmarkEnd w:id="52"/>
      <w:bookmarkEnd w:id="53"/>
      <w:bookmarkEnd w:id="54"/>
    </w:p>
    <w:bookmarkEnd w:id="55"/>
    <w:bookmarkEnd w:id="56"/>
    <w:bookmarkEnd w:id="57"/>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投标人必须在投标文件中对以上条款和服务承诺明确列出，承诺内容必须达到本篇及招标文件其他条款的要求。</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中标人与采购人签订《协议》后，须与用户方签订《合同》，明确具体供货数量、供货时间、送达地点等内容。</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其他未尽事宜由供需双方在采购合同中详细约定。</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4、 </w:t>
      </w:r>
      <w:r>
        <w:rPr>
          <w:rFonts w:hint="eastAsia" w:ascii="仿宋" w:hAnsi="仿宋" w:eastAsia="仿宋" w:cs="仿宋"/>
          <w:color w:val="000000" w:themeColor="text1"/>
          <w:sz w:val="24"/>
          <w:szCs w:val="24"/>
          <w:lang w:eastAsia="zh-CN"/>
          <w14:textFill>
            <w14:solidFill>
              <w14:schemeClr w14:val="tx1"/>
            </w14:solidFill>
          </w14:textFill>
        </w:rPr>
        <w:t>若供货服务商不能按招标文件规定的交货期正常交货，采购方有权终止采购合同，并将相关情况上报给采购计划主管部门，取消其中标资格。</w:t>
      </w:r>
    </w:p>
    <w:p>
      <w:pPr>
        <w:spacing w:line="360" w:lineRule="auto"/>
        <w:ind w:firstLine="486" w:firstLineChars="200"/>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5、其他未尽事宜由供需双方在采购合同中详细约定。</w:t>
      </w:r>
    </w:p>
    <w:p>
      <w:pPr>
        <w:pStyle w:val="5"/>
        <w:rPr>
          <w:rFonts w:hint="eastAsia" w:ascii="仿宋" w:hAnsi="仿宋" w:eastAsia="仿宋" w:cs="仿宋"/>
          <w:color w:val="000000" w:themeColor="text1"/>
          <w14:textFill>
            <w14:solidFill>
              <w14:schemeClr w14:val="tx1"/>
            </w14:solidFill>
          </w14:textFill>
        </w:rPr>
      </w:pPr>
    </w:p>
    <w:p>
      <w:pPr>
        <w:pStyle w:val="5"/>
        <w:rPr>
          <w:rFonts w:hint="eastAsia"/>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numPr>
          <w:ilvl w:val="0"/>
          <w:numId w:val="8"/>
        </w:numPr>
        <w:spacing w:line="360" w:lineRule="auto"/>
        <w:ind w:firstLine="606" w:firstLineChars="200"/>
        <w:jc w:val="center"/>
        <w:outlineLvl w:val="0"/>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 xml:space="preserve"> </w:t>
      </w:r>
      <w:bookmarkEnd w:id="51"/>
      <w:r>
        <w:rPr>
          <w:rFonts w:hint="eastAsia" w:ascii="仿宋" w:hAnsi="仿宋" w:eastAsia="仿宋" w:cs="仿宋"/>
          <w:b/>
          <w:bCs/>
          <w:color w:val="000000" w:themeColor="text1"/>
          <w:sz w:val="36"/>
          <w:szCs w:val="36"/>
          <w14:textFill>
            <w14:solidFill>
              <w14:schemeClr w14:val="tx1"/>
            </w14:solidFill>
          </w14:textFill>
        </w:rPr>
        <w:t>合  同</w:t>
      </w:r>
    </w:p>
    <w:p>
      <w:pPr>
        <w:jc w:val="center"/>
        <w:rPr>
          <w:rFonts w:hint="eastAsia" w:ascii="仿宋" w:hAnsi="仿宋" w:eastAsia="仿宋" w:cs="仿宋"/>
          <w:b/>
          <w:bCs/>
          <w:color w:val="000000" w:themeColor="text1"/>
          <w:sz w:val="28"/>
          <w14:textFill>
            <w14:solidFill>
              <w14:schemeClr w14:val="tx1"/>
            </w14:solidFill>
          </w14:textFill>
        </w:rPr>
      </w:pP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采购合同主要条款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（本合同为合同样稿，最终稿由供需双方协商后确定）</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合同编号：</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需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受有关单位委托，为（      下称需方）经公开招标结果确定           为供应方。现经供需双方充分协商订立本合同。</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一、名称、规格、数量及价款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（名称、规格、数量及单价）                           </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合同总金额          元整（￥      元）。</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二、质量要求及技术标准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1、供应方交付的货物的技术标准不低于国家标准。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2、供应方在交付货物的同时应提供国家规定的检验合格证明等文件。</w:t>
      </w:r>
    </w:p>
    <w:p>
      <w:pPr>
        <w:adjustRightInd w:val="0"/>
        <w:snapToGrid w:val="0"/>
        <w:spacing w:line="360" w:lineRule="auto"/>
        <w:ind w:firstLine="243" w:firstLineChars="100"/>
        <w:rPr>
          <w:rFonts w:hint="eastAsia" w:ascii="仿宋" w:hAnsi="仿宋" w:eastAsia="仿宋" w:cs="仿宋"/>
          <w:bCs/>
          <w:color w:val="FF0000"/>
          <w:sz w:val="24"/>
        </w:rPr>
      </w:pPr>
      <w:r>
        <w:rPr>
          <w:rFonts w:hint="eastAsia" w:ascii="仿宋" w:hAnsi="仿宋" w:eastAsia="仿宋" w:cs="仿宋"/>
          <w:bCs/>
          <w:color w:val="000000" w:themeColor="text1"/>
          <w:sz w:val="24"/>
          <w14:textFill>
            <w14:solidFill>
              <w14:schemeClr w14:val="tx1"/>
            </w14:solidFill>
          </w14:textFill>
        </w:rPr>
        <w:t>三、交</w:t>
      </w:r>
      <w:r>
        <w:rPr>
          <w:rFonts w:hint="eastAsia" w:ascii="仿宋" w:hAnsi="仿宋" w:eastAsia="仿宋" w:cs="仿宋"/>
          <w:bCs/>
          <w:color w:val="auto"/>
          <w:sz w:val="24"/>
        </w:rPr>
        <w:t>货时间</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FF0000"/>
          <w:sz w:val="24"/>
          <w:u w:val="single"/>
          <w:lang w:val="en-US" w:eastAsia="zh-CN"/>
        </w:rPr>
        <w:t xml:space="preserve">      </w:t>
      </w:r>
      <w:r>
        <w:rPr>
          <w:rFonts w:hint="eastAsia" w:ascii="仿宋" w:hAnsi="仿宋" w:eastAsia="仿宋" w:cs="仿宋"/>
          <w:bCs/>
          <w:color w:val="000000" w:themeColor="text1"/>
          <w:sz w:val="24"/>
          <w:lang w:val="en-US" w:eastAsia="zh-CN"/>
          <w14:textFill>
            <w14:solidFill>
              <w14:schemeClr w14:val="tx1"/>
            </w14:solidFill>
          </w14:textFill>
        </w:rPr>
        <w:t>日前供货安装并检验完毕</w:t>
      </w:r>
      <w:r>
        <w:rPr>
          <w:rFonts w:hint="eastAsia" w:ascii="仿宋" w:hAnsi="仿宋" w:eastAsia="仿宋" w:cs="仿宋"/>
          <w:bCs/>
          <w:color w:val="000000" w:themeColor="text1"/>
          <w:sz w:val="24"/>
          <w14:textFill>
            <w14:solidFill>
              <w14:schemeClr w14:val="tx1"/>
            </w14:solidFill>
          </w14:textFill>
        </w:rPr>
        <w:t>。</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四、验收   </w:t>
      </w:r>
    </w:p>
    <w:p>
      <w:pPr>
        <w:shd w:val="clear" w:color="auto" w:fill="auto"/>
        <w:spacing w:line="360" w:lineRule="auto"/>
        <w:ind w:firstLine="48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五、付款方式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（实际以签订合同为准）。</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2、如有质量问题时需方可以按照供应方投标文件的服务承诺从质量保证金款项中扣除相关费用。</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3、其它违约，按《中华人民共和国合同法》的相关条款执行。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七、解决合同纠纷的方式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当出现纠纷时，双方协商解决；协商不成时可向当地仲裁机关申请仲裁。</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八、技术协议</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附技术协议（另定）</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九、其它约定事项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1、本合同壹式叁份，经双方法定代表人或授权代理人签章，</w:t>
      </w:r>
      <w:r>
        <w:rPr>
          <w:rFonts w:hint="eastAsia" w:ascii="仿宋" w:hAnsi="仿宋" w:eastAsia="仿宋" w:cs="仿宋"/>
          <w:bCs/>
          <w:color w:val="000000" w:themeColor="text1"/>
          <w:sz w:val="24"/>
          <w:lang w:eastAsia="zh-CN"/>
          <w14:textFill>
            <w14:solidFill>
              <w14:schemeClr w14:val="tx1"/>
            </w14:solidFill>
          </w14:textFill>
        </w:rPr>
        <w:t>市</w:t>
      </w:r>
      <w:r>
        <w:rPr>
          <w:rFonts w:hint="eastAsia" w:ascii="仿宋" w:hAnsi="仿宋" w:eastAsia="仿宋" w:cs="仿宋"/>
          <w:bCs/>
          <w:color w:val="000000" w:themeColor="text1"/>
          <w:sz w:val="24"/>
          <w14:textFill>
            <w14:solidFill>
              <w14:schemeClr w14:val="tx1"/>
            </w14:solidFill>
          </w14:textFill>
        </w:rPr>
        <w:t>政府采购中心鉴证后生效。</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2、本合同一式三份，供应方执一份，需方执一份，鉴证方执一份。</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3、相关招标文件、投标文件与本合同具有同等法律效力。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                               需     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授权代理人：                               授权代理人：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 地址：                                 单位 地址：</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联系 电话：                                 联系 电话：</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开户 银行：                                 开户 银行：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账     号：                                 账     号：</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鉴  证  方（签字盖章）：</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签约时间：                                   签约地点：</w:t>
      </w:r>
    </w:p>
    <w:p>
      <w:pPr>
        <w:pStyle w:val="42"/>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六</w:t>
      </w:r>
      <w:r>
        <w:rPr>
          <w:rFonts w:hint="eastAsia" w:ascii="仿宋" w:hAnsi="仿宋" w:eastAsia="仿宋" w:cs="仿宋"/>
          <w:b/>
          <w:bCs/>
          <w:color w:val="000000" w:themeColor="text1"/>
          <w:spacing w:val="0"/>
          <w:w w:val="100"/>
          <w:position w:val="0"/>
          <w:sz w:val="36"/>
          <w:szCs w:val="36"/>
          <w14:textFill>
            <w14:solidFill>
              <w14:schemeClr w14:val="tx1"/>
            </w14:solidFill>
          </w14:textFill>
        </w:rPr>
        <w:t>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14:textFill>
            <w14:solidFill>
              <w14:schemeClr w14:val="tx1"/>
            </w14:solidFill>
          </w14:textFill>
        </w:rPr>
        <w:t>投标文件格式</w:t>
      </w:r>
    </w:p>
    <w:p>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14:textFill>
            <w14:solidFill>
              <w14:schemeClr w14:val="tx1"/>
            </w14:solidFill>
          </w14:textFill>
        </w:rPr>
      </w:pPr>
      <w:bookmarkStart w:id="58"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
          <w:caps/>
          <w:color w:val="000000" w:themeColor="text1"/>
          <w:sz w:val="24"/>
          <w:szCs w:val="24"/>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1470909418"/>
          <w14:textFill>
            <w14:solidFill>
              <w14:schemeClr w14:val="tx1"/>
            </w14:solidFill>
          </w14:textFill>
        </w:rPr>
        <w:t>供应商名称（公章）：</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2"/>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44"/>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8"/>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bookmarkStart w:id="59" w:name="_Toc8919"/>
      <w:bookmarkStart w:id="60" w:name="_Toc18694"/>
      <w:bookmarkStart w:id="61" w:name="_Toc18974"/>
      <w:bookmarkStart w:id="62" w:name="_Toc515647803"/>
    </w:p>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jc w:val="both"/>
        <w:rPr>
          <w:rFonts w:hint="eastAsia" w:ascii="仿宋" w:hAnsi="仿宋" w:eastAsia="仿宋" w:cs="仿宋"/>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第一部分 资格证明文件</w:t>
      </w:r>
      <w:bookmarkEnd w:id="59"/>
      <w:bookmarkEnd w:id="60"/>
      <w:bookmarkEnd w:id="61"/>
      <w:bookmarkEnd w:id="62"/>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5）保证金收据或保函</w:t>
      </w:r>
    </w:p>
    <w:p>
      <w:pPr>
        <w:pStyle w:val="18"/>
        <w:ind w:left="0" w:leftChars="0" w:firstLine="0" w:firstLineChars="0"/>
        <w:rPr>
          <w:rFonts w:hint="eastAsia" w:eastAsia="仿宋"/>
          <w:lang w:val="en-US" w:eastAsia="zh-CN"/>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 xml:space="preserve">    6)中小企业声明函（不符合小微企业无需提供）</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7）投标人须知资料表要求的其他资格证明文件;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rPr>
          <w:rFonts w:hint="eastAsia" w:ascii="仿宋" w:hAnsi="仿宋" w:eastAsia="仿宋" w:cs="仿宋"/>
          <w:b/>
          <w:bCs/>
          <w:color w:val="000000" w:themeColor="text1"/>
          <w:sz w:val="36"/>
          <w:szCs w:val="36"/>
          <w14:textFill>
            <w14:solidFill>
              <w14:schemeClr w14:val="tx1"/>
            </w14:solidFill>
          </w14:textFill>
        </w:rPr>
      </w:pPr>
    </w:p>
    <w:p>
      <w:pPr>
        <w:pStyle w:val="39"/>
        <w:ind w:left="0" w:leftChars="0" w:firstLine="0" w:firstLineChars="0"/>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bookmarkStart w:id="63" w:name="_Toc515647805"/>
      <w:bookmarkStart w:id="64" w:name="_Toc29899"/>
      <w:bookmarkStart w:id="65" w:name="_Toc17577"/>
      <w:bookmarkStart w:id="66" w:name="_Toc4844"/>
      <w:r>
        <w:rPr>
          <w:rFonts w:hint="eastAsia" w:ascii="仿宋" w:hAnsi="仿宋" w:eastAsia="仿宋" w:cs="仿宋"/>
          <w:b/>
          <w:bCs/>
          <w:color w:val="000000" w:themeColor="text1"/>
          <w:sz w:val="36"/>
          <w:szCs w:val="36"/>
          <w:lang w:val="en-US" w:eastAsia="zh-CN"/>
          <w14:textFill>
            <w14:solidFill>
              <w14:schemeClr w14:val="tx1"/>
            </w14:solidFill>
          </w14:textFill>
        </w:rPr>
        <w:t>1、 法人或者非法人组织的营业执照等证明文件</w:t>
      </w:r>
      <w:bookmarkEnd w:id="63"/>
      <w:bookmarkStart w:id="67" w:name="_Toc515647806"/>
      <w:r>
        <w:rPr>
          <w:rFonts w:hint="eastAsia" w:ascii="仿宋" w:hAnsi="仿宋" w:eastAsia="仿宋" w:cs="仿宋"/>
          <w:b/>
          <w:bCs/>
          <w:color w:val="000000" w:themeColor="text1"/>
          <w:sz w:val="36"/>
          <w:szCs w:val="36"/>
          <w:lang w:val="en-US" w:eastAsia="zh-CN"/>
          <w14:textFill>
            <w14:solidFill>
              <w14:schemeClr w14:val="tx1"/>
            </w14:solidFill>
          </w14:textFill>
        </w:rPr>
        <w:t>或自然人的身份证明</w:t>
      </w:r>
      <w:bookmarkEnd w:id="64"/>
      <w:bookmarkEnd w:id="65"/>
      <w:bookmarkEnd w:id="66"/>
      <w:bookmarkEnd w:id="67"/>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说明：1.提供有效的营业执照等证明文件复印件，复印件上应加盖本单位章。</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投标人为自然人的，应提供身份证明的复印件。</w:t>
      </w: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2"/>
        <w:rPr>
          <w:rFonts w:hint="eastAsia"/>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000000" w:themeColor="text1"/>
          <w:sz w:val="36"/>
          <w:szCs w:val="36"/>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8"/>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8"/>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8"/>
        <w:numPr>
          <w:ilvl w:val="0"/>
          <w:numId w:val="0"/>
        </w:numPr>
        <w:kinsoku w:val="0"/>
        <w:overflowPunct w:val="0"/>
        <w:spacing w:line="200" w:lineRule="atLeast"/>
        <w:ind w:right="0" w:right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（公章）</w:t>
      </w:r>
    </w:p>
    <w:p>
      <w:pPr>
        <w:wordWrap w:val="0"/>
        <w:spacing w:line="420" w:lineRule="exact"/>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3</w:t>
      </w:r>
      <w:r>
        <w:rPr>
          <w:rFonts w:hint="eastAsia" w:ascii="仿宋" w:hAnsi="仿宋" w:eastAsia="仿宋" w:cs="仿宋"/>
          <w:b/>
          <w:bCs/>
          <w:color w:val="000000" w:themeColor="text1"/>
          <w:sz w:val="36"/>
          <w:szCs w:val="36"/>
          <w14:textFill>
            <w14:solidFill>
              <w14:schemeClr w14:val="tx1"/>
            </w14:solidFill>
          </w14:textFill>
        </w:rPr>
        <w:t>、授权委托书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致：采购人名称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8"/>
        <w:tabs>
          <w:tab w:val="left" w:pos="780"/>
        </w:tabs>
        <w:kinsoku w:val="0"/>
        <w:overflowPunct w:val="0"/>
        <w:adjustRightInd w:val="0"/>
        <w:snapToGrid w:val="0"/>
        <w:spacing w:before="12"/>
        <w:rPr>
          <w:rFonts w:hint="eastAsia" w:ascii="仿宋" w:hAnsi="仿宋" w:eastAsia="仿宋" w:cs="仿宋"/>
          <w:color w:val="000000" w:themeColor="text1"/>
          <w:sz w:val="4"/>
          <w:szCs w:val="4"/>
          <w14:textFill>
            <w14:solidFill>
              <w14:schemeClr w14:val="tx1"/>
            </w14:solidFill>
          </w14:textFill>
        </w:rPr>
      </w:pPr>
    </w:p>
    <w:p>
      <w:pPr>
        <w:pStyle w:val="8"/>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8"/>
                                <w:numPr>
                                  <w:ilvl w:val="0"/>
                                  <w:numId w:val="0"/>
                                </w:numPr>
                                <w:kinsoku w:val="0"/>
                                <w:overflowPunct w:val="0"/>
                                <w:spacing w:before="12"/>
                                <w:ind w:leftChars="0" w:right="0" w:rightChars="0"/>
                                <w:rPr>
                                  <w:rFonts w:hint="eastAsia"/>
                                  <w:sz w:val="28"/>
                                  <w:szCs w:val="28"/>
                                </w:rPr>
                              </w:pPr>
                            </w:p>
                            <w:p>
                              <w:pPr>
                                <w:pStyle w:val="8"/>
                                <w:numPr>
                                  <w:ilvl w:val="0"/>
                                  <w:numId w:val="0"/>
                                </w:numPr>
                                <w:kinsoku w:val="0"/>
                                <w:overflowPunct w:val="0"/>
                                <w:ind w:right="0" w:rightChars="0"/>
                                <w:jc w:val="center"/>
                                <w:rPr>
                                  <w:rFonts w:hint="eastAsia"/>
                                </w:rPr>
                              </w:pPr>
                            </w:p>
                            <w:p>
                              <w:pPr>
                                <w:pStyle w:val="8"/>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8"/>
                          <w:numPr>
                            <w:ilvl w:val="0"/>
                            <w:numId w:val="0"/>
                          </w:numPr>
                          <w:kinsoku w:val="0"/>
                          <w:overflowPunct w:val="0"/>
                          <w:spacing w:before="12"/>
                          <w:ind w:leftChars="0" w:right="0" w:rightChars="0"/>
                          <w:rPr>
                            <w:rFonts w:hint="eastAsia"/>
                            <w:sz w:val="28"/>
                            <w:szCs w:val="28"/>
                          </w:rPr>
                        </w:pPr>
                      </w:p>
                      <w:p>
                        <w:pPr>
                          <w:pStyle w:val="8"/>
                          <w:numPr>
                            <w:ilvl w:val="0"/>
                            <w:numId w:val="0"/>
                          </w:numPr>
                          <w:kinsoku w:val="0"/>
                          <w:overflowPunct w:val="0"/>
                          <w:ind w:right="0" w:rightChars="0"/>
                          <w:jc w:val="center"/>
                          <w:rPr>
                            <w:rFonts w:hint="eastAsia"/>
                          </w:rPr>
                        </w:pPr>
                      </w:p>
                      <w:p>
                        <w:pPr>
                          <w:pStyle w:val="8"/>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39"/>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4"/>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4、</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8" w:name="_Toc494296665"/>
      <w:bookmarkStart w:id="69" w:name="_Toc494296991"/>
    </w:p>
    <w:bookmarkEnd w:id="68"/>
    <w:bookmarkEnd w:id="69"/>
    <w:p>
      <w:pPr>
        <w:pStyle w:val="6"/>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6"/>
        <w:shd w:val="clear" w:color="auto" w:fill="auto"/>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6"/>
        <w:shd w:val="clear" w:color="auto" w:fill="auto"/>
        <w:rPr>
          <w:rFonts w:hint="eastAsia" w:ascii="仿宋" w:hAnsi="仿宋" w:eastAsia="仿宋" w:cs="仿宋"/>
          <w:color w:val="000000" w:themeColor="text1"/>
          <w:highlight w:val="none"/>
          <w14:textFill>
            <w14:solidFill>
              <w14:schemeClr w14:val="tx1"/>
            </w14:solidFill>
          </w14:textFill>
        </w:rPr>
      </w:pPr>
    </w:p>
    <w:p>
      <w:pPr>
        <w:pStyle w:val="6"/>
        <w:shd w:val="clear" w:color="auto" w:fill="auto"/>
        <w:rPr>
          <w:rFonts w:hint="eastAsia" w:ascii="仿宋" w:hAnsi="仿宋" w:eastAsia="仿宋" w:cs="仿宋"/>
          <w:color w:val="000000" w:themeColor="text1"/>
          <w:highlight w:val="none"/>
          <w14:textFill>
            <w14:solidFill>
              <w14:schemeClr w14:val="tx1"/>
            </w14:solidFill>
          </w14:textFill>
        </w:rPr>
      </w:pPr>
    </w:p>
    <w:p>
      <w:pPr>
        <w:pStyle w:val="6"/>
        <w:shd w:val="clear" w:color="auto" w:fill="auto"/>
        <w:rPr>
          <w:rFonts w:hint="eastAsia" w:ascii="仿宋" w:hAnsi="仿宋" w:eastAsia="仿宋" w:cs="仿宋"/>
          <w:color w:val="000000" w:themeColor="text1"/>
          <w:highlight w:val="none"/>
          <w14:textFill>
            <w14:solidFill>
              <w14:schemeClr w14:val="tx1"/>
            </w14:solidFill>
          </w14:textFill>
        </w:rPr>
      </w:pPr>
    </w:p>
    <w:p>
      <w:pPr>
        <w:pStyle w:val="6"/>
        <w:shd w:val="clear" w:color="auto" w:fill="auto"/>
        <w:rPr>
          <w:rFonts w:hint="eastAsia" w:ascii="仿宋" w:hAnsi="仿宋" w:eastAsia="仿宋" w:cs="仿宋"/>
          <w:color w:val="000000" w:themeColor="text1"/>
          <w:highlight w:val="none"/>
          <w14:textFill>
            <w14:solidFill>
              <w14:schemeClr w14:val="tx1"/>
            </w14:solidFill>
          </w14:textFill>
        </w:rPr>
      </w:pPr>
    </w:p>
    <w:p>
      <w:pPr>
        <w:pStyle w:val="6"/>
        <w:shd w:val="clear" w:color="auto" w:fill="auto"/>
        <w:rPr>
          <w:rFonts w:hint="eastAsia" w:ascii="仿宋" w:hAnsi="仿宋" w:eastAsia="仿宋" w:cs="仿宋"/>
          <w:color w:val="000000" w:themeColor="text1"/>
          <w:highlight w:val="none"/>
          <w14:textFill>
            <w14:solidFill>
              <w14:schemeClr w14:val="tx1"/>
            </w14:solidFill>
          </w14:textFill>
        </w:rPr>
      </w:pPr>
    </w:p>
    <w:p>
      <w:pPr>
        <w:pStyle w:val="6"/>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6"/>
        <w:numPr>
          <w:ilvl w:val="4"/>
          <w:numId w:val="0"/>
        </w:numPr>
        <w:ind w:leftChars="0" w:right="0" w:rightChars="0"/>
        <w:rPr>
          <w:rFonts w:hint="eastAsia"/>
          <w:lang w:eastAsia="zh-CN"/>
        </w:rPr>
      </w:pPr>
    </w:p>
    <w:p>
      <w:pPr>
        <w:pStyle w:val="37"/>
        <w:rPr>
          <w:rFonts w:hint="eastAsia"/>
          <w:lang w:eastAsia="zh-CN"/>
        </w:rPr>
      </w:pPr>
    </w:p>
    <w:p>
      <w:pPr>
        <w:pStyle w:val="5"/>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5、未被“信用中国”（www.creditchina.gov.cn）、中国政府采购网（www.ccgp.gov.cn）列入失信被执行人、重大税收违法案件当事人名单、政府采购严重违法失信行为记录名单；</w:t>
      </w:r>
    </w:p>
    <w:p>
      <w:pPr>
        <w:pStyle w:val="5"/>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rPr>
          <w:rFonts w:hint="eastAsia" w:ascii="仿宋" w:hAnsi="仿宋" w:eastAsia="仿宋" w:cs="仿宋"/>
          <w:b/>
          <w:bCs/>
          <w:color w:val="000000" w:themeColor="text1"/>
          <w14:textFill>
            <w14:solidFill>
              <w14:schemeClr w14:val="tx1"/>
            </w14:solidFill>
          </w14:textFill>
        </w:rPr>
      </w:pPr>
    </w:p>
    <w:p>
      <w:pPr>
        <w:pStyle w:val="39"/>
        <w:numPr>
          <w:ilvl w:val="0"/>
          <w:numId w:val="9"/>
        </w:numPr>
        <w:ind w:firstLine="729" w:firstLineChars="300"/>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中小企业声明函（不符合小微企业无需提供）</w:t>
      </w:r>
    </w:p>
    <w:p>
      <w:pPr>
        <w:pStyle w:val="39"/>
        <w:numPr>
          <w:ilvl w:val="0"/>
          <w:numId w:val="0"/>
        </w:numPr>
        <w:ind w:leftChars="300" w:right="0" w:rightChars="0"/>
        <w:rPr>
          <w:rFonts w:hint="eastAsia" w:ascii="仿宋" w:hAnsi="仿宋" w:eastAsia="仿宋" w:cs="仿宋"/>
          <w:b/>
          <w:bCs/>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left"/>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7、</w:t>
      </w:r>
      <w:r>
        <w:rPr>
          <w:rFonts w:hint="eastAsia" w:ascii="仿宋" w:hAnsi="仿宋" w:eastAsia="仿宋" w:cs="仿宋"/>
          <w:b/>
          <w:bCs/>
          <w:color w:val="000000" w:themeColor="text1"/>
          <w14:textFill>
            <w14:solidFill>
              <w14:schemeClr w14:val="tx1"/>
            </w14:solidFill>
          </w14:textFill>
        </w:rPr>
        <w:t>投标人须知资料表要求的其他资格证明文件</w:t>
      </w:r>
    </w:p>
    <w:p>
      <w:pPr>
        <w:pStyle w:val="6"/>
        <w:numPr>
          <w:ilvl w:val="0"/>
          <w:numId w:val="0"/>
        </w:numPr>
        <w:ind w:right="0" w:rightChars="0"/>
        <w:rPr>
          <w:rFonts w:hint="eastAsia"/>
        </w:rPr>
      </w:pPr>
    </w:p>
    <w:p>
      <w:pPr>
        <w:pStyle w:val="5"/>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6"/>
        <w:rPr>
          <w:rFonts w:hint="eastAsia"/>
        </w:rPr>
      </w:pPr>
    </w:p>
    <w:p>
      <w:pPr>
        <w:pStyle w:val="5"/>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11"/>
        <w:shd w:val="clear" w:color="auto" w:fill="auto"/>
        <w:tabs>
          <w:tab w:val="left" w:pos="5580"/>
        </w:tabs>
        <w:spacing w:line="240" w:lineRule="atLeast"/>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auto"/>
          <w:sz w:val="32"/>
          <w:szCs w:val="32"/>
          <w:highlight w:val="none"/>
        </w:rPr>
      </w:pPr>
      <w:bookmarkStart w:id="70" w:name="_Toc515647816"/>
      <w:bookmarkStart w:id="71" w:name="_Toc5695"/>
      <w:bookmarkStart w:id="72" w:name="_Toc11180"/>
      <w:bookmarkStart w:id="73" w:name="_Toc22967"/>
      <w:r>
        <w:rPr>
          <w:rFonts w:hint="eastAsia" w:ascii="仿宋" w:hAnsi="仿宋" w:eastAsia="仿宋" w:cs="仿宋"/>
          <w:color w:val="auto"/>
          <w:sz w:val="32"/>
          <w:szCs w:val="32"/>
          <w:highlight w:val="none"/>
        </w:rPr>
        <w:br w:type="page"/>
      </w:r>
    </w:p>
    <w:p>
      <w:pPr>
        <w:rPr>
          <w:rFonts w:hint="eastAsia"/>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bookmarkEnd w:id="70"/>
      <w:bookmarkEnd w:id="71"/>
      <w:bookmarkEnd w:id="72"/>
      <w:bookmarkEnd w:id="73"/>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、投标分项报价表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、中小企业声明函(</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《残疾人福利性单位声明函》</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评分标准和细则中技术部分证明材料</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评分标准和细则中技术部分证明材料（格式自拟）</w:t>
      </w:r>
    </w:p>
    <w:p>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投标人认为有必要提供的其他证明材料（格式自拟）</w:t>
      </w:r>
    </w:p>
    <w:p>
      <w:pPr>
        <w:pStyle w:val="11"/>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法定代表人或委托人：</w:t>
      </w:r>
      <w:r>
        <w:rPr>
          <w:rFonts w:hint="eastAsia" w:ascii="仿宋" w:hAnsi="仿宋" w:eastAsia="仿宋" w:cs="仿宋"/>
          <w:kern w:val="0"/>
          <w:sz w:val="24"/>
        </w:rPr>
        <w:tab/>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签章</w:t>
      </w:r>
      <w:r>
        <w:rPr>
          <w:rFonts w:hint="eastAsia" w:ascii="仿宋" w:hAnsi="仿宋" w:eastAsia="仿宋" w:cs="仿宋"/>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39"/>
        <w:rPr>
          <w:rFonts w:hint="eastAsia" w:ascii="仿宋" w:hAnsi="仿宋" w:eastAsia="仿宋" w:cs="仿宋"/>
          <w:color w:val="auto"/>
          <w:sz w:val="24"/>
          <w:highlight w:val="none"/>
        </w:rPr>
      </w:pPr>
      <w:r>
        <w:rPr>
          <w:rFonts w:hint="eastAsia" w:ascii="仿宋" w:hAnsi="仿宋" w:eastAsia="仿宋" w:cs="仿宋"/>
        </w:rPr>
        <w:br w:type="page"/>
      </w:r>
    </w:p>
    <w:p>
      <w:pPr>
        <w:pStyle w:val="6"/>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val="0"/>
          <w:bCs/>
          <w:color w:val="auto"/>
          <w:sz w:val="36"/>
          <w:szCs w:val="24"/>
          <w:highlight w:val="none"/>
          <w:lang w:val="en-US" w:eastAsia="zh-CN"/>
        </w:rPr>
        <w:t>2</w:t>
      </w:r>
      <w:r>
        <w:rPr>
          <w:rFonts w:hint="eastAsia" w:ascii="仿宋" w:hAnsi="仿宋" w:eastAsia="仿宋" w:cs="仿宋"/>
          <w:b w:val="0"/>
          <w:bCs/>
          <w:color w:val="auto"/>
          <w:sz w:val="36"/>
          <w:szCs w:val="24"/>
          <w:highlight w:val="none"/>
          <w:lang w:eastAsia="zh-CN"/>
        </w:rPr>
        <w:t>、</w:t>
      </w:r>
      <w:r>
        <w:rPr>
          <w:rFonts w:hint="eastAsia" w:ascii="仿宋" w:hAnsi="仿宋" w:eastAsia="仿宋" w:cs="仿宋"/>
          <w:b w:val="0"/>
          <w:bCs/>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                                               单位：元</w:t>
      </w:r>
    </w:p>
    <w:tbl>
      <w:tblPr>
        <w:tblStyle w:val="21"/>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质保期</w:t>
            </w:r>
          </w:p>
        </w:tc>
        <w:tc>
          <w:tcPr>
            <w:tcW w:w="6185" w:type="dxa"/>
            <w:noWrap w:val="0"/>
            <w:vAlign w:val="center"/>
          </w:tcPr>
          <w:p>
            <w:pPr>
              <w:shd w:val="clear" w:color="auto" w:fill="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综合</w:t>
      </w:r>
      <w:r>
        <w:rPr>
          <w:rFonts w:hint="eastAsia" w:ascii="仿宋" w:hAnsi="仿宋" w:eastAsia="仿宋" w:cs="仿宋"/>
          <w:color w:val="auto"/>
          <w:szCs w:val="21"/>
          <w:highlight w:val="none"/>
        </w:rPr>
        <w:t>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.投标报价不得填报选择性报价。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6"/>
        <w:rPr>
          <w:rFonts w:hint="eastAsia"/>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2"/>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3、货物说明一览表</w:t>
      </w:r>
    </w:p>
    <w:p>
      <w:pPr>
        <w:pStyle w:val="11"/>
        <w:shd w:val="clear" w:color="auto" w:fill="auto"/>
        <w:spacing w:line="240" w:lineRule="atLeast"/>
        <w:ind w:left="1164" w:leftChars="257" w:hanging="540"/>
        <w:rPr>
          <w:rFonts w:hint="eastAsia" w:ascii="仿宋" w:hAnsi="仿宋" w:eastAsia="仿宋" w:cs="仿宋"/>
          <w:color w:val="auto"/>
          <w:sz w:val="24"/>
          <w:highlight w:val="none"/>
        </w:rPr>
      </w:pPr>
    </w:p>
    <w:p>
      <w:pPr>
        <w:pStyle w:val="11"/>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1"/>
        <w:shd w:val="clear" w:color="auto" w:fill="auto"/>
        <w:spacing w:line="240" w:lineRule="atLeast"/>
        <w:ind w:left="1164" w:leftChars="257" w:hanging="540"/>
        <w:rPr>
          <w:rFonts w:hint="eastAsia" w:ascii="仿宋" w:hAnsi="仿宋" w:eastAsia="仿宋" w:cs="仿宋"/>
          <w:color w:val="auto"/>
          <w:sz w:val="24"/>
          <w:highlight w:val="none"/>
        </w:rPr>
      </w:pP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67"/>
        <w:gridCol w:w="1144"/>
        <w:gridCol w:w="742"/>
        <w:gridCol w:w="565"/>
        <w:gridCol w:w="659"/>
        <w:gridCol w:w="855"/>
        <w:gridCol w:w="973"/>
        <w:gridCol w:w="108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450"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671"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品牌</w:t>
            </w:r>
          </w:p>
        </w:tc>
        <w:tc>
          <w:tcPr>
            <w:tcW w:w="435"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331"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386"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单位</w:t>
            </w:r>
          </w:p>
        </w:tc>
        <w:tc>
          <w:tcPr>
            <w:tcW w:w="501"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交货时间</w:t>
            </w:r>
          </w:p>
        </w:tc>
        <w:tc>
          <w:tcPr>
            <w:tcW w:w="570"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636" w:type="pct"/>
            <w:noWrap w:val="0"/>
            <w:vAlign w:val="center"/>
          </w:tcPr>
          <w:p>
            <w:pPr>
              <w:shd w:val="clear" w:color="auto" w:fill="auto"/>
              <w:ind w:left="0" w:leftChars="0" w:right="0" w:rightChars="0" w:firstLine="0" w:firstLineChars="0"/>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质保</w:t>
            </w:r>
          </w:p>
        </w:tc>
        <w:tc>
          <w:tcPr>
            <w:tcW w:w="748"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7"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5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7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35"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3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8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0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7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3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48"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7"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5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7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35"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3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8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0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7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3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48"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7"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5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7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35"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3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8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0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7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3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48"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7"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5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7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35"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3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8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0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7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3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48"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7"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5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7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35"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3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8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0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7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3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48"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67"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5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7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35"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3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8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0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7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3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48"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7"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5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7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35"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3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8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0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7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3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48"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7"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5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7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35"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3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8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01"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70"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36"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48" w:type="pct"/>
            <w:noWrap w:val="0"/>
            <w:vAlign w:val="top"/>
          </w:tcPr>
          <w:p>
            <w:pPr>
              <w:pStyle w:val="11"/>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1"/>
        <w:shd w:val="clear" w:color="auto" w:fill="auto"/>
        <w:spacing w:line="240" w:lineRule="atLeast"/>
        <w:ind w:left="1164" w:leftChars="257" w:hanging="540"/>
        <w:rPr>
          <w:rFonts w:hint="eastAsia" w:ascii="仿宋" w:hAnsi="仿宋" w:eastAsia="仿宋" w:cs="仿宋"/>
          <w:color w:val="auto"/>
          <w:sz w:val="24"/>
          <w:highlight w:val="none"/>
        </w:rPr>
      </w:pPr>
    </w:p>
    <w:p>
      <w:pPr>
        <w:pStyle w:val="11"/>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1"/>
        <w:shd w:val="clear" w:color="auto" w:fill="auto"/>
        <w:tabs>
          <w:tab w:val="left" w:pos="5370"/>
        </w:tabs>
        <w:spacing w:line="240" w:lineRule="atLeast"/>
        <w:ind w:left="1164"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1"/>
        <w:shd w:val="clear" w:color="auto" w:fill="auto"/>
        <w:spacing w:line="240" w:lineRule="atLeast"/>
        <w:ind w:left="1164" w:leftChars="257" w:hanging="540"/>
        <w:rPr>
          <w:rFonts w:hint="eastAsia" w:ascii="宋体" w:hAnsi="宋体" w:eastAsia="宋体" w:cs="宋体"/>
          <w:color w:val="auto"/>
          <w:sz w:val="24"/>
          <w:highlight w:val="none"/>
        </w:rPr>
      </w:pPr>
    </w:p>
    <w:p>
      <w:pPr>
        <w:pStyle w:val="11"/>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1"/>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1"/>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42"/>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rPr>
      </w:pPr>
      <w:r>
        <w:rPr>
          <w:rFonts w:hint="eastAsia" w:ascii="仿宋" w:hAnsi="仿宋" w:eastAsia="仿宋" w:cs="仿宋"/>
          <w:color w:val="000000"/>
          <w:spacing w:val="0"/>
          <w:w w:val="100"/>
          <w:position w:val="0"/>
          <w:lang w:val="en-US" w:eastAsia="zh-CN"/>
        </w:rPr>
        <w:t>4</w:t>
      </w:r>
      <w:r>
        <w:rPr>
          <w:rFonts w:hint="eastAsia" w:ascii="仿宋" w:hAnsi="仿宋" w:eastAsia="仿宋" w:cs="仿宋"/>
          <w:color w:val="000000"/>
          <w:spacing w:val="0"/>
          <w:w w:val="100"/>
          <w:position w:val="0"/>
          <w:lang w:eastAsia="zh-CN"/>
        </w:rPr>
        <w:t>、</w:t>
      </w:r>
      <w:r>
        <w:rPr>
          <w:rFonts w:hint="eastAsia" w:ascii="仿宋" w:hAnsi="仿宋" w:eastAsia="仿宋" w:cs="仿宋"/>
          <w:color w:val="000000"/>
          <w:spacing w:val="0"/>
          <w:w w:val="100"/>
          <w:position w:val="0"/>
        </w:rPr>
        <w:t>投标报价明细表</w:t>
      </w:r>
    </w:p>
    <w:p>
      <w:pPr>
        <w:pStyle w:val="42"/>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42"/>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1"/>
        <w:shd w:val="clear" w:color="auto" w:fill="auto"/>
        <w:spacing w:line="240" w:lineRule="atLeast"/>
        <w:ind w:left="1157" w:leftChars="257" w:hanging="54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单位：</w:t>
      </w:r>
      <w:r>
        <w:rPr>
          <w:rFonts w:hint="eastAsia" w:ascii="仿宋" w:hAnsi="仿宋" w:eastAsia="仿宋" w:cs="仿宋"/>
          <w:color w:val="auto"/>
          <w:szCs w:val="21"/>
        </w:rPr>
        <w:t>元</w:t>
      </w:r>
    </w:p>
    <w:tbl>
      <w:tblPr>
        <w:tblStyle w:val="21"/>
        <w:tblW w:w="10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交货时间</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数量</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rPr>
              <w:t>单价</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总价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质保</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合计</w:t>
            </w:r>
            <w:r>
              <w:rPr>
                <w:rFonts w:hint="eastAsia" w:ascii="仿宋" w:hAnsi="仿宋" w:eastAsia="仿宋" w:cs="仿宋"/>
                <w:color w:val="auto"/>
                <w:szCs w:val="21"/>
                <w:lang w:eastAsia="zh-CN"/>
              </w:rPr>
              <w:t>：</w:t>
            </w:r>
            <w:r>
              <w:rPr>
                <w:rFonts w:hint="eastAsia" w:ascii="仿宋" w:hAnsi="仿宋" w:eastAsia="仿宋" w:cs="仿宋"/>
                <w:color w:val="auto"/>
                <w:szCs w:val="21"/>
              </w:rPr>
              <w:t>（</w:t>
            </w:r>
            <w:r>
              <w:rPr>
                <w:rFonts w:hint="eastAsia" w:ascii="仿宋" w:hAnsi="仿宋" w:eastAsia="仿宋" w:cs="仿宋"/>
                <w:color w:val="auto"/>
                <w:szCs w:val="21"/>
                <w:lang w:eastAsia="zh-CN"/>
              </w:rPr>
              <w:t>元</w:t>
            </w:r>
            <w:r>
              <w:rPr>
                <w:rFonts w:hint="eastAsia" w:ascii="仿宋" w:hAnsi="仿宋" w:eastAsia="仿宋" w:cs="仿宋"/>
                <w:color w:val="auto"/>
                <w:szCs w:val="21"/>
              </w:rPr>
              <w:t>）</w:t>
            </w:r>
          </w:p>
        </w:tc>
        <w:tc>
          <w:tcPr>
            <w:tcW w:w="818" w:type="dxa"/>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46"/>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所有价格均用人民币表示，单位为元。</w:t>
      </w:r>
    </w:p>
    <w:p>
      <w:pPr>
        <w:pStyle w:val="46"/>
        <w:keepNext w:val="0"/>
        <w:keepLines w:val="0"/>
        <w:widowControl w:val="0"/>
        <w:numPr>
          <w:ilvl w:val="0"/>
          <w:numId w:val="10"/>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46"/>
        <w:keepNext w:val="0"/>
        <w:keepLines w:val="0"/>
        <w:widowControl w:val="0"/>
        <w:numPr>
          <w:ilvl w:val="0"/>
          <w:numId w:val="10"/>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46"/>
        <w:keepNext w:val="0"/>
        <w:keepLines w:val="0"/>
        <w:widowControl w:val="0"/>
        <w:numPr>
          <w:ilvl w:val="0"/>
          <w:numId w:val="10"/>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46"/>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46"/>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8"/>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sz w:val="36"/>
          <w:szCs w:val="36"/>
          <w:lang w:eastAsia="zh-CN"/>
        </w:rPr>
      </w:pPr>
    </w:p>
    <w:p>
      <w:pPr>
        <w:pStyle w:val="42"/>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5、技术条款偏离表</w:t>
      </w:r>
    </w:p>
    <w:tbl>
      <w:tblPr>
        <w:tblStyle w:val="21"/>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200"/>
        <w:gridCol w:w="2155"/>
        <w:gridCol w:w="1326"/>
        <w:gridCol w:w="2335"/>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86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200"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215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233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073"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如有正偏离需提供证明材料，证明材料附后(并注明页码)</w:t>
            </w: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1"/>
        <w:tabs>
          <w:tab w:val="left" w:pos="5580"/>
        </w:tabs>
        <w:spacing w:line="360" w:lineRule="auto"/>
        <w:ind w:firstLine="3120" w:firstLineChars="1300"/>
        <w:rPr>
          <w:rFonts w:hint="eastAsia" w:ascii="仿宋" w:hAnsi="仿宋" w:eastAsia="仿宋" w:cs="仿宋"/>
          <w:sz w:val="24"/>
        </w:rPr>
      </w:pPr>
    </w:p>
    <w:p>
      <w:pPr>
        <w:pStyle w:val="11"/>
        <w:tabs>
          <w:tab w:val="left" w:pos="5580"/>
        </w:tabs>
        <w:spacing w:line="360" w:lineRule="auto"/>
        <w:ind w:firstLine="3120" w:firstLineChars="1300"/>
        <w:rPr>
          <w:rFonts w:hint="eastAsia" w:ascii="仿宋" w:hAnsi="仿宋" w:eastAsia="仿宋" w:cs="仿宋"/>
          <w:sz w:val="24"/>
        </w:rPr>
      </w:pPr>
      <w:r>
        <w:rPr>
          <w:rFonts w:hint="eastAsia" w:ascii="仿宋" w:hAnsi="仿宋" w:eastAsia="仿宋" w:cs="仿宋"/>
          <w:sz w:val="24"/>
        </w:rPr>
        <w:t>投标人（盖章）：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11"/>
        <w:tabs>
          <w:tab w:val="left" w:pos="5580"/>
        </w:tabs>
        <w:spacing w:line="360" w:lineRule="auto"/>
        <w:ind w:firstLine="3120" w:firstLineChars="1300"/>
        <w:rPr>
          <w:rFonts w:hint="eastAsia" w:ascii="仿宋" w:hAnsi="仿宋" w:eastAsia="仿宋" w:cs="仿宋"/>
          <w:kern w:val="0"/>
          <w:sz w:val="24"/>
          <w:szCs w:val="24"/>
          <w:u w:val="single"/>
          <w:lang w:val="en-US" w:eastAsia="zh-CN"/>
        </w:rPr>
      </w:pPr>
      <w:r>
        <w:rPr>
          <w:rFonts w:hint="eastAsia" w:ascii="仿宋" w:hAnsi="仿宋" w:eastAsia="仿宋" w:cs="仿宋"/>
          <w:sz w:val="24"/>
          <w:lang w:eastAsia="zh-CN"/>
        </w:rPr>
        <w:t>法定代表人或</w:t>
      </w:r>
      <w:r>
        <w:rPr>
          <w:rFonts w:hint="eastAsia" w:ascii="仿宋" w:hAnsi="仿宋" w:eastAsia="仿宋" w:cs="仿宋"/>
          <w:kern w:val="0"/>
          <w:sz w:val="24"/>
          <w:szCs w:val="24"/>
        </w:rPr>
        <w:t>委托代理人</w:t>
      </w:r>
      <w:r>
        <w:rPr>
          <w:rFonts w:hint="eastAsia" w:ascii="仿宋" w:hAnsi="仿宋" w:eastAsia="仿宋" w:cs="仿宋"/>
          <w:sz w:val="24"/>
          <w:lang w:eastAsia="zh-CN"/>
        </w:rPr>
        <w:t>（签章）</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pPr>
        <w:pStyle w:val="5"/>
        <w:rPr>
          <w:rFonts w:hint="eastAsia" w:ascii="仿宋" w:hAnsi="仿宋" w:eastAsia="仿宋" w:cs="仿宋"/>
          <w:b/>
          <w:bCs/>
          <w:sz w:val="36"/>
          <w:szCs w:val="36"/>
        </w:rPr>
      </w:pPr>
    </w:p>
    <w:p>
      <w:pPr>
        <w:rPr>
          <w:rFonts w:hint="eastAsia" w:ascii="仿宋" w:hAnsi="仿宋" w:eastAsia="仿宋" w:cs="仿宋"/>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r>
        <w:rPr>
          <w:rFonts w:hint="eastAsia" w:ascii="仿宋" w:hAnsi="仿宋" w:eastAsia="仿宋" w:cs="仿宋"/>
          <w:color w:val="000000"/>
          <w:spacing w:val="0"/>
          <w:w w:val="100"/>
          <w:position w:val="0"/>
          <w:sz w:val="36"/>
          <w:szCs w:val="36"/>
          <w:lang w:val="en-US" w:eastAsia="zh-CN"/>
        </w:rPr>
        <w:t>6</w:t>
      </w:r>
      <w:r>
        <w:rPr>
          <w:rFonts w:hint="eastAsia" w:ascii="仿宋" w:hAnsi="仿宋" w:eastAsia="仿宋" w:cs="仿宋"/>
          <w:color w:val="000000"/>
          <w:spacing w:val="0"/>
          <w:w w:val="100"/>
          <w:position w:val="0"/>
          <w:sz w:val="36"/>
          <w:szCs w:val="36"/>
        </w:rPr>
        <w:t>、</w:t>
      </w:r>
      <w:r>
        <w:rPr>
          <w:rFonts w:hint="eastAsia" w:ascii="仿宋" w:hAnsi="仿宋" w:eastAsia="仿宋" w:cs="仿宋"/>
          <w:color w:val="000000"/>
          <w:spacing w:val="0"/>
          <w:w w:val="100"/>
          <w:position w:val="0"/>
          <w:sz w:val="36"/>
          <w:szCs w:val="36"/>
          <w:lang w:eastAsia="zh-CN"/>
        </w:rPr>
        <w:t>商务条款偏离表</w:t>
      </w:r>
    </w:p>
    <w:tbl>
      <w:tblPr>
        <w:tblStyle w:val="2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77"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24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bCs/>
                <w:sz w:val="24"/>
                <w:szCs w:val="24"/>
              </w:rPr>
              <w:t>偏离</w:t>
            </w:r>
          </w:p>
        </w:tc>
        <w:tc>
          <w:tcPr>
            <w:tcW w:w="1130"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4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4"/>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color w:val="000000"/>
          <w:spacing w:val="0"/>
          <w:w w:val="100"/>
          <w:position w:val="0"/>
          <w:sz w:val="36"/>
          <w:szCs w:val="36"/>
          <w:lang w:val="en-US" w:eastAsia="zh-CN"/>
        </w:rPr>
        <w:t>7、投标人基本情况表</w:t>
      </w:r>
    </w:p>
    <w:p>
      <w:pPr>
        <w:pStyle w:val="8"/>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4"/>
              <w:rPr>
                <w:rFonts w:hint="eastAsia" w:ascii="仿宋" w:hAnsi="仿宋" w:eastAsia="仿宋" w:cs="仿宋"/>
                <w:b/>
                <w:bCs/>
                <w:sz w:val="20"/>
                <w:szCs w:val="20"/>
              </w:rPr>
            </w:pPr>
          </w:p>
          <w:p>
            <w:pPr>
              <w:pStyle w:val="47"/>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4"/>
              <w:rPr>
                <w:rFonts w:hint="eastAsia" w:ascii="仿宋" w:hAnsi="仿宋" w:eastAsia="仿宋" w:cs="仿宋"/>
                <w:b/>
                <w:bCs/>
                <w:sz w:val="20"/>
                <w:szCs w:val="20"/>
              </w:rPr>
            </w:pPr>
          </w:p>
          <w:p>
            <w:pPr>
              <w:pStyle w:val="47"/>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rPr>
                <w:rFonts w:hint="eastAsia" w:ascii="仿宋" w:hAnsi="仿宋" w:eastAsia="仿宋" w:cs="仿宋"/>
                <w:b/>
                <w:bCs/>
              </w:rPr>
            </w:pPr>
          </w:p>
          <w:p>
            <w:pPr>
              <w:pStyle w:val="47"/>
              <w:kinsoku w:val="0"/>
              <w:overflowPunct w:val="0"/>
              <w:rPr>
                <w:rFonts w:hint="eastAsia" w:ascii="仿宋" w:hAnsi="仿宋" w:eastAsia="仿宋" w:cs="仿宋"/>
                <w:b/>
                <w:bCs/>
              </w:rPr>
            </w:pPr>
          </w:p>
          <w:p>
            <w:pPr>
              <w:pStyle w:val="47"/>
              <w:kinsoku w:val="0"/>
              <w:overflowPunct w:val="0"/>
              <w:rPr>
                <w:rFonts w:hint="eastAsia" w:ascii="仿宋" w:hAnsi="仿宋" w:eastAsia="仿宋" w:cs="仿宋"/>
                <w:b/>
                <w:bCs/>
              </w:rPr>
            </w:pPr>
          </w:p>
          <w:p>
            <w:pPr>
              <w:pStyle w:val="47"/>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7"/>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7"/>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7"/>
              <w:kinsoku w:val="0"/>
              <w:overflowPunct w:val="0"/>
              <w:spacing w:before="1"/>
              <w:rPr>
                <w:rFonts w:hint="eastAsia" w:ascii="仿宋" w:hAnsi="仿宋" w:eastAsia="仿宋" w:cs="仿宋"/>
                <w:b/>
                <w:bCs/>
                <w:sz w:val="23"/>
                <w:szCs w:val="23"/>
              </w:rPr>
            </w:pPr>
          </w:p>
          <w:p>
            <w:pPr>
              <w:pStyle w:val="47"/>
              <w:kinsoku w:val="0"/>
              <w:overflowPunct w:val="0"/>
              <w:spacing w:line="237" w:lineRule="auto"/>
              <w:ind w:left="497" w:right="493"/>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5"/>
        <w:rPr>
          <w:rFonts w:hint="eastAsia"/>
          <w:lang w:val="en-US" w:eastAsia="zh-CN"/>
        </w:rPr>
      </w:pPr>
    </w:p>
    <w:p>
      <w:pPr>
        <w:shd w:val="clear" w:color="auto" w:fill="auto"/>
        <w:spacing w:line="360" w:lineRule="auto"/>
        <w:jc w:val="both"/>
        <w:rPr>
          <w:rFonts w:hint="eastAsia" w:ascii="仿宋" w:hAnsi="仿宋" w:eastAsia="仿宋" w:cs="仿宋"/>
          <w:b w:val="0"/>
          <w:bCs/>
          <w:color w:val="auto"/>
          <w:kern w:val="0"/>
          <w:sz w:val="36"/>
          <w:szCs w:val="36"/>
          <w:lang w:val="en-US" w:eastAsia="zh-CN"/>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74" w:name="_Hlk71925120"/>
      <w:r>
        <w:rPr>
          <w:rFonts w:hint="eastAsia" w:ascii="仿宋" w:hAnsi="仿宋" w:eastAsia="仿宋" w:cs="仿宋"/>
          <w:color w:val="auto"/>
          <w:sz w:val="24"/>
          <w:szCs w:val="24"/>
        </w:rPr>
        <w:t>《关于印发中小企业划型标准规定的通知》（工信部联企业〔2011〕300 号</w:t>
      </w:r>
      <w:bookmarkEnd w:id="74"/>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w:t>
      </w:r>
      <w:r>
        <w:rPr>
          <w:rFonts w:hint="eastAsia" w:ascii="仿宋" w:hAnsi="仿宋" w:eastAsia="仿宋" w:cs="仿宋"/>
          <w:color w:val="auto"/>
          <w:sz w:val="24"/>
          <w:szCs w:val="24"/>
          <w:lang w:eastAsia="zh-CN"/>
        </w:rPr>
        <w:t>内容完整、</w:t>
      </w:r>
      <w:r>
        <w:rPr>
          <w:rFonts w:hint="eastAsia" w:ascii="仿宋" w:hAnsi="仿宋" w:eastAsia="仿宋" w:cs="仿宋"/>
          <w:color w:val="auto"/>
          <w:sz w:val="24"/>
          <w:szCs w:val="24"/>
        </w:rPr>
        <w:t>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rPr>
      </w:pPr>
      <w:r>
        <w:rPr>
          <w:rFonts w:hint="eastAsia" w:ascii="仿宋" w:hAnsi="仿宋" w:eastAsia="仿宋" w:cs="仿宋"/>
          <w:b w:val="0"/>
          <w:bCs/>
          <w:color w:val="auto"/>
          <w:kern w:val="0"/>
          <w:sz w:val="36"/>
          <w:szCs w:val="36"/>
          <w:lang w:val="en-US" w:eastAsia="zh-CN"/>
        </w:rPr>
        <w:t>9</w:t>
      </w:r>
      <w:r>
        <w:rPr>
          <w:rFonts w:hint="eastAsia" w:ascii="仿宋" w:hAnsi="仿宋" w:eastAsia="仿宋" w:cs="仿宋"/>
          <w:b w:val="0"/>
          <w:bCs/>
          <w:color w:val="auto"/>
          <w:kern w:val="0"/>
          <w:sz w:val="36"/>
          <w:szCs w:val="36"/>
        </w:rPr>
        <w:t>、中小企业声明函(</w:t>
      </w:r>
      <w:r>
        <w:rPr>
          <w:rFonts w:hint="eastAsia" w:ascii="仿宋" w:hAnsi="仿宋" w:eastAsia="仿宋" w:cs="仿宋"/>
          <w:b w:val="0"/>
          <w:bCs/>
          <w:color w:val="auto"/>
          <w:kern w:val="0"/>
          <w:sz w:val="36"/>
          <w:szCs w:val="36"/>
          <w:lang w:eastAsia="zh-CN"/>
        </w:rPr>
        <w:t>货物</w:t>
      </w:r>
      <w:r>
        <w:rPr>
          <w:rFonts w:hint="eastAsia" w:ascii="仿宋" w:hAnsi="仿宋" w:eastAsia="仿宋" w:cs="仿宋"/>
          <w:b w:val="0"/>
          <w:bCs/>
          <w:color w:val="auto"/>
          <w:kern w:val="0"/>
          <w:sz w:val="36"/>
          <w:szCs w:val="36"/>
        </w:rPr>
        <w:t>)</w:t>
      </w:r>
    </w:p>
    <w:p>
      <w:pPr>
        <w:ind w:left="1280"/>
        <w:rPr>
          <w:rFonts w:hint="eastAsia" w:ascii="仿宋" w:hAnsi="仿宋" w:eastAsia="仿宋" w:cs="仿宋"/>
          <w:sz w:val="32"/>
          <w:szCs w:val="32"/>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）参加（</w:t>
      </w:r>
      <w:r>
        <w:rPr>
          <w:rFonts w:hint="eastAsia" w:ascii="仿宋" w:hAnsi="仿宋" w:eastAsia="仿宋" w:cs="仿宋"/>
          <w:color w:val="auto"/>
          <w:kern w:val="0"/>
          <w:sz w:val="24"/>
          <w:szCs w:val="24"/>
          <w:lang w:eastAsia="zh-CN"/>
        </w:rPr>
        <w:t>阿图什市教育局</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eastAsia="zh-CN"/>
        </w:rPr>
        <w:t>克州阿图什市新城高级中学建设项目(设备采购)一包</w:t>
      </w:r>
      <w:r>
        <w:rPr>
          <w:rFonts w:hint="eastAsia" w:ascii="仿宋" w:hAnsi="仿宋" w:eastAsia="仿宋" w:cs="仿宋"/>
          <w:color w:val="auto"/>
          <w:kern w:val="0"/>
          <w:sz w:val="24"/>
          <w:szCs w:val="24"/>
        </w:rPr>
        <w:t>）采购活动，提供的货物全部由符合政策要求的中小企业制造。相关企业（含联合体中的中小企业、签订分包意向协议的中小企业）的具体情况如下：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u w:val="single"/>
          <w:lang w:val="en-US" w:eastAsia="zh-CN"/>
        </w:rPr>
        <w:t>软件和技术信息服务业</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2. </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i w:val="0"/>
          <w:iCs w:val="0"/>
          <w:color w:val="auto"/>
          <w:kern w:val="0"/>
          <w:sz w:val="24"/>
          <w:szCs w:val="24"/>
          <w:u w:val="single"/>
        </w:rPr>
        <w:t>（采购文件中明确的所属行业）</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pStyle w:val="15"/>
        <w:rPr>
          <w:rFonts w:hint="eastAsia" w:ascii="仿宋" w:hAnsi="仿宋" w:eastAsia="仿宋" w:cs="仿宋"/>
        </w:rPr>
      </w:pPr>
    </w:p>
    <w:p>
      <w:pPr>
        <w:tabs>
          <w:tab w:val="left" w:pos="3600"/>
        </w:tabs>
        <w:adjustRightInd w:val="0"/>
        <w:snapToGrid w:val="0"/>
        <w:spacing w:line="440" w:lineRule="exact"/>
        <w:jc w:val="both"/>
        <w:rPr>
          <w:rFonts w:hint="eastAsia" w:ascii="仿宋" w:hAnsi="仿宋" w:eastAsia="仿宋" w:cs="仿宋"/>
          <w:color w:val="000000"/>
          <w:spacing w:val="0"/>
          <w:w w:val="100"/>
          <w:position w:val="0"/>
          <w:sz w:val="36"/>
          <w:szCs w:val="36"/>
          <w:lang w:val="en-US" w:eastAsia="zh-CN"/>
        </w:rPr>
      </w:pPr>
    </w:p>
    <w:p>
      <w:pPr>
        <w:spacing w:after="60" w:afterLines="25" w:line="300" w:lineRule="auto"/>
        <w:jc w:val="center"/>
        <w:outlineLvl w:val="4"/>
        <w:rPr>
          <w:rFonts w:ascii="宋体" w:hAnsi="宋体"/>
          <w:color w:val="auto"/>
          <w:szCs w:val="21"/>
        </w:rPr>
      </w:pPr>
      <w:r>
        <w:rPr>
          <w:rFonts w:hint="eastAsia" w:ascii="仿宋" w:hAnsi="仿宋" w:eastAsia="仿宋" w:cs="仿宋"/>
          <w:color w:val="000000"/>
          <w:spacing w:val="0"/>
          <w:w w:val="100"/>
          <w:position w:val="0"/>
          <w:sz w:val="36"/>
          <w:szCs w:val="36"/>
          <w:lang w:val="en-US" w:eastAsia="zh-CN"/>
        </w:rPr>
        <w:t>10</w:t>
      </w:r>
      <w:r>
        <w:rPr>
          <w:rFonts w:hint="eastAsia" w:ascii="仿宋" w:hAnsi="仿宋" w:eastAsia="仿宋" w:cs="仿宋"/>
          <w:color w:val="000000"/>
          <w:spacing w:val="0"/>
          <w:w w:val="100"/>
          <w:position w:val="0"/>
          <w:sz w:val="36"/>
          <w:szCs w:val="36"/>
          <w:lang w:eastAsia="zh-CN"/>
        </w:rPr>
        <w:t>、</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75"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75"/>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60"/>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widowControl/>
        <w:adjustRightInd w:val="0"/>
        <w:snapToGrid w:val="0"/>
        <w:spacing w:line="440" w:lineRule="exact"/>
        <w:ind w:firstLine="480" w:firstLineChars="200"/>
        <w:jc w:val="left"/>
        <w:rPr>
          <w:rFonts w:hint="eastAsia" w:ascii="仿宋" w:hAnsi="仿宋" w:eastAsia="仿宋" w:cs="仿宋"/>
          <w:spacing w:val="6"/>
          <w:kern w:val="0"/>
          <w:sz w:val="24"/>
          <w:szCs w:val="24"/>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rPr>
        <w:t>监狱企业声明函（货物）</w:t>
      </w:r>
    </w:p>
    <w:p>
      <w:pPr>
        <w:pStyle w:val="61"/>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60"/>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Cs w:val="21"/>
        </w:rPr>
        <w:t>日期：</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39"/>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12、评分标准和细则中技术部分证明材料（格式自拟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1"/>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（主要包括：技术指标、参数；项目实施方案；；交货及安装期等）</w:t>
      </w:r>
      <w:r>
        <w:rPr>
          <w:rFonts w:hint="eastAsia" w:ascii="仿宋" w:hAnsi="仿宋" w:eastAsia="仿宋" w:cs="仿宋"/>
          <w:color w:val="auto"/>
          <w:sz w:val="24"/>
          <w:highlight w:val="none"/>
        </w:rPr>
        <w:t>。</w:t>
      </w:r>
    </w:p>
    <w:p>
      <w:pPr>
        <w:pStyle w:val="11"/>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5"/>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13、评分标准和细则中商务部分证明材料（格式自拟）</w:t>
      </w:r>
    </w:p>
    <w:p>
      <w:pPr>
        <w:pStyle w:val="11"/>
        <w:shd w:val="clear" w:color="auto" w:fill="auto"/>
        <w:tabs>
          <w:tab w:val="left" w:pos="5580"/>
        </w:tabs>
        <w:spacing w:line="240" w:lineRule="atLeast"/>
        <w:rPr>
          <w:rFonts w:hint="eastAsia" w:ascii="仿宋" w:hAnsi="仿宋" w:eastAsia="仿宋" w:cs="仿宋"/>
          <w:color w:val="auto"/>
          <w:sz w:val="24"/>
          <w:highlight w:val="none"/>
        </w:rPr>
      </w:pPr>
    </w:p>
    <w:p>
      <w:pPr>
        <w:pStyle w:val="11"/>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（主要包括：类似业绩；售后服务承诺；培训计划、产品备件、等）</w:t>
      </w:r>
      <w:r>
        <w:rPr>
          <w:rFonts w:hint="eastAsia" w:ascii="仿宋" w:hAnsi="仿宋" w:eastAsia="仿宋" w:cs="仿宋"/>
          <w:color w:val="auto"/>
          <w:sz w:val="24"/>
          <w:highlight w:val="none"/>
        </w:rPr>
        <w:t>。</w:t>
      </w:r>
    </w:p>
    <w:p>
      <w:pPr>
        <w:pStyle w:val="11"/>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14、</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1"/>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1"/>
        <w:shd w:val="clear" w:color="auto" w:fill="auto"/>
        <w:tabs>
          <w:tab w:val="left" w:pos="5580"/>
        </w:tabs>
        <w:spacing w:line="240" w:lineRule="atLeast"/>
        <w:ind w:firstLine="480" w:firstLineChars="200"/>
        <w:rPr>
          <w:rFonts w:hint="eastAsia" w:ascii="仿宋" w:hAnsi="仿宋" w:eastAsia="仿宋" w:cs="仿宋"/>
          <w:b/>
          <w:bCs/>
          <w:color w:val="auto"/>
          <w:sz w:val="36"/>
          <w:szCs w:val="36"/>
          <w:lang w:val="en-US" w:eastAsia="zh-CN"/>
        </w:rPr>
      </w:pPr>
      <w:r>
        <w:rPr>
          <w:rFonts w:hint="eastAsia" w:ascii="仿宋" w:hAnsi="仿宋" w:eastAsia="仿宋" w:cs="仿宋"/>
          <w:color w:val="auto"/>
          <w:sz w:val="24"/>
          <w:highlight w:val="none"/>
        </w:rPr>
        <w:t>说明：复印件上应加盖本单位章（自然人投标的无需盖章，需要签字）。</w:t>
      </w:r>
    </w:p>
    <w:p>
      <w:pPr>
        <w:rPr>
          <w:rFonts w:ascii="宋体" w:hAnsi="宋体" w:eastAsia="宋体"/>
          <w:b/>
          <w:color w:val="auto"/>
        </w:rPr>
      </w:pPr>
      <w:r>
        <w:rPr>
          <w:rFonts w:ascii="宋体" w:hAnsi="宋体" w:eastAsia="宋体"/>
          <w:b/>
          <w:color w:val="auto"/>
        </w:rPr>
        <w:br w:type="page"/>
      </w:r>
    </w:p>
    <w:tbl>
      <w:tblPr>
        <w:tblStyle w:val="21"/>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58"/>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58"/>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58"/>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113"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58"/>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auto"/>
                <w:sz w:val="11"/>
                <w:szCs w:val="11"/>
                <w:u w:val="none"/>
              </w:rPr>
            </w:pPr>
          </w:p>
        </w:tc>
      </w:tr>
    </w:tbl>
    <w:p>
      <w:pPr>
        <w:pStyle w:val="12"/>
        <w:rPr>
          <w:rFonts w:hint="eastAsia"/>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3"/>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B5FDF"/>
    <w:multiLevelType w:val="singleLevel"/>
    <w:tmpl w:val="AACB5FDF"/>
    <w:lvl w:ilvl="0" w:tentative="0">
      <w:start w:val="1"/>
      <w:numFmt w:val="decimal"/>
      <w:suff w:val="nothing"/>
      <w:lvlText w:val="（%1）"/>
      <w:lvlJc w:val="left"/>
    </w:lvl>
  </w:abstractNum>
  <w:abstractNum w:abstractNumId="1">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
    <w:nsid w:val="E7FD52B7"/>
    <w:multiLevelType w:val="singleLevel"/>
    <w:tmpl w:val="E7FD52B7"/>
    <w:lvl w:ilvl="0" w:tentative="0">
      <w:start w:val="6"/>
      <w:numFmt w:val="decimal"/>
      <w:suff w:val="nothing"/>
      <w:lvlText w:val="%1、"/>
      <w:lvlJc w:val="left"/>
    </w:lvl>
  </w:abstractNum>
  <w:abstractNum w:abstractNumId="3">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4E409BB"/>
    <w:multiLevelType w:val="multilevel"/>
    <w:tmpl w:val="24E409BB"/>
    <w:lvl w:ilvl="0" w:tentative="0">
      <w:start w:val="1"/>
      <w:numFmt w:val="decimal"/>
      <w:pStyle w:val="6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96A1B45"/>
    <w:multiLevelType w:val="singleLevel"/>
    <w:tmpl w:val="796A1B45"/>
    <w:lvl w:ilvl="0" w:tentative="0">
      <w:start w:val="5"/>
      <w:numFmt w:val="chineseCounting"/>
      <w:suff w:val="space"/>
      <w:lvlText w:val="第%1章"/>
      <w:lvlJc w:val="left"/>
      <w:rPr>
        <w:rFonts w:hint="eastAsia"/>
      </w:rPr>
    </w:lvl>
  </w:abstractNum>
  <w:num w:numId="1">
    <w:abstractNumId w:val="3"/>
  </w:num>
  <w:num w:numId="2">
    <w:abstractNumId w:val="6"/>
  </w:num>
  <w:num w:numId="3">
    <w:abstractNumId w:val="5"/>
  </w:num>
  <w:num w:numId="4">
    <w:abstractNumId w:val="7"/>
  </w:num>
  <w:num w:numId="5">
    <w:abstractNumId w:val="4"/>
  </w:num>
  <w:num w:numId="6">
    <w:abstractNumId w:val="8"/>
  </w:num>
  <w:num w:numId="7">
    <w:abstractNumId w:val="0"/>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430832B2"/>
    <w:rsid w:val="00036274"/>
    <w:rsid w:val="00D87C1C"/>
    <w:rsid w:val="00FD7651"/>
    <w:rsid w:val="0123584C"/>
    <w:rsid w:val="012B1C39"/>
    <w:rsid w:val="013439C6"/>
    <w:rsid w:val="01E44B68"/>
    <w:rsid w:val="0201160A"/>
    <w:rsid w:val="02857679"/>
    <w:rsid w:val="02C1356F"/>
    <w:rsid w:val="03120DC1"/>
    <w:rsid w:val="042A106A"/>
    <w:rsid w:val="04503042"/>
    <w:rsid w:val="047A5DAD"/>
    <w:rsid w:val="05782849"/>
    <w:rsid w:val="05925A9A"/>
    <w:rsid w:val="05CE725F"/>
    <w:rsid w:val="05E47398"/>
    <w:rsid w:val="06141E47"/>
    <w:rsid w:val="063B7194"/>
    <w:rsid w:val="065A2827"/>
    <w:rsid w:val="071836A4"/>
    <w:rsid w:val="072B5291"/>
    <w:rsid w:val="08002443"/>
    <w:rsid w:val="08314CF2"/>
    <w:rsid w:val="08323FEC"/>
    <w:rsid w:val="085D5AE7"/>
    <w:rsid w:val="08AD661F"/>
    <w:rsid w:val="091D420B"/>
    <w:rsid w:val="09231976"/>
    <w:rsid w:val="093F2ABC"/>
    <w:rsid w:val="096B5FE2"/>
    <w:rsid w:val="099F034B"/>
    <w:rsid w:val="0A982D0F"/>
    <w:rsid w:val="0AEC1713"/>
    <w:rsid w:val="0B213EE8"/>
    <w:rsid w:val="0B2A4806"/>
    <w:rsid w:val="0B2F3756"/>
    <w:rsid w:val="0B9E39F1"/>
    <w:rsid w:val="0BF26C44"/>
    <w:rsid w:val="0E4A4418"/>
    <w:rsid w:val="0E547045"/>
    <w:rsid w:val="0F957915"/>
    <w:rsid w:val="10685029"/>
    <w:rsid w:val="1079177B"/>
    <w:rsid w:val="11E12CB7"/>
    <w:rsid w:val="120510DA"/>
    <w:rsid w:val="1245580B"/>
    <w:rsid w:val="130308CA"/>
    <w:rsid w:val="13725EDE"/>
    <w:rsid w:val="147A17CF"/>
    <w:rsid w:val="1525173B"/>
    <w:rsid w:val="153C6A85"/>
    <w:rsid w:val="15E839EB"/>
    <w:rsid w:val="15F01C71"/>
    <w:rsid w:val="167B61DA"/>
    <w:rsid w:val="168E11C7"/>
    <w:rsid w:val="171F0B4E"/>
    <w:rsid w:val="17EB3771"/>
    <w:rsid w:val="181F6553"/>
    <w:rsid w:val="186043DF"/>
    <w:rsid w:val="18FE29CF"/>
    <w:rsid w:val="1910625E"/>
    <w:rsid w:val="19791440"/>
    <w:rsid w:val="198D3D53"/>
    <w:rsid w:val="1AA14F3E"/>
    <w:rsid w:val="1B1A36EF"/>
    <w:rsid w:val="1BE65325"/>
    <w:rsid w:val="1C752FA8"/>
    <w:rsid w:val="1D2C3D70"/>
    <w:rsid w:val="1DCE13A6"/>
    <w:rsid w:val="1E6813A9"/>
    <w:rsid w:val="1E6B3769"/>
    <w:rsid w:val="1E9662D3"/>
    <w:rsid w:val="1ECE4F82"/>
    <w:rsid w:val="1EE5064C"/>
    <w:rsid w:val="1F232690"/>
    <w:rsid w:val="1F5B26D6"/>
    <w:rsid w:val="1F6007D8"/>
    <w:rsid w:val="1F9F560E"/>
    <w:rsid w:val="22082608"/>
    <w:rsid w:val="22965E6B"/>
    <w:rsid w:val="22A87B2E"/>
    <w:rsid w:val="22E4756A"/>
    <w:rsid w:val="22F917C9"/>
    <w:rsid w:val="236A6D03"/>
    <w:rsid w:val="23781A8E"/>
    <w:rsid w:val="23874BA3"/>
    <w:rsid w:val="247B2157"/>
    <w:rsid w:val="24F20F0E"/>
    <w:rsid w:val="25002F8D"/>
    <w:rsid w:val="25546BA5"/>
    <w:rsid w:val="25550156"/>
    <w:rsid w:val="26655E3B"/>
    <w:rsid w:val="267D2FA7"/>
    <w:rsid w:val="26D37563"/>
    <w:rsid w:val="276D1063"/>
    <w:rsid w:val="27D6235B"/>
    <w:rsid w:val="27DD0E3E"/>
    <w:rsid w:val="283D072F"/>
    <w:rsid w:val="285C7E68"/>
    <w:rsid w:val="286B44D3"/>
    <w:rsid w:val="291C049E"/>
    <w:rsid w:val="293F68AF"/>
    <w:rsid w:val="29973AC1"/>
    <w:rsid w:val="29D358D6"/>
    <w:rsid w:val="2A2953D2"/>
    <w:rsid w:val="2A5276B0"/>
    <w:rsid w:val="2A6F2C28"/>
    <w:rsid w:val="2AB303AA"/>
    <w:rsid w:val="2AE91A2D"/>
    <w:rsid w:val="2AF552B4"/>
    <w:rsid w:val="2B762634"/>
    <w:rsid w:val="2C061FF9"/>
    <w:rsid w:val="2C412934"/>
    <w:rsid w:val="2C9D33DE"/>
    <w:rsid w:val="2D1B0C53"/>
    <w:rsid w:val="2D353E80"/>
    <w:rsid w:val="2D567383"/>
    <w:rsid w:val="2D6A0F15"/>
    <w:rsid w:val="2DF1140A"/>
    <w:rsid w:val="2E1B0C2F"/>
    <w:rsid w:val="2E764B34"/>
    <w:rsid w:val="2F563B1F"/>
    <w:rsid w:val="2F8D0CD0"/>
    <w:rsid w:val="2FA50B1C"/>
    <w:rsid w:val="2FCA119B"/>
    <w:rsid w:val="30A25C95"/>
    <w:rsid w:val="31C54436"/>
    <w:rsid w:val="335C76C1"/>
    <w:rsid w:val="33AD4708"/>
    <w:rsid w:val="33C54337"/>
    <w:rsid w:val="3464452F"/>
    <w:rsid w:val="347B5013"/>
    <w:rsid w:val="34AC63E7"/>
    <w:rsid w:val="35286B09"/>
    <w:rsid w:val="35427B0F"/>
    <w:rsid w:val="36104FF7"/>
    <w:rsid w:val="3613612C"/>
    <w:rsid w:val="36A84DB7"/>
    <w:rsid w:val="36AA5E0A"/>
    <w:rsid w:val="37D44BCF"/>
    <w:rsid w:val="38083993"/>
    <w:rsid w:val="38C56C0D"/>
    <w:rsid w:val="38D8647A"/>
    <w:rsid w:val="39AF4D5C"/>
    <w:rsid w:val="3A1273C6"/>
    <w:rsid w:val="3A4D1B8A"/>
    <w:rsid w:val="3AE06945"/>
    <w:rsid w:val="3B446882"/>
    <w:rsid w:val="3C756255"/>
    <w:rsid w:val="3CA827C1"/>
    <w:rsid w:val="3CAD59EE"/>
    <w:rsid w:val="3D056B6D"/>
    <w:rsid w:val="3D1C4922"/>
    <w:rsid w:val="3D751F42"/>
    <w:rsid w:val="3DBF59D9"/>
    <w:rsid w:val="408E72C3"/>
    <w:rsid w:val="408E7BCF"/>
    <w:rsid w:val="40B26236"/>
    <w:rsid w:val="40ED175B"/>
    <w:rsid w:val="41477586"/>
    <w:rsid w:val="41681350"/>
    <w:rsid w:val="416F668A"/>
    <w:rsid w:val="417E1176"/>
    <w:rsid w:val="419F6662"/>
    <w:rsid w:val="41A72D03"/>
    <w:rsid w:val="41BC55E0"/>
    <w:rsid w:val="420B7389"/>
    <w:rsid w:val="423563C7"/>
    <w:rsid w:val="425E5109"/>
    <w:rsid w:val="426D0C07"/>
    <w:rsid w:val="42C57370"/>
    <w:rsid w:val="430832B2"/>
    <w:rsid w:val="431762B8"/>
    <w:rsid w:val="435C6FF2"/>
    <w:rsid w:val="43CC2324"/>
    <w:rsid w:val="43EE2B41"/>
    <w:rsid w:val="44254A04"/>
    <w:rsid w:val="445769C9"/>
    <w:rsid w:val="44740DA7"/>
    <w:rsid w:val="454815E5"/>
    <w:rsid w:val="457C2033"/>
    <w:rsid w:val="46A95479"/>
    <w:rsid w:val="46F77B89"/>
    <w:rsid w:val="4743767B"/>
    <w:rsid w:val="47503B46"/>
    <w:rsid w:val="47E77823"/>
    <w:rsid w:val="48154BE8"/>
    <w:rsid w:val="4891193E"/>
    <w:rsid w:val="49726A4B"/>
    <w:rsid w:val="4AE7284A"/>
    <w:rsid w:val="4BB73B85"/>
    <w:rsid w:val="4BF478AD"/>
    <w:rsid w:val="4C17384D"/>
    <w:rsid w:val="4C257A37"/>
    <w:rsid w:val="4C472193"/>
    <w:rsid w:val="4C82766A"/>
    <w:rsid w:val="4CD36CBE"/>
    <w:rsid w:val="4CD6525A"/>
    <w:rsid w:val="4DF50B78"/>
    <w:rsid w:val="4E6938E7"/>
    <w:rsid w:val="4E701DC0"/>
    <w:rsid w:val="4F006719"/>
    <w:rsid w:val="4F2E489B"/>
    <w:rsid w:val="4F5166AD"/>
    <w:rsid w:val="4F5D25FD"/>
    <w:rsid w:val="4F6E7BF4"/>
    <w:rsid w:val="4F834795"/>
    <w:rsid w:val="4FB41D44"/>
    <w:rsid w:val="4FBA0341"/>
    <w:rsid w:val="50BF6E81"/>
    <w:rsid w:val="51206F38"/>
    <w:rsid w:val="51396579"/>
    <w:rsid w:val="513F080C"/>
    <w:rsid w:val="519E7127"/>
    <w:rsid w:val="51A04E60"/>
    <w:rsid w:val="52195BA8"/>
    <w:rsid w:val="52654DCD"/>
    <w:rsid w:val="52CD0741"/>
    <w:rsid w:val="5306542C"/>
    <w:rsid w:val="533662E6"/>
    <w:rsid w:val="53390376"/>
    <w:rsid w:val="539D7E0F"/>
    <w:rsid w:val="53E61D59"/>
    <w:rsid w:val="54B5309D"/>
    <w:rsid w:val="553813F1"/>
    <w:rsid w:val="55616678"/>
    <w:rsid w:val="55BD7B2D"/>
    <w:rsid w:val="56493792"/>
    <w:rsid w:val="56B85046"/>
    <w:rsid w:val="57FE2E05"/>
    <w:rsid w:val="58417C95"/>
    <w:rsid w:val="58E42340"/>
    <w:rsid w:val="59A73423"/>
    <w:rsid w:val="59BD150F"/>
    <w:rsid w:val="59CD5363"/>
    <w:rsid w:val="5AE0581C"/>
    <w:rsid w:val="5BE43388"/>
    <w:rsid w:val="5C5B500F"/>
    <w:rsid w:val="5CD53D28"/>
    <w:rsid w:val="5D2366CB"/>
    <w:rsid w:val="5D3331A6"/>
    <w:rsid w:val="5DA87520"/>
    <w:rsid w:val="5E135BA1"/>
    <w:rsid w:val="5E1D1079"/>
    <w:rsid w:val="5E455DA7"/>
    <w:rsid w:val="5EDA6373"/>
    <w:rsid w:val="5F96233B"/>
    <w:rsid w:val="601F4136"/>
    <w:rsid w:val="6033726D"/>
    <w:rsid w:val="61EA6069"/>
    <w:rsid w:val="62C5683B"/>
    <w:rsid w:val="62F37D50"/>
    <w:rsid w:val="634A483E"/>
    <w:rsid w:val="638D2353"/>
    <w:rsid w:val="63A644F3"/>
    <w:rsid w:val="642B45E0"/>
    <w:rsid w:val="64604EAC"/>
    <w:rsid w:val="64740A1C"/>
    <w:rsid w:val="66457796"/>
    <w:rsid w:val="66A5387A"/>
    <w:rsid w:val="67656B1B"/>
    <w:rsid w:val="67AE419D"/>
    <w:rsid w:val="67B22635"/>
    <w:rsid w:val="67F746C9"/>
    <w:rsid w:val="683769EB"/>
    <w:rsid w:val="687B73D6"/>
    <w:rsid w:val="68DB72BC"/>
    <w:rsid w:val="68EB4DA6"/>
    <w:rsid w:val="698C50B9"/>
    <w:rsid w:val="69D47128"/>
    <w:rsid w:val="6A6E06AA"/>
    <w:rsid w:val="6ADE7537"/>
    <w:rsid w:val="6B221B0E"/>
    <w:rsid w:val="6B715688"/>
    <w:rsid w:val="6C7543E1"/>
    <w:rsid w:val="6C963B87"/>
    <w:rsid w:val="6CA96079"/>
    <w:rsid w:val="6CAC1F8A"/>
    <w:rsid w:val="6CC81EA4"/>
    <w:rsid w:val="6D37776E"/>
    <w:rsid w:val="6F0D0357"/>
    <w:rsid w:val="6FFC5967"/>
    <w:rsid w:val="704838FD"/>
    <w:rsid w:val="709119F6"/>
    <w:rsid w:val="70F85E07"/>
    <w:rsid w:val="71F7318A"/>
    <w:rsid w:val="721A3870"/>
    <w:rsid w:val="726447C6"/>
    <w:rsid w:val="72DB435C"/>
    <w:rsid w:val="73025D8D"/>
    <w:rsid w:val="739641CD"/>
    <w:rsid w:val="74C74814"/>
    <w:rsid w:val="75AB1C93"/>
    <w:rsid w:val="75CA224A"/>
    <w:rsid w:val="761B163F"/>
    <w:rsid w:val="76810114"/>
    <w:rsid w:val="76E41762"/>
    <w:rsid w:val="7717316E"/>
    <w:rsid w:val="771E4452"/>
    <w:rsid w:val="77514BED"/>
    <w:rsid w:val="77603777"/>
    <w:rsid w:val="77901BB9"/>
    <w:rsid w:val="77C7479C"/>
    <w:rsid w:val="788E3223"/>
    <w:rsid w:val="789675EF"/>
    <w:rsid w:val="78B869E4"/>
    <w:rsid w:val="78E06AB0"/>
    <w:rsid w:val="78EC5C04"/>
    <w:rsid w:val="798E0318"/>
    <w:rsid w:val="7A1A7F05"/>
    <w:rsid w:val="7A9D63E6"/>
    <w:rsid w:val="7AD93877"/>
    <w:rsid w:val="7B2C19C7"/>
    <w:rsid w:val="7BAB5214"/>
    <w:rsid w:val="7BB35B1D"/>
    <w:rsid w:val="7BC12D50"/>
    <w:rsid w:val="7BE70371"/>
    <w:rsid w:val="7BFC0690"/>
    <w:rsid w:val="7C3C7968"/>
    <w:rsid w:val="7CC540BD"/>
    <w:rsid w:val="7CF42F0C"/>
    <w:rsid w:val="7D423759"/>
    <w:rsid w:val="7D695F1A"/>
    <w:rsid w:val="7DD956AA"/>
    <w:rsid w:val="7DF23E0D"/>
    <w:rsid w:val="7E207DCE"/>
    <w:rsid w:val="7E2D5B39"/>
    <w:rsid w:val="7E625D1A"/>
    <w:rsid w:val="7ED160D1"/>
    <w:rsid w:val="7EF26A8A"/>
    <w:rsid w:val="7EF716E0"/>
    <w:rsid w:val="7FA8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sz w:val="24"/>
      <w:szCs w:val="20"/>
    </w:rPr>
  </w:style>
  <w:style w:type="paragraph" w:styleId="8">
    <w:name w:val="Body Text"/>
    <w:basedOn w:val="1"/>
    <w:next w:val="1"/>
    <w:qFormat/>
    <w:uiPriority w:val="99"/>
    <w:pPr>
      <w:numPr>
        <w:ilvl w:val="0"/>
        <w:numId w:val="1"/>
      </w:numPr>
      <w:tabs>
        <w:tab w:val="clear" w:pos="780"/>
      </w:tabs>
      <w:ind w:left="0" w:firstLine="0"/>
    </w:pPr>
    <w:rPr>
      <w:rFonts w:ascii="黑体" w:eastAsia="黑体"/>
      <w:sz w:val="22"/>
    </w:rPr>
  </w:style>
  <w:style w:type="paragraph" w:styleId="9">
    <w:name w:val="Body Text Indent"/>
    <w:basedOn w:val="1"/>
    <w:next w:val="10"/>
    <w:qFormat/>
    <w:uiPriority w:val="0"/>
    <w:pPr>
      <w:spacing w:after="120"/>
      <w:ind w:left="200" w:leftChars="200"/>
    </w:p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Plain Text"/>
    <w:basedOn w:val="1"/>
    <w:next w:val="12"/>
    <w:qFormat/>
    <w:uiPriority w:val="0"/>
    <w:rPr>
      <w:rFonts w:ascii="宋体"/>
      <w:color w:val="000000"/>
      <w:szCs w:val="20"/>
      <w:u w:val="none" w:color="00000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semiHidden/>
    <w:unhideWhenUsed/>
    <w:qFormat/>
    <w:uiPriority w:val="99"/>
    <w:pPr>
      <w:snapToGrid w:val="0"/>
      <w:jc w:val="left"/>
    </w:pPr>
    <w:rPr>
      <w:sz w:val="18"/>
      <w:szCs w:val="18"/>
    </w:rPr>
  </w:style>
  <w:style w:type="paragraph" w:styleId="16">
    <w:name w:val="Body Text 2"/>
    <w:basedOn w:val="1"/>
    <w:qFormat/>
    <w:uiPriority w:val="0"/>
    <w:pPr>
      <w:tabs>
        <w:tab w:val="left" w:pos="0"/>
      </w:tabs>
      <w:spacing w:line="400" w:lineRule="atLeast"/>
    </w:pPr>
    <w:rPr>
      <w:rFonts w:ascii="Arial" w:hAnsi="Arial"/>
      <w:color w:val="000000"/>
    </w:rPr>
  </w:style>
  <w:style w:type="paragraph" w:styleId="17">
    <w:name w:val="Normal (Web)"/>
    <w:basedOn w:val="1"/>
    <w:next w:val="18"/>
    <w:qFormat/>
    <w:uiPriority w:val="99"/>
    <w:pPr>
      <w:widowControl/>
      <w:jc w:val="left"/>
    </w:pPr>
    <w:rPr>
      <w:rFonts w:ascii="宋体" w:hAnsi="宋体" w:eastAsia="宋体" w:cs="宋体"/>
      <w:kern w:val="0"/>
      <w:sz w:val="24"/>
      <w:szCs w:val="24"/>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9">
    <w:name w:val="Body Text First Indent"/>
    <w:basedOn w:val="8"/>
    <w:qFormat/>
    <w:uiPriority w:val="0"/>
    <w:pPr>
      <w:tabs>
        <w:tab w:val="left" w:pos="780"/>
      </w:tabs>
      <w:spacing w:line="360" w:lineRule="auto"/>
      <w:ind w:firstLine="200" w:firstLineChars="200"/>
    </w:pPr>
    <w:rPr>
      <w:rFonts w:ascii="仿宋_GB2312" w:eastAsia="仿宋_GB2312"/>
      <w:sz w:val="30"/>
      <w:szCs w:val="30"/>
    </w:rPr>
  </w:style>
  <w:style w:type="paragraph" w:styleId="20">
    <w:name w:val="Body Text First Indent 2"/>
    <w:basedOn w:val="9"/>
    <w:qFormat/>
    <w:uiPriority w:val="0"/>
    <w:pPr>
      <w:ind w:left="1588" w:leftChars="832" w:firstLine="433"/>
    </w:pPr>
    <w:rPr>
      <w:rFonts w:eastAsia="仿宋_GB2312"/>
      <w:spaci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HTML Definition"/>
    <w:basedOn w:val="23"/>
    <w:qFormat/>
    <w:uiPriority w:val="0"/>
  </w:style>
  <w:style w:type="character" w:styleId="27">
    <w:name w:val="HTML Typewriter"/>
    <w:basedOn w:val="23"/>
    <w:qFormat/>
    <w:uiPriority w:val="0"/>
    <w:rPr>
      <w:rFonts w:hint="default" w:ascii="monospace" w:hAnsi="monospace" w:eastAsia="monospace" w:cs="monospace"/>
      <w:sz w:val="20"/>
    </w:rPr>
  </w:style>
  <w:style w:type="character" w:styleId="28">
    <w:name w:val="HTML Acronym"/>
    <w:basedOn w:val="23"/>
    <w:qFormat/>
    <w:uiPriority w:val="0"/>
  </w:style>
  <w:style w:type="character" w:styleId="29">
    <w:name w:val="HTML Variable"/>
    <w:basedOn w:val="23"/>
    <w:qFormat/>
    <w:uiPriority w:val="0"/>
  </w:style>
  <w:style w:type="character" w:styleId="30">
    <w:name w:val="Hyperlink"/>
    <w:basedOn w:val="23"/>
    <w:qFormat/>
    <w:uiPriority w:val="99"/>
    <w:rPr>
      <w:color w:val="0000FF"/>
      <w:u w:val="single"/>
    </w:rPr>
  </w:style>
  <w:style w:type="character" w:styleId="31">
    <w:name w:val="HTML Code"/>
    <w:basedOn w:val="23"/>
    <w:qFormat/>
    <w:uiPriority w:val="0"/>
    <w:rPr>
      <w:rFonts w:hint="default" w:ascii="monospace" w:hAnsi="monospace" w:eastAsia="monospace" w:cs="monospace"/>
      <w:sz w:val="20"/>
    </w:rPr>
  </w:style>
  <w:style w:type="character" w:styleId="32">
    <w:name w:val="HTML Cite"/>
    <w:basedOn w:val="23"/>
    <w:qFormat/>
    <w:uiPriority w:val="0"/>
  </w:style>
  <w:style w:type="character" w:styleId="33">
    <w:name w:val="footnote reference"/>
    <w:basedOn w:val="23"/>
    <w:semiHidden/>
    <w:unhideWhenUsed/>
    <w:qFormat/>
    <w:uiPriority w:val="99"/>
    <w:rPr>
      <w:vertAlign w:val="superscript"/>
    </w:rPr>
  </w:style>
  <w:style w:type="character" w:styleId="34">
    <w:name w:val="HTML Keyboard"/>
    <w:basedOn w:val="23"/>
    <w:qFormat/>
    <w:uiPriority w:val="0"/>
    <w:rPr>
      <w:rFonts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标题 5（有编号）（绿盟科技）"/>
    <w:basedOn w:val="1"/>
    <w:next w:val="3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
    <w:name w:val="正文1"/>
    <w:basedOn w:val="1"/>
    <w:next w:val="1"/>
    <w:qFormat/>
    <w:uiPriority w:val="0"/>
    <w:pPr>
      <w:ind w:firstLine="880"/>
      <w:jc w:val="left"/>
    </w:pPr>
    <w:rPr>
      <w:kern w:val="0"/>
      <w:szCs w:val="20"/>
    </w:rPr>
  </w:style>
  <w:style w:type="paragraph" w:customStyle="1" w:styleId="3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40">
    <w:name w:val="文档正文"/>
    <w:basedOn w:val="6"/>
    <w:qFormat/>
    <w:uiPriority w:val="0"/>
    <w:pPr>
      <w:spacing w:line="360" w:lineRule="auto"/>
    </w:pPr>
    <w:rPr>
      <w:rFonts w:ascii="宋体" w:hAnsi="宋体"/>
      <w:b/>
      <w:bCs/>
    </w:rPr>
  </w:style>
  <w:style w:type="paragraph" w:customStyle="1" w:styleId="41">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42">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43">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4">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6">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8">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9">
    <w:name w:val="图例"/>
    <w:basedOn w:val="1"/>
    <w:qFormat/>
    <w:uiPriority w:val="0"/>
    <w:pPr>
      <w:spacing w:before="120" w:beforeLines="0" w:after="120" w:afterLines="0" w:line="360" w:lineRule="auto"/>
      <w:jc w:val="center"/>
    </w:pPr>
    <w:rPr>
      <w:rFonts w:eastAsia="仿宋_GB2312"/>
      <w:b/>
      <w:sz w:val="24"/>
    </w:rPr>
  </w:style>
  <w:style w:type="paragraph" w:customStyle="1" w:styleId="50">
    <w:name w:val="WPS Plain"/>
    <w:qFormat/>
    <w:uiPriority w:val="0"/>
    <w:rPr>
      <w:rFonts w:ascii="Times New Roman" w:hAnsi="Times New Roman" w:eastAsia="宋体" w:cs="Times New Roman"/>
      <w:lang w:val="en-US" w:eastAsia="zh-CN" w:bidi="ar-SA"/>
    </w:rPr>
  </w:style>
  <w:style w:type="paragraph" w:customStyle="1" w:styleId="51">
    <w:name w:val="样式 左侧:  0 厘米 悬挂缩进: 2.5 字符"/>
    <w:basedOn w:val="1"/>
    <w:qFormat/>
    <w:uiPriority w:val="0"/>
    <w:pPr>
      <w:ind w:left="525" w:hanging="525" w:hangingChars="250"/>
    </w:pPr>
    <w:rPr>
      <w:szCs w:val="20"/>
    </w:rPr>
  </w:style>
  <w:style w:type="character" w:customStyle="1" w:styleId="52">
    <w:name w:val="font11"/>
    <w:basedOn w:val="23"/>
    <w:qFormat/>
    <w:uiPriority w:val="0"/>
    <w:rPr>
      <w:rFonts w:ascii="Calibri" w:hAnsi="Calibri" w:cs="Calibri"/>
      <w:color w:val="000000"/>
      <w:sz w:val="20"/>
      <w:szCs w:val="20"/>
      <w:u w:val="none"/>
    </w:rPr>
  </w:style>
  <w:style w:type="paragraph" w:customStyle="1" w:styleId="53">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54">
    <w:name w:val="No Spacing"/>
    <w:qFormat/>
    <w:uiPriority w:val="1"/>
    <w:rPr>
      <w:rFonts w:ascii="Times New Roman" w:hAnsi="Times New Roman" w:eastAsia="宋体" w:cs="Times New Roman"/>
      <w:sz w:val="22"/>
      <w:szCs w:val="22"/>
      <w:lang w:val="en-US" w:eastAsia="zh-CN" w:bidi="ar-SA"/>
    </w:rPr>
  </w:style>
  <w:style w:type="character" w:customStyle="1" w:styleId="55">
    <w:name w:val="font21"/>
    <w:basedOn w:val="23"/>
    <w:qFormat/>
    <w:uiPriority w:val="0"/>
    <w:rPr>
      <w:rFonts w:hint="eastAsia" w:ascii="宋体" w:hAnsi="宋体" w:eastAsia="宋体" w:cs="宋体"/>
      <w:color w:val="000000"/>
      <w:sz w:val="21"/>
      <w:szCs w:val="21"/>
      <w:u w:val="none"/>
    </w:rPr>
  </w:style>
  <w:style w:type="character" w:customStyle="1" w:styleId="56">
    <w:name w:val="layui-layer-tabnow"/>
    <w:basedOn w:val="23"/>
    <w:qFormat/>
    <w:uiPriority w:val="0"/>
    <w:rPr>
      <w:bdr w:val="single" w:color="CCCCCC" w:sz="6" w:space="0"/>
      <w:shd w:val="clear" w:fill="FFFFFF"/>
    </w:rPr>
  </w:style>
  <w:style w:type="character" w:customStyle="1" w:styleId="57">
    <w:name w:val="first-child"/>
    <w:basedOn w:val="23"/>
    <w:qFormat/>
    <w:uiPriority w:val="0"/>
  </w:style>
  <w:style w:type="character" w:customStyle="1" w:styleId="58">
    <w:name w:val="font61"/>
    <w:basedOn w:val="23"/>
    <w:qFormat/>
    <w:uiPriority w:val="0"/>
    <w:rPr>
      <w:rFonts w:hint="eastAsia" w:ascii="仿宋" w:hAnsi="仿宋" w:eastAsia="仿宋" w:cs="仿宋"/>
      <w:color w:val="000000"/>
      <w:sz w:val="16"/>
      <w:szCs w:val="16"/>
      <w:u w:val="none"/>
    </w:rPr>
  </w:style>
  <w:style w:type="paragraph" w:customStyle="1" w:styleId="59">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szCs w:val="20"/>
    </w:rPr>
  </w:style>
  <w:style w:type="paragraph" w:customStyle="1" w:styleId="60">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61">
    <w:name w:val="表名称"/>
    <w:basedOn w:val="6"/>
    <w:qFormat/>
    <w:uiPriority w:val="0"/>
    <w:pPr>
      <w:numPr>
        <w:ilvl w:val="0"/>
        <w:numId w:val="3"/>
      </w:numPr>
      <w:ind w:firstLine="0" w:firstLineChars="0"/>
      <w:jc w:val="center"/>
    </w:pPr>
  </w:style>
  <w:style w:type="paragraph" w:customStyle="1" w:styleId="62">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66922</Words>
  <Characters>73388</Characters>
  <Lines>0</Lines>
  <Paragraphs>0</Paragraphs>
  <TotalTime>1</TotalTime>
  <ScaleCrop>false</ScaleCrop>
  <LinksUpToDate>false</LinksUpToDate>
  <CharactersWithSpaces>80009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闰土</cp:lastModifiedBy>
  <cp:lastPrinted>2022-09-28T02:53:00Z</cp:lastPrinted>
  <dcterms:modified xsi:type="dcterms:W3CDTF">2023-07-10T08:24:50Z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FDC25A18BCAB455DB4A761C565E4F536</vt:lpwstr>
  </property>
</Properties>
</file>