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ascii="宋体" w:hAnsi="宋体" w:cs="宋体"/>
          <w:b/>
          <w:bCs/>
          <w:color w:val="auto"/>
          <w:kern w:val="44"/>
          <w:sz w:val="24"/>
          <w:highlight w:val="none"/>
        </w:rPr>
      </w:pPr>
      <w:r>
        <w:rPr>
          <w:rFonts w:hint="eastAsia" w:ascii="宋体" w:hAnsi="宋体" w:cs="宋体"/>
          <w:b/>
          <w:bCs/>
          <w:color w:val="auto"/>
          <w:kern w:val="0"/>
          <w:sz w:val="28"/>
          <w:szCs w:val="28"/>
          <w:highlight w:val="none"/>
        </w:rPr>
        <w:t>喀什地区第一人民医院国家区域医疗中心智慧医院、多学科（专科、专病）数据中心信息化建设项目招标公告</w:t>
      </w:r>
    </w:p>
    <w:p>
      <w:pPr>
        <w:pBdr>
          <w:top w:val="single" w:color="auto" w:sz="4" w:space="1"/>
          <w:left w:val="single" w:color="auto" w:sz="4" w:space="4"/>
          <w:bottom w:val="single" w:color="auto" w:sz="4" w:space="1"/>
          <w:right w:val="single" w:color="auto" w:sz="4" w:space="4"/>
        </w:pBdr>
        <w:jc w:val="left"/>
        <w:rPr>
          <w:rFonts w:ascii="宋体" w:hAnsi="宋体" w:cs="宋体"/>
          <w:b/>
          <w:bCs/>
          <w:color w:val="auto"/>
          <w:sz w:val="24"/>
          <w:highlight w:val="none"/>
        </w:rPr>
      </w:pPr>
      <w:r>
        <w:rPr>
          <w:rFonts w:hint="eastAsia" w:ascii="宋体" w:hAnsi="宋体" w:cs="宋体"/>
          <w:b/>
          <w:bCs/>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ascii="宋体" w:hAnsi="宋体" w:cs="宋体"/>
          <w:b/>
          <w:bCs/>
          <w:color w:val="auto"/>
          <w:sz w:val="24"/>
          <w:highlight w:val="none"/>
        </w:rPr>
      </w:pPr>
      <w:r>
        <w:rPr>
          <w:rFonts w:hint="eastAsia" w:ascii="宋体" w:hAnsi="宋体"/>
          <w:color w:val="auto"/>
          <w:sz w:val="24"/>
          <w:highlight w:val="none"/>
          <w:u w:val="single"/>
        </w:rPr>
        <w:t>喀什地区第一人民医院国家区域医疗中心智慧医院、多学科（专科、专病）数据中心信息化建设项目</w:t>
      </w:r>
      <w:r>
        <w:rPr>
          <w:rFonts w:hint="eastAsia" w:ascii="宋体" w:hAnsi="宋体" w:cs="宋体"/>
          <w:color w:val="auto"/>
          <w:sz w:val="24"/>
          <w:highlight w:val="none"/>
        </w:rPr>
        <w:t>招标项目的潜在投标人应在政采云平台获取招标文件，并于2023年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分（北京时间）前递交投标文件。</w:t>
      </w:r>
    </w:p>
    <w:p>
      <w:pPr>
        <w:pBdr>
          <w:top w:val="single" w:color="auto" w:sz="4" w:space="1"/>
          <w:left w:val="single" w:color="auto" w:sz="4" w:space="4"/>
          <w:bottom w:val="single" w:color="auto" w:sz="4" w:space="1"/>
          <w:right w:val="single" w:color="auto" w:sz="4" w:space="4"/>
        </w:pBdr>
        <w:ind w:firstLine="480" w:firstLineChars="200"/>
        <w:rPr>
          <w:rFonts w:ascii="宋体" w:hAnsi="宋体" w:cs="宋体"/>
          <w:color w:val="auto"/>
          <w:sz w:val="24"/>
          <w:highlight w:val="none"/>
        </w:rPr>
      </w:pPr>
      <w:bookmarkStart w:id="35" w:name="_GoBack"/>
      <w:bookmarkEnd w:id="35"/>
    </w:p>
    <w:p>
      <w:pPr>
        <w:spacing w:line="360" w:lineRule="auto"/>
        <w:rPr>
          <w:rFonts w:ascii="宋体" w:hAnsi="宋体" w:cs="宋体"/>
          <w:color w:val="auto"/>
          <w:highlight w:val="none"/>
        </w:rPr>
      </w:pPr>
    </w:p>
    <w:p>
      <w:pPr>
        <w:pStyle w:val="4"/>
        <w:spacing w:line="360" w:lineRule="exact"/>
        <w:outlineLvl w:val="1"/>
        <w:rPr>
          <w:color w:val="auto"/>
          <w:highlight w:val="none"/>
        </w:rPr>
      </w:pPr>
      <w:bookmarkStart w:id="0" w:name="_Toc1854"/>
      <w:r>
        <w:rPr>
          <w:rFonts w:hint="eastAsia"/>
          <w:b/>
          <w:bCs/>
          <w:color w:val="auto"/>
          <w:highlight w:val="none"/>
        </w:rPr>
        <w:t>一、项目基本情况</w:t>
      </w:r>
      <w:bookmarkEnd w:id="0"/>
    </w:p>
    <w:p>
      <w:pPr>
        <w:pStyle w:val="4"/>
        <w:spacing w:line="360" w:lineRule="exact"/>
        <w:ind w:firstLine="480" w:firstLineChars="200"/>
        <w:rPr>
          <w:rFonts w:hint="eastAsia"/>
          <w:color w:val="auto"/>
          <w:highlight w:val="none"/>
        </w:rPr>
      </w:pPr>
      <w:r>
        <w:rPr>
          <w:rFonts w:hint="eastAsia"/>
          <w:color w:val="auto"/>
          <w:highlight w:val="none"/>
        </w:rPr>
        <w:t>1.项目编号：</w:t>
      </w:r>
      <w:r>
        <w:rPr>
          <w:rFonts w:hint="eastAsia"/>
          <w:color w:val="auto"/>
          <w:highlight w:val="none"/>
          <w:lang w:val="en-US" w:eastAsia="zh-CN"/>
        </w:rPr>
        <w:t>KSDQZFCG（GK）2023-26</w:t>
      </w:r>
    </w:p>
    <w:p>
      <w:pPr>
        <w:pStyle w:val="4"/>
        <w:spacing w:line="360" w:lineRule="exact"/>
        <w:ind w:firstLine="480" w:firstLineChars="200"/>
        <w:rPr>
          <w:color w:val="auto"/>
          <w:highlight w:val="none"/>
        </w:rPr>
      </w:pPr>
      <w:r>
        <w:rPr>
          <w:rFonts w:hint="eastAsia"/>
          <w:color w:val="auto"/>
          <w:highlight w:val="none"/>
        </w:rPr>
        <w:t>2.项目名称：喀什地区第一人民医院国家区域医疗中心智慧医院、多学科（专科、专病）数据中心信息化建设项目</w:t>
      </w:r>
    </w:p>
    <w:p>
      <w:pPr>
        <w:pStyle w:val="4"/>
        <w:spacing w:line="360" w:lineRule="exact"/>
        <w:ind w:firstLine="480" w:firstLineChars="200"/>
        <w:rPr>
          <w:color w:val="auto"/>
          <w:highlight w:val="none"/>
        </w:rPr>
      </w:pPr>
      <w:r>
        <w:rPr>
          <w:rFonts w:hint="eastAsia"/>
          <w:color w:val="auto"/>
          <w:highlight w:val="none"/>
        </w:rPr>
        <w:t>3.采购方式：公开招标</w:t>
      </w:r>
    </w:p>
    <w:p>
      <w:pPr>
        <w:pStyle w:val="4"/>
        <w:spacing w:line="360" w:lineRule="exact"/>
        <w:ind w:firstLine="480" w:firstLineChars="200"/>
        <w:rPr>
          <w:color w:val="auto"/>
          <w:highlight w:val="none"/>
        </w:rPr>
      </w:pPr>
      <w:r>
        <w:rPr>
          <w:rFonts w:hint="eastAsia"/>
          <w:color w:val="auto"/>
          <w:highlight w:val="none"/>
        </w:rPr>
        <w:t>4.预算金额：15233</w:t>
      </w:r>
      <w:r>
        <w:rPr>
          <w:color w:val="auto"/>
          <w:highlight w:val="none"/>
        </w:rPr>
        <w:t>.</w:t>
      </w:r>
      <w:r>
        <w:rPr>
          <w:rFonts w:hint="eastAsia"/>
          <w:color w:val="auto"/>
          <w:highlight w:val="none"/>
        </w:rPr>
        <w:t>8万元</w:t>
      </w:r>
    </w:p>
    <w:p>
      <w:pPr>
        <w:pStyle w:val="4"/>
        <w:spacing w:line="360" w:lineRule="exact"/>
        <w:ind w:firstLine="480" w:firstLineChars="200"/>
        <w:rPr>
          <w:color w:val="auto"/>
          <w:highlight w:val="none"/>
        </w:rPr>
      </w:pPr>
      <w:r>
        <w:rPr>
          <w:rFonts w:hint="eastAsia"/>
          <w:color w:val="auto"/>
          <w:highlight w:val="none"/>
        </w:rPr>
        <w:t>5.最高限价（万元）：15233</w:t>
      </w:r>
      <w:r>
        <w:rPr>
          <w:color w:val="auto"/>
          <w:highlight w:val="none"/>
        </w:rPr>
        <w:t>.</w:t>
      </w:r>
      <w:r>
        <w:rPr>
          <w:rFonts w:hint="eastAsia"/>
          <w:color w:val="auto"/>
          <w:highlight w:val="none"/>
        </w:rPr>
        <w:t>8万元</w:t>
      </w:r>
    </w:p>
    <w:p>
      <w:pPr>
        <w:pStyle w:val="4"/>
        <w:spacing w:line="360" w:lineRule="exact"/>
        <w:ind w:firstLine="480" w:firstLineChars="200"/>
        <w:rPr>
          <w:rFonts w:hint="default" w:eastAsia="宋体"/>
          <w:color w:val="auto"/>
          <w:highlight w:val="none"/>
          <w:lang w:val="en-US" w:eastAsia="zh-CN"/>
        </w:rPr>
      </w:pPr>
      <w:r>
        <w:rPr>
          <w:rFonts w:hint="eastAsia"/>
          <w:color w:val="auto"/>
          <w:highlight w:val="none"/>
        </w:rPr>
        <w:t>6.采购需求：喀什地区第一人民医院国家区域医疗中心智慧医院、多学科（专科、专病）数据中心信息化建设项目，本项目不分包，</w:t>
      </w:r>
      <w:r>
        <w:rPr>
          <w:rFonts w:hint="eastAsia"/>
          <w:color w:val="auto"/>
          <w:highlight w:val="none"/>
          <w:lang w:val="zh-CN"/>
        </w:rPr>
        <w:t>详细采购内容详见招标文件。建设内容：一、智慧医院一体化平台；二、区域大数据中心；三、区域传染病防控平台；四、区域监管平台；五、接口服务；六、基础系统软件；七、等保和密评服务；八、硬件产品；九、集成服务等。详细采购内容详见招标文件。</w:t>
      </w:r>
    </w:p>
    <w:p>
      <w:pPr>
        <w:pStyle w:val="4"/>
        <w:spacing w:line="360" w:lineRule="exact"/>
        <w:ind w:firstLine="480" w:firstLineChars="200"/>
        <w:rPr>
          <w:color w:val="auto"/>
          <w:highlight w:val="none"/>
        </w:rPr>
      </w:pPr>
      <w:r>
        <w:rPr>
          <w:rFonts w:hint="eastAsia"/>
          <w:color w:val="auto"/>
          <w:highlight w:val="none"/>
        </w:rPr>
        <w:t>7.本项目不接受联合体投标。</w:t>
      </w:r>
    </w:p>
    <w:p>
      <w:pPr>
        <w:pStyle w:val="4"/>
        <w:spacing w:line="360" w:lineRule="exact"/>
        <w:outlineLvl w:val="1"/>
        <w:rPr>
          <w:color w:val="auto"/>
          <w:highlight w:val="none"/>
        </w:rPr>
      </w:pPr>
      <w:bookmarkStart w:id="1" w:name="_Toc18555"/>
      <w:bookmarkStart w:id="2" w:name="_Toc28359013"/>
      <w:bookmarkStart w:id="3" w:name="_Toc35393630"/>
      <w:bookmarkStart w:id="4" w:name="_Toc35393799"/>
      <w:bookmarkStart w:id="5" w:name="_Toc28359090"/>
      <w:r>
        <w:rPr>
          <w:rFonts w:hint="eastAsia"/>
          <w:b/>
          <w:bCs/>
          <w:color w:val="auto"/>
          <w:highlight w:val="none"/>
        </w:rPr>
        <w:t>二、投标供应商资格要求：</w:t>
      </w:r>
      <w:bookmarkEnd w:id="1"/>
      <w:bookmarkEnd w:id="2"/>
      <w:bookmarkEnd w:id="3"/>
      <w:bookmarkEnd w:id="4"/>
      <w:bookmarkEnd w:id="5"/>
    </w:p>
    <w:p>
      <w:pPr>
        <w:pStyle w:val="4"/>
        <w:spacing w:line="360" w:lineRule="exact"/>
        <w:ind w:firstLine="480" w:firstLineChars="200"/>
        <w:rPr>
          <w:color w:val="auto"/>
          <w:highlight w:val="none"/>
        </w:rPr>
      </w:pPr>
      <w:r>
        <w:rPr>
          <w:rFonts w:hint="eastAsia"/>
          <w:color w:val="auto"/>
          <w:highlight w:val="none"/>
        </w:rPr>
        <w:t>1.满足《中华人民共和国政府采购法》第二十二条要求：</w:t>
      </w:r>
    </w:p>
    <w:p>
      <w:pPr>
        <w:pStyle w:val="4"/>
        <w:spacing w:line="360" w:lineRule="exact"/>
        <w:ind w:firstLine="240" w:firstLineChars="100"/>
        <w:rPr>
          <w:color w:val="auto"/>
          <w:highlight w:val="none"/>
        </w:rPr>
      </w:pPr>
      <w:r>
        <w:rPr>
          <w:rFonts w:hint="eastAsia"/>
          <w:color w:val="auto"/>
          <w:highlight w:val="none"/>
        </w:rPr>
        <w:t>（1）具有独立承担民事责任的能力；</w:t>
      </w:r>
    </w:p>
    <w:p>
      <w:pPr>
        <w:pStyle w:val="4"/>
        <w:spacing w:line="360" w:lineRule="exact"/>
        <w:ind w:firstLine="240" w:firstLineChars="100"/>
        <w:rPr>
          <w:color w:val="auto"/>
          <w:highlight w:val="none"/>
        </w:rPr>
      </w:pPr>
      <w:r>
        <w:rPr>
          <w:rFonts w:hint="eastAsia"/>
          <w:color w:val="auto"/>
          <w:highlight w:val="none"/>
        </w:rPr>
        <w:t>（2）具有健全的财务会计制度；</w:t>
      </w:r>
    </w:p>
    <w:p>
      <w:pPr>
        <w:pStyle w:val="4"/>
        <w:spacing w:line="360" w:lineRule="exact"/>
        <w:ind w:firstLine="240" w:firstLineChars="100"/>
        <w:rPr>
          <w:color w:val="auto"/>
          <w:highlight w:val="none"/>
        </w:rPr>
      </w:pPr>
      <w:r>
        <w:rPr>
          <w:rFonts w:hint="eastAsia"/>
          <w:color w:val="auto"/>
          <w:highlight w:val="none"/>
        </w:rPr>
        <w:t>（3）具有履行合同所必需的设备和专业技术能力；</w:t>
      </w:r>
    </w:p>
    <w:p>
      <w:pPr>
        <w:pStyle w:val="4"/>
        <w:spacing w:line="360" w:lineRule="exact"/>
        <w:ind w:firstLine="240" w:firstLineChars="100"/>
        <w:rPr>
          <w:color w:val="auto"/>
          <w:highlight w:val="none"/>
        </w:rPr>
      </w:pPr>
      <w:r>
        <w:rPr>
          <w:rFonts w:hint="eastAsia"/>
          <w:color w:val="auto"/>
          <w:highlight w:val="none"/>
        </w:rPr>
        <w:t>（4）有依法缴纳税收和社会保障资金的良好记录；</w:t>
      </w:r>
    </w:p>
    <w:p>
      <w:pPr>
        <w:pStyle w:val="4"/>
        <w:spacing w:line="360" w:lineRule="exact"/>
        <w:ind w:firstLine="240" w:firstLineChars="100"/>
        <w:rPr>
          <w:color w:val="auto"/>
          <w:highlight w:val="none"/>
        </w:rPr>
      </w:pPr>
      <w:r>
        <w:rPr>
          <w:rFonts w:hint="eastAsia"/>
          <w:color w:val="auto"/>
          <w:highlight w:val="none"/>
        </w:rPr>
        <w:t>（5）参加政府采购活动前三年内，在经营活动中没有重大违法记录；</w:t>
      </w:r>
    </w:p>
    <w:p>
      <w:pPr>
        <w:pStyle w:val="4"/>
        <w:spacing w:line="360" w:lineRule="exact"/>
        <w:ind w:firstLine="240" w:firstLineChars="100"/>
        <w:rPr>
          <w:color w:val="auto"/>
          <w:highlight w:val="none"/>
        </w:rPr>
      </w:pPr>
      <w:r>
        <w:rPr>
          <w:rFonts w:hint="eastAsia"/>
          <w:color w:val="auto"/>
          <w:highlight w:val="none"/>
        </w:rPr>
        <w:t>（6）法律、行政法规规定的其他条件。</w:t>
      </w:r>
    </w:p>
    <w:p>
      <w:pPr>
        <w:pStyle w:val="4"/>
        <w:spacing w:line="360" w:lineRule="exact"/>
        <w:ind w:firstLine="480" w:firstLineChars="200"/>
        <w:rPr>
          <w:color w:val="auto"/>
          <w:highlight w:val="none"/>
        </w:rPr>
      </w:pPr>
      <w:r>
        <w:rPr>
          <w:rFonts w:hint="eastAsia"/>
          <w:color w:val="auto"/>
          <w:highlight w:val="none"/>
        </w:rPr>
        <w:t>2.在“信用中国”网站（ www.creditchina.gov.cn） 被列入失信被执行人、重大税收违法案件当事人名单(信用服务-重点领域严重失信主体名单查询-搜索栏输入单位全称-截图)、中国政府采购网</w:t>
      </w:r>
      <w:r>
        <w:rPr>
          <w:rFonts w:hint="eastAsia"/>
          <w:color w:val="auto"/>
          <w:sz w:val="22"/>
          <w:szCs w:val="22"/>
          <w:highlight w:val="none"/>
        </w:rPr>
        <w:t>（http://www.ccgp.gov.cn/search/cr/）</w:t>
      </w:r>
      <w:r>
        <w:rPr>
          <w:rFonts w:hint="eastAsia"/>
          <w:color w:val="auto"/>
          <w:highlight w:val="none"/>
        </w:rPr>
        <w:t>严重违法失信行为记录名单的（尚在处罚期内的）将拒绝其参加本次招标活动。</w:t>
      </w:r>
    </w:p>
    <w:p>
      <w:pPr>
        <w:pStyle w:val="4"/>
        <w:spacing w:line="360" w:lineRule="exact"/>
        <w:ind w:firstLine="480" w:firstLineChars="200"/>
        <w:rPr>
          <w:color w:val="auto"/>
          <w:highlight w:val="none"/>
        </w:rPr>
      </w:pPr>
      <w:r>
        <w:rPr>
          <w:rFonts w:hint="eastAsia"/>
          <w:color w:val="auto"/>
          <w:highlight w:val="none"/>
        </w:rPr>
        <w:t>3.本项目不接受联合体投标。</w:t>
      </w:r>
    </w:p>
    <w:p>
      <w:pPr>
        <w:pStyle w:val="4"/>
        <w:spacing w:line="360" w:lineRule="exact"/>
        <w:outlineLvl w:val="1"/>
        <w:rPr>
          <w:b/>
          <w:bCs/>
          <w:color w:val="auto"/>
          <w:highlight w:val="none"/>
        </w:rPr>
      </w:pPr>
      <w:bookmarkStart w:id="6" w:name="_Toc3992"/>
      <w:r>
        <w:rPr>
          <w:rFonts w:hint="eastAsia"/>
          <w:b/>
          <w:bCs/>
          <w:color w:val="auto"/>
          <w:highlight w:val="none"/>
        </w:rPr>
        <w:t>三、获取采购文件</w:t>
      </w:r>
      <w:bookmarkEnd w:id="6"/>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获取时间：2023年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日至2023年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w:t>
      </w: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获取方式：供应商登陆新疆政府采购网 (ccgp-xinjiang.gov.cn)见此项目公告附件下载。</w:t>
      </w: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获取地点：供应商登陆新疆政府采购网 (ccgp-xinjiang.gov.cn)见此项目公告附件下载。</w:t>
      </w:r>
    </w:p>
    <w:p>
      <w:pPr>
        <w:spacing w:line="360" w:lineRule="exact"/>
        <w:outlineLvl w:val="1"/>
        <w:rPr>
          <w:rFonts w:ascii="宋体" w:hAnsi="宋体" w:cs="宋体"/>
          <w:b/>
          <w:color w:val="auto"/>
          <w:sz w:val="24"/>
          <w:highlight w:val="none"/>
        </w:rPr>
      </w:pPr>
      <w:bookmarkStart w:id="7" w:name="_Toc28359082"/>
      <w:bookmarkStart w:id="8" w:name="_Toc28359005"/>
      <w:bookmarkStart w:id="9" w:name="_Toc9047"/>
      <w:bookmarkStart w:id="10" w:name="_Toc952"/>
      <w:bookmarkStart w:id="11" w:name="_Toc35393624"/>
      <w:bookmarkStart w:id="12" w:name="_Toc35393793"/>
      <w:bookmarkStart w:id="13" w:name="_Toc29050"/>
      <w:bookmarkStart w:id="14" w:name="_Toc2532"/>
      <w:bookmarkStart w:id="15" w:name="_Toc2422"/>
      <w:r>
        <w:rPr>
          <w:rFonts w:hint="eastAsia" w:ascii="宋体" w:hAnsi="宋体" w:cs="宋体"/>
          <w:b/>
          <w:color w:val="auto"/>
          <w:sz w:val="24"/>
          <w:highlight w:val="none"/>
        </w:rPr>
        <w:t>四、提交投标文件</w:t>
      </w:r>
      <w:bookmarkEnd w:id="7"/>
      <w:bookmarkEnd w:id="8"/>
      <w:r>
        <w:rPr>
          <w:rFonts w:hint="eastAsia" w:ascii="宋体" w:hAnsi="宋体" w:cs="宋体"/>
          <w:b/>
          <w:color w:val="auto"/>
          <w:sz w:val="24"/>
          <w:highlight w:val="none"/>
        </w:rPr>
        <w:t>截止时间、开标时间和地点</w:t>
      </w:r>
      <w:bookmarkEnd w:id="9"/>
      <w:bookmarkEnd w:id="10"/>
      <w:bookmarkEnd w:id="11"/>
      <w:bookmarkEnd w:id="12"/>
      <w:bookmarkEnd w:id="13"/>
      <w:bookmarkEnd w:id="14"/>
      <w:bookmarkEnd w:id="15"/>
    </w:p>
    <w:p>
      <w:pPr>
        <w:spacing w:line="3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提交投标文件截止时间：</w:t>
      </w:r>
      <w:bookmarkStart w:id="16" w:name="_Toc35393625"/>
      <w:bookmarkStart w:id="17" w:name="_Toc28359084"/>
      <w:bookmarkStart w:id="18" w:name="_Toc35393794"/>
      <w:bookmarkStart w:id="19" w:name="_Toc28359007"/>
      <w:r>
        <w:rPr>
          <w:rFonts w:hint="eastAsia" w:ascii="宋体" w:hAnsi="宋体" w:cs="宋体"/>
          <w:color w:val="auto"/>
          <w:sz w:val="24"/>
          <w:highlight w:val="none"/>
        </w:rPr>
        <w:t>2023年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hint="eastAsia" w:ascii="宋体" w:hAnsi="宋体" w:cs="宋体"/>
          <w:bCs/>
          <w:color w:val="auto"/>
          <w:sz w:val="24"/>
          <w:highlight w:val="none"/>
        </w:rPr>
        <w:t>（北京时间）</w:t>
      </w: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投标地点：</w:t>
      </w:r>
      <w:r>
        <w:rPr>
          <w:rFonts w:hint="eastAsia" w:ascii="宋体" w:hAnsi="宋体" w:cs="宋体"/>
          <w:color w:val="auto"/>
          <w:kern w:val="0"/>
          <w:sz w:val="24"/>
          <w:highlight w:val="none"/>
        </w:rPr>
        <w:t>政采云平台</w:t>
      </w:r>
      <w:r>
        <w:rPr>
          <w:rFonts w:hint="eastAsia" w:ascii="宋体" w:hAnsi="宋体" w:cs="宋体"/>
          <w:color w:val="auto"/>
          <w:sz w:val="24"/>
          <w:highlight w:val="none"/>
        </w:rPr>
        <w:t>（https://login.zcygov.cn/user-login/#/login）</w:t>
      </w: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开标时间：2023年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w:t>
      </w: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开标地点：</w:t>
      </w:r>
      <w:bookmarkStart w:id="20" w:name="_Toc30400"/>
      <w:bookmarkStart w:id="21" w:name="_Toc20863"/>
      <w:bookmarkStart w:id="22" w:name="_Toc23672"/>
      <w:r>
        <w:rPr>
          <w:rFonts w:hint="eastAsia" w:ascii="宋体" w:hAnsi="宋体" w:cs="宋体"/>
          <w:color w:val="auto"/>
          <w:kern w:val="0"/>
          <w:sz w:val="24"/>
          <w:highlight w:val="none"/>
        </w:rPr>
        <w:t>政采云平台</w:t>
      </w:r>
      <w:r>
        <w:rPr>
          <w:rFonts w:hint="eastAsia" w:ascii="宋体" w:hAnsi="宋体" w:cs="宋体"/>
          <w:color w:val="auto"/>
          <w:sz w:val="24"/>
          <w:highlight w:val="none"/>
        </w:rPr>
        <w:t>（https://login.zcygov.cn/user-login/#/login）</w:t>
      </w:r>
    </w:p>
    <w:p>
      <w:pPr>
        <w:spacing w:line="360" w:lineRule="exact"/>
        <w:outlineLvl w:val="1"/>
        <w:rPr>
          <w:rFonts w:ascii="宋体" w:hAnsi="宋体" w:cs="宋体"/>
          <w:b/>
          <w:color w:val="auto"/>
          <w:sz w:val="24"/>
          <w:highlight w:val="none"/>
        </w:rPr>
      </w:pPr>
      <w:bookmarkStart w:id="23" w:name="_Toc24343"/>
      <w:r>
        <w:rPr>
          <w:rFonts w:hint="eastAsia" w:ascii="宋体" w:hAnsi="宋体" w:cs="宋体"/>
          <w:b/>
          <w:color w:val="auto"/>
          <w:sz w:val="24"/>
          <w:highlight w:val="none"/>
        </w:rPr>
        <w:t>五、公告期限</w:t>
      </w:r>
      <w:bookmarkEnd w:id="16"/>
      <w:bookmarkEnd w:id="17"/>
      <w:bookmarkEnd w:id="18"/>
      <w:bookmarkEnd w:id="19"/>
      <w:bookmarkEnd w:id="20"/>
      <w:bookmarkEnd w:id="21"/>
      <w:bookmarkEnd w:id="22"/>
      <w:bookmarkEnd w:id="23"/>
    </w:p>
    <w:p>
      <w:pPr>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pPr>
        <w:spacing w:line="360" w:lineRule="exact"/>
        <w:outlineLvl w:val="1"/>
        <w:rPr>
          <w:rFonts w:ascii="宋体" w:hAnsi="宋体" w:cs="宋体"/>
          <w:b/>
          <w:color w:val="auto"/>
          <w:sz w:val="24"/>
          <w:highlight w:val="none"/>
        </w:rPr>
      </w:pPr>
      <w:bookmarkStart w:id="24" w:name="_Toc29092"/>
      <w:r>
        <w:rPr>
          <w:rFonts w:hint="eastAsia" w:ascii="宋体" w:hAnsi="宋体" w:cs="宋体"/>
          <w:b/>
          <w:color w:val="auto"/>
          <w:sz w:val="24"/>
          <w:highlight w:val="none"/>
        </w:rPr>
        <w:t>六、其它补充事宜</w:t>
      </w:r>
      <w:bookmarkEnd w:id="24"/>
    </w:p>
    <w:p>
      <w:pPr>
        <w:pStyle w:val="4"/>
        <w:spacing w:line="360" w:lineRule="exact"/>
        <w:ind w:firstLine="480" w:firstLineChars="200"/>
        <w:rPr>
          <w:color w:val="auto"/>
          <w:highlight w:val="none"/>
        </w:rPr>
      </w:pPr>
      <w:bookmarkStart w:id="25" w:name="_Toc28359017"/>
      <w:bookmarkStart w:id="26" w:name="_Toc35393803"/>
      <w:bookmarkStart w:id="27" w:name="_Toc35393634"/>
      <w:bookmarkStart w:id="28" w:name="_Toc28359094"/>
      <w:r>
        <w:rPr>
          <w:rFonts w:hint="eastAsia"/>
          <w:color w:val="auto"/>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line="360" w:lineRule="exact"/>
        <w:ind w:firstLine="540"/>
        <w:rPr>
          <w:rFonts w:ascii="宋体" w:hAnsi="宋体" w:cs="宋体"/>
          <w:color w:val="auto"/>
          <w:sz w:val="24"/>
          <w:highlight w:val="none"/>
        </w:rPr>
      </w:pPr>
      <w:r>
        <w:rPr>
          <w:rFonts w:hint="eastAsia" w:ascii="宋体" w:hAnsi="宋体" w:cs="宋体"/>
          <w:color w:val="auto"/>
          <w:sz w:val="24"/>
          <w:highlight w:val="none"/>
        </w:rPr>
        <w:t>2.本项目实行网上投标，采用电子投标文件(供应商须使用CA加密设备通过政采云电子投标客户端制作投标文件)。若供应商参与投标，自行承担投标一切费用。</w:t>
      </w:r>
    </w:p>
    <w:p>
      <w:pPr>
        <w:spacing w:line="360" w:lineRule="exact"/>
        <w:ind w:firstLine="540"/>
        <w:rPr>
          <w:rFonts w:ascii="宋体" w:hAnsi="宋体" w:cs="宋体"/>
          <w:color w:val="auto"/>
          <w:sz w:val="24"/>
          <w:highlight w:val="none"/>
        </w:rPr>
      </w:pPr>
      <w:r>
        <w:rPr>
          <w:rFonts w:hint="eastAsia" w:ascii="宋体" w:hAnsi="宋体" w:cs="宋体"/>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spacing w:line="360" w:lineRule="exact"/>
        <w:ind w:firstLine="540"/>
        <w:rPr>
          <w:rFonts w:ascii="宋体" w:hAnsi="宋体" w:cs="宋体"/>
          <w:color w:val="auto"/>
          <w:sz w:val="24"/>
          <w:highlight w:val="none"/>
        </w:rPr>
      </w:pPr>
      <w:r>
        <w:rPr>
          <w:rFonts w:hint="eastAsia" w:ascii="宋体" w:hAnsi="宋体" w:cs="宋体"/>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60" w:lineRule="exact"/>
        <w:ind w:firstLine="540"/>
        <w:rPr>
          <w:rFonts w:ascii="宋体" w:hAnsi="宋体" w:cs="宋体"/>
          <w:color w:val="auto"/>
          <w:sz w:val="24"/>
          <w:highlight w:val="none"/>
        </w:rPr>
      </w:pPr>
      <w:r>
        <w:rPr>
          <w:rFonts w:hint="eastAsia" w:ascii="宋体" w:hAnsi="宋体" w:cs="宋体"/>
          <w:color w:val="auto"/>
          <w:sz w:val="24"/>
          <w:highlight w:val="none"/>
        </w:rPr>
        <w:t>5.供应商在开标时须使用制作加密电子投标文件所使用的CA锁及电脑，电脑须提前配置好浏览器（建议使用360浏览器或谷歌浏览器），以便开标时解锁。</w:t>
      </w:r>
    </w:p>
    <w:p>
      <w:pPr>
        <w:spacing w:line="360" w:lineRule="exact"/>
        <w:ind w:firstLine="540"/>
        <w:rPr>
          <w:rFonts w:ascii="宋体" w:hAnsi="宋体" w:cs="宋体"/>
          <w:color w:val="auto"/>
          <w:sz w:val="24"/>
          <w:highlight w:val="none"/>
        </w:rPr>
      </w:pPr>
      <w:r>
        <w:rPr>
          <w:rFonts w:hint="eastAsia" w:ascii="宋体" w:hAnsi="宋体" w:cs="宋体"/>
          <w:color w:val="auto"/>
          <w:sz w:val="24"/>
          <w:highlight w:val="none"/>
        </w:rPr>
        <w:t>6.投标保证金缴纳及确认时间：凡拟参加本次招标项目的供应商，必须在开标前将投标保证金汇入指定账户。否则，届时其投标将被拒绝。</w:t>
      </w:r>
    </w:p>
    <w:p>
      <w:pPr>
        <w:keepNext w:val="0"/>
        <w:keepLines w:val="0"/>
        <w:pageBreakBefore w:val="0"/>
        <w:widowControl/>
        <w:numPr>
          <w:ilvl w:val="0"/>
          <w:numId w:val="0"/>
        </w:numPr>
        <w:shd w:val="clear" w:color="auto" w:fill="FFFFFF"/>
        <w:tabs>
          <w:tab w:val="left" w:pos="864"/>
        </w:tabs>
        <w:kinsoku/>
        <w:wordWrap w:val="0"/>
        <w:overflowPunct/>
        <w:topLinePunct w:val="0"/>
        <w:autoSpaceDE/>
        <w:autoSpaceDN/>
        <w:bidi w:val="0"/>
        <w:adjustRightInd/>
        <w:snapToGrid/>
        <w:spacing w:line="360" w:lineRule="exact"/>
        <w:ind w:firstLine="480" w:firstLineChars="200"/>
        <w:textAlignment w:val="auto"/>
        <w:outlineLvl w:val="9"/>
        <w:rPr>
          <w:rFonts w:ascii="宋体" w:hAnsi="宋体" w:cs="宋体"/>
          <w:color w:val="auto"/>
          <w:highlight w:val="none"/>
        </w:rPr>
      </w:pPr>
      <w:r>
        <w:rPr>
          <w:rFonts w:hint="eastAsia" w:ascii="宋体" w:hAnsi="宋体" w:cs="宋体"/>
          <w:b w:val="0"/>
          <w:bCs w:val="0"/>
          <w:color w:val="auto"/>
          <w:sz w:val="24"/>
          <w:szCs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25"/>
      <w:bookmarkEnd w:id="26"/>
      <w:bookmarkEnd w:id="27"/>
      <w:bookmarkEnd w:id="28"/>
    </w:p>
    <w:p>
      <w:pPr>
        <w:widowControl/>
        <w:spacing w:line="360" w:lineRule="auto"/>
        <w:ind w:firstLine="482" w:firstLineChars="200"/>
        <w:jc w:val="left"/>
        <w:outlineLvl w:val="1"/>
        <w:rPr>
          <w:rFonts w:ascii="宋体" w:hAnsi="宋体" w:cs="宋体"/>
          <w:color w:val="auto"/>
          <w:highlight w:val="none"/>
        </w:rPr>
      </w:pPr>
      <w:bookmarkStart w:id="29" w:name="_Toc10301"/>
      <w:bookmarkStart w:id="30" w:name="_Hlk21311295"/>
      <w:r>
        <w:rPr>
          <w:rFonts w:hint="eastAsia" w:ascii="宋体" w:hAnsi="宋体" w:cs="宋体"/>
          <w:b/>
          <w:bCs/>
          <w:color w:val="auto"/>
          <w:kern w:val="0"/>
          <w:sz w:val="24"/>
          <w:highlight w:val="none"/>
        </w:rPr>
        <w:t>七、</w:t>
      </w:r>
      <w:bookmarkStart w:id="31" w:name="_Toc28359018"/>
      <w:bookmarkStart w:id="32" w:name="_Toc35393805"/>
      <w:bookmarkStart w:id="33" w:name="_Toc35393636"/>
      <w:bookmarkStart w:id="34" w:name="_Toc28359095"/>
      <w:r>
        <w:rPr>
          <w:rFonts w:hint="eastAsia" w:ascii="宋体" w:hAnsi="宋体" w:cs="宋体"/>
          <w:b/>
          <w:bCs/>
          <w:color w:val="auto"/>
          <w:kern w:val="0"/>
          <w:sz w:val="24"/>
          <w:highlight w:val="none"/>
        </w:rPr>
        <w:t>凡对本次采购提出询问，请按以下方式联系。</w:t>
      </w:r>
      <w:bookmarkEnd w:id="29"/>
      <w:bookmarkEnd w:id="31"/>
      <w:bookmarkEnd w:id="32"/>
      <w:bookmarkEnd w:id="33"/>
      <w:bookmarkEnd w:id="34"/>
      <w:r>
        <w:rPr>
          <w:rFonts w:hint="eastAsia" w:ascii="宋体" w:hAnsi="宋体" w:cs="宋体"/>
          <w:color w:val="auto"/>
          <w:sz w:val="24"/>
          <w:highlight w:val="none"/>
        </w:rPr>
        <w:t xml:space="preserve">  </w:t>
      </w:r>
      <w:r>
        <w:rPr>
          <w:rFonts w:hint="eastAsia" w:ascii="宋体" w:hAnsi="宋体" w:cs="宋体"/>
          <w:color w:val="auto"/>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采购人名称：喀什地区第一人民医院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喀什市迎宾大道</w:t>
      </w:r>
      <w:r>
        <w:rPr>
          <w:rFonts w:hint="eastAsia" w:ascii="宋体" w:hAnsi="宋体" w:cs="宋体"/>
          <w:color w:val="auto"/>
          <w:sz w:val="24"/>
          <w:highlight w:val="none"/>
          <w:lang w:val="en-US" w:eastAsia="zh-CN"/>
        </w:rPr>
        <w:t>120号</w:t>
      </w:r>
      <w:r>
        <w:rPr>
          <w:rFonts w:ascii="宋体" w:hAnsi="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eastAsia="zh-CN"/>
        </w:rPr>
        <w:t>曹林岚</w:t>
      </w:r>
    </w:p>
    <w:p>
      <w:pPr>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rPr>
        <w:t>联 系 电 话：</w:t>
      </w:r>
      <w:r>
        <w:rPr>
          <w:rFonts w:hint="eastAsia" w:ascii="宋体" w:hAnsi="宋体" w:cs="宋体"/>
          <w:color w:val="auto"/>
          <w:kern w:val="0"/>
          <w:sz w:val="24"/>
          <w:highlight w:val="none"/>
          <w:lang w:val="en-US" w:eastAsia="zh-CN"/>
        </w:rPr>
        <w:t>0998-2962911</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采购机构：喀什地区公共资源交易中心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采购机构地址：喀什地区疏附县商贸园区疆南农批市场内 </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eastAsia="zh-CN"/>
        </w:rPr>
        <w:t>朱文财</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电 话：</w:t>
      </w:r>
      <w:r>
        <w:rPr>
          <w:rFonts w:hint="eastAsia" w:ascii="宋体" w:hAnsi="宋体" w:cs="宋体"/>
          <w:color w:val="auto"/>
          <w:sz w:val="24"/>
          <w:highlight w:val="none"/>
          <w:lang w:val="en-US" w:eastAsia="zh-CN"/>
        </w:rPr>
        <w:t>0998-5885138</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监督单位：喀什地区财政局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址：喀什市解放北路46号喀什地区财政局办公大楼二层</w:t>
      </w:r>
    </w:p>
    <w:p>
      <w:pPr>
        <w:pStyle w:val="3"/>
        <w:spacing w:line="360" w:lineRule="auto"/>
        <w:rPr>
          <w:rFonts w:hAnsi="宋体" w:cs="宋体"/>
          <w:color w:val="auto"/>
          <w:kern w:val="2"/>
          <w:szCs w:val="24"/>
          <w:highlight w:val="none"/>
        </w:rPr>
      </w:pPr>
      <w:r>
        <w:rPr>
          <w:rFonts w:hint="eastAsia" w:hAnsi="宋体" w:cs="宋体"/>
          <w:color w:val="auto"/>
          <w:kern w:val="2"/>
          <w:szCs w:val="24"/>
          <w:highlight w:val="none"/>
        </w:rPr>
        <w:t>联 系 电 话：0998-2597200   2597000</w:t>
      </w:r>
    </w:p>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M2Q0OGEzZWVjYjUwYjRhN2MxMDkwZGViOGM5MjYifQ=="/>
  </w:docVars>
  <w:rsids>
    <w:rsidRoot w:val="00000000"/>
    <w:rsid w:val="25CF1ACF"/>
    <w:rsid w:val="7C044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Normal (Web)"/>
    <w:basedOn w:val="1"/>
    <w:next w:val="1"/>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1845</Words>
  <Characters>2293</Characters>
  <Lines>0</Lines>
  <Paragraphs>0</Paragraphs>
  <TotalTime>0</TotalTime>
  <ScaleCrop>false</ScaleCrop>
  <LinksUpToDate>false</LinksUpToDate>
  <CharactersWithSpaces>2327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2023-07-12T05:38:00Z</dcterms:created>
  <dc:creator>朱文财</dc:creator>
  <cp:lastModifiedBy>朱文财</cp:lastModifiedBy>
  <dcterms:modified xsi:type="dcterms:W3CDTF">2023-07-12T11:28:38Z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05AA0C8DDA02417EA4543566D4F12EB3_12</vt:lpwstr>
  </property>
</Properties>
</file>